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DBC8">
      <w:pPr>
        <w:kinsoku/>
        <w:wordWrap/>
        <w:overflowPunct/>
        <w:topLinePunct w:val="0"/>
        <w:bidi w:val="0"/>
        <w:spacing w:line="360" w:lineRule="auto"/>
        <w:jc w:val="center"/>
        <w:outlineLvl w:val="9"/>
        <w:rPr>
          <w:rFonts w:ascii="宋体" w:hAnsi="宋体" w:cs="宋体"/>
          <w:b/>
          <w:color w:val="auto"/>
          <w:sz w:val="24"/>
          <w:highlight w:val="none"/>
        </w:rPr>
      </w:pPr>
    </w:p>
    <w:p w14:paraId="17633F7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E2AB96F">
      <w:pPr>
        <w:kinsoku/>
        <w:wordWrap/>
        <w:overflowPunct/>
        <w:topLinePunct w:val="0"/>
        <w:bidi w:val="0"/>
        <w:outlineLvl w:val="9"/>
        <w:rPr>
          <w:color w:val="auto"/>
          <w:highlight w:val="none"/>
        </w:rPr>
      </w:pPr>
    </w:p>
    <w:p w14:paraId="3125F52A">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62371EA7">
      <w:pPr>
        <w:kinsoku/>
        <w:wordWrap/>
        <w:overflowPunct/>
        <w:topLinePunct w:val="0"/>
        <w:bidi w:val="0"/>
        <w:adjustRightInd/>
        <w:spacing w:line="360" w:lineRule="auto"/>
        <w:jc w:val="center"/>
        <w:outlineLvl w:val="9"/>
        <w:rPr>
          <w:rFonts w:hint="eastAsia" w:ascii="宋体" w:hAnsi="宋体" w:cs="宋体"/>
          <w:b/>
          <w:color w:val="auto"/>
          <w:sz w:val="44"/>
          <w:szCs w:val="44"/>
          <w:highlight w:val="none"/>
        </w:rPr>
      </w:pPr>
    </w:p>
    <w:p w14:paraId="3AEBC366">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902D944">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2E0BC25">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0ABC4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：NH-TS2025-061</w:t>
      </w:r>
      <w:r>
        <w:rPr>
          <w:rFonts w:hint="eastAsia" w:ascii="宋体" w:hAnsi="宋体" w:cs="宋体"/>
          <w:color w:val="auto"/>
          <w:sz w:val="36"/>
          <w:szCs w:val="36"/>
          <w:highlight w:val="none"/>
        </w:rPr>
        <w:t xml:space="preserve">  </w:t>
      </w:r>
    </w:p>
    <w:p w14:paraId="61563F26">
      <w:pPr>
        <w:kinsoku/>
        <w:wordWrap/>
        <w:overflowPunct/>
        <w:topLinePunct w:val="0"/>
        <w:bidi w:val="0"/>
        <w:snapToGrid w:val="0"/>
        <w:spacing w:line="360" w:lineRule="auto"/>
        <w:ind w:left="1500" w:hanging="1800" w:hangingChars="500"/>
        <w:jc w:val="left"/>
        <w:outlineLvl w:val="9"/>
        <w:rPr>
          <w:rFonts w:ascii="宋体" w:hAnsi="宋体" w:cs="宋体"/>
          <w:color w:val="auto"/>
          <w:sz w:val="36"/>
          <w:szCs w:val="36"/>
          <w:highlight w:val="none"/>
        </w:rPr>
      </w:pPr>
      <w:r>
        <w:rPr>
          <w:rFonts w:hint="eastAsia" w:ascii="宋体" w:hAnsi="宋体" w:cs="宋体"/>
          <w:color w:val="auto"/>
          <w:sz w:val="36"/>
          <w:szCs w:val="36"/>
          <w:highlight w:val="none"/>
        </w:rPr>
        <w:t>项目名称：</w:t>
      </w:r>
      <w:r>
        <w:rPr>
          <w:rFonts w:hint="eastAsia" w:ascii="宋体" w:hAnsi="宋体" w:cs="宋体"/>
          <w:color w:val="auto"/>
          <w:sz w:val="36"/>
          <w:szCs w:val="36"/>
          <w:highlight w:val="none"/>
          <w:lang w:eastAsia="zh-CN"/>
        </w:rPr>
        <w:t>宁海县黄坛镇中心小学厨房设备采购项目</w:t>
      </w:r>
    </w:p>
    <w:p w14:paraId="6B485783">
      <w:pPr>
        <w:kinsoku/>
        <w:wordWrap/>
        <w:overflowPunct/>
        <w:topLinePunct w:val="0"/>
        <w:bidi w:val="0"/>
        <w:adjustRightInd/>
        <w:spacing w:line="360" w:lineRule="auto"/>
        <w:outlineLvl w:val="9"/>
        <w:rPr>
          <w:rFonts w:ascii="宋体" w:hAnsi="宋体" w:cs="宋体"/>
          <w:color w:val="auto"/>
          <w:sz w:val="36"/>
          <w:szCs w:val="36"/>
          <w:highlight w:val="none"/>
        </w:rPr>
      </w:pPr>
    </w:p>
    <w:p w14:paraId="5DBB15D3">
      <w:pPr>
        <w:kinsoku/>
        <w:wordWrap/>
        <w:overflowPunct/>
        <w:topLinePunct w:val="0"/>
        <w:bidi w:val="0"/>
        <w:spacing w:line="360" w:lineRule="auto"/>
        <w:jc w:val="center"/>
        <w:outlineLvl w:val="9"/>
        <w:rPr>
          <w:rFonts w:ascii="宋体" w:hAnsi="宋体" w:cs="宋体"/>
          <w:color w:val="auto"/>
          <w:sz w:val="36"/>
          <w:szCs w:val="36"/>
          <w:highlight w:val="none"/>
        </w:rPr>
      </w:pPr>
    </w:p>
    <w:p w14:paraId="3ADD2923">
      <w:pPr>
        <w:kinsoku/>
        <w:wordWrap/>
        <w:overflowPunct/>
        <w:topLinePunct w:val="0"/>
        <w:bidi w:val="0"/>
        <w:spacing w:line="360" w:lineRule="auto"/>
        <w:jc w:val="center"/>
        <w:outlineLvl w:val="9"/>
        <w:rPr>
          <w:rFonts w:ascii="宋体" w:hAnsi="宋体" w:cs="宋体"/>
          <w:color w:val="auto"/>
          <w:sz w:val="36"/>
          <w:szCs w:val="36"/>
          <w:highlight w:val="none"/>
        </w:rPr>
      </w:pPr>
    </w:p>
    <w:p w14:paraId="4056E9A2">
      <w:pPr>
        <w:kinsoku/>
        <w:wordWrap/>
        <w:overflowPunct/>
        <w:topLinePunct w:val="0"/>
        <w:bidi w:val="0"/>
        <w:spacing w:line="360" w:lineRule="auto"/>
        <w:jc w:val="center"/>
        <w:outlineLvl w:val="9"/>
        <w:rPr>
          <w:rFonts w:ascii="宋体" w:hAnsi="宋体" w:cs="宋体"/>
          <w:color w:val="auto"/>
          <w:sz w:val="36"/>
          <w:szCs w:val="36"/>
          <w:highlight w:val="none"/>
        </w:rPr>
      </w:pPr>
    </w:p>
    <w:p w14:paraId="42E9D420">
      <w:pPr>
        <w:kinsoku/>
        <w:wordWrap/>
        <w:overflowPunct/>
        <w:topLinePunct w:val="0"/>
        <w:bidi w:val="0"/>
        <w:spacing w:line="360" w:lineRule="auto"/>
        <w:jc w:val="center"/>
        <w:outlineLvl w:val="9"/>
        <w:rPr>
          <w:rFonts w:ascii="宋体" w:hAnsi="宋体" w:cs="宋体"/>
          <w:color w:val="auto"/>
          <w:sz w:val="36"/>
          <w:szCs w:val="36"/>
          <w:highlight w:val="none"/>
        </w:rPr>
      </w:pPr>
    </w:p>
    <w:p w14:paraId="2EE3B0DC">
      <w:pPr>
        <w:kinsoku/>
        <w:wordWrap/>
        <w:overflowPunct/>
        <w:topLinePunct w:val="0"/>
        <w:bidi w:val="0"/>
        <w:spacing w:line="360" w:lineRule="auto"/>
        <w:jc w:val="center"/>
        <w:outlineLvl w:val="9"/>
        <w:rPr>
          <w:rFonts w:ascii="宋体" w:hAnsi="宋体" w:cs="宋体"/>
          <w:color w:val="auto"/>
          <w:sz w:val="36"/>
          <w:szCs w:val="36"/>
          <w:highlight w:val="none"/>
        </w:rPr>
      </w:pPr>
    </w:p>
    <w:p w14:paraId="07F8ACF5">
      <w:pPr>
        <w:kinsoku/>
        <w:wordWrap/>
        <w:overflowPunct/>
        <w:topLinePunct w:val="0"/>
        <w:bidi w:val="0"/>
        <w:spacing w:line="360" w:lineRule="auto"/>
        <w:jc w:val="center"/>
        <w:outlineLvl w:val="9"/>
        <w:rPr>
          <w:rFonts w:hint="eastAsia" w:ascii="宋体" w:hAnsi="宋体" w:cs="宋体"/>
          <w:bCs/>
          <w:color w:val="auto"/>
          <w:sz w:val="36"/>
          <w:szCs w:val="36"/>
          <w:highlight w:val="none"/>
        </w:rPr>
      </w:pPr>
      <w:r>
        <w:rPr>
          <w:rFonts w:hint="eastAsia" w:ascii="宋体" w:hAnsi="宋体" w:cs="宋体"/>
          <w:bCs/>
          <w:color w:val="auto"/>
          <w:sz w:val="36"/>
          <w:szCs w:val="36"/>
          <w:highlight w:val="none"/>
        </w:rPr>
        <w:t>采购人：</w:t>
      </w:r>
      <w:r>
        <w:rPr>
          <w:rFonts w:hint="eastAsia" w:ascii="宋体" w:hAnsi="宋体" w:cs="宋体"/>
          <w:bCs/>
          <w:color w:val="auto"/>
          <w:sz w:val="36"/>
          <w:szCs w:val="36"/>
          <w:highlight w:val="none"/>
          <w:lang w:eastAsia="zh-CN"/>
        </w:rPr>
        <w:t>宁海县黄坛镇中心小学</w:t>
      </w:r>
    </w:p>
    <w:p w14:paraId="1833C646">
      <w:pPr>
        <w:kinsoku/>
        <w:wordWrap/>
        <w:overflowPunct/>
        <w:topLinePunct w:val="0"/>
        <w:bidi w:val="0"/>
        <w:spacing w:line="360" w:lineRule="auto"/>
        <w:jc w:val="center"/>
        <w:outlineLvl w:val="9"/>
        <w:rPr>
          <w:rFonts w:ascii="宋体" w:hAnsi="宋体" w:cs="宋体"/>
          <w:bCs/>
          <w:color w:val="auto"/>
          <w:sz w:val="36"/>
          <w:szCs w:val="36"/>
          <w:highlight w:val="none"/>
        </w:rPr>
      </w:pPr>
      <w:r>
        <w:rPr>
          <w:rFonts w:hint="eastAsia" w:ascii="宋体" w:hAnsi="宋体" w:cs="宋体"/>
          <w:bCs/>
          <w:color w:val="auto"/>
          <w:sz w:val="36"/>
          <w:szCs w:val="36"/>
          <w:highlight w:val="none"/>
        </w:rPr>
        <w:t>采购代理机构：</w:t>
      </w:r>
      <w:r>
        <w:rPr>
          <w:rFonts w:hint="eastAsia" w:ascii="宋体" w:hAnsi="宋体" w:cs="宋体"/>
          <w:bCs/>
          <w:color w:val="auto"/>
          <w:sz w:val="36"/>
          <w:szCs w:val="36"/>
          <w:highlight w:val="none"/>
          <w:lang w:eastAsia="zh-CN"/>
        </w:rPr>
        <w:t>宁海童氏工程管理咨询有限公司</w:t>
      </w:r>
    </w:p>
    <w:p w14:paraId="3D582F1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79B78F74">
      <w:pPr>
        <w:kinsoku/>
        <w:wordWrap/>
        <w:overflowPunct/>
        <w:topLinePunct w:val="0"/>
        <w:bidi w:val="0"/>
        <w:spacing w:line="360" w:lineRule="auto"/>
        <w:jc w:val="center"/>
        <w:outlineLvl w:val="9"/>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lang w:eastAsia="zh-CN"/>
        </w:rPr>
        <w:t>年</w:t>
      </w:r>
      <w:r>
        <w:rPr>
          <w:rFonts w:hint="eastAsia" w:ascii="宋体" w:hAnsi="宋体" w:cs="宋体"/>
          <w:bCs/>
          <w:color w:val="auto"/>
          <w:sz w:val="36"/>
          <w:szCs w:val="36"/>
          <w:highlight w:val="none"/>
          <w:lang w:eastAsia="zh-CN"/>
        </w:rPr>
        <w:t>六</w:t>
      </w:r>
      <w:r>
        <w:rPr>
          <w:rFonts w:hint="eastAsia" w:ascii="宋体" w:hAnsi="宋体" w:eastAsia="宋体" w:cs="宋体"/>
          <w:bCs/>
          <w:color w:val="auto"/>
          <w:sz w:val="36"/>
          <w:szCs w:val="36"/>
          <w:highlight w:val="none"/>
          <w:lang w:eastAsia="zh-CN"/>
        </w:rPr>
        <w:t>月</w:t>
      </w:r>
    </w:p>
    <w:p w14:paraId="3F887B00">
      <w:pPr>
        <w:rPr>
          <w:rFonts w:hint="eastAsia" w:ascii="宋体" w:hAnsi="宋体" w:cs="宋体"/>
          <w:color w:val="auto"/>
          <w:sz w:val="24"/>
          <w:highlight w:val="none"/>
        </w:rPr>
      </w:pPr>
      <w:r>
        <w:rPr>
          <w:rFonts w:hint="eastAsia" w:ascii="宋体" w:hAnsi="宋体" w:cs="宋体"/>
          <w:color w:val="auto"/>
          <w:sz w:val="24"/>
          <w:highlight w:val="none"/>
        </w:rPr>
        <w:br w:type="page"/>
      </w:r>
    </w:p>
    <w:p w14:paraId="3D7105A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6202E24">
      <w:pPr>
        <w:kinsoku/>
        <w:wordWrap/>
        <w:overflowPunct/>
        <w:topLinePunct w:val="0"/>
        <w:bidi w:val="0"/>
        <w:spacing w:line="360" w:lineRule="auto"/>
        <w:jc w:val="center"/>
        <w:outlineLvl w:val="9"/>
        <w:rPr>
          <w:rFonts w:ascii="宋体" w:hAnsi="宋体" w:cs="宋体"/>
          <w:color w:val="auto"/>
          <w:sz w:val="24"/>
          <w:highlight w:val="none"/>
        </w:rPr>
      </w:pPr>
    </w:p>
    <w:p w14:paraId="545448D5">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BD527BD">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6D6AEF79">
          <w:pPr>
            <w:spacing w:before="0" w:beforeLines="0" w:after="0" w:afterLines="0" w:line="240" w:lineRule="auto"/>
            <w:ind w:left="0" w:leftChars="0" w:right="0" w:rightChars="0" w:firstLine="0" w:firstLineChars="0"/>
            <w:jc w:val="center"/>
            <w:rPr>
              <w:color w:val="auto"/>
              <w:highlight w:val="none"/>
            </w:rPr>
          </w:pPr>
        </w:p>
        <w:p w14:paraId="114CAC7A">
          <w:pPr>
            <w:pStyle w:val="45"/>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7152539">
          <w:pPr>
            <w:pStyle w:val="45"/>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FDC3631">
          <w:pPr>
            <w:pStyle w:val="45"/>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7C5743">
          <w:pPr>
            <w:pStyle w:val="45"/>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B44CB4">
          <w:pPr>
            <w:pStyle w:val="45"/>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FF35E31">
          <w:pPr>
            <w:pStyle w:val="45"/>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E86832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CBD3094">
      <w:pPr>
        <w:kinsoku/>
        <w:wordWrap/>
        <w:overflowPunct/>
        <w:topLinePunct w:val="0"/>
        <w:bidi w:val="0"/>
        <w:spacing w:line="360" w:lineRule="auto"/>
        <w:outlineLvl w:val="9"/>
        <w:rPr>
          <w:rFonts w:ascii="宋体" w:hAnsi="宋体" w:cs="宋体"/>
          <w:color w:val="auto"/>
          <w:sz w:val="32"/>
          <w:szCs w:val="32"/>
          <w:highlight w:val="none"/>
        </w:rPr>
      </w:pPr>
    </w:p>
    <w:p w14:paraId="4CCEAD00">
      <w:pPr>
        <w:kinsoku/>
        <w:wordWrap/>
        <w:overflowPunct/>
        <w:topLinePunct w:val="0"/>
        <w:bidi w:val="0"/>
        <w:spacing w:line="360" w:lineRule="auto"/>
        <w:outlineLvl w:val="9"/>
        <w:rPr>
          <w:rFonts w:ascii="宋体" w:hAnsi="宋体" w:cs="宋体"/>
          <w:color w:val="auto"/>
          <w:sz w:val="32"/>
          <w:szCs w:val="32"/>
          <w:highlight w:val="none"/>
        </w:rPr>
      </w:pPr>
    </w:p>
    <w:p w14:paraId="7F93C2EC">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71D5C4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FEA2E2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55522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A3546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CCC9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2F3CC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CE3BBA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C5500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5EA0D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8D3486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A02A25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AF9A0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4479AB4">
      <w:pPr>
        <w:kinsoku/>
        <w:wordWrap/>
        <w:overflowPunct/>
        <w:topLinePunct w:val="0"/>
        <w:bidi w:val="0"/>
        <w:spacing w:line="360" w:lineRule="auto"/>
        <w:outlineLvl w:val="9"/>
        <w:rPr>
          <w:rFonts w:ascii="宋体" w:hAnsi="宋体" w:cs="宋体"/>
          <w:color w:val="auto"/>
          <w:sz w:val="24"/>
          <w:highlight w:val="none"/>
        </w:rPr>
      </w:pPr>
    </w:p>
    <w:bookmarkEnd w:id="2"/>
    <w:p w14:paraId="44AF27AB">
      <w:pPr>
        <w:rPr>
          <w:rFonts w:hint="eastAsia" w:ascii="宋体" w:hAnsi="宋体" w:cs="宋体"/>
          <w:b/>
          <w:color w:val="auto"/>
          <w:sz w:val="36"/>
          <w:szCs w:val="20"/>
          <w:highlight w:val="none"/>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527B7327">
      <w:pPr>
        <w:rPr>
          <w:rFonts w:hint="eastAsia"/>
          <w:color w:val="auto"/>
          <w:highlight w:val="none"/>
        </w:rPr>
      </w:pPr>
      <w:r>
        <w:rPr>
          <w:rFonts w:hint="eastAsia"/>
          <w:color w:val="auto"/>
          <w:highlight w:val="none"/>
        </w:rPr>
        <w:br w:type="page"/>
      </w:r>
    </w:p>
    <w:p w14:paraId="1E294C8B">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C8A6C1C">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053322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16E40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20" w:firstLineChars="200"/>
        <w:outlineLvl w:val="9"/>
        <w:rPr>
          <w:rFonts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single"/>
          <w:lang w:eastAsia="zh-CN"/>
        </w:rPr>
        <w:t>宁海县黄坛镇中心小学厨房设备采购项目</w:t>
      </w:r>
      <w:r>
        <w:rPr>
          <w:rFonts w:hint="eastAsia" w:cs="仿宋_GB2312"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招标项目的潜在</w:t>
      </w:r>
      <w:r>
        <w:rPr>
          <w:rFonts w:hint="eastAsia" w:asciiTheme="minorEastAsia" w:hAnsiTheme="minorEastAsia" w:eastAsiaTheme="minorEastAsia"/>
          <w:color w:val="auto"/>
          <w:sz w:val="21"/>
          <w:szCs w:val="21"/>
          <w:highlight w:val="none"/>
          <w:lang w:eastAsia="zh-CN"/>
        </w:rPr>
        <w:t>供应商</w:t>
      </w:r>
      <w:r>
        <w:rPr>
          <w:rFonts w:hint="eastAsia" w:asciiTheme="minorEastAsia" w:hAnsiTheme="minorEastAsia" w:eastAsiaTheme="minorEastAsia"/>
          <w:color w:val="auto"/>
          <w:sz w:val="21"/>
          <w:szCs w:val="21"/>
          <w:highlight w:val="none"/>
        </w:rPr>
        <w:t>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9"/>
          <w:rFonts w:cs="Times New Roman" w:asciiTheme="minorEastAsia" w:hAnsiTheme="minorEastAsia" w:eastAsiaTheme="minorEastAsia"/>
          <w:snapToGrid/>
          <w:color w:val="auto"/>
          <w:kern w:val="2"/>
          <w:sz w:val="21"/>
          <w:szCs w:val="21"/>
          <w:highlight w:val="none"/>
        </w:rPr>
        <w:t>https://www.zcygov.cn/）获取（下载）招标文件，并于</w:t>
      </w:r>
      <w:r>
        <w:rPr>
          <w:rStyle w:val="79"/>
          <w:rFonts w:hint="eastAsia" w:cs="Times New Roman" w:asciiTheme="minorEastAsia" w:hAnsiTheme="minorEastAsia" w:eastAsiaTheme="minorEastAsia"/>
          <w:snapToGrid/>
          <w:color w:val="auto"/>
          <w:kern w:val="2"/>
          <w:sz w:val="21"/>
          <w:szCs w:val="21"/>
          <w:highlight w:val="none"/>
        </w:rPr>
        <w:t>202</w:t>
      </w:r>
      <w:r>
        <w:rPr>
          <w:rStyle w:val="79"/>
          <w:rFonts w:hint="eastAsia" w:cs="Times New Roman" w:asciiTheme="minorEastAsia" w:hAnsiTheme="minorEastAsia" w:eastAsiaTheme="minorEastAsia"/>
          <w:snapToGrid/>
          <w:color w:val="auto"/>
          <w:kern w:val="2"/>
          <w:sz w:val="21"/>
          <w:szCs w:val="21"/>
          <w:highlight w:val="none"/>
          <w:lang w:val="en-US" w:eastAsia="zh-CN"/>
        </w:rPr>
        <w:t>5</w:t>
      </w:r>
      <w:r>
        <w:rPr>
          <w:rStyle w:val="79"/>
          <w:rFonts w:cs="Times New Roman" w:asciiTheme="minorEastAsia" w:hAnsiTheme="minorEastAsia" w:eastAsiaTheme="minorEastAsia"/>
          <w:snapToGrid/>
          <w:color w:val="auto"/>
          <w:kern w:val="2"/>
          <w:sz w:val="21"/>
          <w:szCs w:val="21"/>
          <w:highlight w:val="none"/>
        </w:rPr>
        <w:t>年</w:t>
      </w:r>
      <w:r>
        <w:rPr>
          <w:rStyle w:val="79"/>
          <w:rFonts w:hint="eastAsia" w:cs="Times New Roman" w:asciiTheme="minorEastAsia" w:hAnsiTheme="minorEastAsia" w:eastAsiaTheme="minorEastAsia"/>
          <w:snapToGrid/>
          <w:color w:val="auto"/>
          <w:kern w:val="2"/>
          <w:sz w:val="21"/>
          <w:szCs w:val="21"/>
          <w:highlight w:val="none"/>
          <w:lang w:val="en-US" w:eastAsia="zh-CN"/>
        </w:rPr>
        <w:t>07</w:t>
      </w:r>
      <w:r>
        <w:rPr>
          <w:rStyle w:val="79"/>
          <w:rFonts w:hint="eastAsia" w:cs="Times New Roman" w:asciiTheme="minorEastAsia" w:hAnsiTheme="minorEastAsia" w:eastAsiaTheme="minorEastAsia"/>
          <w:snapToGrid/>
          <w:color w:val="auto"/>
          <w:kern w:val="2"/>
          <w:sz w:val="21"/>
          <w:szCs w:val="21"/>
          <w:highlight w:val="none"/>
        </w:rPr>
        <w:t>月</w:t>
      </w:r>
      <w:r>
        <w:rPr>
          <w:rStyle w:val="79"/>
          <w:rFonts w:hint="eastAsia" w:cs="Times New Roman" w:asciiTheme="minorEastAsia" w:hAnsiTheme="minorEastAsia" w:eastAsiaTheme="minorEastAsia"/>
          <w:snapToGrid/>
          <w:color w:val="auto"/>
          <w:kern w:val="2"/>
          <w:sz w:val="21"/>
          <w:szCs w:val="21"/>
          <w:highlight w:val="none"/>
          <w:lang w:val="en-US" w:eastAsia="zh-CN"/>
        </w:rPr>
        <w:t>16</w:t>
      </w:r>
      <w:r>
        <w:rPr>
          <w:rStyle w:val="79"/>
          <w:rFonts w:hint="eastAsia" w:cs="Times New Roman" w:asciiTheme="minorEastAsia" w:hAnsiTheme="minorEastAsia" w:eastAsiaTheme="minorEastAsia"/>
          <w:snapToGrid/>
          <w:color w:val="auto"/>
          <w:kern w:val="2"/>
          <w:sz w:val="21"/>
          <w:szCs w:val="21"/>
          <w:highlight w:val="none"/>
        </w:rPr>
        <w:t>日</w:t>
      </w:r>
      <w:r>
        <w:rPr>
          <w:rStyle w:val="79"/>
          <w:rFonts w:hint="eastAsia" w:cs="Times New Roman" w:asciiTheme="minorEastAsia" w:hAnsiTheme="minorEastAsia" w:eastAsiaTheme="minorEastAsia"/>
          <w:snapToGrid/>
          <w:color w:val="auto"/>
          <w:kern w:val="2"/>
          <w:sz w:val="21"/>
          <w:szCs w:val="21"/>
          <w:highlight w:val="none"/>
          <w:lang w:val="en-US" w:eastAsia="zh-CN"/>
        </w:rPr>
        <w:t>13</w:t>
      </w:r>
      <w:r>
        <w:rPr>
          <w:rStyle w:val="79"/>
          <w:rFonts w:hint="eastAsia" w:cs="Times New Roman" w:asciiTheme="minorEastAsia" w:hAnsiTheme="minorEastAsia" w:eastAsiaTheme="minorEastAsia"/>
          <w:snapToGrid/>
          <w:color w:val="auto"/>
          <w:kern w:val="2"/>
          <w:sz w:val="21"/>
          <w:szCs w:val="21"/>
          <w:highlight w:val="none"/>
        </w:rPr>
        <w:t>点</w:t>
      </w:r>
      <w:r>
        <w:rPr>
          <w:rStyle w:val="79"/>
          <w:rFonts w:hint="eastAsia" w:cs="Times New Roman" w:asciiTheme="minorEastAsia" w:hAnsiTheme="minorEastAsia" w:eastAsiaTheme="minorEastAsia"/>
          <w:snapToGrid/>
          <w:color w:val="auto"/>
          <w:kern w:val="2"/>
          <w:sz w:val="21"/>
          <w:szCs w:val="21"/>
          <w:highlight w:val="none"/>
          <w:lang w:val="en-US" w:eastAsia="zh-CN"/>
        </w:rPr>
        <w:t>30</w:t>
      </w:r>
      <w:r>
        <w:rPr>
          <w:rStyle w:val="79"/>
          <w:rFonts w:hint="eastAsia" w:cs="Times New Roman" w:asciiTheme="minorEastAsia" w:hAnsiTheme="minorEastAsia" w:eastAsiaTheme="minorEastAsia"/>
          <w:snapToGrid/>
          <w:color w:val="auto"/>
          <w:kern w:val="2"/>
          <w:sz w:val="21"/>
          <w:szCs w:val="21"/>
          <w:highlight w:val="none"/>
        </w:rPr>
        <w:t>分</w:t>
      </w:r>
      <w:r>
        <w:rPr>
          <w:rStyle w:val="79"/>
          <w:rFonts w:hint="eastAsia" w:cs="Times New Roman" w:asciiTheme="minorEastAsia" w:hAnsiTheme="minorEastAsia" w:eastAsiaTheme="minorEastAsia"/>
          <w:bCs/>
          <w:snapToGrid/>
          <w:color w:val="auto"/>
          <w:kern w:val="2"/>
          <w:sz w:val="21"/>
          <w:szCs w:val="21"/>
          <w:highlight w:val="none"/>
        </w:rPr>
        <w:t>00秒</w:t>
      </w:r>
      <w:r>
        <w:rPr>
          <w:rStyle w:val="79"/>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 w:val="21"/>
          <w:szCs w:val="21"/>
          <w:highlight w:val="none"/>
        </w:rPr>
        <w:t>（北京时间）前</w:t>
      </w:r>
      <w:r>
        <w:rPr>
          <w:rFonts w:hint="eastAsia" w:asciiTheme="minorEastAsia" w:hAnsiTheme="minorEastAsia" w:eastAsiaTheme="minorEastAsia"/>
          <w:color w:val="auto"/>
          <w:sz w:val="21"/>
          <w:szCs w:val="21"/>
          <w:highlight w:val="none"/>
        </w:rPr>
        <w:t>递交（上传）投标文件。</w:t>
      </w:r>
    </w:p>
    <w:p w14:paraId="5825EC0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一、项目基本情况</w:t>
      </w:r>
    </w:p>
    <w:p w14:paraId="1854B88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b w:val="0"/>
          <w:bCs/>
          <w:color w:val="auto"/>
          <w:sz w:val="21"/>
          <w:szCs w:val="21"/>
          <w:highlight w:val="none"/>
          <w:lang w:eastAsia="zh-CN"/>
        </w:rPr>
        <w:t>NH-TS2025-061</w:t>
      </w:r>
      <w:bookmarkStart w:id="563" w:name="_GoBack"/>
      <w:bookmarkEnd w:id="563"/>
    </w:p>
    <w:p w14:paraId="1456C29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b w:val="0"/>
          <w:bCs/>
          <w:color w:val="auto"/>
          <w:sz w:val="21"/>
          <w:szCs w:val="21"/>
          <w:highlight w:val="none"/>
          <w:lang w:eastAsia="zh-CN"/>
        </w:rPr>
        <w:t>宁海县黄坛镇中心小学厨房设备采购项目</w:t>
      </w:r>
    </w:p>
    <w:p w14:paraId="30A9B988">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538901.00</w:t>
      </w:r>
    </w:p>
    <w:p w14:paraId="53FF29D9">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hint="default" w:ascii="宋体" w:hAnsi="宋体" w:cs="宋体"/>
          <w:color w:val="auto"/>
          <w:sz w:val="21"/>
          <w:szCs w:val="21"/>
          <w:highlight w:val="none"/>
          <w:lang w:val="en-US"/>
        </w:rPr>
      </w:pPr>
      <w:r>
        <w:rPr>
          <w:rFonts w:hint="eastAsia" w:ascii="宋体" w:hAnsi="宋体" w:cs="宋体"/>
          <w:b/>
          <w:color w:val="auto"/>
          <w:sz w:val="21"/>
          <w:szCs w:val="21"/>
          <w:highlight w:val="none"/>
        </w:rPr>
        <w:t>最高限价（元）：</w:t>
      </w:r>
      <w:r>
        <w:rPr>
          <w:rFonts w:hint="eastAsia" w:ascii="宋体" w:hAnsi="宋体" w:cs="宋体"/>
          <w:color w:val="auto"/>
          <w:sz w:val="21"/>
          <w:szCs w:val="21"/>
          <w:highlight w:val="none"/>
          <w:lang w:val="en-US" w:eastAsia="zh-CN"/>
        </w:rPr>
        <w:t>538901.00</w:t>
      </w:r>
    </w:p>
    <w:p w14:paraId="7CDEBBCD">
      <w:pPr>
        <w:pStyle w:val="7"/>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1"/>
          <w:szCs w:val="21"/>
          <w:highlight w:val="none"/>
        </w:rPr>
      </w:pPr>
      <w:r>
        <w:rPr>
          <w:rFonts w:hint="eastAsia" w:hAnsi="宋体" w:cs="宋体"/>
          <w:b/>
          <w:color w:val="auto"/>
          <w:sz w:val="21"/>
          <w:szCs w:val="21"/>
          <w:highlight w:val="none"/>
        </w:rPr>
        <w:t>采购需求：</w:t>
      </w:r>
    </w:p>
    <w:p w14:paraId="2ABC5EB3">
      <w:pPr>
        <w:keepNext w:val="0"/>
        <w:keepLines w:val="0"/>
        <w:pageBreakBefore w:val="0"/>
        <w:widowControl/>
        <w:kinsoku/>
        <w:wordWrap/>
        <w:overflowPunct/>
        <w:topLinePunct w:val="0"/>
        <w:autoSpaceDE/>
        <w:autoSpaceDN/>
        <w:bidi w:val="0"/>
        <w:adjustRightInd/>
        <w:snapToGrid/>
        <w:spacing w:line="336" w:lineRule="auto"/>
        <w:ind w:firstLine="843" w:firstLineChars="400"/>
        <w:jc w:val="lef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标项一：</w:t>
      </w:r>
    </w:p>
    <w:p w14:paraId="725075A5">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cs="宋体"/>
          <w:b w:val="0"/>
          <w:bCs/>
          <w:color w:val="auto"/>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eastAsia="zh-CN"/>
        </w:rPr>
        <w:t>：</w:t>
      </w:r>
      <w:r>
        <w:rPr>
          <w:rFonts w:hint="eastAsia" w:ascii="宋体" w:hAnsi="宋体" w:cs="宋体"/>
          <w:b w:val="0"/>
          <w:bCs/>
          <w:color w:val="auto"/>
          <w:sz w:val="21"/>
          <w:szCs w:val="21"/>
          <w:highlight w:val="none"/>
          <w:lang w:eastAsia="zh-CN"/>
        </w:rPr>
        <w:t>宁海县黄坛镇中心小学厨房设备采购项目</w:t>
      </w:r>
    </w:p>
    <w:p w14:paraId="1F571333">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数量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批</w:t>
      </w:r>
    </w:p>
    <w:p w14:paraId="2787763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538901</w:t>
      </w:r>
      <w:r>
        <w:rPr>
          <w:rFonts w:hint="eastAsia" w:ascii="宋体" w:hAnsi="宋体" w:cs="宋体"/>
          <w:color w:val="auto"/>
          <w:sz w:val="21"/>
          <w:szCs w:val="21"/>
          <w:highlight w:val="none"/>
          <w:lang w:val="en-US" w:eastAsia="zh-CN"/>
        </w:rPr>
        <w:t>.00</w:t>
      </w:r>
    </w:p>
    <w:p w14:paraId="46FE69C8">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简要规格描述或项目基本概况介绍、用途：</w:t>
      </w:r>
      <w:r>
        <w:rPr>
          <w:rFonts w:hint="eastAsia" w:ascii="宋体" w:hAnsi="宋体" w:eastAsia="宋体" w:cs="宋体"/>
          <w:color w:val="auto"/>
          <w:kern w:val="0"/>
          <w:sz w:val="21"/>
          <w:szCs w:val="21"/>
          <w:highlight w:val="none"/>
          <w:lang w:val="en-US" w:eastAsia="zh-CN"/>
        </w:rPr>
        <w:t>具体以招标文件第三部分采购需求为准，供应商可点击本公告下方“浏览采购文件”查看采购需求。</w:t>
      </w:r>
    </w:p>
    <w:p w14:paraId="7A640C82">
      <w:pPr>
        <w:keepNext w:val="0"/>
        <w:keepLines w:val="0"/>
        <w:pageBreakBefore w:val="0"/>
        <w:widowControl/>
        <w:kinsoku/>
        <w:wordWrap/>
        <w:overflowPunct/>
        <w:topLinePunct w:val="0"/>
        <w:autoSpaceDE/>
        <w:autoSpaceDN/>
        <w:bidi w:val="0"/>
        <w:adjustRightInd/>
        <w:snapToGrid/>
        <w:spacing w:line="336" w:lineRule="auto"/>
        <w:ind w:firstLine="840" w:firstLineChars="400"/>
        <w:jc w:val="left"/>
        <w:textAlignment w:val="auto"/>
        <w:outlineLvl w:val="9"/>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合同履约期限：合同签订后</w:t>
      </w:r>
      <w:r>
        <w:rPr>
          <w:rFonts w:hint="eastAsia" w:ascii="宋体" w:hAnsi="宋体" w:cs="宋体"/>
          <w:b w:val="0"/>
          <w:bCs w:val="0"/>
          <w:snapToGrid w:val="0"/>
          <w:color w:val="auto"/>
          <w:kern w:val="0"/>
          <w:sz w:val="21"/>
          <w:szCs w:val="21"/>
          <w:highlight w:val="none"/>
          <w:lang w:val="en-US" w:eastAsia="zh-CN" w:bidi="ar-SA"/>
        </w:rPr>
        <w:t>30个工作日</w:t>
      </w:r>
      <w:r>
        <w:rPr>
          <w:rFonts w:hint="eastAsia" w:ascii="宋体" w:hAnsi="宋体" w:eastAsia="宋体" w:cs="宋体"/>
          <w:b w:val="0"/>
          <w:bCs w:val="0"/>
          <w:snapToGrid w:val="0"/>
          <w:color w:val="auto"/>
          <w:kern w:val="0"/>
          <w:sz w:val="21"/>
          <w:szCs w:val="21"/>
          <w:highlight w:val="none"/>
          <w:lang w:val="en-US" w:eastAsia="zh-CN" w:bidi="ar-SA"/>
        </w:rPr>
        <w:t>内完成</w:t>
      </w:r>
      <w:r>
        <w:rPr>
          <w:rFonts w:hint="eastAsia" w:ascii="宋体" w:hAnsi="宋体" w:cs="宋体"/>
          <w:b w:val="0"/>
          <w:bCs/>
          <w:color w:val="auto"/>
          <w:sz w:val="21"/>
          <w:szCs w:val="21"/>
          <w:highlight w:val="none"/>
          <w:lang w:eastAsia="zh-CN"/>
        </w:rPr>
        <w:t>厨房设备</w:t>
      </w:r>
      <w:r>
        <w:t>的安装调试及现场培训</w:t>
      </w:r>
      <w:r>
        <w:rPr>
          <w:rFonts w:hint="eastAsia" w:ascii="宋体" w:hAnsi="宋体" w:eastAsia="宋体" w:cs="宋体"/>
          <w:b w:val="0"/>
          <w:bCs w:val="0"/>
          <w:snapToGrid w:val="0"/>
          <w:color w:val="auto"/>
          <w:kern w:val="0"/>
          <w:sz w:val="21"/>
          <w:szCs w:val="21"/>
          <w:highlight w:val="none"/>
          <w:lang w:val="en-US" w:eastAsia="zh-CN" w:bidi="ar-SA"/>
        </w:rPr>
        <w:t>。</w:t>
      </w:r>
    </w:p>
    <w:p w14:paraId="79A44B62">
      <w:pPr>
        <w:pStyle w:val="7"/>
        <w:keepNext w:val="0"/>
        <w:keepLines w:val="0"/>
        <w:pageBreakBefore w:val="0"/>
        <w:kinsoku/>
        <w:wordWrap/>
        <w:overflowPunct/>
        <w:topLinePunct w:val="0"/>
        <w:autoSpaceDE/>
        <w:autoSpaceDN/>
        <w:bidi w:val="0"/>
        <w:spacing w:line="336" w:lineRule="auto"/>
        <w:ind w:firstLine="900" w:firstLineChars="427"/>
        <w:textAlignment w:val="auto"/>
        <w:outlineLvl w:val="9"/>
        <w:rPr>
          <w:rFonts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lang w:eastAsia="zh-CN"/>
        </w:rPr>
        <w:t>；</w:t>
      </w:r>
      <w:sdt>
        <w:sdtPr>
          <w:rPr>
            <w:rFonts w:hint="eastAsia" w:hAnsi="宋体" w:cs="宋体"/>
            <w:color w:val="auto"/>
            <w:kern w:val="0"/>
            <w:sz w:val="21"/>
            <w:szCs w:val="21"/>
            <w:highlight w:val="none"/>
          </w:rPr>
          <w:id w:val="3"/>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3D82D835">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w:t>
      </w:r>
      <w:bookmarkStart w:id="11" w:name="_Hlk101132948"/>
      <w:r>
        <w:rPr>
          <w:rFonts w:hint="eastAsia" w:ascii="宋体" w:hAnsi="宋体" w:cs="宋体"/>
          <w:b/>
          <w:color w:val="auto"/>
          <w:sz w:val="21"/>
          <w:szCs w:val="21"/>
          <w:highlight w:val="none"/>
        </w:rPr>
        <w:t>申请人的资格要求</w:t>
      </w:r>
      <w:bookmarkEnd w:id="11"/>
      <w:r>
        <w:rPr>
          <w:rFonts w:hint="eastAsia" w:ascii="宋体" w:hAnsi="宋体" w:cs="宋体"/>
          <w:b/>
          <w:color w:val="auto"/>
          <w:sz w:val="21"/>
          <w:szCs w:val="21"/>
          <w:highlight w:val="none"/>
        </w:rPr>
        <w:t>：</w:t>
      </w:r>
    </w:p>
    <w:p w14:paraId="498F3AB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rPr>
        <w:t>1. 满足《中华人民共和国政府采购法》第二十二条规定</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1"/>
          <w:szCs w:val="21"/>
          <w:highlight w:val="none"/>
          <w:lang w:eastAsia="zh-CN"/>
        </w:rPr>
        <w:t>；</w:t>
      </w:r>
    </w:p>
    <w:p w14:paraId="640F333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1"/>
          <w:szCs w:val="21"/>
          <w:highlight w:val="none"/>
          <w:lang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 w:val="21"/>
          <w:szCs w:val="21"/>
          <w:highlight w:val="none"/>
        </w:rPr>
        <w:t xml:space="preserve"> </w:t>
      </w:r>
      <w:r>
        <w:rPr>
          <w:rFonts w:hint="eastAsia" w:ascii="宋体" w:hAnsi="宋体" w:cs="宋体"/>
          <w:snapToGrid w:val="0"/>
          <w:color w:val="auto"/>
          <w:kern w:val="28"/>
          <w:sz w:val="21"/>
          <w:szCs w:val="21"/>
          <w:highlight w:val="none"/>
        </w:rPr>
        <w:t>以联合体</w:t>
      </w:r>
      <w:r>
        <w:rPr>
          <w:rFonts w:hint="eastAsia" w:ascii="宋体" w:hAnsi="宋体" w:eastAsia="宋体" w:cs="宋体"/>
          <w:snapToGrid w:val="0"/>
          <w:color w:val="auto"/>
          <w:kern w:val="28"/>
          <w:sz w:val="21"/>
          <w:szCs w:val="21"/>
          <w:highlight w:val="none"/>
        </w:rPr>
        <w:t>形式</w:t>
      </w:r>
      <w:r>
        <w:rPr>
          <w:rFonts w:hint="eastAsia" w:ascii="宋体" w:hAnsi="宋体" w:cs="宋体"/>
          <w:snapToGrid w:val="0"/>
          <w:color w:val="auto"/>
          <w:kern w:val="28"/>
          <w:sz w:val="21"/>
          <w:szCs w:val="21"/>
          <w:highlight w:val="none"/>
        </w:rPr>
        <w:t>投标的，提供联合协议</w:t>
      </w:r>
      <w:r>
        <w:rPr>
          <w:rFonts w:hint="eastAsia" w:ascii="宋体" w:hAnsi="宋体" w:cs="宋体"/>
          <w:snapToGrid w:val="0"/>
          <w:color w:val="auto"/>
          <w:kern w:val="28"/>
          <w:sz w:val="21"/>
          <w:szCs w:val="21"/>
          <w:highlight w:val="none"/>
          <w:lang w:eastAsia="zh-CN"/>
        </w:rPr>
        <w:t>；</w:t>
      </w:r>
    </w:p>
    <w:p w14:paraId="4E74DC6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lang w:val="en-US" w:eastAsia="zh-CN"/>
        </w:rPr>
        <w:t xml:space="preserve"> </w:t>
      </w:r>
      <w:r>
        <w:rPr>
          <w:rFonts w:hint="eastAsia" w:ascii="宋体" w:hAnsi="宋体" w:cs="宋体"/>
          <w:snapToGrid w:val="0"/>
          <w:color w:val="auto"/>
          <w:kern w:val="28"/>
          <w:sz w:val="21"/>
          <w:szCs w:val="21"/>
          <w:highlight w:val="none"/>
        </w:rPr>
        <w:t>落实政府采购政策需满足的资格要求：</w:t>
      </w:r>
    </w:p>
    <w:p w14:paraId="7180D19A">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r>
        <w:rPr>
          <w:rFonts w:hint="eastAsia" w:ascii="宋体" w:hAnsi="宋体" w:cs="宋体"/>
          <w:color w:val="auto"/>
          <w:sz w:val="21"/>
          <w:szCs w:val="21"/>
          <w:highlight w:val="none"/>
          <w:lang w:eastAsia="zh-CN"/>
        </w:rPr>
        <w:t>；</w:t>
      </w:r>
    </w:p>
    <w:p w14:paraId="59FC60DD">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125F1EBA">
      <w:pPr>
        <w:keepNext w:val="0"/>
        <w:keepLines w:val="0"/>
        <w:pageBreakBefore w:val="0"/>
        <w:kinsoku/>
        <w:wordWrap/>
        <w:overflowPunct/>
        <w:topLinePunct w:val="0"/>
        <w:autoSpaceDE/>
        <w:autoSpaceDN/>
        <w:bidi w:val="0"/>
        <w:spacing w:line="336" w:lineRule="auto"/>
        <w:ind w:firstLine="785" w:firstLineChars="374"/>
        <w:textAlignment w:val="auto"/>
        <w:outlineLvl w:val="9"/>
        <w:rPr>
          <w:rFonts w:hint="eastAsia" w:ascii="宋体" w:hAnsi="宋体" w:eastAsia="宋体" w:cs="宋体"/>
          <w:color w:val="auto"/>
          <w:sz w:val="21"/>
          <w:szCs w:val="21"/>
          <w:highlight w:val="none"/>
          <w:u w:val="single"/>
          <w:lang w:eastAsia="zh-CN"/>
        </w:rPr>
      </w:pPr>
      <w:sdt>
        <w:sdtPr>
          <w:rPr>
            <w:rFonts w:hint="eastAsia" w:ascii="宋体" w:hAnsi="宋体" w:cs="宋体"/>
            <w:color w:val="auto"/>
            <w:kern w:val="0"/>
            <w:sz w:val="21"/>
            <w:szCs w:val="21"/>
            <w:highlight w:val="none"/>
          </w:rPr>
          <w:id w:val="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货物全部由符合政策要求的中小企业制造，提供中小企业声明函</w:t>
      </w:r>
      <w:r>
        <w:rPr>
          <w:rFonts w:hint="eastAsia" w:ascii="宋体" w:hAnsi="宋体" w:cs="宋体"/>
          <w:color w:val="auto"/>
          <w:sz w:val="21"/>
          <w:szCs w:val="21"/>
          <w:highlight w:val="none"/>
          <w:lang w:eastAsia="zh-CN"/>
        </w:rPr>
        <w:t>；</w:t>
      </w:r>
    </w:p>
    <w:p w14:paraId="2557FFE8">
      <w:pPr>
        <w:keepNext w:val="0"/>
        <w:keepLines w:val="0"/>
        <w:pageBreakBefore w:val="0"/>
        <w:kinsoku/>
        <w:wordWrap/>
        <w:overflowPunct/>
        <w:topLinePunct w:val="0"/>
        <w:autoSpaceDE/>
        <w:autoSpaceDN/>
        <w:bidi w:val="0"/>
        <w:spacing w:line="336" w:lineRule="auto"/>
        <w:ind w:firstLine="785" w:firstLineChars="374"/>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货物全部由符合政策要求的小微企业制造，提供中小企业声明函</w:t>
      </w:r>
      <w:r>
        <w:rPr>
          <w:rFonts w:hint="eastAsia" w:ascii="宋体" w:hAnsi="宋体" w:cs="宋体"/>
          <w:color w:val="auto"/>
          <w:sz w:val="21"/>
          <w:szCs w:val="21"/>
          <w:highlight w:val="none"/>
          <w:lang w:eastAsia="zh-CN"/>
        </w:rPr>
        <w:t>；</w:t>
      </w:r>
    </w:p>
    <w:p w14:paraId="6611B398">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bookmarkStart w:id="12" w:name="_Hlk101132524"/>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lang w:eastAsia="zh-CN"/>
        </w:rPr>
        <w:t>；</w:t>
      </w:r>
    </w:p>
    <w:bookmarkEnd w:id="12"/>
    <w:p w14:paraId="0AEA0D95">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s="宋体"/>
          <w:color w:val="auto"/>
          <w:sz w:val="21"/>
          <w:szCs w:val="21"/>
          <w:highlight w:val="none"/>
          <w:lang w:eastAsia="zh-CN"/>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lang w:eastAsia="zh-CN"/>
        </w:rPr>
        <w:t>；</w:t>
      </w:r>
    </w:p>
    <w:p w14:paraId="0FB56E35">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本项目的特定资格要求：</w:t>
      </w:r>
      <w:r>
        <w:rPr>
          <w:rFonts w:hint="eastAsia" w:ascii="宋体" w:hAnsi="宋体" w:cs="宋体"/>
          <w:color w:val="auto"/>
          <w:sz w:val="21"/>
          <w:szCs w:val="21"/>
          <w:highlight w:val="none"/>
          <w:lang w:val="en-US" w:eastAsia="zh-CN"/>
        </w:rPr>
        <w:t>无；</w:t>
      </w:r>
    </w:p>
    <w:p w14:paraId="682DA8F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rPr>
        <w:t>将依法取消其中标资格）。</w:t>
      </w:r>
    </w:p>
    <w:p w14:paraId="64389A1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294A308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cs="宋体" w:asciiTheme="minorEastAsia" w:hAnsiTheme="minorEastAsia" w:eastAsiaTheme="minorEastAsia"/>
          <w:b w:val="0"/>
          <w:bCs/>
          <w:color w:val="auto"/>
          <w:sz w:val="21"/>
          <w:szCs w:val="21"/>
          <w:highlight w:val="none"/>
        </w:rPr>
        <w:t>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06</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26</w:t>
      </w:r>
      <w:r>
        <w:rPr>
          <w:rFonts w:hint="eastAsia" w:cs="宋体" w:asciiTheme="minorEastAsia" w:hAnsiTheme="minorEastAsia" w:eastAsiaTheme="minorEastAsia"/>
          <w:b w:val="0"/>
          <w:bCs/>
          <w:color w:val="auto"/>
          <w:sz w:val="21"/>
          <w:szCs w:val="21"/>
          <w:highlight w:val="none"/>
        </w:rPr>
        <w:t>日至202</w:t>
      </w:r>
      <w:r>
        <w:rPr>
          <w:rFonts w:hint="eastAsia" w:cs="宋体" w:asciiTheme="minorEastAsia" w:hAnsiTheme="minorEastAsia" w:eastAsiaTheme="minorEastAsia"/>
          <w:b w:val="0"/>
          <w:bCs/>
          <w:color w:val="auto"/>
          <w:sz w:val="21"/>
          <w:szCs w:val="21"/>
          <w:highlight w:val="none"/>
          <w:lang w:val="en-US" w:eastAsia="zh-CN"/>
        </w:rPr>
        <w:t>5</w:t>
      </w:r>
      <w:r>
        <w:rPr>
          <w:rFonts w:hint="eastAsia" w:cs="宋体" w:asciiTheme="minorEastAsia" w:hAnsiTheme="minorEastAsia" w:eastAsiaTheme="minorEastAsia"/>
          <w:b w:val="0"/>
          <w:bCs/>
          <w:color w:val="auto"/>
          <w:sz w:val="21"/>
          <w:szCs w:val="21"/>
          <w:highlight w:val="none"/>
        </w:rPr>
        <w:t>年</w:t>
      </w:r>
      <w:r>
        <w:rPr>
          <w:rFonts w:hint="eastAsia" w:cs="宋体" w:asciiTheme="minorEastAsia" w:hAnsiTheme="minorEastAsia" w:eastAsiaTheme="minorEastAsia"/>
          <w:b w:val="0"/>
          <w:bCs/>
          <w:color w:val="auto"/>
          <w:sz w:val="21"/>
          <w:szCs w:val="21"/>
          <w:highlight w:val="none"/>
          <w:lang w:val="en-US" w:eastAsia="zh-CN"/>
        </w:rPr>
        <w:t>07</w:t>
      </w:r>
      <w:r>
        <w:rPr>
          <w:rFonts w:hint="eastAsia" w:cs="宋体" w:asciiTheme="minorEastAsia" w:hAnsiTheme="minorEastAsia" w:eastAsiaTheme="minorEastAsia"/>
          <w:b w:val="0"/>
          <w:bCs/>
          <w:color w:val="auto"/>
          <w:sz w:val="21"/>
          <w:szCs w:val="21"/>
          <w:highlight w:val="none"/>
        </w:rPr>
        <w:t>月</w:t>
      </w:r>
      <w:r>
        <w:rPr>
          <w:rFonts w:hint="eastAsia" w:cs="宋体" w:asciiTheme="minorEastAsia" w:hAnsiTheme="minorEastAsia" w:eastAsiaTheme="minorEastAsia"/>
          <w:b w:val="0"/>
          <w:bCs/>
          <w:color w:val="auto"/>
          <w:sz w:val="21"/>
          <w:szCs w:val="21"/>
          <w:highlight w:val="none"/>
          <w:lang w:val="en-US" w:eastAsia="zh-CN"/>
        </w:rPr>
        <w:t>04</w:t>
      </w:r>
      <w:r>
        <w:rPr>
          <w:rFonts w:hint="eastAsia" w:cs="宋体" w:asciiTheme="minorEastAsia" w:hAnsiTheme="minorEastAsia" w:eastAsiaTheme="minorEastAsia"/>
          <w:b w:val="0"/>
          <w:bCs/>
          <w:color w:val="auto"/>
          <w:sz w:val="21"/>
          <w:szCs w:val="21"/>
          <w:highlight w:val="none"/>
        </w:rPr>
        <w:t>日</w:t>
      </w:r>
      <w:r>
        <w:rPr>
          <w:rFonts w:hint="eastAsia" w:cs="宋体" w:asciiTheme="minorEastAsia" w:hAnsiTheme="minorEastAsia" w:eastAsiaTheme="minorEastAsia"/>
          <w:color w:val="auto"/>
          <w:sz w:val="21"/>
          <w:szCs w:val="21"/>
          <w:highlight w:val="none"/>
        </w:rPr>
        <w:t>，</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7A892F68">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0FBB59E6">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供应商登录政采云平台https://www.zcygov.cn/在线申请获取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菜单中选择项目，申请获取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 xml:space="preserve">）。 </w:t>
      </w:r>
    </w:p>
    <w:p w14:paraId="3032CC5E">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p>
    <w:p w14:paraId="41FC2E4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64AD495C">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color w:val="auto"/>
          <w:sz w:val="21"/>
          <w:szCs w:val="21"/>
          <w:highlight w:val="none"/>
        </w:rPr>
        <w:t>（北京时间）</w:t>
      </w:r>
    </w:p>
    <w:p w14:paraId="677870CB">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Theme="minorEastAsia" w:hAnsiTheme="minorEastAsia" w:eastAsiaTheme="minorEastAsia"/>
          <w:color w:val="auto"/>
          <w:sz w:val="21"/>
          <w:szCs w:val="21"/>
          <w:highlight w:val="none"/>
        </w:rPr>
        <w:t>政府采购云平台（http://www.zcygov.cn/）。</w:t>
      </w:r>
    </w:p>
    <w:p w14:paraId="476E2D85">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p>
    <w:p w14:paraId="0432A811">
      <w:pPr>
        <w:keepNext w:val="0"/>
        <w:keepLines w:val="0"/>
        <w:pageBreakBefore w:val="0"/>
        <w:kinsoku/>
        <w:wordWrap/>
        <w:overflowPunct/>
        <w:topLinePunct w:val="0"/>
        <w:autoSpaceDE/>
        <w:autoSpaceDN/>
        <w:bidi w:val="0"/>
        <w:spacing w:line="336" w:lineRule="auto"/>
        <w:ind w:firstLine="422" w:firstLineChars="200"/>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Theme="minorEastAsia" w:hAnsiTheme="minorEastAsia" w:eastAsiaTheme="minorEastAsia"/>
          <w:color w:val="auto"/>
          <w:sz w:val="21"/>
          <w:szCs w:val="21"/>
          <w:highlight w:val="none"/>
        </w:rPr>
        <w:t>政府采购云平台（http://www.zcygov.cn/）。</w:t>
      </w:r>
    </w:p>
    <w:p w14:paraId="54D6F37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05E87FA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390011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3BDC6F">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1B50B9F0">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33DE">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7E5D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6A32EA19">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488D88E4">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②投标准备：注册账号--点击“商家入驻”，进行政府采购供应商资料填写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申领CA数字证书---申领流程详见“浙江政府采购网-下载专区-电子交易客户端-CA驱动和申领流程”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安装“政采云电子交易客户端”----前往“浙江政府采购网-下载专区-电子交易客户端”进行下载并安装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③招标文件的获取：使用账号登录或者使用CA登录政采云平台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④投标文件的制作</w:t>
      </w:r>
      <w:r>
        <w:rPr>
          <w:rFonts w:hint="eastAsia" w:cs="仿宋_GB2312" w:asciiTheme="minorEastAsia" w:hAnsiTheme="minorEastAsia" w:eastAsiaTheme="minorEastAsia"/>
          <w:color w:val="auto"/>
          <w:sz w:val="21"/>
          <w:szCs w:val="21"/>
          <w:highlight w:val="none"/>
        </w:rPr>
        <w:t>（文件后缀为：jmbs）</w:t>
      </w:r>
      <w:r>
        <w:rPr>
          <w:rFonts w:hint="eastAsia" w:ascii="宋体" w:hAnsi="宋体" w:cs="宋体"/>
          <w:color w:val="auto"/>
          <w:sz w:val="21"/>
          <w:szCs w:val="21"/>
          <w:highlight w:val="none"/>
        </w:rPr>
        <w:t>：在“政采云电子交易客户端”中完成“填写基本信息”、“导入投标文件”、“标书关联”、“标书检查”、“电子签名”、“生成电子标书”等操作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⑥对未按上述方式获取招标文件的供应商对该文件提出的质疑，采购人或采购代理机构将不予处理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⑦不提供招标文件纸质版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1"/>
          <w:szCs w:val="21"/>
          <w:highlight w:val="none"/>
          <w:lang w:eastAsia="zh-CN"/>
        </w:rPr>
        <w:t>（文件后缀为：bfbs）</w:t>
      </w:r>
      <w:r>
        <w:rPr>
          <w:rFonts w:hint="eastAsia" w:ascii="宋体" w:hAnsi="宋体" w:cs="宋体"/>
          <w:color w:val="auto"/>
          <w:sz w:val="21"/>
          <w:szCs w:val="21"/>
          <w:highlight w:val="none"/>
        </w:rPr>
        <w:t>的制作、存储、密封详见招标文件第二部分第15点—“备份投标文件”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⑩具体操作指南：详见政采云平台“服务中心-帮助文档-项目采购-操作流程-电子招投标-政府采购项目电子交易管理操作指南-供应商”。</w:t>
      </w:r>
    </w:p>
    <w:p w14:paraId="36302516">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783189AF">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1"/>
          <w:szCs w:val="21"/>
          <w:highlight w:val="none"/>
          <w:lang w:val="en-US" w:eastAsia="zh-CN"/>
        </w:rPr>
        <w:br w:type="textWrapping"/>
      </w:r>
      <w:r>
        <w:rPr>
          <w:rFonts w:hint="eastAsia" w:cs="宋体" w:asciiTheme="minorEastAsia" w:hAnsiTheme="minorEastAsia" w:eastAsiaTheme="minorEastAsia"/>
          <w:color w:val="auto"/>
          <w:sz w:val="21"/>
          <w:szCs w:val="21"/>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2976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45DF98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1.采购人信息</w:t>
      </w:r>
    </w:p>
    <w:p w14:paraId="693CBEB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宁海县黄坛镇中心小学</w:t>
      </w:r>
    </w:p>
    <w:p w14:paraId="44034F3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w:t>
      </w:r>
      <w:r>
        <w:rPr>
          <w:rFonts w:hint="eastAsia" w:ascii="宋体" w:hAnsi="宋体" w:cs="宋体"/>
          <w:color w:val="auto"/>
          <w:sz w:val="21"/>
          <w:szCs w:val="21"/>
          <w:highlight w:val="none"/>
          <w:lang w:val="en-US" w:eastAsia="zh-CN"/>
        </w:rPr>
        <w:t>宁海县黄坛镇</w:t>
      </w:r>
    </w:p>
    <w:p w14:paraId="38F1F9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7A3A780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项目联系人（询问）：</w:t>
      </w:r>
      <w:r>
        <w:rPr>
          <w:rFonts w:hint="eastAsia" w:ascii="宋体" w:hAnsi="宋体" w:cs="宋体"/>
          <w:color w:val="auto"/>
          <w:sz w:val="21"/>
          <w:szCs w:val="21"/>
          <w:highlight w:val="none"/>
          <w:lang w:val="en-US" w:eastAsia="zh-CN"/>
        </w:rPr>
        <w:t>王老师</w:t>
      </w:r>
    </w:p>
    <w:p w14:paraId="3807CD0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项目联系方式（询问）：</w:t>
      </w:r>
      <w:r>
        <w:rPr>
          <w:rFonts w:hint="eastAsia" w:ascii="宋体" w:hAnsi="宋体" w:cs="宋体"/>
          <w:color w:val="auto"/>
          <w:sz w:val="21"/>
          <w:szCs w:val="21"/>
          <w:highlight w:val="none"/>
          <w:lang w:val="en-US" w:eastAsia="zh-CN"/>
        </w:rPr>
        <w:t>15958234298</w:t>
      </w:r>
    </w:p>
    <w:p w14:paraId="104AF4B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1"/>
          <w:szCs w:val="21"/>
          <w:highlight w:val="none"/>
          <w:lang w:val="en-US" w:eastAsia="zh-CN"/>
        </w:rPr>
      </w:pPr>
    </w:p>
    <w:p w14:paraId="3ECEA7F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2.采购代理机构信息</w:t>
      </w:r>
    </w:p>
    <w:p w14:paraId="72E65C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称：宁海童氏工程管理咨询有限公司</w:t>
      </w:r>
    </w:p>
    <w:p w14:paraId="0D1E591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址：宁海县时代大道178号四楼</w:t>
      </w:r>
    </w:p>
    <w:p w14:paraId="73468D7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传    真：0574-82533300</w:t>
      </w:r>
    </w:p>
    <w:p w14:paraId="601E88B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项目联系人（询问）：胡云燕</w:t>
      </w:r>
    </w:p>
    <w:p w14:paraId="6539B82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项目联系方式（询问）：0574-82533300</w:t>
      </w:r>
    </w:p>
    <w:p w14:paraId="1A352E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质疑联系人：葛振球</w:t>
      </w:r>
    </w:p>
    <w:p w14:paraId="7AD2EE7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质疑联系方式：0574-82533300</w:t>
      </w:r>
    </w:p>
    <w:p w14:paraId="7800AE3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p>
    <w:p w14:paraId="48E820A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3.同级政府采购监督管理部门：</w:t>
      </w:r>
    </w:p>
    <w:p w14:paraId="688091F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名    称：宁海县政府采购管理办公室             </w:t>
      </w:r>
    </w:p>
    <w:p w14:paraId="4849ED6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址：宁海县跃龙街道桃源中路218号            </w:t>
      </w:r>
    </w:p>
    <w:p w14:paraId="5B4F65B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传    真：0574-65265612            </w:t>
      </w:r>
    </w:p>
    <w:p w14:paraId="41124BA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 ：王老师             </w:t>
      </w:r>
    </w:p>
    <w:p w14:paraId="25EF81B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投诉电话：0574-65265668 </w:t>
      </w:r>
    </w:p>
    <w:p w14:paraId="7D15BC85">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C0D7A6B">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95763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获取热线服务帮助。</w:t>
      </w:r>
    </w:p>
    <w:p w14:paraId="54C26877">
      <w:pPr>
        <w:keepNext w:val="0"/>
        <w:keepLines w:val="0"/>
        <w:pageBreakBefore w:val="0"/>
        <w:kinsoku/>
        <w:wordWrap/>
        <w:overflowPunct/>
        <w:topLinePunct w:val="0"/>
        <w:autoSpaceDE/>
        <w:autoSpaceDN/>
        <w:bidi w:val="0"/>
        <w:spacing w:line="336" w:lineRule="auto"/>
        <w:ind w:firstLine="420" w:firstLineChars="200"/>
        <w:textAlignment w:val="auto"/>
        <w:outlineLvl w:val="9"/>
        <w:rPr>
          <w:rFonts w:hAnsi="宋体" w:cs="宋体"/>
          <w:b/>
          <w:color w:val="auto"/>
          <w:sz w:val="21"/>
          <w:szCs w:val="21"/>
          <w:highlight w:val="none"/>
        </w:rPr>
      </w:pPr>
      <w:r>
        <w:rPr>
          <w:rFonts w:hint="eastAsia" w:ascii="宋体" w:hAnsi="宋体" w:cs="宋体"/>
          <w:color w:val="auto"/>
          <w:sz w:val="21"/>
          <w:szCs w:val="21"/>
          <w:highlight w:val="none"/>
        </w:rPr>
        <w:t>CA问题联系电话（人工）：汇信CA 400-888-4636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天谷CA 400-087-8198。</w:t>
      </w:r>
    </w:p>
    <w:p w14:paraId="4A3FAAD7">
      <w:pPr>
        <w:tabs>
          <w:tab w:val="left" w:pos="432"/>
        </w:tabs>
        <w:kinsoku/>
        <w:wordWrap/>
        <w:overflowPunct/>
        <w:topLinePunct w:val="0"/>
        <w:bidi w:val="0"/>
        <w:outlineLvl w:val="9"/>
        <w:rPr>
          <w:rFonts w:ascii="宋体"/>
          <w:snapToGrid w:val="0"/>
          <w:color w:val="auto"/>
          <w:sz w:val="21"/>
          <w:szCs w:val="21"/>
          <w:highlight w:val="none"/>
        </w:rPr>
      </w:pPr>
      <w:r>
        <w:rPr>
          <w:color w:val="auto"/>
          <w:sz w:val="21"/>
          <w:szCs w:val="21"/>
          <w:highlight w:val="none"/>
        </w:rPr>
        <w:br w:type="page"/>
      </w:r>
    </w:p>
    <w:bookmarkEnd w:id="7"/>
    <w:p w14:paraId="0A1BF7F2">
      <w:pPr>
        <w:numPr>
          <w:ilvl w:val="0"/>
          <w:numId w:val="2"/>
        </w:numPr>
        <w:kinsoku/>
        <w:wordWrap/>
        <w:overflowPunct/>
        <w:topLinePunct w:val="0"/>
        <w:bidi w:val="0"/>
        <w:adjustRightInd/>
        <w:spacing w:line="360" w:lineRule="auto"/>
        <w:jc w:val="center"/>
        <w:outlineLvl w:val="0"/>
        <w:rPr>
          <w:rFonts w:hint="eastAsia" w:ascii="宋体" w:hAnsi="宋体" w:cs="宋体"/>
          <w:b/>
          <w:color w:val="auto"/>
          <w:sz w:val="36"/>
          <w:szCs w:val="20"/>
          <w:highlight w:val="none"/>
        </w:rPr>
      </w:pPr>
      <w:bookmarkStart w:id="13" w:name="_Toc2969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35E69C98">
      <w:pPr>
        <w:kinsoku/>
        <w:wordWrap/>
        <w:overflowPunct/>
        <w:topLinePunct w:val="0"/>
        <w:bidi w:val="0"/>
        <w:adjustRightInd/>
        <w:spacing w:line="360" w:lineRule="auto"/>
        <w:ind w:firstLine="3845" w:firstLineChars="1197"/>
        <w:outlineLvl w:val="9"/>
      </w:pPr>
      <w:r>
        <w:rPr>
          <w:rFonts w:hint="eastAsia" w:ascii="宋体" w:hAnsi="宋体" w:cs="宋体"/>
          <w:b/>
          <w:color w:val="auto"/>
          <w:sz w:val="32"/>
          <w:szCs w:val="20"/>
          <w:highlight w:val="none"/>
        </w:rPr>
        <w:t>前附表</w:t>
      </w:r>
    </w:p>
    <w:tbl>
      <w:tblPr>
        <w:tblStyle w:val="65"/>
        <w:tblpPr w:leftFromText="180" w:rightFromText="180" w:vertAnchor="text" w:horzAnchor="page" w:tblpX="1546" w:tblpY="611"/>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AC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7B9195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vAlign w:val="center"/>
          </w:tcPr>
          <w:p w14:paraId="76839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vAlign w:val="center"/>
          </w:tcPr>
          <w:p w14:paraId="0B88E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057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A4DC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vAlign w:val="center"/>
          </w:tcPr>
          <w:p w14:paraId="7A02C9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095" w:type="dxa"/>
            <w:vAlign w:val="center"/>
          </w:tcPr>
          <w:p w14:paraId="0083C2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货物类，单一产品或核心产品为：</w:t>
            </w:r>
          </w:p>
          <w:p w14:paraId="0BB4EE6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1"/>
                <w:szCs w:val="21"/>
                <w:highlight w:val="none"/>
                <w:u w:val="none"/>
                <w:lang w:eastAsia="zh-CN"/>
              </w:rPr>
            </w:pPr>
            <w:r>
              <w:rPr>
                <w:rFonts w:hint="eastAsia" w:ascii="宋体" w:hAnsi="宋体" w:cs="宋体"/>
                <w:color w:val="auto"/>
                <w:sz w:val="21"/>
                <w:szCs w:val="21"/>
                <w:highlight w:val="none"/>
                <w:lang w:val="en-US" w:eastAsia="zh-CN"/>
              </w:rPr>
              <w:t>标项一：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r w14:paraId="08E2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8EB20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vAlign w:val="center"/>
          </w:tcPr>
          <w:p w14:paraId="3940A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vAlign w:val="center"/>
          </w:tcPr>
          <w:p w14:paraId="7E7EFE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标的：</w:t>
            </w:r>
          </w:p>
          <w:p w14:paraId="76C87DC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color w:val="auto"/>
                <w:kern w:val="0"/>
                <w:sz w:val="21"/>
                <w:szCs w:val="21"/>
                <w:highlight w:val="none"/>
                <w:u w:val="single"/>
                <w:lang w:eastAsia="zh-CN"/>
              </w:rPr>
            </w:pPr>
            <w:r>
              <w:rPr>
                <w:rFonts w:hint="eastAsia" w:ascii="宋体" w:hAnsi="宋体" w:cs="宋体"/>
                <w:color w:val="auto"/>
                <w:kern w:val="0"/>
                <w:sz w:val="21"/>
                <w:szCs w:val="21"/>
                <w:highlight w:val="none"/>
                <w:u w:val="none"/>
                <w:lang w:val="en-US" w:eastAsia="zh-CN"/>
              </w:rPr>
              <w:t>标项一：</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宁海县黄坛镇中心小学厨房设备采购项目</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u w:val="none"/>
                <w:lang w:eastAsia="zh-CN"/>
              </w:rPr>
              <w:t>属于</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工业</w:t>
            </w:r>
            <w:r>
              <w:rPr>
                <w:rFonts w:hint="eastAsia" w:ascii="宋体" w:hAnsi="宋体" w:eastAsia="宋体" w:cs="宋体"/>
                <w:color w:val="auto"/>
                <w:kern w:val="0"/>
                <w:sz w:val="21"/>
                <w:szCs w:val="21"/>
                <w:highlight w:val="none"/>
                <w:u w:val="single"/>
                <w:lang w:eastAsia="zh-CN"/>
              </w:rPr>
              <w:t>。</w:t>
            </w:r>
          </w:p>
          <w:p w14:paraId="762369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（2）本项目专门面向中小企业。</w:t>
            </w:r>
          </w:p>
        </w:tc>
      </w:tr>
      <w:tr w14:paraId="465C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02AA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vAlign w:val="center"/>
          </w:tcPr>
          <w:p w14:paraId="69D693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vAlign w:val="center"/>
          </w:tcPr>
          <w:p w14:paraId="23B501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5109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本项目不允许采购进口产品。</w:t>
            </w:r>
          </w:p>
          <w:p w14:paraId="78A075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326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标项一：可</w:t>
            </w:r>
            <w:r>
              <w:rPr>
                <w:rFonts w:hint="eastAsia" w:ascii="宋体" w:hAnsi="宋体" w:cs="宋体"/>
                <w:color w:val="auto"/>
                <w:kern w:val="0"/>
                <w:sz w:val="21"/>
                <w:szCs w:val="21"/>
                <w:highlight w:val="none"/>
              </w:rPr>
              <w:t>以就</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采购进口产品</w:t>
            </w:r>
            <w:r>
              <w:rPr>
                <w:rFonts w:hint="eastAsia" w:ascii="宋体" w:hAnsi="宋体" w:cs="宋体"/>
                <w:color w:val="auto"/>
                <w:kern w:val="0"/>
                <w:sz w:val="21"/>
                <w:szCs w:val="21"/>
                <w:highlight w:val="none"/>
                <w:lang w:eastAsia="zh-CN"/>
              </w:rPr>
              <w:t>。</w:t>
            </w:r>
          </w:p>
        </w:tc>
      </w:tr>
      <w:tr w14:paraId="1D87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501D7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vAlign w:val="center"/>
          </w:tcPr>
          <w:p w14:paraId="24CA2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2" w:firstLineChars="200"/>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vAlign w:val="center"/>
          </w:tcPr>
          <w:p w14:paraId="5250D3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14747605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default"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066F8F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8050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751693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5F3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068E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vAlign w:val="center"/>
          </w:tcPr>
          <w:p w14:paraId="62BB4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vAlign w:val="center"/>
          </w:tcPr>
          <w:p w14:paraId="75FB45C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7117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6AF669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640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2B3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772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vAlign w:val="center"/>
          </w:tcPr>
          <w:p w14:paraId="1C518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vAlign w:val="center"/>
          </w:tcPr>
          <w:p w14:paraId="29E3443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6074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2B9317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8281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B要求提供，</w:t>
            </w:r>
          </w:p>
          <w:p w14:paraId="1DB654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cs="宋体" w:asciiTheme="minorEastAsia" w:hAnsiTheme="minorEastAsia" w:eastAsiaTheme="minorEastAsia"/>
                <w:b/>
                <w:bCs/>
                <w:snapToGrid w:val="0"/>
                <w:color w:val="auto"/>
                <w:kern w:val="28"/>
                <w:sz w:val="18"/>
                <w:szCs w:val="18"/>
                <w:highlight w:val="none"/>
                <w:u w:val="single"/>
                <w:lang w:eastAsia="zh-CN"/>
              </w:rPr>
              <w:t>序号</w:t>
            </w:r>
            <w:r>
              <w:rPr>
                <w:rFonts w:hint="eastAsia" w:cs="宋体" w:asciiTheme="minorEastAsia" w:hAnsiTheme="minorEastAsia" w:eastAsiaTheme="minorEastAsia"/>
                <w:b/>
                <w:bCs/>
                <w:snapToGrid w:val="0"/>
                <w:color w:val="auto"/>
                <w:kern w:val="28"/>
                <w:sz w:val="18"/>
                <w:szCs w:val="18"/>
                <w:highlight w:val="none"/>
                <w:u w:val="single"/>
                <w:lang w:val="en-US" w:eastAsia="zh-CN"/>
              </w:rPr>
              <w:t>F07定制电磁小炒+大炒灶；</w:t>
            </w:r>
            <w:r>
              <w:rPr>
                <w:rFonts w:hint="eastAsia" w:cs="宋体" w:asciiTheme="minorEastAsia" w:hAnsiTheme="minorEastAsia" w:eastAsiaTheme="minorEastAsia"/>
                <w:b/>
                <w:bCs/>
                <w:color w:val="auto"/>
                <w:kern w:val="0"/>
                <w:sz w:val="18"/>
                <w:szCs w:val="18"/>
                <w:highlight w:val="none"/>
                <w:u w:val="single"/>
                <w:lang w:eastAsia="zh-CN"/>
              </w:rPr>
              <w:t>序号</w:t>
            </w:r>
            <w:r>
              <w:rPr>
                <w:rFonts w:hint="eastAsia" w:ascii="宋体" w:hAnsi="宋体" w:cs="宋体"/>
                <w:b/>
                <w:bCs/>
                <w:i w:val="0"/>
                <w:iCs w:val="0"/>
                <w:color w:val="auto"/>
                <w:kern w:val="0"/>
                <w:sz w:val="18"/>
                <w:szCs w:val="18"/>
                <w:u w:val="single"/>
                <w:lang w:val="en-US" w:eastAsia="zh-CN" w:bidi="ar"/>
              </w:rPr>
              <w:t>H10</w:t>
            </w:r>
            <w:r>
              <w:rPr>
                <w:rFonts w:hint="eastAsia" w:ascii="宋体" w:hAnsi="宋体" w:eastAsia="宋体" w:cs="宋体"/>
                <w:b/>
                <w:bCs/>
                <w:i w:val="0"/>
                <w:iCs w:val="0"/>
                <w:color w:val="auto"/>
                <w:kern w:val="0"/>
                <w:sz w:val="18"/>
                <w:szCs w:val="18"/>
                <w:u w:val="single"/>
                <w:lang w:val="en-US" w:eastAsia="zh-CN" w:bidi="ar"/>
              </w:rPr>
              <w:t>双门热风消毒柜</w:t>
            </w:r>
            <w:r>
              <w:rPr>
                <w:rFonts w:hint="eastAsia" w:cs="宋体" w:asciiTheme="minorEastAsia" w:hAnsiTheme="minorEastAsia" w:eastAsiaTheme="minorEastAsia"/>
                <w:b/>
                <w:bCs/>
                <w:color w:val="auto"/>
                <w:kern w:val="0"/>
                <w:sz w:val="18"/>
                <w:szCs w:val="18"/>
                <w:highlight w:val="none"/>
                <w:u w:val="single"/>
              </w:rPr>
              <w:t>；</w:t>
            </w:r>
            <w:r>
              <w:rPr>
                <w:rFonts w:hint="eastAsia" w:cs="宋体" w:asciiTheme="minorEastAsia" w:hAnsiTheme="minorEastAsia" w:eastAsiaTheme="minorEastAsia"/>
                <w:b/>
                <w:bCs/>
                <w:color w:val="auto"/>
                <w:kern w:val="0"/>
                <w:sz w:val="18"/>
                <w:szCs w:val="18"/>
                <w:highlight w:val="none"/>
                <w:u w:val="single"/>
                <w:lang w:eastAsia="zh-CN"/>
              </w:rPr>
              <w:t>序号</w:t>
            </w:r>
            <w:r>
              <w:rPr>
                <w:rFonts w:hint="eastAsia" w:cs="宋体" w:asciiTheme="minorEastAsia" w:hAnsiTheme="minorEastAsia" w:eastAsiaTheme="minorEastAsia"/>
                <w:b/>
                <w:bCs/>
                <w:color w:val="auto"/>
                <w:kern w:val="0"/>
                <w:sz w:val="18"/>
                <w:szCs w:val="18"/>
                <w:highlight w:val="none"/>
                <w:u w:val="single"/>
              </w:rPr>
              <w:t>J05</w:t>
            </w:r>
            <w:r>
              <w:rPr>
                <w:rFonts w:hint="eastAsia" w:cs="宋体" w:asciiTheme="minorEastAsia" w:hAnsiTheme="minorEastAsia" w:eastAsiaTheme="minorEastAsia"/>
                <w:b/>
                <w:bCs/>
                <w:color w:val="auto"/>
                <w:kern w:val="0"/>
                <w:sz w:val="18"/>
                <w:szCs w:val="18"/>
                <w:highlight w:val="none"/>
                <w:u w:val="single"/>
                <w:lang w:val="en-US" w:eastAsia="zh-CN"/>
              </w:rPr>
              <w:t>单星盆台</w:t>
            </w:r>
            <w:r>
              <w:rPr>
                <w:rFonts w:hint="eastAsia" w:cs="宋体" w:asciiTheme="minorEastAsia" w:hAnsiTheme="minorEastAsia" w:eastAsiaTheme="minorEastAsia"/>
                <w:b/>
                <w:bCs/>
                <w:color w:val="auto"/>
                <w:kern w:val="0"/>
                <w:sz w:val="18"/>
                <w:szCs w:val="18"/>
                <w:highlight w:val="none"/>
                <w:u w:val="single"/>
                <w:lang w:eastAsia="zh-CN"/>
              </w:rPr>
              <w:t>各一台</w:t>
            </w:r>
            <w:r>
              <w:rPr>
                <w:rFonts w:hint="eastAsia" w:ascii="宋体" w:hAnsi="宋体" w:cs="宋体"/>
                <w:color w:val="auto"/>
                <w:kern w:val="0"/>
                <w:sz w:val="21"/>
                <w:szCs w:val="21"/>
                <w:highlight w:val="none"/>
                <w:lang w:eastAsia="zh-CN"/>
              </w:rPr>
              <w:t>；</w:t>
            </w:r>
          </w:p>
          <w:p w14:paraId="0C1331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b/>
                <w:bCs/>
                <w:snapToGrid w:val="0"/>
                <w:color w:val="auto"/>
                <w:kern w:val="28"/>
                <w:sz w:val="21"/>
                <w:szCs w:val="21"/>
                <w:highlight w:val="none"/>
                <w:u w:val="single"/>
                <w:lang w:eastAsia="zh-CN"/>
              </w:rPr>
              <w:t>按招标需求的</w:t>
            </w:r>
            <w:r>
              <w:rPr>
                <w:rFonts w:hint="eastAsia" w:ascii="宋体" w:hAnsi="宋体" w:cs="宋体"/>
                <w:b/>
                <w:bCs/>
                <w:snapToGrid w:val="0"/>
                <w:color w:val="auto"/>
                <w:kern w:val="28"/>
                <w:sz w:val="21"/>
                <w:szCs w:val="21"/>
                <w:highlight w:val="none"/>
                <w:u w:val="single"/>
              </w:rPr>
              <w:t>标准和要求</w:t>
            </w:r>
            <w:r>
              <w:rPr>
                <w:rFonts w:hint="eastAsia" w:ascii="宋体" w:hAnsi="宋体" w:cs="宋体"/>
                <w:b/>
                <w:bCs/>
                <w:snapToGrid w:val="0"/>
                <w:color w:val="auto"/>
                <w:kern w:val="28"/>
                <w:sz w:val="21"/>
                <w:szCs w:val="21"/>
                <w:highlight w:val="none"/>
                <w:u w:val="single"/>
                <w:lang w:eastAsia="zh-CN"/>
              </w:rPr>
              <w:t>制作</w:t>
            </w:r>
            <w:r>
              <w:rPr>
                <w:rFonts w:hint="eastAsia" w:ascii="宋体" w:hAnsi="宋体" w:cs="宋体"/>
                <w:color w:val="auto"/>
                <w:kern w:val="0"/>
                <w:sz w:val="21"/>
                <w:szCs w:val="21"/>
                <w:highlight w:val="none"/>
                <w:lang w:eastAsia="zh-CN"/>
              </w:rPr>
              <w:t>；</w:t>
            </w:r>
          </w:p>
          <w:p w14:paraId="49418D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lang w:eastAsia="zh-CN"/>
              </w:rPr>
              <w:t>；</w:t>
            </w:r>
          </w:p>
          <w:p w14:paraId="7E9813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4745119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r>
              <w:rPr>
                <w:rFonts w:hint="eastAsia" w:ascii="宋体" w:hAnsi="宋体" w:cs="宋体"/>
                <w:color w:val="auto"/>
                <w:kern w:val="0"/>
                <w:sz w:val="21"/>
                <w:szCs w:val="21"/>
                <w:highlight w:val="none"/>
                <w:lang w:eastAsia="zh-CN"/>
              </w:rPr>
              <w:t>；</w:t>
            </w:r>
            <w:sdt>
              <w:sdtPr>
                <w:rPr>
                  <w:rFonts w:hint="eastAsia" w:ascii="宋体" w:hAnsi="宋体" w:cs="宋体"/>
                  <w:color w:val="auto"/>
                  <w:kern w:val="0"/>
                  <w:sz w:val="21"/>
                  <w:szCs w:val="21"/>
                  <w:highlight w:val="none"/>
                </w:rPr>
                <w:id w:val="14747307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999D95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2025年07月16日13点20分前</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地点：</w:t>
            </w:r>
            <w:r>
              <w:rPr>
                <w:rFonts w:hint="eastAsia" w:ascii="宋体" w:hAnsi="宋体" w:cs="宋体"/>
                <w:color w:val="auto"/>
                <w:kern w:val="0"/>
                <w:sz w:val="21"/>
                <w:szCs w:val="21"/>
                <w:highlight w:val="none"/>
                <w:u w:val="single"/>
              </w:rPr>
              <w:t>宁海县政务服务中心</w:t>
            </w:r>
            <w:r>
              <w:rPr>
                <w:rFonts w:hint="eastAsia" w:ascii="宋体" w:hAnsi="宋体" w:cs="宋体"/>
                <w:color w:val="auto"/>
                <w:kern w:val="0"/>
                <w:sz w:val="21"/>
                <w:szCs w:val="21"/>
                <w:highlight w:val="none"/>
                <w:u w:val="single"/>
                <w:lang w:val="en-US" w:eastAsia="zh-CN"/>
              </w:rPr>
              <w:t>北面“样品存放处”</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胡云燕</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lang w:val="en-US" w:eastAsia="zh-CN"/>
              </w:rPr>
              <w:t>0574-82533300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在上述时间内提供样品并按规定位置安装完毕。超过截止时间的，采购人或采购代理机构将不予接收，并将清场并封闭样品现场。</w:t>
            </w:r>
          </w:p>
          <w:p w14:paraId="445961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不负保管义务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对于中标人提供的样品，采购人将进行保管、封存，并作为履约验收的参考。</w:t>
            </w:r>
          </w:p>
          <w:p w14:paraId="216F02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自理。</w:t>
            </w:r>
          </w:p>
        </w:tc>
      </w:tr>
      <w:tr w14:paraId="638F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EE8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vAlign w:val="center"/>
          </w:tcPr>
          <w:p w14:paraId="0EAC1C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vAlign w:val="center"/>
          </w:tcPr>
          <w:p w14:paraId="4AE1BD2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45205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9FC8AF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6183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C5F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进行方案讲解演示。每个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编制时可根据项目情况进行调整</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rPr>
              <w:t>人。讲解演示结束后按要求解答评标委员会提问。</w:t>
            </w:r>
          </w:p>
          <w:p w14:paraId="414D8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DE8C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根据政采云平台操作要求做好准备工作，提前完善软硬件配置环境。</w:t>
            </w:r>
          </w:p>
          <w:p w14:paraId="7A4C6A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方式二：</w:t>
            </w:r>
            <w:r>
              <w:rPr>
                <w:rFonts w:hint="eastAsia" w:ascii="宋体" w:hAnsi="宋体" w:cs="宋体"/>
                <w:color w:val="auto"/>
                <w:kern w:val="0"/>
                <w:sz w:val="21"/>
                <w:szCs w:val="21"/>
                <w:highlight w:val="none"/>
                <w:lang w:val="en-US" w:eastAsia="zh-CN"/>
              </w:rPr>
              <w:t>评标</w:t>
            </w:r>
            <w:r>
              <w:rPr>
                <w:rFonts w:hint="eastAsia" w:ascii="宋体" w:hAnsi="宋体" w:cs="宋体"/>
                <w:color w:val="auto"/>
                <w:kern w:val="0"/>
                <w:sz w:val="21"/>
                <w:szCs w:val="21"/>
                <w:highlight w:val="none"/>
              </w:rPr>
              <w:t>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kern w:val="0"/>
                <w:sz w:val="21"/>
                <w:szCs w:val="21"/>
                <w:highlight w:val="none"/>
              </w:rPr>
              <w:t>，讲解演示所用电脑等设备由</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自备。现场讲解演示人员进场时提供讲解人员名单（加盖公章或授权代表签名）及身份证明，否则不得讲解演示。</w:t>
            </w:r>
          </w:p>
          <w:p w14:paraId="200F1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3D0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724220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vAlign w:val="center"/>
          </w:tcPr>
          <w:p w14:paraId="1FB6F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应当提供的资格、资信证明文件</w:t>
            </w:r>
          </w:p>
        </w:tc>
        <w:tc>
          <w:tcPr>
            <w:tcW w:w="6095" w:type="dxa"/>
            <w:vAlign w:val="center"/>
          </w:tcPr>
          <w:p w14:paraId="49134F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431159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供应商未提供有效的资格证明文件的，视为供应商不具备招标文件中规定的资格要求，投标无效。</w:t>
            </w:r>
          </w:p>
        </w:tc>
      </w:tr>
      <w:tr w14:paraId="3DC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0678B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p>
        </w:tc>
        <w:tc>
          <w:tcPr>
            <w:tcW w:w="1843" w:type="dxa"/>
            <w:vMerge w:val="continue"/>
            <w:vAlign w:val="center"/>
          </w:tcPr>
          <w:p w14:paraId="2F694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p>
        </w:tc>
        <w:tc>
          <w:tcPr>
            <w:tcW w:w="6095" w:type="dxa"/>
            <w:vAlign w:val="center"/>
          </w:tcPr>
          <w:p w14:paraId="41C23AD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124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0F95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vAlign w:val="center"/>
          </w:tcPr>
          <w:p w14:paraId="083F7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vAlign w:val="center"/>
          </w:tcPr>
          <w:p w14:paraId="2C168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94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B9E5C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vAlign w:val="center"/>
          </w:tcPr>
          <w:p w14:paraId="67DCCA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vAlign w:val="center"/>
          </w:tcPr>
          <w:p w14:paraId="146DD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招标文件未列明，而供应商认为必需的费用也需列入报价。</w:t>
            </w:r>
          </w:p>
          <w:p w14:paraId="33BE9A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本项目</w:t>
            </w:r>
            <w:r>
              <w:rPr>
                <w:rFonts w:hint="eastAsia" w:ascii="宋体" w:hAnsi="宋体" w:cs="宋体"/>
                <w:b/>
                <w:color w:val="auto"/>
                <w:kern w:val="0"/>
                <w:sz w:val="21"/>
                <w:szCs w:val="21"/>
                <w:highlight w:val="none"/>
                <w:lang w:val="zh-CN"/>
              </w:rPr>
              <w:t>采用</w:t>
            </w:r>
            <w:r>
              <w:rPr>
                <w:rFonts w:hint="eastAsia" w:ascii="宋体" w:hAnsi="宋体" w:cs="宋体"/>
                <w:b/>
                <w:color w:val="auto"/>
                <w:kern w:val="0"/>
                <w:sz w:val="21"/>
                <w:szCs w:val="21"/>
                <w:highlight w:val="none"/>
                <w:lang w:val="en-US" w:eastAsia="zh-CN"/>
              </w:rPr>
              <w:t>人民币</w:t>
            </w:r>
            <w:r>
              <w:rPr>
                <w:rFonts w:hint="eastAsia" w:ascii="宋体" w:hAnsi="宋体" w:cs="宋体"/>
                <w:b/>
                <w:color w:val="auto"/>
                <w:kern w:val="0"/>
                <w:sz w:val="21"/>
                <w:szCs w:val="21"/>
                <w:highlight w:val="none"/>
                <w:lang w:val="zh-CN"/>
              </w:rPr>
              <w:t>报价。</w:t>
            </w:r>
          </w:p>
          <w:p w14:paraId="6AD49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11" w:firstLineChars="10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投标报价须是完成本项目的所有费用，应包括设备价、安装调试、货物运至项目现场的运输费、保险费、培训费、售后服务、利润、税金等一切与本次采购相关的费用。</w:t>
            </w:r>
          </w:p>
          <w:p w14:paraId="4B93A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不论投标结果如何，供应商均应自行承担所有与投标有关的全部费用。</w:t>
            </w:r>
          </w:p>
          <w:p w14:paraId="36267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2E6257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11" w:firstLineChars="100"/>
              <w:jc w:val="left"/>
              <w:textAlignment w:val="auto"/>
              <w:outlineLvl w:val="9"/>
              <w:rPr>
                <w:rFonts w:hint="default"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6F6FC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11" w:firstLineChars="100"/>
              <w:jc w:val="left"/>
              <w:textAlignment w:val="auto"/>
              <w:outlineLvl w:val="9"/>
              <w:rPr>
                <w:rFonts w:hint="default"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34C4B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11" w:firstLineChars="100"/>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eastAsia="zh-CN"/>
              </w:rPr>
              <w:t>报价明显低于其他通过符合性审查供应商的报价（</w:t>
            </w:r>
            <w:r>
              <w:rPr>
                <w:rFonts w:hint="eastAsia" w:ascii="宋体" w:hAnsi="宋体" w:cs="宋体"/>
                <w:b/>
                <w:color w:val="auto"/>
                <w:kern w:val="0"/>
                <w:sz w:val="21"/>
                <w:szCs w:val="21"/>
                <w:highlight w:val="none"/>
                <w:lang w:val="en-US" w:eastAsia="zh-CN"/>
              </w:rPr>
              <w:t>低于项目预算50%的）</w:t>
            </w:r>
            <w:r>
              <w:rPr>
                <w:rFonts w:hint="eastAsia" w:ascii="宋体" w:hAnsi="宋体" w:cs="宋体"/>
                <w:b/>
                <w:color w:val="auto"/>
                <w:kern w:val="0"/>
                <w:sz w:val="21"/>
                <w:szCs w:val="21"/>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1"/>
                <w:szCs w:val="21"/>
                <w:highlight w:val="none"/>
                <w:lang w:eastAsia="zh-CN"/>
              </w:rPr>
              <w:t>；</w:t>
            </w:r>
          </w:p>
          <w:p w14:paraId="000C961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11" w:firstLineChars="100"/>
              <w:textAlignment w:val="auto"/>
              <w:outlineLvl w:val="9"/>
              <w:rPr>
                <w:rFonts w:hint="default" w:ascii="宋体" w:hAnsi="宋体" w:cs="宋体"/>
                <w:color w:val="auto"/>
                <w:sz w:val="21"/>
                <w:szCs w:val="21"/>
                <w:highlight w:val="none"/>
              </w:rPr>
            </w:pP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对根据修正原则修正后的报价不确认的</w:t>
            </w:r>
            <w:r>
              <w:rPr>
                <w:rFonts w:hint="eastAsia" w:ascii="宋体" w:hAnsi="宋体" w:cs="宋体"/>
                <w:b/>
                <w:color w:val="auto"/>
                <w:sz w:val="21"/>
                <w:szCs w:val="21"/>
                <w:highlight w:val="none"/>
              </w:rPr>
              <w:t>。</w:t>
            </w:r>
          </w:p>
        </w:tc>
      </w:tr>
      <w:tr w14:paraId="25E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242D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vAlign w:val="center"/>
          </w:tcPr>
          <w:p w14:paraId="37A763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vAlign w:val="center"/>
          </w:tcPr>
          <w:p w14:paraId="09B0F2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10" w:firstLineChars="100"/>
              <w:textAlignment w:val="auto"/>
              <w:outlineLvl w:val="9"/>
              <w:rPr>
                <w:rFonts w:hint="default"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B7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07C8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vAlign w:val="center"/>
          </w:tcPr>
          <w:p w14:paraId="111112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095" w:type="dxa"/>
            <w:vAlign w:val="center"/>
          </w:tcPr>
          <w:p w14:paraId="3109FAE4">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供应商可以准备U盘存储的电子备份投标文件1份，按政府采购云平台要求制作的电子备份投标文件，以用于异常情况处理。</w:t>
            </w:r>
          </w:p>
          <w:p w14:paraId="1886782C">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1"/>
                <w:szCs w:val="21"/>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1"/>
                <w:szCs w:val="21"/>
                <w:highlight w:val="none"/>
                <w:lang w:val="en-US" w:eastAsia="zh-CN"/>
              </w:rPr>
              <w:t>，逾期送达或未密封将予以拒收。</w:t>
            </w:r>
          </w:p>
          <w:p w14:paraId="790C8DBE">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1"/>
                <w:szCs w:val="21"/>
                <w:highlight w:val="none"/>
                <w:lang w:val="en-US" w:eastAsia="zh-CN"/>
              </w:rPr>
            </w:pPr>
            <w:r>
              <w:rPr>
                <w:rFonts w:hint="eastAsia" w:cs="宋体" w:asciiTheme="minorEastAsia" w:hAnsiTheme="minorEastAsia" w:eastAsiaTheme="minorEastAsia"/>
                <w:b/>
                <w:bCs/>
                <w:color w:val="auto"/>
                <w:kern w:val="28"/>
                <w:sz w:val="21"/>
                <w:szCs w:val="21"/>
                <w:highlight w:val="none"/>
                <w:lang w:val="en-US" w:eastAsia="zh-CN"/>
              </w:rPr>
              <w:t>供应商可采用邮寄（含快递）方式递交备份投标文件。</w:t>
            </w:r>
          </w:p>
          <w:p w14:paraId="73D69025">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A500F7C">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拟在开标前一个工作日16:00前到件的邮寄地址为：宁海县时代大道178号四楼；</w:t>
            </w:r>
          </w:p>
          <w:p w14:paraId="7CD2232E">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收件人：胡云燕   联系方式：0574-82533300</w:t>
            </w:r>
          </w:p>
          <w:p w14:paraId="60ECE25A">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1"/>
                <w:szCs w:val="21"/>
                <w:highlight w:val="none"/>
                <w:lang w:val="en-US" w:eastAsia="zh-CN"/>
              </w:rPr>
            </w:pPr>
            <w:r>
              <w:rPr>
                <w:rFonts w:hint="eastAsia" w:cs="宋体" w:asciiTheme="minorEastAsia" w:hAnsiTheme="minorEastAsia" w:eastAsiaTheme="minorEastAsia"/>
                <w:color w:val="auto"/>
                <w:kern w:val="28"/>
                <w:sz w:val="21"/>
                <w:szCs w:val="21"/>
                <w:highlight w:val="none"/>
                <w:lang w:val="en-US" w:eastAsia="zh-CN"/>
              </w:rPr>
              <w:t>请各供应商确保密封包装在邮寄过程密封包装完好，因邮寄过程的密封破损造成不符合开标要求的，本采购代理及采购人概不负责。</w:t>
            </w:r>
          </w:p>
          <w:p w14:paraId="3BF5EAB0">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1"/>
                <w:szCs w:val="21"/>
                <w:highlight w:val="none"/>
              </w:rPr>
            </w:pPr>
            <w:r>
              <w:rPr>
                <w:rFonts w:hint="eastAsia" w:cs="宋体" w:asciiTheme="minorEastAsia" w:hAnsiTheme="minorEastAsia" w:eastAsiaTheme="minorEastAsia"/>
                <w:b/>
                <w:color w:val="auto"/>
                <w:sz w:val="21"/>
                <w:szCs w:val="21"/>
                <w:highlight w:val="none"/>
              </w:rPr>
              <w:t>采购人、</w:t>
            </w:r>
            <w:r>
              <w:rPr>
                <w:rFonts w:hint="eastAsia" w:cs="宋体" w:asciiTheme="minorEastAsia" w:hAnsiTheme="minorEastAsia" w:eastAsiaTheme="minorEastAsia"/>
                <w:b/>
                <w:color w:val="auto"/>
                <w:sz w:val="21"/>
                <w:szCs w:val="21"/>
                <w:highlight w:val="none"/>
                <w:lang w:eastAsia="zh-CN"/>
              </w:rPr>
              <w:t>采购代理机构</w:t>
            </w:r>
            <w:r>
              <w:rPr>
                <w:rFonts w:hint="eastAsia" w:cs="宋体" w:asciiTheme="minorEastAsia" w:hAnsiTheme="minorEastAsia" w:eastAsiaTheme="minorEastAsia"/>
                <w:b/>
                <w:color w:val="auto"/>
                <w:sz w:val="21"/>
                <w:szCs w:val="21"/>
                <w:highlight w:val="none"/>
              </w:rPr>
              <w:t>不强制或变相强制供应商提交备份</w:t>
            </w:r>
            <w:r>
              <w:rPr>
                <w:rFonts w:hint="eastAsia" w:cs="宋体" w:asciiTheme="minorEastAsia" w:hAnsiTheme="minorEastAsia" w:eastAsiaTheme="minorEastAsia"/>
                <w:b/>
                <w:color w:val="auto"/>
                <w:sz w:val="21"/>
                <w:szCs w:val="21"/>
                <w:highlight w:val="none"/>
                <w:lang w:eastAsia="zh-CN"/>
              </w:rPr>
              <w:t>投标文件</w:t>
            </w:r>
            <w:r>
              <w:rPr>
                <w:rFonts w:hint="eastAsia" w:cs="宋体" w:asciiTheme="minorEastAsia" w:hAnsiTheme="minorEastAsia" w:eastAsiaTheme="minorEastAsia"/>
                <w:b/>
                <w:color w:val="auto"/>
                <w:sz w:val="21"/>
                <w:szCs w:val="21"/>
                <w:highlight w:val="none"/>
              </w:rPr>
              <w:t>。</w:t>
            </w:r>
          </w:p>
        </w:tc>
      </w:tr>
      <w:tr w14:paraId="531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AB1F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vAlign w:val="center"/>
          </w:tcPr>
          <w:p w14:paraId="37293D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095" w:type="dxa"/>
            <w:vAlign w:val="center"/>
          </w:tcPr>
          <w:p w14:paraId="5B25BD7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35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7FFC7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1"/>
                <w:szCs w:val="21"/>
                <w:highlight w:val="none"/>
              </w:rPr>
            </w:pPr>
          </w:p>
        </w:tc>
        <w:tc>
          <w:tcPr>
            <w:tcW w:w="1843" w:type="dxa"/>
            <w:vMerge w:val="continue"/>
            <w:vAlign w:val="center"/>
          </w:tcPr>
          <w:p w14:paraId="45B02D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1"/>
                <w:szCs w:val="21"/>
                <w:highlight w:val="none"/>
              </w:rPr>
            </w:pPr>
          </w:p>
        </w:tc>
        <w:tc>
          <w:tcPr>
            <w:tcW w:w="6095" w:type="dxa"/>
            <w:vAlign w:val="center"/>
          </w:tcPr>
          <w:p w14:paraId="27F790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04F55F8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Wingdings" w:hAnsi="Wingdings" w:cs="Arial" w:eastAsiaTheme="minorEastAsia"/>
                    <w:color w:val="auto"/>
                    <w:kern w:val="0"/>
                    <w:sz w:val="21"/>
                    <w:szCs w:val="21"/>
                    <w:highlight w:val="none"/>
                    <w:lang w:val="en-US" w:eastAsia="zh-CN" w:bidi="ar-SA"/>
                  </w:rPr>
                  <w:t>þ</w:t>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4D2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430A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14</w:t>
            </w:r>
          </w:p>
        </w:tc>
        <w:tc>
          <w:tcPr>
            <w:tcW w:w="1843" w:type="dxa"/>
            <w:vAlign w:val="center"/>
          </w:tcPr>
          <w:p w14:paraId="687C81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1"/>
                <w:szCs w:val="21"/>
                <w:highlight w:val="none"/>
                <w:lang w:val="en-US" w:eastAsia="zh-CN" w:bidi="ar-SA"/>
              </w:rPr>
            </w:pPr>
            <w:r>
              <w:rPr>
                <w:rFonts w:hint="eastAsia" w:cs="宋体" w:asciiTheme="minorEastAsia" w:hAnsiTheme="minorEastAsia" w:eastAsiaTheme="minorEastAsia"/>
                <w:b/>
                <w:color w:val="auto"/>
                <w:sz w:val="21"/>
                <w:szCs w:val="21"/>
                <w:highlight w:val="none"/>
                <w:lang w:val="en-US" w:eastAsia="zh-CN"/>
              </w:rPr>
              <w:t>其他说明</w:t>
            </w:r>
          </w:p>
        </w:tc>
        <w:tc>
          <w:tcPr>
            <w:tcW w:w="6095" w:type="dxa"/>
            <w:vAlign w:val="center"/>
          </w:tcPr>
          <w:p w14:paraId="400DBD46">
            <w:pPr>
              <w:keepNext w:val="0"/>
              <w:keepLines w:val="0"/>
              <w:suppressLineNumbers w:val="0"/>
              <w:spacing w:before="0" w:beforeAutospacing="0" w:after="0" w:afterAutospacing="0" w:line="400" w:lineRule="exact"/>
              <w:ind w:left="0" w:right="0" w:firstLine="420" w:firstLineChars="20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招标代理服务费的收取标准：代理机构按下表中货物招标的标准（按差额定率累进法计算），</w:t>
            </w:r>
            <w:r>
              <w:rPr>
                <w:rFonts w:hint="eastAsia" w:cs="Arial" w:asciiTheme="minorEastAsia" w:hAnsiTheme="minorEastAsia" w:eastAsiaTheme="minorEastAsia"/>
                <w:color w:val="auto"/>
                <w:kern w:val="0"/>
                <w:sz w:val="21"/>
                <w:szCs w:val="21"/>
                <w:highlight w:val="none"/>
                <w:lang w:val="en-US" w:eastAsia="zh-CN"/>
              </w:rPr>
              <w:t>根据本项目的中标金额，</w:t>
            </w:r>
            <w:r>
              <w:rPr>
                <w:rFonts w:hint="eastAsia" w:cs="Arial" w:asciiTheme="minorEastAsia" w:hAnsiTheme="minorEastAsia" w:eastAsiaTheme="minorEastAsia"/>
                <w:kern w:val="0"/>
                <w:szCs w:val="21"/>
              </w:rPr>
              <w:t>向中标人收取招标代理服务费,</w:t>
            </w:r>
            <w:r>
              <w:rPr>
                <w:rFonts w:hint="default" w:ascii="宋体" w:hAnsi="宋体" w:cs="宋体"/>
              </w:rPr>
              <w:t>不足10000元的，按10000元计取。</w:t>
            </w:r>
          </w:p>
          <w:tbl>
            <w:tblPr>
              <w:tblStyle w:val="65"/>
              <w:tblW w:w="5817" w:type="dxa"/>
              <w:jc w:val="center"/>
              <w:tblLayout w:type="fixed"/>
              <w:tblCellMar>
                <w:top w:w="15" w:type="dxa"/>
                <w:left w:w="15" w:type="dxa"/>
                <w:bottom w:w="15" w:type="dxa"/>
                <w:right w:w="15" w:type="dxa"/>
              </w:tblCellMar>
            </w:tblPr>
            <w:tblGrid>
              <w:gridCol w:w="1669"/>
              <w:gridCol w:w="1443"/>
              <w:gridCol w:w="1368"/>
              <w:gridCol w:w="1337"/>
            </w:tblGrid>
            <w:tr w14:paraId="4401A18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68D11C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服费类型</w:t>
                  </w:r>
                </w:p>
                <w:p w14:paraId="2334BE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778EB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60078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CB82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CD2101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E28C5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84E2D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541A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F3B3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57AA9B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3CAFE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BDCE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237A7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4C9D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1521130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02EF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2320B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BF37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CEAFC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52273DC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E68CF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E22EF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7D5BC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9F1AD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0B29DF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88949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BD40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283D5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BB4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434A95DE">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09399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EA89E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A44FC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7E95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14:paraId="70280DC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关于本次采购的服务费汇入以下账户：</w:t>
            </w:r>
          </w:p>
          <w:p w14:paraId="759F53A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rPr>
              <w:t>开户银行：</w:t>
            </w:r>
            <w:r>
              <w:rPr>
                <w:rFonts w:hint="eastAsia" w:cs="Arial" w:asciiTheme="minorEastAsia" w:hAnsiTheme="minorEastAsia" w:eastAsiaTheme="minorEastAsia"/>
                <w:color w:val="auto"/>
                <w:kern w:val="0"/>
                <w:sz w:val="21"/>
                <w:szCs w:val="21"/>
                <w:highlight w:val="none"/>
                <w:lang w:eastAsia="zh-CN"/>
              </w:rPr>
              <w:t>宁波银行宁海支行</w:t>
            </w:r>
          </w:p>
          <w:p w14:paraId="5537F2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账    号：60010122000570946</w:t>
            </w:r>
          </w:p>
          <w:p w14:paraId="3135F8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1"/>
                <w:szCs w:val="21"/>
                <w:highlight w:val="none"/>
                <w:lang w:val="en-US" w:eastAsia="zh-CN" w:bidi="ar-SA"/>
              </w:rPr>
            </w:pPr>
            <w:r>
              <w:rPr>
                <w:rFonts w:hint="eastAsia" w:cs="Arial" w:asciiTheme="minorEastAsia" w:hAnsiTheme="minorEastAsia" w:eastAsiaTheme="minorEastAsia"/>
                <w:color w:val="auto"/>
                <w:kern w:val="0"/>
                <w:sz w:val="21"/>
                <w:szCs w:val="21"/>
                <w:highlight w:val="none"/>
              </w:rPr>
              <w:t>户    名：</w:t>
            </w:r>
            <w:r>
              <w:rPr>
                <w:rFonts w:hint="eastAsia" w:cs="Arial" w:asciiTheme="minorEastAsia" w:hAnsiTheme="minorEastAsia" w:eastAsiaTheme="minorEastAsia"/>
                <w:color w:val="auto"/>
                <w:kern w:val="0"/>
                <w:sz w:val="21"/>
                <w:szCs w:val="21"/>
                <w:highlight w:val="none"/>
                <w:lang w:eastAsia="zh-CN"/>
              </w:rPr>
              <w:t>宁海童氏工程管理咨询有限公司</w:t>
            </w:r>
          </w:p>
        </w:tc>
      </w:tr>
      <w:tr w14:paraId="05B1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4BE46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843" w:type="dxa"/>
            <w:shd w:val="clear" w:color="auto" w:fill="auto"/>
            <w:vAlign w:val="center"/>
          </w:tcPr>
          <w:p w14:paraId="0B75DD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关于分公司投标</w:t>
            </w:r>
          </w:p>
        </w:tc>
        <w:tc>
          <w:tcPr>
            <w:tcW w:w="6095" w:type="dxa"/>
            <w:shd w:val="clear" w:color="auto" w:fill="auto"/>
            <w:vAlign w:val="center"/>
          </w:tcPr>
          <w:p w14:paraId="1DDA858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6F433C62">
      <w:pPr>
        <w:kinsoku/>
        <w:wordWrap/>
        <w:overflowPunct/>
        <w:topLinePunct w:val="0"/>
        <w:bidi w:val="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38256510">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E9BC2E">
      <w:pPr>
        <w:keepNext w:val="0"/>
        <w:keepLines w:val="0"/>
        <w:pageBreakBefore w:val="0"/>
        <w:shd w:val="clear"/>
        <w:kinsoku/>
        <w:wordWrap/>
        <w:overflowPunct/>
        <w:topLinePunct w:val="0"/>
        <w:bidi w:val="0"/>
        <w:snapToGrid w:val="0"/>
        <w:spacing w:beforeAutospacing="0" w:line="348" w:lineRule="auto"/>
        <w:ind w:firstLine="316" w:firstLineChars="150"/>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01B8B444">
      <w:pPr>
        <w:keepNext w:val="0"/>
        <w:keepLines w:val="0"/>
        <w:pageBreakBefore w:val="0"/>
        <w:shd w:val="clear"/>
        <w:kinsoku/>
        <w:wordWrap/>
        <w:overflowPunct/>
        <w:topLinePunct w:val="0"/>
        <w:bidi w:val="0"/>
        <w:snapToGrid w:val="0"/>
        <w:spacing w:beforeAutospacing="0" w:line="348" w:lineRule="auto"/>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68222789">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79F3E42E">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3B4BCF8D">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6A51B9CB">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”系指是指响应招标、参加投标竞争的法人、其他组织或者自然人。</w:t>
      </w:r>
    </w:p>
    <w:p w14:paraId="39326295">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DF8C094">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“公章”系指单位法定名称章。因特殊原因需要使用冠以法定名称的业务专用章的，投标时须提供《业务专用章使用说明函》（附件4）。</w:t>
      </w:r>
    </w:p>
    <w:p w14:paraId="5D331EB9">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0CDDB00C">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2.7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61A59732">
      <w:pPr>
        <w:keepNext w:val="0"/>
        <w:keepLines w:val="0"/>
        <w:pageBreakBefore w:val="0"/>
        <w:shd w:val="clear"/>
        <w:kinsoku/>
        <w:wordWrap/>
        <w:overflowPunct/>
        <w:topLinePunct w:val="0"/>
        <w:bidi w:val="0"/>
        <w:spacing w:beforeAutospacing="0" w:line="348" w:lineRule="auto"/>
        <w:ind w:firstLine="211" w:firstLineChars="1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57C6B866">
      <w:pPr>
        <w:keepNext w:val="0"/>
        <w:keepLines w:val="0"/>
        <w:pageBreakBefore w:val="0"/>
        <w:shd w:val="clear"/>
        <w:kinsoku/>
        <w:wordWrap/>
        <w:overflowPunct/>
        <w:topLinePunct w:val="0"/>
        <w:bidi w:val="0"/>
        <w:spacing w:beforeAutospacing="0" w:line="348" w:lineRule="auto"/>
        <w:ind w:firstLine="210" w:firstLineChars="1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60582609">
      <w:pPr>
        <w:keepNext w:val="0"/>
        <w:keepLines w:val="0"/>
        <w:pageBreakBefore w:val="0"/>
        <w:shd w:val="clear"/>
        <w:kinsoku/>
        <w:wordWrap/>
        <w:overflowPunct/>
        <w:topLinePunct w:val="0"/>
        <w:bidi w:val="0"/>
        <w:spacing w:beforeAutospacing="0" w:line="348" w:lineRule="auto"/>
        <w:ind w:firstLine="210" w:firstLineChars="1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5ED69A22">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须按招标文件要求提供相关产品认证证书。</w:t>
      </w:r>
    </w:p>
    <w:p w14:paraId="38C0730B">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和合同，具体性能指标要求参考相关绿色建材政府采购需求标准。</w:t>
      </w:r>
    </w:p>
    <w:p w14:paraId="54586213">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1"/>
          <w:szCs w:val="21"/>
          <w:highlight w:val="none"/>
        </w:rPr>
        <w:t>鼓励采购单位优先采购秸秆环保板材等资源综合利用产品。鼓励采购单位优先采购绿色物流配送服务、提供新能源交通工具的租赁服务。</w:t>
      </w:r>
    </w:p>
    <w:p w14:paraId="00A7E387">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0067C25">
      <w:pPr>
        <w:keepNext w:val="0"/>
        <w:keepLines w:val="0"/>
        <w:pageBreakBefore w:val="0"/>
        <w:shd w:val="clear"/>
        <w:kinsoku/>
        <w:wordWrap/>
        <w:overflowPunct/>
        <w:topLinePunct w:val="0"/>
        <w:bidi w:val="0"/>
        <w:spacing w:beforeAutospacing="0" w:line="348" w:lineRule="auto"/>
        <w:ind w:firstLine="210" w:firstLineChars="1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40F43B23">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DB89714">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4A421A10">
      <w:pPr>
        <w:keepNext w:val="0"/>
        <w:keepLines w:val="0"/>
        <w:pageBreakBefore w:val="0"/>
        <w:widowControl/>
        <w:shd w:val="clear"/>
        <w:kinsoku/>
        <w:wordWrap/>
        <w:overflowPunct/>
        <w:topLinePunct w:val="0"/>
        <w:bidi w:val="0"/>
        <w:spacing w:beforeAutospacing="0" w:line="348" w:lineRule="auto"/>
        <w:ind w:firstLine="420" w:firstLineChars="200"/>
        <w:jc w:val="left"/>
        <w:textAlignment w:val="auto"/>
        <w:outlineLvl w:val="9"/>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提供的货物符合下列情形的，享受中小企业扶持政策：在货物采购项目中，货物由中小企业制造，即货物由中小企业生产且使用该中小企业商号或者注册商标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在货物采购项目中，</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提供的货物既有中小企业制造货物，也有大型企业制造货物的，不享受中小企业扶持政策。</w:t>
      </w:r>
    </w:p>
    <w:p w14:paraId="768F4576">
      <w:pPr>
        <w:keepNext w:val="0"/>
        <w:keepLines w:val="0"/>
        <w:pageBreakBefore w:val="0"/>
        <w:widowControl/>
        <w:shd w:val="clear"/>
        <w:kinsoku/>
        <w:wordWrap/>
        <w:overflowPunct/>
        <w:topLinePunct w:val="0"/>
        <w:bidi w:val="0"/>
        <w:spacing w:beforeAutospacing="0" w:line="348" w:lineRule="auto"/>
        <w:ind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0139289F">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1"/>
          <w:szCs w:val="21"/>
          <w:highlight w:val="none"/>
        </w:rPr>
        <w:t>联合协议或者分包意向协议约定小微企业的合同份额占到合同总金额30%以上的</w:t>
      </w:r>
      <w:bookmarkEnd w:id="17"/>
      <w:r>
        <w:rPr>
          <w:rFonts w:hint="eastAsia" w:ascii="宋体" w:hAnsi="宋体" w:cs="宋体"/>
          <w:color w:val="auto"/>
          <w:sz w:val="21"/>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F9A0A65">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1"/>
          <w:szCs w:val="21"/>
          <w:highlight w:val="none"/>
          <w:lang w:eastAsia="zh-CN"/>
        </w:rPr>
        <w:t>；</w:t>
      </w:r>
    </w:p>
    <w:p w14:paraId="0BD533D6">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8B46F5">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应按照招标文件格式要求提供《中小企业声明函》，</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提供的《中小企业声明函》与实际情况不符的，不享受中小企业扶持政策。声明内容不实的，属于提供虚假材料谋取中标、成交的，依法承担法律责任。</w:t>
      </w:r>
    </w:p>
    <w:p w14:paraId="1F567FFB">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BDE8394">
      <w:pPr>
        <w:keepNext w:val="0"/>
        <w:keepLines w:val="0"/>
        <w:pageBreakBefore w:val="0"/>
        <w:shd w:val="clear"/>
        <w:kinsoku/>
        <w:wordWrap/>
        <w:overflowPunct/>
        <w:topLinePunct w:val="0"/>
        <w:bidi w:val="0"/>
        <w:spacing w:beforeAutospacing="0" w:line="348" w:lineRule="auto"/>
        <w:ind w:firstLine="210" w:firstLineChars="1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585D3FA3">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3.4.1 对省级以上主管部门认定的首台套产品，自纳入《省推广应用指导目录》起三年内参加政府采购活动，视同已具备相应销售业绩，业绩分为满分。</w:t>
      </w:r>
    </w:p>
    <w:p w14:paraId="548DBAB5">
      <w:pPr>
        <w:keepNext w:val="0"/>
        <w:keepLines w:val="0"/>
        <w:pageBreakBefore w:val="0"/>
        <w:shd w:val="clear"/>
        <w:kinsoku/>
        <w:wordWrap/>
        <w:overflowPunct/>
        <w:topLinePunct w:val="0"/>
        <w:bidi w:val="0"/>
        <w:spacing w:beforeAutospacing="0" w:line="348" w:lineRule="auto"/>
        <w:ind w:firstLine="210" w:firstLineChars="1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59225094">
      <w:pPr>
        <w:keepNext w:val="0"/>
        <w:keepLines w:val="0"/>
        <w:pageBreakBefore w:val="0"/>
        <w:shd w:val="clear"/>
        <w:kinsoku/>
        <w:wordWrap/>
        <w:overflowPunct/>
        <w:topLinePunct w:val="0"/>
        <w:bidi w:val="0"/>
        <w:spacing w:beforeAutospacing="0" w:line="348" w:lineRule="auto"/>
        <w:ind w:firstLine="420" w:firstLineChars="200"/>
        <w:textAlignment w:val="auto"/>
        <w:outlineLvl w:val="9"/>
        <w:rPr>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eastAsia="宋体" w:cs="宋体"/>
          <w:b/>
          <w:color w:val="auto"/>
          <w:sz w:val="21"/>
          <w:szCs w:val="21"/>
          <w:highlight w:val="none"/>
        </w:rPr>
        <w:t>4. 询问、质疑、投诉</w:t>
      </w:r>
    </w:p>
    <w:p w14:paraId="4C411E4E">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lang w:val="zh-CN"/>
        </w:rPr>
      </w:pPr>
      <w:r>
        <w:rPr>
          <w:rFonts w:hint="eastAsia"/>
          <w:color w:val="auto"/>
          <w:sz w:val="21"/>
          <w:szCs w:val="21"/>
          <w:highlight w:val="none"/>
          <w:lang w:val="zh-CN"/>
        </w:rPr>
        <w:t>4.1在线询问、质疑、投诉</w:t>
      </w:r>
    </w:p>
    <w:p w14:paraId="34EF3FAB">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lang w:val="zh-CN"/>
        </w:rPr>
      </w:pPr>
      <w:r>
        <w:rPr>
          <w:rFonts w:hint="eastAsia"/>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727709">
      <w:pPr>
        <w:keepNext w:val="0"/>
        <w:keepLines w:val="0"/>
        <w:pageBreakBefore w:val="0"/>
        <w:shd w:val="clear"/>
        <w:kinsoku/>
        <w:wordWrap/>
        <w:overflowPunct/>
        <w:topLinePunct w:val="0"/>
        <w:autoSpaceDE w:val="0"/>
        <w:autoSpaceDN w:val="0"/>
        <w:bidi w:val="0"/>
        <w:spacing w:beforeAutospacing="0" w:line="348" w:lineRule="auto"/>
        <w:ind w:firstLine="210" w:firstLineChars="100"/>
        <w:jc w:val="left"/>
        <w:textAlignment w:val="auto"/>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F031E93">
      <w:pPr>
        <w:keepNext w:val="0"/>
        <w:keepLines w:val="0"/>
        <w:pageBreakBefore w:val="0"/>
        <w:shd w:val="clear"/>
        <w:kinsoku/>
        <w:wordWrap/>
        <w:overflowPunct/>
        <w:topLinePunct w:val="0"/>
        <w:autoSpaceDE w:val="0"/>
        <w:autoSpaceDN w:val="0"/>
        <w:bidi w:val="0"/>
        <w:spacing w:beforeAutospacing="0" w:line="348" w:lineRule="auto"/>
        <w:ind w:firstLine="420" w:firstLineChars="200"/>
        <w:jc w:val="left"/>
        <w:textAlignment w:val="auto"/>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C7462D">
      <w:pPr>
        <w:keepNext w:val="0"/>
        <w:keepLines w:val="0"/>
        <w:pageBreakBefore w:val="0"/>
        <w:shd w:val="clear"/>
        <w:kinsoku/>
        <w:wordWrap/>
        <w:overflowPunct/>
        <w:topLinePunct w:val="0"/>
        <w:autoSpaceDE w:val="0"/>
        <w:autoSpaceDN w:val="0"/>
        <w:bidi w:val="0"/>
        <w:spacing w:beforeAutospacing="0" w:line="348" w:lineRule="auto"/>
        <w:ind w:firstLine="210" w:firstLineChars="100"/>
        <w:jc w:val="left"/>
        <w:textAlignment w:val="auto"/>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1831D93E">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7615A5DF">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61002F4D">
      <w:pPr>
        <w:pStyle w:val="7"/>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71EB9E82">
      <w:pPr>
        <w:pStyle w:val="35"/>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253CD784">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6C631EF8">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4.3.3.1供应商的姓名或者名称、地址、邮编、联系人及联系电话；</w:t>
      </w:r>
    </w:p>
    <w:p w14:paraId="12D1EA88">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4.3.3.2质疑项目的名称、编号；</w:t>
      </w:r>
    </w:p>
    <w:p w14:paraId="23CD8168">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4.3.3.3具体、明确的质疑事项和与质疑事项相关的请求；</w:t>
      </w:r>
    </w:p>
    <w:p w14:paraId="6A9D679B">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4.3.3.4事实依据；</w:t>
      </w:r>
    </w:p>
    <w:p w14:paraId="59F1B2E3">
      <w:pPr>
        <w:pStyle w:val="35"/>
        <w:keepNext w:val="0"/>
        <w:keepLines w:val="0"/>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4.3.3.5必要的法律依据；</w:t>
      </w:r>
    </w:p>
    <w:p w14:paraId="31D0843D">
      <w:pPr>
        <w:pStyle w:val="35"/>
        <w:keepNext w:val="0"/>
        <w:keepLines w:val="0"/>
        <w:pageBreakBefore w:val="0"/>
        <w:shd w:val="clear"/>
        <w:kinsoku/>
        <w:wordWrap/>
        <w:overflowPunct/>
        <w:topLinePunct w:val="0"/>
        <w:bidi w:val="0"/>
        <w:spacing w:beforeAutospacing="0" w:line="348" w:lineRule="auto"/>
        <w:ind w:firstLine="840" w:firstLineChars="400"/>
        <w:textAlignment w:val="auto"/>
        <w:outlineLvl w:val="9"/>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C501967">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供应商提交的质疑函需一式三份。供应商为自然人的，应当由本人签字</w:t>
      </w:r>
      <w:r>
        <w:rPr>
          <w:rFonts w:hint="eastAsia"/>
          <w:color w:val="auto"/>
          <w:sz w:val="21"/>
          <w:szCs w:val="21"/>
          <w:highlight w:val="none"/>
          <w:lang w:eastAsia="zh-CN"/>
        </w:rPr>
        <w:t>；</w:t>
      </w:r>
      <w:r>
        <w:rPr>
          <w:rFonts w:hint="eastAsia"/>
          <w:color w:val="auto"/>
          <w:sz w:val="21"/>
          <w:szCs w:val="21"/>
          <w:highlight w:val="none"/>
        </w:rPr>
        <w:t>供应商为法人或者其他组织的，应当由法定代表人、主要负责人，或者其授权代表签字或者盖章，并加盖公章。</w:t>
      </w:r>
    </w:p>
    <w:p w14:paraId="310B47DD">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质疑函范本及制作说明详见附件2。</w:t>
      </w:r>
    </w:p>
    <w:p w14:paraId="63792078">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82D0E9C">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1"/>
          <w:szCs w:val="21"/>
          <w:highlight w:val="none"/>
        </w:rPr>
        <w:t>根据《</w:t>
      </w:r>
      <w:r>
        <w:rPr>
          <w:rFonts w:hint="eastAsia" w:asciiTheme="minorEastAsia" w:hAnsiTheme="minorEastAsia" w:eastAsiaTheme="minorEastAsia"/>
          <w:color w:val="auto"/>
          <w:sz w:val="21"/>
          <w:szCs w:val="21"/>
          <w:highlight w:val="none"/>
          <w:lang w:val="en-US" w:eastAsia="zh-CN"/>
        </w:rPr>
        <w:t>浙江省财政厅</w:t>
      </w:r>
      <w:r>
        <w:rPr>
          <w:rFonts w:hint="eastAsia" w:asciiTheme="minorEastAsia" w:hAnsiTheme="minorEastAsia" w:eastAsiaTheme="minorEastAsia"/>
          <w:color w:val="auto"/>
          <w:sz w:val="21"/>
          <w:szCs w:val="21"/>
          <w:highlight w:val="none"/>
        </w:rPr>
        <w:t>关于进一步加强政府采购公</w:t>
      </w:r>
      <w:r>
        <w:rPr>
          <w:rFonts w:hint="eastAsia" w:asciiTheme="minorEastAsia" w:hAnsiTheme="minorEastAsia" w:eastAsiaTheme="minorEastAsia"/>
          <w:color w:val="auto"/>
          <w:sz w:val="21"/>
          <w:szCs w:val="21"/>
          <w:highlight w:val="none"/>
          <w:lang w:val="en-US" w:eastAsia="zh-CN"/>
        </w:rPr>
        <w:t>平竞争打造最</w:t>
      </w:r>
      <w:r>
        <w:rPr>
          <w:rFonts w:hint="eastAsia" w:asciiTheme="minorEastAsia" w:hAnsiTheme="minorEastAsia" w:eastAsiaTheme="minorEastAsia"/>
          <w:color w:val="auto"/>
          <w:sz w:val="21"/>
          <w:szCs w:val="21"/>
          <w:highlight w:val="none"/>
        </w:rPr>
        <w:t>优营商环境的通知》（</w:t>
      </w:r>
      <w:r>
        <w:rPr>
          <w:rFonts w:hint="eastAsia" w:asciiTheme="minorEastAsia" w:hAnsiTheme="minorEastAsia" w:eastAsiaTheme="minorEastAsia"/>
          <w:color w:val="auto"/>
          <w:sz w:val="21"/>
          <w:szCs w:val="21"/>
          <w:highlight w:val="none"/>
          <w:lang w:val="en-US" w:eastAsia="zh-CN"/>
        </w:rPr>
        <w:t>浙</w:t>
      </w:r>
      <w:r>
        <w:rPr>
          <w:rFonts w:hint="eastAsia" w:asciiTheme="minorEastAsia" w:hAnsiTheme="minorEastAsia" w:eastAsiaTheme="minorEastAsia"/>
          <w:color w:val="auto"/>
          <w:sz w:val="21"/>
          <w:szCs w:val="21"/>
          <w:highlight w:val="none"/>
        </w:rPr>
        <w:t>财采监〔</w:t>
      </w:r>
      <w:r>
        <w:rPr>
          <w:rFonts w:asciiTheme="minorEastAsia" w:hAnsiTheme="minorEastAsia" w:eastAsiaTheme="minorEastAsia"/>
          <w:color w:val="auto"/>
          <w:sz w:val="21"/>
          <w:szCs w:val="21"/>
          <w:highlight w:val="none"/>
        </w:rPr>
        <w:t>2021〕</w:t>
      </w:r>
      <w:r>
        <w:rPr>
          <w:rFonts w:hint="eastAsia" w:asciiTheme="minorEastAsia" w:hAnsiTheme="minorEastAsia" w:eastAsiaTheme="minorEastAsia"/>
          <w:color w:val="auto"/>
          <w:sz w:val="21"/>
          <w:szCs w:val="21"/>
          <w:highlight w:val="none"/>
          <w:lang w:val="en-US" w:eastAsia="zh-CN"/>
        </w:rPr>
        <w:t>22</w:t>
      </w:r>
      <w:r>
        <w:rPr>
          <w:rFonts w:asciiTheme="minorEastAsia" w:hAnsiTheme="minorEastAsia" w:eastAsiaTheme="minorEastAsia"/>
          <w:color w:val="auto"/>
          <w:sz w:val="21"/>
          <w:szCs w:val="21"/>
          <w:highlight w:val="none"/>
        </w:rPr>
        <w:t>号）</w:t>
      </w:r>
      <w:r>
        <w:rPr>
          <w:rFonts w:hint="eastAsia"/>
          <w:color w:val="auto"/>
          <w:sz w:val="21"/>
          <w:szCs w:val="21"/>
          <w:highlight w:val="none"/>
        </w:rPr>
        <w:t>,采购人或者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2933EB9D">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5C230C39">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20" w:firstLineChars="200"/>
        <w:contextualSpacing/>
        <w:textAlignment w:val="auto"/>
        <w:outlineLvl w:val="9"/>
        <w:rPr>
          <w:color w:val="auto"/>
          <w:sz w:val="21"/>
          <w:szCs w:val="21"/>
          <w:highlight w:val="none"/>
          <w:lang w:val="zh-CN"/>
        </w:rPr>
      </w:pPr>
      <w:r>
        <w:rPr>
          <w:rFonts w:hint="eastAsia"/>
          <w:color w:val="auto"/>
          <w:sz w:val="21"/>
          <w:szCs w:val="21"/>
          <w:highlight w:val="none"/>
          <w:lang w:val="zh-CN"/>
        </w:rPr>
        <w:t>4.4供应商投诉</w:t>
      </w:r>
    </w:p>
    <w:p w14:paraId="7FF2C153">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5F39B883">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5641354D">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4.4.3供应商投诉应当有明确的请求和必要的证明材料。</w:t>
      </w:r>
    </w:p>
    <w:p w14:paraId="3C33BC08">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4A6E9EA2">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20" w:firstLineChars="200"/>
        <w:contextualSpacing/>
        <w:textAlignment w:val="auto"/>
        <w:outlineLvl w:val="9"/>
        <w:rPr>
          <w:color w:val="auto"/>
          <w:sz w:val="21"/>
          <w:szCs w:val="21"/>
          <w:highlight w:val="none"/>
        </w:rPr>
      </w:pPr>
      <w:r>
        <w:rPr>
          <w:rFonts w:hint="eastAsia"/>
          <w:color w:val="auto"/>
          <w:sz w:val="21"/>
          <w:szCs w:val="21"/>
          <w:highlight w:val="none"/>
        </w:rPr>
        <w:t>4.4.5投诉材料</w:t>
      </w:r>
      <w:r>
        <w:rPr>
          <w:rFonts w:hint="eastAsia" w:ascii="宋体" w:hAnsi="Courier New"/>
          <w:color w:val="auto"/>
          <w:sz w:val="21"/>
          <w:szCs w:val="21"/>
          <w:highlight w:val="none"/>
        </w:rPr>
        <w:t>寄送</w:t>
      </w:r>
      <w:r>
        <w:rPr>
          <w:rFonts w:hint="eastAsia"/>
          <w:color w:val="auto"/>
          <w:sz w:val="21"/>
          <w:szCs w:val="21"/>
          <w:highlight w:val="none"/>
          <w:lang w:val="en-US" w:eastAsia="zh-CN"/>
        </w:rPr>
        <w:t>相关信息详见《第一部分  招标公告》。</w:t>
      </w:r>
    </w:p>
    <w:p w14:paraId="19C1DEAE">
      <w:pPr>
        <w:pStyle w:val="890"/>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sz w:val="21"/>
          <w:szCs w:val="21"/>
          <w:highlight w:val="none"/>
        </w:rPr>
      </w:pPr>
      <w:r>
        <w:rPr>
          <w:rFonts w:hint="eastAsia"/>
          <w:color w:val="auto"/>
          <w:sz w:val="21"/>
          <w:szCs w:val="21"/>
          <w:highlight w:val="none"/>
        </w:rPr>
        <w:t>投诉书范本及制作说明详见附件3。</w:t>
      </w:r>
    </w:p>
    <w:p w14:paraId="5F698AD6">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14:paraId="783CDCCD">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sz w:val="21"/>
          <w:szCs w:val="21"/>
          <w:highlight w:val="none"/>
        </w:rPr>
        <w:t>5．招标文件的构成</w:t>
      </w:r>
    </w:p>
    <w:p w14:paraId="641D027C">
      <w:pPr>
        <w:pStyle w:val="35"/>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4DCCC0DE">
      <w:pPr>
        <w:pStyle w:val="35"/>
        <w:pageBreakBefore w:val="0"/>
        <w:shd w:val="clear"/>
        <w:tabs>
          <w:tab w:val="left" w:pos="840"/>
        </w:tabs>
        <w:kinsoku/>
        <w:wordWrap/>
        <w:overflowPunct/>
        <w:topLinePunct w:val="0"/>
        <w:bidi w:val="0"/>
        <w:spacing w:beforeAutospacing="0" w:line="348" w:lineRule="auto"/>
        <w:ind w:firstLine="840" w:firstLineChars="400"/>
        <w:textAlignment w:val="auto"/>
        <w:outlineLvl w:val="9"/>
        <w:rPr>
          <w:rFonts w:hint="eastAsia" w:hAnsi="宋体" w:eastAsia="宋体" w:cs="宋体"/>
          <w:color w:val="auto"/>
          <w:sz w:val="21"/>
          <w:szCs w:val="21"/>
          <w:highlight w:val="none"/>
          <w:lang w:eastAsia="zh-CN"/>
        </w:rPr>
      </w:pPr>
      <w:r>
        <w:rPr>
          <w:rFonts w:hint="eastAsia" w:hAnsi="宋体" w:cs="宋体"/>
          <w:color w:val="auto"/>
          <w:sz w:val="21"/>
          <w:szCs w:val="21"/>
          <w:highlight w:val="none"/>
        </w:rPr>
        <w:t>5.1.1招标公告</w:t>
      </w:r>
      <w:r>
        <w:rPr>
          <w:rFonts w:hint="eastAsia" w:hAnsi="宋体" w:cs="宋体"/>
          <w:color w:val="auto"/>
          <w:sz w:val="21"/>
          <w:szCs w:val="21"/>
          <w:highlight w:val="none"/>
          <w:lang w:eastAsia="zh-CN"/>
        </w:rPr>
        <w:t>；</w:t>
      </w:r>
    </w:p>
    <w:p w14:paraId="1AA4348A">
      <w:pPr>
        <w:pStyle w:val="35"/>
        <w:pageBreakBefore w:val="0"/>
        <w:shd w:val="clear"/>
        <w:tabs>
          <w:tab w:val="left" w:pos="840"/>
        </w:tabs>
        <w:kinsoku/>
        <w:wordWrap/>
        <w:overflowPunct/>
        <w:topLinePunct w:val="0"/>
        <w:bidi w:val="0"/>
        <w:spacing w:beforeAutospacing="0" w:line="348" w:lineRule="auto"/>
        <w:ind w:firstLine="840" w:firstLineChars="400"/>
        <w:textAlignment w:val="auto"/>
        <w:outlineLvl w:val="9"/>
        <w:rPr>
          <w:rFonts w:hint="eastAsia" w:hAnsi="宋体" w:eastAsia="宋体" w:cs="宋体"/>
          <w:color w:val="auto"/>
          <w:sz w:val="21"/>
          <w:szCs w:val="21"/>
          <w:highlight w:val="none"/>
          <w:lang w:eastAsia="zh-CN"/>
        </w:rPr>
      </w:pPr>
      <w:r>
        <w:rPr>
          <w:rFonts w:hint="eastAsia" w:hAnsi="宋体" w:cs="宋体"/>
          <w:color w:val="auto"/>
          <w:sz w:val="21"/>
          <w:szCs w:val="21"/>
          <w:highlight w:val="none"/>
        </w:rPr>
        <w:t>5.1.2</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须知</w:t>
      </w:r>
      <w:r>
        <w:rPr>
          <w:rFonts w:hint="eastAsia" w:hAnsi="宋体" w:cs="宋体"/>
          <w:color w:val="auto"/>
          <w:sz w:val="21"/>
          <w:szCs w:val="21"/>
          <w:highlight w:val="none"/>
          <w:lang w:eastAsia="zh-CN"/>
        </w:rPr>
        <w:t>；</w:t>
      </w:r>
    </w:p>
    <w:p w14:paraId="52D0D50B">
      <w:pPr>
        <w:pStyle w:val="35"/>
        <w:pageBreakBefore w:val="0"/>
        <w:shd w:val="clear"/>
        <w:tabs>
          <w:tab w:val="left" w:pos="840"/>
        </w:tabs>
        <w:kinsoku/>
        <w:wordWrap/>
        <w:overflowPunct/>
        <w:topLinePunct w:val="0"/>
        <w:bidi w:val="0"/>
        <w:spacing w:beforeAutospacing="0" w:line="348" w:lineRule="auto"/>
        <w:ind w:firstLine="840" w:firstLineChars="400"/>
        <w:textAlignment w:val="auto"/>
        <w:outlineLvl w:val="9"/>
        <w:rPr>
          <w:rFonts w:hint="eastAsia" w:hAnsi="宋体" w:eastAsia="宋体" w:cs="宋体"/>
          <w:color w:val="auto"/>
          <w:sz w:val="21"/>
          <w:szCs w:val="21"/>
          <w:highlight w:val="none"/>
          <w:lang w:eastAsia="zh-CN"/>
        </w:rPr>
      </w:pPr>
      <w:r>
        <w:rPr>
          <w:rFonts w:hint="eastAsia" w:hAnsi="宋体" w:cs="宋体"/>
          <w:color w:val="auto"/>
          <w:sz w:val="21"/>
          <w:szCs w:val="21"/>
          <w:highlight w:val="none"/>
        </w:rPr>
        <w:t>5.1.3采购需求</w:t>
      </w:r>
      <w:r>
        <w:rPr>
          <w:rFonts w:hint="eastAsia" w:hAnsi="宋体" w:cs="宋体"/>
          <w:color w:val="auto"/>
          <w:sz w:val="21"/>
          <w:szCs w:val="21"/>
          <w:highlight w:val="none"/>
          <w:lang w:eastAsia="zh-CN"/>
        </w:rPr>
        <w:t>；</w:t>
      </w:r>
    </w:p>
    <w:p w14:paraId="0F2C8492">
      <w:pPr>
        <w:pStyle w:val="35"/>
        <w:pageBreakBefore w:val="0"/>
        <w:shd w:val="clear"/>
        <w:tabs>
          <w:tab w:val="left" w:pos="840"/>
        </w:tabs>
        <w:kinsoku/>
        <w:wordWrap/>
        <w:overflowPunct/>
        <w:topLinePunct w:val="0"/>
        <w:bidi w:val="0"/>
        <w:spacing w:beforeAutospacing="0" w:line="348" w:lineRule="auto"/>
        <w:ind w:firstLine="840" w:firstLineChars="400"/>
        <w:textAlignment w:val="auto"/>
        <w:outlineLvl w:val="9"/>
        <w:rPr>
          <w:rFonts w:hint="eastAsia" w:hAnsi="宋体" w:eastAsia="宋体" w:cs="宋体"/>
          <w:color w:val="auto"/>
          <w:sz w:val="21"/>
          <w:szCs w:val="21"/>
          <w:highlight w:val="none"/>
          <w:lang w:eastAsia="zh-CN"/>
        </w:rPr>
      </w:pPr>
      <w:r>
        <w:rPr>
          <w:rFonts w:hint="eastAsia" w:hAnsi="宋体" w:cs="宋体"/>
          <w:color w:val="auto"/>
          <w:sz w:val="21"/>
          <w:szCs w:val="21"/>
          <w:highlight w:val="none"/>
        </w:rPr>
        <w:t>5.1.4评标办法</w:t>
      </w:r>
      <w:r>
        <w:rPr>
          <w:rFonts w:hint="eastAsia" w:hAnsi="宋体" w:cs="宋体"/>
          <w:color w:val="auto"/>
          <w:sz w:val="21"/>
          <w:szCs w:val="21"/>
          <w:highlight w:val="none"/>
          <w:lang w:eastAsia="zh-CN"/>
        </w:rPr>
        <w:t>；</w:t>
      </w:r>
    </w:p>
    <w:p w14:paraId="305616A9">
      <w:pPr>
        <w:pStyle w:val="35"/>
        <w:pageBreakBefore w:val="0"/>
        <w:shd w:val="clear"/>
        <w:tabs>
          <w:tab w:val="left" w:pos="840"/>
        </w:tabs>
        <w:kinsoku/>
        <w:wordWrap/>
        <w:overflowPunct/>
        <w:topLinePunct w:val="0"/>
        <w:bidi w:val="0"/>
        <w:spacing w:beforeAutospacing="0" w:line="348" w:lineRule="auto"/>
        <w:ind w:firstLine="840" w:firstLineChars="400"/>
        <w:textAlignment w:val="auto"/>
        <w:outlineLvl w:val="9"/>
        <w:rPr>
          <w:rFonts w:hint="eastAsia" w:hAnsi="宋体" w:eastAsia="宋体" w:cs="宋体"/>
          <w:color w:val="auto"/>
          <w:sz w:val="21"/>
          <w:szCs w:val="21"/>
          <w:highlight w:val="none"/>
          <w:lang w:eastAsia="zh-CN"/>
        </w:rPr>
      </w:pPr>
      <w:r>
        <w:rPr>
          <w:rFonts w:hint="eastAsia" w:hAnsi="宋体" w:cs="宋体"/>
          <w:color w:val="auto"/>
          <w:sz w:val="21"/>
          <w:szCs w:val="21"/>
          <w:highlight w:val="none"/>
        </w:rPr>
        <w:t>5.1.5拟签订的合同文本</w:t>
      </w:r>
      <w:r>
        <w:rPr>
          <w:rFonts w:hint="eastAsia" w:hAnsi="宋体" w:cs="宋体"/>
          <w:color w:val="auto"/>
          <w:sz w:val="21"/>
          <w:szCs w:val="21"/>
          <w:highlight w:val="none"/>
          <w:lang w:eastAsia="zh-CN"/>
        </w:rPr>
        <w:t>；</w:t>
      </w:r>
    </w:p>
    <w:p w14:paraId="274D1882">
      <w:pPr>
        <w:pStyle w:val="35"/>
        <w:pageBreakBefore w:val="0"/>
        <w:shd w:val="clear"/>
        <w:tabs>
          <w:tab w:val="left" w:pos="840"/>
        </w:tabs>
        <w:kinsoku/>
        <w:wordWrap/>
        <w:overflowPunct/>
        <w:topLinePunct w:val="0"/>
        <w:bidi w:val="0"/>
        <w:spacing w:beforeAutospacing="0" w:line="348" w:lineRule="auto"/>
        <w:ind w:firstLine="840" w:firstLineChars="400"/>
        <w:textAlignment w:val="auto"/>
        <w:outlineLvl w:val="9"/>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3BC0BB5B">
      <w:pPr>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4127BC8D">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sz w:val="21"/>
          <w:szCs w:val="21"/>
          <w:highlight w:val="none"/>
        </w:rPr>
        <w:t>6.招标文件的澄清、修改</w:t>
      </w:r>
    </w:p>
    <w:p w14:paraId="143DABD0">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，若有问题需要澄清，应于投标截止时间前，以书面形式向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1F656C66">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6.2</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对招标文件进行澄清或修改的，将同时通过电子交易平台通知已获取招标文件的潜在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。依法应当公告的，将按规定公告，同时视情况延长投标截止时间和开标时间。该澄清或者修改的内容为招标文件的组成部分。</w:t>
      </w:r>
    </w:p>
    <w:p w14:paraId="1CD5EE8B">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5605452A">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sz w:val="21"/>
          <w:szCs w:val="21"/>
          <w:highlight w:val="none"/>
        </w:rPr>
        <w:t>7.招标文件的获取</w:t>
      </w:r>
    </w:p>
    <w:p w14:paraId="014EFCFC">
      <w:pPr>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44AA1DAD">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A7508AC">
      <w:pPr>
        <w:pStyle w:val="35"/>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sz w:val="21"/>
          <w:szCs w:val="21"/>
          <w:highlight w:val="none"/>
        </w:rPr>
      </w:pPr>
      <w:r>
        <w:rPr>
          <w:rFonts w:hint="eastAsia" w:hAnsi="宋体" w:cs="宋体"/>
          <w:color w:val="auto"/>
          <w:sz w:val="21"/>
          <w:szCs w:val="21"/>
          <w:highlight w:val="none"/>
        </w:rPr>
        <w:t>采购人组织潜在</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现场考察或者召开开标前答疑会的，潜在</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按第二部分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须知前附表的规定参加现场考察或者开标前答疑会。</w:t>
      </w:r>
    </w:p>
    <w:p w14:paraId="530AF098">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kern w:val="28"/>
          <w:sz w:val="21"/>
          <w:szCs w:val="21"/>
          <w:highlight w:val="none"/>
        </w:rPr>
        <w:t>9.投标保证金</w:t>
      </w:r>
    </w:p>
    <w:p w14:paraId="060309FE">
      <w:pPr>
        <w:pStyle w:val="7"/>
        <w:pageBreakBefore w:val="0"/>
        <w:shd w:val="clear"/>
        <w:kinsoku/>
        <w:wordWrap/>
        <w:overflowPunct/>
        <w:topLinePunct w:val="0"/>
        <w:bidi w:val="0"/>
        <w:spacing w:beforeAutospacing="0" w:line="348" w:lineRule="auto"/>
        <w:ind w:firstLine="411" w:firstLineChars="196"/>
        <w:textAlignment w:val="auto"/>
        <w:outlineLvl w:val="9"/>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B410B39">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sz w:val="21"/>
          <w:szCs w:val="21"/>
          <w:highlight w:val="none"/>
        </w:rPr>
        <w:t>10. 投标文件的语言</w:t>
      </w:r>
    </w:p>
    <w:p w14:paraId="729545A2">
      <w:pPr>
        <w:pageBreakBefore w:val="0"/>
        <w:shd w:val="clear"/>
        <w:kinsoku/>
        <w:wordWrap/>
        <w:overflowPunct/>
        <w:topLinePunct w:val="0"/>
        <w:autoSpaceDE w:val="0"/>
        <w:autoSpaceDN w:val="0"/>
        <w:bidi w:val="0"/>
        <w:spacing w:beforeAutospacing="0" w:line="348" w:lineRule="auto"/>
        <w:ind w:firstLine="420" w:firstLineChars="200"/>
        <w:textAlignment w:val="auto"/>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与采购有关的来往通知、函件和文件均应使用中文。</w:t>
      </w:r>
    </w:p>
    <w:p w14:paraId="48534048">
      <w:pPr>
        <w:pStyle w:val="35"/>
        <w:pageBreakBefore w:val="0"/>
        <w:shd w:val="clear"/>
        <w:kinsoku/>
        <w:wordWrap/>
        <w:overflowPunct/>
        <w:topLinePunct w:val="0"/>
        <w:bidi w:val="0"/>
        <w:spacing w:beforeAutospacing="0" w:line="348" w:lineRule="auto"/>
        <w:textAlignment w:val="auto"/>
        <w:outlineLvl w:val="9"/>
        <w:rPr>
          <w:rFonts w:hAnsi="宋体" w:cs="宋体"/>
          <w:b/>
          <w:color w:val="auto"/>
          <w:sz w:val="21"/>
          <w:szCs w:val="21"/>
          <w:highlight w:val="none"/>
        </w:rPr>
      </w:pPr>
      <w:r>
        <w:rPr>
          <w:rFonts w:hint="eastAsia" w:hAnsi="宋体" w:cs="宋体"/>
          <w:b/>
          <w:color w:val="auto"/>
          <w:sz w:val="21"/>
          <w:szCs w:val="21"/>
          <w:highlight w:val="none"/>
        </w:rPr>
        <w:t>11. 投标文件的组成</w:t>
      </w:r>
    </w:p>
    <w:p w14:paraId="2D2531BD">
      <w:pPr>
        <w:pageBreakBefore w:val="0"/>
        <w:shd w:val="clear"/>
        <w:kinsoku/>
        <w:wordWrap/>
        <w:overflowPunct/>
        <w:topLinePunct w:val="0"/>
        <w:bidi w:val="0"/>
        <w:snapToGrid w:val="0"/>
        <w:spacing w:beforeAutospacing="0" w:line="348" w:lineRule="auto"/>
        <w:ind w:firstLine="422" w:firstLineChars="200"/>
        <w:textAlignment w:val="auto"/>
        <w:outlineLvl w:val="9"/>
        <w:rPr>
          <w:rFonts w:ascii="宋体" w:hAnsi="宋体" w:cs="宋体"/>
          <w:b/>
          <w:bCs/>
          <w:color w:val="auto"/>
          <w:sz w:val="21"/>
          <w:szCs w:val="21"/>
          <w:highlight w:val="none"/>
        </w:rPr>
      </w:pPr>
      <w:r>
        <w:rPr>
          <w:rFonts w:hint="eastAsia" w:ascii="宋体" w:hAnsi="宋体" w:cs="宋体"/>
          <w:b/>
          <w:bCs/>
          <w:color w:val="auto"/>
          <w:sz w:val="21"/>
          <w:szCs w:val="21"/>
          <w:highlight w:val="none"/>
        </w:rPr>
        <w:t>11.1资格文件：</w:t>
      </w:r>
    </w:p>
    <w:p w14:paraId="2A48D0C8">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11.1.1符合参加政府采购活动应当具备的一般条件的承诺函</w:t>
      </w:r>
      <w:r>
        <w:rPr>
          <w:rFonts w:hint="eastAsia" w:ascii="宋体" w:hAnsi="宋体" w:cs="宋体"/>
          <w:color w:val="auto"/>
          <w:sz w:val="21"/>
          <w:szCs w:val="21"/>
          <w:highlight w:val="none"/>
          <w:lang w:eastAsia="zh-CN"/>
        </w:rPr>
        <w:t>；</w:t>
      </w:r>
    </w:p>
    <w:p w14:paraId="0C306F3D">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18" w:name="_Hlk101259339"/>
      <w:r>
        <w:rPr>
          <w:rFonts w:hint="eastAsia" w:ascii="宋体" w:hAnsi="宋体" w:cs="宋体"/>
          <w:snapToGrid w:val="0"/>
          <w:color w:val="auto"/>
          <w:kern w:val="28"/>
          <w:sz w:val="21"/>
          <w:szCs w:val="21"/>
          <w:highlight w:val="none"/>
        </w:rPr>
        <w:t>联合协议</w:t>
      </w:r>
      <w:bookmarkEnd w:id="18"/>
      <w:r>
        <w:rPr>
          <w:rFonts w:hint="eastAsia" w:ascii="宋体" w:hAnsi="宋体" w:cs="宋体"/>
          <w:snapToGrid w:val="0"/>
          <w:color w:val="auto"/>
          <w:kern w:val="28"/>
          <w:sz w:val="21"/>
          <w:szCs w:val="21"/>
          <w:highlight w:val="none"/>
        </w:rPr>
        <w:t>（如果有)</w:t>
      </w:r>
      <w:r>
        <w:rPr>
          <w:rFonts w:hint="eastAsia" w:ascii="宋体" w:hAnsi="宋体" w:cs="宋体"/>
          <w:snapToGrid w:val="0"/>
          <w:color w:val="auto"/>
          <w:kern w:val="28"/>
          <w:sz w:val="21"/>
          <w:szCs w:val="21"/>
          <w:highlight w:val="none"/>
          <w:lang w:eastAsia="zh-CN"/>
        </w:rPr>
        <w:t>；</w:t>
      </w:r>
    </w:p>
    <w:p w14:paraId="4DCF7C5D">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lang w:eastAsia="zh-CN"/>
        </w:rPr>
        <w:t>；</w:t>
      </w:r>
    </w:p>
    <w:p w14:paraId="4077642D">
      <w:pPr>
        <w:pageBreakBefore w:val="0"/>
        <w:shd w:val="clear"/>
        <w:kinsoku/>
        <w:wordWrap/>
        <w:overflowPunct/>
        <w:topLinePunct w:val="0"/>
        <w:bidi w:val="0"/>
        <w:snapToGrid w:val="0"/>
        <w:spacing w:beforeAutospacing="0" w:line="348" w:lineRule="auto"/>
        <w:ind w:firstLine="840" w:firstLineChars="4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2FF88871">
      <w:pPr>
        <w:pageBreakBefore w:val="0"/>
        <w:shd w:val="clear"/>
        <w:kinsoku/>
        <w:wordWrap/>
        <w:overflowPunct/>
        <w:topLinePunct w:val="0"/>
        <w:bidi w:val="0"/>
        <w:snapToGrid w:val="0"/>
        <w:spacing w:beforeAutospacing="0" w:line="348" w:lineRule="auto"/>
        <w:ind w:firstLine="422" w:firstLineChars="200"/>
        <w:textAlignment w:val="auto"/>
        <w:outlineLvl w:val="9"/>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11.</w:t>
      </w:r>
      <w:r>
        <w:rPr>
          <w:rFonts w:hint="eastAsia" w:ascii="宋体" w:hAnsi="宋体" w:cs="宋体"/>
          <w:b/>
          <w:bCs/>
          <w:color w:val="auto"/>
          <w:sz w:val="21"/>
          <w:szCs w:val="21"/>
          <w:highlight w:val="none"/>
        </w:rPr>
        <w:t>2商务技术</w:t>
      </w:r>
      <w:r>
        <w:rPr>
          <w:rFonts w:hint="eastAsia" w:ascii="宋体" w:hAnsi="宋体" w:cs="宋体"/>
          <w:b/>
          <w:bCs/>
          <w:color w:val="auto"/>
          <w:sz w:val="21"/>
          <w:szCs w:val="21"/>
          <w:highlight w:val="none"/>
          <w:lang w:val="zh-CN"/>
        </w:rPr>
        <w:t>文件：</w:t>
      </w:r>
    </w:p>
    <w:p w14:paraId="727034BA">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eastAsia="zh-CN"/>
        </w:rPr>
        <w:t>；</w:t>
      </w:r>
    </w:p>
    <w:p w14:paraId="163EBFA9">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11.2.2授权委托书或法定代表人（单位负责人、自然人本人）身份证明</w:t>
      </w:r>
      <w:r>
        <w:rPr>
          <w:rFonts w:hint="eastAsia" w:ascii="宋体" w:hAnsi="宋体" w:cs="宋体"/>
          <w:color w:val="auto"/>
          <w:sz w:val="21"/>
          <w:szCs w:val="21"/>
          <w:highlight w:val="none"/>
          <w:lang w:eastAsia="zh-CN"/>
        </w:rPr>
        <w:t>；</w:t>
      </w:r>
    </w:p>
    <w:p w14:paraId="071DFCD4">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lang w:eastAsia="zh-CN"/>
        </w:rPr>
        <w:t>；</w:t>
      </w:r>
    </w:p>
    <w:p w14:paraId="64807CA6">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r>
        <w:rPr>
          <w:rFonts w:hint="eastAsia" w:ascii="宋体" w:hAnsi="宋体" w:cs="宋体"/>
          <w:color w:val="auto"/>
          <w:sz w:val="21"/>
          <w:szCs w:val="21"/>
          <w:highlight w:val="none"/>
          <w:lang w:eastAsia="zh-CN"/>
        </w:rPr>
        <w:t>；</w:t>
      </w:r>
    </w:p>
    <w:p w14:paraId="5534E5E7">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r>
        <w:rPr>
          <w:rFonts w:hint="eastAsia" w:ascii="宋体" w:hAnsi="宋体" w:cs="宋体"/>
          <w:color w:val="auto"/>
          <w:sz w:val="21"/>
          <w:szCs w:val="21"/>
          <w:highlight w:val="none"/>
          <w:lang w:eastAsia="zh-CN"/>
        </w:rPr>
        <w:t>；</w:t>
      </w:r>
    </w:p>
    <w:p w14:paraId="5E5DA2E4">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w:t>
      </w:r>
      <w:r>
        <w:rPr>
          <w:rFonts w:hint="eastAsia" w:ascii="宋体" w:hAnsi="宋体" w:cs="宋体"/>
          <w:color w:val="auto"/>
          <w:sz w:val="21"/>
          <w:szCs w:val="21"/>
          <w:highlight w:val="none"/>
          <w:lang w:eastAsia="zh-CN"/>
        </w:rPr>
        <w:t>；</w:t>
      </w:r>
    </w:p>
    <w:p w14:paraId="749BF5CA">
      <w:pPr>
        <w:pageBreakBefore w:val="0"/>
        <w:shd w:val="clear"/>
        <w:kinsoku/>
        <w:wordWrap/>
        <w:overflowPunct/>
        <w:topLinePunct w:val="0"/>
        <w:bidi w:val="0"/>
        <w:snapToGrid w:val="0"/>
        <w:spacing w:beforeAutospacing="0" w:line="348" w:lineRule="auto"/>
        <w:ind w:firstLine="840" w:firstLineChars="400"/>
        <w:textAlignment w:val="auto"/>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政府采购供应商廉洁自律承诺书；</w:t>
      </w:r>
    </w:p>
    <w:p w14:paraId="58126339">
      <w:pPr>
        <w:pageBreakBefore w:val="0"/>
        <w:shd w:val="clear"/>
        <w:kinsoku/>
        <w:wordWrap/>
        <w:overflowPunct/>
        <w:topLinePunct w:val="0"/>
        <w:bidi w:val="0"/>
        <w:snapToGrid w:val="0"/>
        <w:spacing w:beforeAutospacing="0" w:line="348" w:lineRule="auto"/>
        <w:ind w:firstLine="422" w:firstLineChars="200"/>
        <w:textAlignment w:val="auto"/>
        <w:outlineLvl w:val="9"/>
        <w:rPr>
          <w:rFonts w:ascii="宋体" w:hAnsi="宋体" w:cs="宋体"/>
          <w:b/>
          <w:bCs/>
          <w:color w:val="auto"/>
          <w:sz w:val="21"/>
          <w:szCs w:val="21"/>
          <w:highlight w:val="none"/>
          <w:u w:val="single"/>
          <w:lang w:val="zh-CN"/>
        </w:rPr>
      </w:pPr>
      <w:r>
        <w:rPr>
          <w:rFonts w:hint="eastAsia" w:ascii="宋体" w:hAnsi="宋体" w:cs="宋体"/>
          <w:b/>
          <w:bCs/>
          <w:color w:val="auto"/>
          <w:kern w:val="0"/>
          <w:sz w:val="21"/>
          <w:szCs w:val="21"/>
          <w:highlight w:val="none"/>
          <w:lang w:val="zh-CN"/>
        </w:rPr>
        <w:t>11.</w:t>
      </w:r>
      <w:r>
        <w:rPr>
          <w:rFonts w:hint="eastAsia" w:ascii="宋体" w:hAnsi="宋体" w:cs="宋体"/>
          <w:b/>
          <w:bCs/>
          <w:color w:val="auto"/>
          <w:kern w:val="0"/>
          <w:sz w:val="21"/>
          <w:szCs w:val="21"/>
          <w:highlight w:val="none"/>
        </w:rPr>
        <w:t>3</w:t>
      </w:r>
      <w:r>
        <w:rPr>
          <w:rFonts w:hint="eastAsia" w:ascii="宋体" w:hAnsi="宋体" w:cs="宋体"/>
          <w:b/>
          <w:bCs/>
          <w:color w:val="auto"/>
          <w:sz w:val="21"/>
          <w:szCs w:val="21"/>
          <w:highlight w:val="none"/>
        </w:rPr>
        <w:t>报价文件：</w:t>
      </w:r>
    </w:p>
    <w:p w14:paraId="6200ECE6">
      <w:pPr>
        <w:pageBreakBefore w:val="0"/>
        <w:shd w:val="clear"/>
        <w:kinsoku/>
        <w:wordWrap/>
        <w:overflowPunct/>
        <w:topLinePunct w:val="0"/>
        <w:bidi w:val="0"/>
        <w:snapToGrid w:val="0"/>
        <w:spacing w:beforeAutospacing="0" w:line="348" w:lineRule="auto"/>
        <w:ind w:firstLine="840" w:firstLineChars="4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11.3.1开标一览表（报价表）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投标分项报价表</w:t>
      </w:r>
      <w:r>
        <w:rPr>
          <w:rFonts w:hint="eastAsia" w:ascii="宋体" w:hAnsi="宋体" w:cs="宋体"/>
          <w:color w:val="auto"/>
          <w:sz w:val="21"/>
          <w:szCs w:val="21"/>
          <w:highlight w:val="none"/>
          <w:lang w:eastAsia="zh-CN"/>
        </w:rPr>
        <w:t>；</w:t>
      </w:r>
    </w:p>
    <w:p w14:paraId="6E3E29F2">
      <w:pPr>
        <w:pageBreakBefore w:val="0"/>
        <w:shd w:val="clear"/>
        <w:kinsoku/>
        <w:wordWrap/>
        <w:overflowPunct/>
        <w:topLinePunct w:val="0"/>
        <w:bidi w:val="0"/>
        <w:snapToGrid w:val="0"/>
        <w:spacing w:beforeAutospacing="0" w:line="348" w:lineRule="auto"/>
        <w:ind w:firstLine="840" w:firstLineChars="4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11.3.2中小企业声明函。</w:t>
      </w:r>
    </w:p>
    <w:p w14:paraId="64D9575E">
      <w:pPr>
        <w:pageBreakBefore w:val="0"/>
        <w:shd w:val="clear"/>
        <w:kinsoku/>
        <w:wordWrap/>
        <w:overflowPunct/>
        <w:topLinePunct w:val="0"/>
        <w:bidi w:val="0"/>
        <w:spacing w:beforeAutospacing="0" w:line="348" w:lineRule="auto"/>
        <w:ind w:firstLine="632" w:firstLineChars="3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lang w:eastAsia="zh-CN"/>
        </w:rPr>
        <w:t>报价明显低于其他通过符合性审查供应商的报价（</w:t>
      </w:r>
      <w:r>
        <w:rPr>
          <w:rFonts w:hint="eastAsia" w:ascii="宋体" w:hAnsi="宋体" w:cs="宋体"/>
          <w:b/>
          <w:color w:val="auto"/>
          <w:sz w:val="21"/>
          <w:szCs w:val="21"/>
          <w:highlight w:val="none"/>
          <w:lang w:val="en-US" w:eastAsia="zh-CN"/>
        </w:rPr>
        <w:t>低于项目预算50%的）</w:t>
      </w:r>
      <w:r>
        <w:rPr>
          <w:rFonts w:hint="eastAsia" w:ascii="宋体" w:hAnsi="宋体" w:cs="宋体"/>
          <w:b/>
          <w:color w:val="auto"/>
          <w:sz w:val="21"/>
          <w:szCs w:val="21"/>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1"/>
          <w:szCs w:val="21"/>
          <w:highlight w:val="none"/>
          <w:lang w:val="en-US" w:eastAsia="zh-CN"/>
        </w:rPr>
        <w:t>其投标无效</w:t>
      </w:r>
      <w:r>
        <w:rPr>
          <w:rFonts w:hint="eastAsia" w:ascii="宋体" w:hAnsi="宋体" w:cs="宋体"/>
          <w:b/>
          <w:color w:val="auto"/>
          <w:sz w:val="21"/>
          <w:szCs w:val="21"/>
          <w:highlight w:val="none"/>
        </w:rPr>
        <w:t>。</w:t>
      </w:r>
    </w:p>
    <w:p w14:paraId="31FF5DF3">
      <w:pPr>
        <w:pStyle w:val="135"/>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2493B6AB">
      <w:pPr>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FE7FAAB">
      <w:pPr>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BE4D110">
      <w:pPr>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38D91366">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15F0065">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的投标文件未按照招标文件要求签署、盖章的，其投标无效</w:t>
      </w:r>
      <w:r>
        <w:rPr>
          <w:rFonts w:hint="eastAsia" w:ascii="宋体" w:hAnsi="宋体" w:cs="宋体"/>
          <w:color w:val="auto"/>
          <w:sz w:val="21"/>
          <w:szCs w:val="21"/>
          <w:highlight w:val="none"/>
        </w:rPr>
        <w:t>。</w:t>
      </w:r>
    </w:p>
    <w:p w14:paraId="04F74564">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应当在投标截止时间前完成在“政府采购云平台”的身份认证，确保在电子投标过程中能够对相关数据电文进行加密和使用电子签名。</w:t>
      </w:r>
    </w:p>
    <w:p w14:paraId="60E4094F">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76B4BB12">
      <w:pPr>
        <w:pStyle w:val="135"/>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BD0F300">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1AF768">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7AE4C4B5">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可以视情况延长投标文件提交的截止时间。在上述情况下，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以前在投标截止期方面的全部权利、责任和义务，将适用于延长至新的投标截止期。</w:t>
      </w:r>
    </w:p>
    <w:p w14:paraId="16F24263">
      <w:pPr>
        <w:pStyle w:val="35"/>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15.备份投标文件</w:t>
      </w:r>
      <w:r>
        <w:rPr>
          <w:rFonts w:hint="eastAsia" w:hAnsi="宋体" w:cs="宋体"/>
          <w:b/>
          <w:color w:val="auto"/>
          <w:sz w:val="21"/>
          <w:szCs w:val="21"/>
          <w:highlight w:val="none"/>
          <w:lang w:eastAsia="zh-CN"/>
        </w:rPr>
        <w:t>（文件后缀为：bfbs）</w:t>
      </w:r>
    </w:p>
    <w:p w14:paraId="24320951">
      <w:pPr>
        <w:pStyle w:val="35"/>
        <w:pageBreakBefore w:val="0"/>
        <w:shd w:val="clear"/>
        <w:kinsoku/>
        <w:wordWrap/>
        <w:overflowPunct/>
        <w:topLinePunct w:val="0"/>
        <w:bidi w:val="0"/>
        <w:spacing w:beforeAutospacing="0" w:line="348" w:lineRule="auto"/>
        <w:ind w:firstLine="315" w:firstLineChars="150"/>
        <w:textAlignment w:val="auto"/>
        <w:outlineLvl w:val="9"/>
        <w:rPr>
          <w:rFonts w:hAnsi="宋体" w:cs="宋体"/>
          <w:b/>
          <w:color w:val="auto"/>
          <w:sz w:val="21"/>
          <w:szCs w:val="21"/>
          <w:highlight w:val="none"/>
        </w:rPr>
      </w:pPr>
      <w:r>
        <w:rPr>
          <w:rFonts w:hint="eastAsia" w:hAnsi="宋体" w:cs="宋体"/>
          <w:color w:val="auto"/>
          <w:sz w:val="21"/>
          <w:szCs w:val="21"/>
          <w:highlight w:val="none"/>
        </w:rPr>
        <w:t>15.1</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w:t>
      </w:r>
      <w:r>
        <w:rPr>
          <w:rFonts w:hint="eastAsia" w:hAnsi="宋体" w:cs="宋体"/>
          <w:b/>
          <w:color w:val="auto"/>
          <w:sz w:val="21"/>
          <w:szCs w:val="21"/>
          <w:highlight w:val="none"/>
          <w:lang w:eastAsia="zh-CN"/>
        </w:rPr>
        <w:t>供应商</w:t>
      </w:r>
      <w:r>
        <w:rPr>
          <w:rFonts w:hint="eastAsia" w:hAnsi="宋体" w:cs="宋体"/>
          <w:b/>
          <w:color w:val="auto"/>
          <w:sz w:val="21"/>
          <w:szCs w:val="21"/>
          <w:highlight w:val="none"/>
        </w:rPr>
        <w:t>提交备份投标文件。</w:t>
      </w:r>
    </w:p>
    <w:p w14:paraId="4EB73404">
      <w:pPr>
        <w:pStyle w:val="35"/>
        <w:pageBreakBefore w:val="0"/>
        <w:shd w:val="clear"/>
        <w:kinsoku/>
        <w:wordWrap/>
        <w:overflowPunct/>
        <w:topLinePunct w:val="0"/>
        <w:bidi w:val="0"/>
        <w:spacing w:beforeAutospacing="0" w:line="348" w:lineRule="auto"/>
        <w:ind w:firstLine="420" w:firstLineChars="200"/>
        <w:textAlignment w:val="auto"/>
        <w:outlineLvl w:val="9"/>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szCs w:val="21"/>
          <w:highlight w:val="none"/>
          <w:lang w:val="en-US" w:eastAsia="zh-CN"/>
        </w:rPr>
        <w:t>U盘</w:t>
      </w:r>
      <w:r>
        <w:rPr>
          <w:rFonts w:hint="eastAsia" w:hAnsi="宋体" w:cs="宋体"/>
          <w:color w:val="auto"/>
          <w:sz w:val="21"/>
          <w:szCs w:val="21"/>
          <w:highlight w:val="none"/>
        </w:rPr>
        <w:t>中。备份投标文件应当密封包装并在包装上加盖公章并注明投标项目名称，</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名称(联合体投标的，包装物封面需注明联合体投标，并注明联合体成员各方的名称和联合协议中约定的牵头人的名称)。</w:t>
      </w:r>
      <w:r>
        <w:rPr>
          <w:rFonts w:hint="eastAsia" w:hAnsi="宋体" w:cs="宋体"/>
          <w:b/>
          <w:color w:val="auto"/>
          <w:sz w:val="21"/>
          <w:szCs w:val="21"/>
          <w:highlight w:val="none"/>
        </w:rPr>
        <w:t>不符合上述制作、存储、密封规定的备份投标文件将被视为无效或者被拒绝接收。</w:t>
      </w:r>
    </w:p>
    <w:p w14:paraId="431C85B1">
      <w:pPr>
        <w:pStyle w:val="35"/>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sz w:val="21"/>
          <w:szCs w:val="21"/>
          <w:highlight w:val="none"/>
        </w:rPr>
      </w:pPr>
      <w:r>
        <w:rPr>
          <w:rFonts w:hint="eastAsia" w:hAnsi="宋体" w:cs="宋体"/>
          <w:color w:val="auto"/>
          <w:sz w:val="21"/>
          <w:szCs w:val="21"/>
          <w:highlight w:val="none"/>
        </w:rPr>
        <w:t>15.3直接提交备份投标文件的，</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应于投标截止时间前在招标公告中载明的开标地点将备份投标文件提交给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将拒绝接受逾期送达的备份投标文件。</w:t>
      </w:r>
    </w:p>
    <w:p w14:paraId="38CF5A3B">
      <w:pPr>
        <w:pStyle w:val="35"/>
        <w:pageBreakBefore w:val="0"/>
        <w:shd w:val="clear"/>
        <w:kinsoku/>
        <w:wordWrap/>
        <w:overflowPunct/>
        <w:topLinePunct w:val="0"/>
        <w:bidi w:val="0"/>
        <w:spacing w:beforeAutospacing="0" w:line="348" w:lineRule="auto"/>
        <w:ind w:firstLine="420" w:firstLineChars="200"/>
        <w:textAlignment w:val="auto"/>
        <w:outlineLvl w:val="9"/>
        <w:rPr>
          <w:rFonts w:hAnsi="宋体" w:cs="宋体"/>
          <w:color w:val="auto"/>
          <w:sz w:val="21"/>
          <w:szCs w:val="21"/>
          <w:highlight w:val="none"/>
        </w:rPr>
      </w:pPr>
      <w:r>
        <w:rPr>
          <w:rFonts w:hint="eastAsia" w:hAnsi="宋体" w:cs="宋体"/>
          <w:color w:val="auto"/>
          <w:sz w:val="21"/>
          <w:szCs w:val="21"/>
          <w:highlight w:val="none"/>
        </w:rPr>
        <w:t>15.4以邮政快递方式递交备份投标文件的，</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w:t>
      </w:r>
      <w:r>
        <w:rPr>
          <w:rFonts w:hint="eastAsia" w:hAnsi="宋体" w:cs="宋体"/>
          <w:snapToGrid/>
          <w:color w:val="auto"/>
          <w:sz w:val="21"/>
          <w:szCs w:val="21"/>
          <w:highlight w:val="none"/>
          <w:lang w:eastAsia="zh-CN"/>
        </w:rPr>
        <w:t>供应商</w:t>
      </w:r>
      <w:r>
        <w:rPr>
          <w:rFonts w:hint="eastAsia" w:hAnsi="宋体" w:cs="宋体"/>
          <w:snapToGrid/>
          <w:color w:val="auto"/>
          <w:sz w:val="21"/>
          <w:szCs w:val="21"/>
          <w:highlight w:val="none"/>
        </w:rPr>
        <w:t>须知前附表规定的备份投标文件送达地点</w:t>
      </w:r>
      <w:r>
        <w:rPr>
          <w:rFonts w:hint="eastAsia" w:hAnsi="宋体" w:cs="宋体"/>
          <w:snapToGrid/>
          <w:color w:val="auto"/>
          <w:sz w:val="21"/>
          <w:szCs w:val="21"/>
          <w:highlight w:val="none"/>
          <w:lang w:eastAsia="zh-CN"/>
        </w:rPr>
        <w:t>；</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将拒绝接受逾期送达的备份投标文件。邮寄过程中，电子备份投标文件发生泄露、遗失、损坏或延期送达等情况的，由</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自行负责。</w:t>
      </w:r>
    </w:p>
    <w:p w14:paraId="58D2BE2E">
      <w:pPr>
        <w:pStyle w:val="35"/>
        <w:pageBreakBefore w:val="0"/>
        <w:shd w:val="clear"/>
        <w:kinsoku/>
        <w:wordWrap/>
        <w:overflowPunct/>
        <w:topLinePunct w:val="0"/>
        <w:bidi w:val="0"/>
        <w:spacing w:beforeAutospacing="0" w:line="348" w:lineRule="auto"/>
        <w:ind w:firstLine="420" w:firstLineChars="199"/>
        <w:textAlignment w:val="auto"/>
        <w:outlineLvl w:val="9"/>
        <w:rPr>
          <w:rFonts w:hAnsi="宋体" w:cs="宋体"/>
          <w:b/>
          <w:color w:val="auto"/>
          <w:sz w:val="21"/>
          <w:szCs w:val="21"/>
          <w:highlight w:val="none"/>
        </w:rPr>
      </w:pPr>
      <w:r>
        <w:rPr>
          <w:rFonts w:hint="eastAsia" w:hAnsi="宋体" w:cs="宋体"/>
          <w:b/>
          <w:color w:val="auto"/>
          <w:sz w:val="21"/>
          <w:szCs w:val="21"/>
          <w:highlight w:val="none"/>
        </w:rPr>
        <w:t>15.5</w:t>
      </w:r>
      <w:r>
        <w:rPr>
          <w:rFonts w:hint="eastAsia" w:hAnsi="宋体" w:cs="宋体"/>
          <w:b/>
          <w:color w:val="auto"/>
          <w:sz w:val="21"/>
          <w:szCs w:val="21"/>
          <w:highlight w:val="none"/>
          <w:lang w:eastAsia="zh-CN"/>
        </w:rPr>
        <w:t>供应商</w:t>
      </w:r>
      <w:r>
        <w:rPr>
          <w:rFonts w:hint="eastAsia" w:hAnsi="宋体" w:cs="宋体"/>
          <w:b/>
          <w:color w:val="auto"/>
          <w:sz w:val="21"/>
          <w:szCs w:val="21"/>
          <w:highlight w:val="none"/>
        </w:rPr>
        <w:t>仅提交备份投标文件，未在电子交易平台传输递交投标文件的，投标无效。</w:t>
      </w:r>
    </w:p>
    <w:p w14:paraId="32D50ED7">
      <w:pPr>
        <w:pStyle w:val="135"/>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55C8AF95">
      <w:pPr>
        <w:pStyle w:val="27"/>
        <w:pageBreakBefore w:val="0"/>
        <w:shd w:val="clear"/>
        <w:kinsoku/>
        <w:wordWrap/>
        <w:overflowPunct/>
        <w:topLinePunct w:val="0"/>
        <w:bidi w:val="0"/>
        <w:spacing w:beforeAutospacing="0" w:line="348" w:lineRule="auto"/>
        <w:ind w:firstLine="315" w:firstLineChars="150"/>
        <w:textAlignment w:val="auto"/>
        <w:outlineLvl w:val="9"/>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5077CBAF">
      <w:pPr>
        <w:pStyle w:val="135"/>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A3C9670">
      <w:pPr>
        <w:pageBreakBefore w:val="0"/>
        <w:shd w:val="clear"/>
        <w:kinsoku/>
        <w:wordWrap/>
        <w:overflowPunct/>
        <w:topLinePunct w:val="0"/>
        <w:bidi w:val="0"/>
        <w:spacing w:beforeAutospacing="0" w:line="348" w:lineRule="auto"/>
        <w:ind w:firstLine="420" w:firstLineChars="200"/>
        <w:textAlignment w:val="auto"/>
        <w:outlineLvl w:val="9"/>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color w:val="auto"/>
          <w:sz w:val="21"/>
          <w:szCs w:val="21"/>
          <w:highlight w:val="none"/>
          <w:lang w:eastAsia="zh-CN"/>
        </w:rPr>
        <w:t>▲</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的投标文件中承诺的投标有效期少于招标文件中载明的投标有效期的，投标无效。</w:t>
      </w:r>
    </w:p>
    <w:p w14:paraId="751094EA">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7A44F6A2">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延长投标有效期。</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同意延长的，不得要求或被允许修改其投标文件，</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拒绝延长的，其投标无效。</w:t>
      </w:r>
    </w:p>
    <w:p w14:paraId="6CDE6111">
      <w:pPr>
        <w:pStyle w:val="135"/>
        <w:pageBreakBefore w:val="0"/>
        <w:shd w:val="clear"/>
        <w:kinsoku/>
        <w:wordWrap/>
        <w:overflowPunct/>
        <w:topLinePunct w:val="0"/>
        <w:bidi w:val="0"/>
        <w:spacing w:before="0" w:beforeAutospacing="0" w:line="348" w:lineRule="auto"/>
        <w:ind w:firstLine="1265" w:firstLineChars="60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649D8B34">
      <w:pPr>
        <w:pStyle w:val="558"/>
        <w:pageBreakBefore w:val="0"/>
        <w:shd w:val="clear"/>
        <w:kinsoku/>
        <w:wordWrap/>
        <w:overflowPunct/>
        <w:topLinePunct w:val="0"/>
        <w:bidi w:val="0"/>
        <w:spacing w:before="0" w:beforeAutospacing="0" w:line="348" w:lineRule="auto"/>
        <w:ind w:left="0" w:firstLine="211" w:firstLineChars="100"/>
        <w:contextualSpacing/>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09D99CA2">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按照招标文件规定的时间通过电子交易平台组织开标，所有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均应当准时在线参加。</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不足3家的，不得开标。</w:t>
      </w:r>
    </w:p>
    <w:p w14:paraId="4CCED4F5">
      <w:pPr>
        <w:pStyle w:val="558"/>
        <w:pageBreakBefore w:val="0"/>
        <w:shd w:val="clear"/>
        <w:kinsoku/>
        <w:wordWrap/>
        <w:overflowPunct/>
        <w:topLinePunct w:val="0"/>
        <w:bidi w:val="0"/>
        <w:spacing w:before="0" w:beforeAutospacing="0" w:line="348" w:lineRule="auto"/>
        <w:ind w:left="0" w:firstLine="210" w:firstLineChars="100"/>
        <w:contextualSpacing/>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按照平台提示和招标文件的规定在半小时内完成在线解密。</w:t>
      </w:r>
    </w:p>
    <w:p w14:paraId="7934C87A">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18.2.1具体</w:t>
      </w:r>
      <w:r>
        <w:rPr>
          <w:rFonts w:hint="eastAsia" w:ascii="宋体" w:hAnsi="宋体" w:eastAsia="宋体" w:cs="宋体"/>
          <w:color w:val="auto"/>
          <w:sz w:val="21"/>
          <w:szCs w:val="21"/>
          <w:highlight w:val="none"/>
          <w:lang w:eastAsia="zh-CN"/>
        </w:rPr>
        <w:t>开标程序：</w:t>
      </w:r>
    </w:p>
    <w:p w14:paraId="67686B31">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w:t>
      </w:r>
    </w:p>
    <w:p w14:paraId="541614E0">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（1）投标截止时间后，供应商登录政府采购云平台，用“项目采购-开标评标”功能对电子投标文件进行在线解密，在线解密电子投标文件时间为开标时间后30分钟内。</w:t>
      </w:r>
    </w:p>
    <w:p w14:paraId="2354ACC3">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（2）在政府采购云平台开启已解密供应商的“资格文件、商务技术文件”，并做开标记录</w:t>
      </w:r>
      <w:r>
        <w:rPr>
          <w:rFonts w:hint="eastAsia" w:ascii="宋体" w:hAnsi="宋体" w:cs="宋体"/>
          <w:color w:val="auto"/>
          <w:sz w:val="21"/>
          <w:szCs w:val="21"/>
          <w:highlight w:val="none"/>
          <w:lang w:val="en-US" w:eastAsia="zh-CN"/>
        </w:rPr>
        <w:t>；</w:t>
      </w:r>
    </w:p>
    <w:p w14:paraId="72C021A7">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第二阶段：</w:t>
      </w:r>
    </w:p>
    <w:p w14:paraId="0108A799">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（1）在政府采购云平台宣告第一阶段评审无效供应商名单及理由</w:t>
      </w:r>
      <w:r>
        <w:rPr>
          <w:rFonts w:hint="eastAsia" w:ascii="宋体" w:hAnsi="宋体" w:cs="宋体"/>
          <w:color w:val="auto"/>
          <w:sz w:val="21"/>
          <w:szCs w:val="21"/>
          <w:highlight w:val="none"/>
          <w:lang w:val="en-US" w:eastAsia="zh-CN"/>
        </w:rPr>
        <w:t>；</w:t>
      </w:r>
    </w:p>
    <w:p w14:paraId="2EBE0985">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（2）公布经第一阶段评审符合招标文件要求的供应商的商务技术得分情况</w:t>
      </w:r>
      <w:r>
        <w:rPr>
          <w:rFonts w:hint="eastAsia" w:ascii="宋体" w:hAnsi="宋体" w:cs="宋体"/>
          <w:color w:val="auto"/>
          <w:sz w:val="21"/>
          <w:szCs w:val="21"/>
          <w:highlight w:val="none"/>
          <w:lang w:val="en-US" w:eastAsia="zh-CN"/>
        </w:rPr>
        <w:t>；</w:t>
      </w:r>
    </w:p>
    <w:p w14:paraId="72576641">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（3）在政府采购云平台开启除第一阶段无效标外的供应商的“报价文件”，并做开标记录</w:t>
      </w:r>
      <w:r>
        <w:rPr>
          <w:rFonts w:hint="eastAsia" w:ascii="宋体" w:hAnsi="宋体" w:cs="宋体"/>
          <w:color w:val="auto"/>
          <w:sz w:val="21"/>
          <w:szCs w:val="21"/>
          <w:highlight w:val="none"/>
          <w:lang w:val="en-US" w:eastAsia="zh-CN"/>
        </w:rPr>
        <w:t>；</w:t>
      </w:r>
    </w:p>
    <w:p w14:paraId="67F91000">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（4）在政府采购云平台公布评审结果。</w:t>
      </w:r>
    </w:p>
    <w:p w14:paraId="33B24B77">
      <w:pPr>
        <w:pStyle w:val="558"/>
        <w:pageBreakBefore w:val="0"/>
        <w:shd w:val="clear"/>
        <w:kinsoku/>
        <w:wordWrap/>
        <w:overflowPunct/>
        <w:topLinePunct w:val="0"/>
        <w:bidi w:val="0"/>
        <w:spacing w:before="0" w:beforeAutospacing="0" w:line="348" w:lineRule="auto"/>
        <w:ind w:left="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（5）开标会议结束。</w:t>
      </w:r>
    </w:p>
    <w:p w14:paraId="72A3AE2B">
      <w:pPr>
        <w:pStyle w:val="558"/>
        <w:pageBreakBefore w:val="0"/>
        <w:shd w:val="clear"/>
        <w:kinsoku/>
        <w:wordWrap/>
        <w:overflowPunct/>
        <w:topLinePunct w:val="0"/>
        <w:bidi w:val="0"/>
        <w:spacing w:before="0" w:beforeAutospacing="0" w:line="348" w:lineRule="auto"/>
        <w:ind w:left="0" w:firstLine="210" w:firstLineChars="100"/>
        <w:contextualSpacing/>
        <w:textAlignment w:val="auto"/>
        <w:outlineLvl w:val="9"/>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提供了备份投标文件的，以备份投标文件作为依据，否则视为投标文件撤回。投标文件已按时解密的，备份投标文件自动失效。</w:t>
      </w:r>
    </w:p>
    <w:p w14:paraId="0F9604EA">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318ECE68">
      <w:pPr>
        <w:pageBreakBefore w:val="0"/>
        <w:shd w:val="clear"/>
        <w:kinsoku/>
        <w:wordWrap/>
        <w:overflowPunct/>
        <w:topLinePunct w:val="0"/>
        <w:bidi w:val="0"/>
        <w:snapToGrid w:val="0"/>
        <w:spacing w:beforeAutospacing="0" w:line="348" w:lineRule="auto"/>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依据法律法规和招标文件的规定，对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2B3963DE">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不具备招标文件中规定的资格要求，其投标无效。</w:t>
      </w:r>
    </w:p>
    <w:p w14:paraId="38E2821E">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65908D3E">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不足3家的，不再评标。</w:t>
      </w:r>
    </w:p>
    <w:p w14:paraId="084975AF">
      <w:pPr>
        <w:pStyle w:val="135"/>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10DF713F">
      <w:pPr>
        <w:pStyle w:val="135"/>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接受资格审查时的信用记录。</w:t>
      </w:r>
    </w:p>
    <w:p w14:paraId="7A268CC3">
      <w:pPr>
        <w:pStyle w:val="135"/>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w:t>
      </w:r>
      <w:r>
        <w:rPr>
          <w:rFonts w:hint="eastAsia" w:ascii="宋体" w:hAnsi="宋体" w:cs="宋体"/>
          <w:color w:val="auto"/>
          <w:kern w:val="0"/>
          <w:sz w:val="21"/>
          <w:szCs w:val="21"/>
          <w:highlight w:val="none"/>
          <w:lang w:eastAsia="zh-CN"/>
        </w:rPr>
        <w:t>招标文件</w:t>
      </w:r>
      <w:r>
        <w:rPr>
          <w:rFonts w:hint="eastAsia" w:ascii="宋体" w:hAnsi="宋体" w:cs="宋体"/>
          <w:color w:val="auto"/>
          <w:kern w:val="0"/>
          <w:sz w:val="21"/>
          <w:szCs w:val="21"/>
          <w:highlight w:val="none"/>
        </w:rPr>
        <w:t>一起存档。</w:t>
      </w:r>
    </w:p>
    <w:p w14:paraId="018869C7">
      <w:pPr>
        <w:pStyle w:val="135"/>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w:t>
      </w:r>
      <w:r>
        <w:rPr>
          <w:rFonts w:hint="eastAsia" w:ascii="宋体" w:hAnsi="宋体" w:cs="宋体"/>
          <w:snapToGrid w:val="0"/>
          <w:color w:val="auto"/>
          <w:kern w:val="28"/>
          <w:sz w:val="21"/>
          <w:szCs w:val="21"/>
          <w:highlight w:val="none"/>
        </w:rPr>
        <w:t>（重大税收违法失信主体）</w:t>
      </w:r>
      <w:r>
        <w:rPr>
          <w:rFonts w:hint="eastAsia" w:ascii="宋体" w:hAnsi="宋体" w:cs="宋体"/>
          <w:color w:val="auto"/>
          <w:kern w:val="0"/>
          <w:sz w:val="21"/>
          <w:szCs w:val="21"/>
          <w:highlight w:val="none"/>
        </w:rPr>
        <w:t>、政府采购严重违法失信行为记录名单的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将被拒绝参与政府采购活动。</w:t>
      </w:r>
    </w:p>
    <w:p w14:paraId="2B9894DF">
      <w:pPr>
        <w:pStyle w:val="135"/>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313538A6">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401AB1A2">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1"/>
          <w:szCs w:val="21"/>
          <w:highlight w:val="none"/>
        </w:rPr>
      </w:pPr>
      <w:bookmarkStart w:id="19"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评标委员会将根据招标文件和有关规定，履行评标工作职责，并按照评标方法及评分标准，全面衡量各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对招标文件的响应情况。对实质上响应招标文件的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，按照评审因素的量化指标排出推荐中标的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详见招标文件第四部分评标办法。</w:t>
      </w:r>
    </w:p>
    <w:p w14:paraId="7A6A50D1">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21"/>
          <w:szCs w:val="21"/>
          <w:highlight w:val="none"/>
        </w:rPr>
      </w:pPr>
    </w:p>
    <w:p w14:paraId="583A8AB4">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21"/>
          <w:szCs w:val="21"/>
          <w:highlight w:val="none"/>
        </w:rPr>
      </w:pPr>
    </w:p>
    <w:p w14:paraId="7C4ED3AE">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24C7F410">
      <w:pPr>
        <w:pStyle w:val="27"/>
        <w:pageBreakBefore w:val="0"/>
        <w:shd w:val="clear"/>
        <w:kinsoku/>
        <w:wordWrap/>
        <w:overflowPunct/>
        <w:topLinePunct w:val="0"/>
        <w:bidi w:val="0"/>
        <w:spacing w:beforeAutospacing="0" w:line="348" w:lineRule="auto"/>
        <w:ind w:left="479" w:hanging="420" w:hangingChars="199"/>
        <w:textAlignment w:val="auto"/>
        <w:outlineLvl w:val="9"/>
        <w:rPr>
          <w:rFonts w:cs="宋体"/>
          <w:b/>
          <w:color w:val="auto"/>
          <w:sz w:val="21"/>
          <w:szCs w:val="21"/>
          <w:highlight w:val="none"/>
        </w:rPr>
      </w:pPr>
      <w:r>
        <w:rPr>
          <w:rFonts w:hint="eastAsia" w:cs="宋体"/>
          <w:b/>
          <w:color w:val="auto"/>
          <w:sz w:val="21"/>
          <w:szCs w:val="21"/>
          <w:highlight w:val="none"/>
        </w:rPr>
        <w:t>22. 确定中标供应商</w:t>
      </w:r>
    </w:p>
    <w:p w14:paraId="5588EB50">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02157D">
      <w:pPr>
        <w:pStyle w:val="135"/>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4E094FB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通过电子交易平台向中标人发出中标通知书，同时编制发布采购结果公告。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也可以以纸质形式进行中标通知。</w:t>
      </w:r>
    </w:p>
    <w:p w14:paraId="14331B7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AE5429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44DDF9A9">
      <w:pPr>
        <w:pageBreakBefore w:val="0"/>
        <w:shd w:val="clear"/>
        <w:kinsoku/>
        <w:wordWrap/>
        <w:overflowPunct/>
        <w:topLinePunct w:val="0"/>
        <w:bidi w:val="0"/>
        <w:snapToGrid w:val="0"/>
        <w:spacing w:beforeAutospacing="0" w:line="348" w:lineRule="auto"/>
        <w:ind w:left="120" w:leftChars="57" w:firstLine="316" w:firstLineChars="15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57D84D77">
      <w:pPr>
        <w:pStyle w:val="27"/>
        <w:pageBreakBefore w:val="0"/>
        <w:shd w:val="clear"/>
        <w:kinsoku/>
        <w:wordWrap/>
        <w:overflowPunct/>
        <w:topLinePunct w:val="0"/>
        <w:bidi w:val="0"/>
        <w:spacing w:beforeAutospacing="0" w:line="348" w:lineRule="auto"/>
        <w:ind w:left="479" w:hanging="420" w:hangingChars="199"/>
        <w:textAlignment w:val="auto"/>
        <w:outlineLvl w:val="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2195408">
      <w:pPr>
        <w:pStyle w:val="27"/>
        <w:pageBreakBefore w:val="0"/>
        <w:shd w:val="clear"/>
        <w:kinsoku/>
        <w:wordWrap/>
        <w:overflowPunct/>
        <w:topLinePunct w:val="0"/>
        <w:bidi w:val="0"/>
        <w:spacing w:beforeAutospacing="0" w:line="348" w:lineRule="auto"/>
        <w:ind w:left="479" w:hanging="420" w:hangingChars="199"/>
        <w:textAlignment w:val="auto"/>
        <w:outlineLvl w:val="9"/>
        <w:rPr>
          <w:rFonts w:cs="宋体"/>
          <w:b/>
          <w:color w:val="auto"/>
          <w:sz w:val="21"/>
          <w:szCs w:val="21"/>
          <w:highlight w:val="none"/>
        </w:rPr>
      </w:pPr>
      <w:r>
        <w:rPr>
          <w:rFonts w:hint="eastAsia" w:cs="宋体"/>
          <w:b/>
          <w:color w:val="auto"/>
          <w:sz w:val="21"/>
          <w:szCs w:val="21"/>
          <w:highlight w:val="none"/>
        </w:rPr>
        <w:t>25. 合同的签订</w:t>
      </w:r>
    </w:p>
    <w:p w14:paraId="19F0CB2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1"/>
          <w:szCs w:val="21"/>
          <w:highlight w:val="none"/>
          <w:lang w:eastAsia="zh-CN"/>
        </w:rPr>
        <w:t>招标文件</w:t>
      </w:r>
      <w:r>
        <w:rPr>
          <w:rFonts w:hint="eastAsia" w:ascii="宋体" w:hAnsi="宋体" w:cs="宋体"/>
          <w:color w:val="auto"/>
          <w:kern w:val="0"/>
          <w:sz w:val="21"/>
          <w:szCs w:val="21"/>
          <w:highlight w:val="none"/>
        </w:rPr>
        <w:t>确定的事项签订政府采购合同。</w:t>
      </w:r>
    </w:p>
    <w:p w14:paraId="60E7321A">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D53ED7">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2111C8F">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DAD4B86">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288DF370">
      <w:pPr>
        <w:pStyle w:val="27"/>
        <w:pageBreakBefore w:val="0"/>
        <w:shd w:val="clear"/>
        <w:kinsoku/>
        <w:wordWrap/>
        <w:overflowPunct/>
        <w:topLinePunct w:val="0"/>
        <w:bidi w:val="0"/>
        <w:spacing w:beforeAutospacing="0" w:line="348" w:lineRule="auto"/>
        <w:ind w:left="479" w:hanging="420" w:hangingChars="199"/>
        <w:textAlignment w:val="auto"/>
        <w:outlineLvl w:val="9"/>
        <w:rPr>
          <w:rFonts w:cs="宋体"/>
          <w:b/>
          <w:color w:val="auto"/>
          <w:sz w:val="21"/>
          <w:szCs w:val="21"/>
          <w:highlight w:val="none"/>
        </w:rPr>
      </w:pPr>
      <w:r>
        <w:rPr>
          <w:rFonts w:hint="eastAsia" w:cs="宋体"/>
          <w:b/>
          <w:color w:val="auto"/>
          <w:sz w:val="21"/>
          <w:szCs w:val="21"/>
          <w:highlight w:val="none"/>
        </w:rPr>
        <w:t>26. 履约保证金</w:t>
      </w:r>
    </w:p>
    <w:p w14:paraId="7F212047">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3B6C5966">
      <w:pPr>
        <w:pageBreakBefore w:val="0"/>
        <w:shd w:val="clear"/>
        <w:tabs>
          <w:tab w:val="left" w:pos="432"/>
        </w:tabs>
        <w:kinsoku/>
        <w:wordWrap/>
        <w:overflowPunct/>
        <w:topLinePunct w:val="0"/>
        <w:bidi w:val="0"/>
        <w:spacing w:beforeAutospacing="0" w:line="348" w:lineRule="auto"/>
        <w:ind w:left="0" w:firstLine="420" w:firstLineChars="200"/>
        <w:textAlignment w:val="auto"/>
        <w:outlineLvl w:val="9"/>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7DFE55">
      <w:pPr>
        <w:pageBreakBefore w:val="0"/>
        <w:shd w:val="clear"/>
        <w:tabs>
          <w:tab w:val="left" w:pos="432"/>
        </w:tabs>
        <w:kinsoku/>
        <w:wordWrap/>
        <w:overflowPunct/>
        <w:topLinePunct w:val="0"/>
        <w:bidi w:val="0"/>
        <w:spacing w:beforeAutospacing="0" w:line="348" w:lineRule="auto"/>
        <w:textAlignment w:val="auto"/>
        <w:outlineLvl w:val="9"/>
        <w:rPr>
          <w:rFonts w:ascii="宋体" w:hAnsi="宋体" w:eastAsia="宋体" w:cs="Times New Roman"/>
          <w:b/>
          <w:bCs/>
          <w:color w:val="auto"/>
          <w:kern w:val="2"/>
          <w:sz w:val="21"/>
          <w:szCs w:val="21"/>
          <w:highlight w:val="none"/>
          <w:lang w:val="en-US"/>
        </w:rPr>
      </w:pPr>
    </w:p>
    <w:p w14:paraId="42E9BD4B">
      <w:pPr>
        <w:pageBreakBefore w:val="0"/>
        <w:shd w:val="clear"/>
        <w:tabs>
          <w:tab w:val="left" w:pos="432"/>
        </w:tabs>
        <w:kinsoku/>
        <w:wordWrap/>
        <w:overflowPunct/>
        <w:topLinePunct w:val="0"/>
        <w:bidi w:val="0"/>
        <w:spacing w:beforeAutospacing="0" w:line="348" w:lineRule="auto"/>
        <w:textAlignment w:val="auto"/>
        <w:outlineLvl w:val="9"/>
        <w:rPr>
          <w:color w:val="auto"/>
          <w:sz w:val="21"/>
          <w:szCs w:val="21"/>
          <w:highlight w:val="none"/>
        </w:rPr>
      </w:pPr>
      <w:r>
        <w:rPr>
          <w:rFonts w:ascii="宋体" w:hAnsi="宋体" w:eastAsia="宋体" w:cs="Times New Roman"/>
          <w:b/>
          <w:bCs/>
          <w:color w:val="auto"/>
          <w:kern w:val="2"/>
          <w:sz w:val="21"/>
          <w:szCs w:val="21"/>
          <w:highlight w:val="none"/>
          <w:lang w:val="en-US"/>
        </w:rPr>
        <w:t>27.预付款</w:t>
      </w:r>
    </w:p>
    <w:p w14:paraId="2DB937C2">
      <w:pPr>
        <w:pageBreakBefore w:val="0"/>
        <w:shd w:val="clear"/>
        <w:kinsoku/>
        <w:wordWrap/>
        <w:overflowPunct/>
        <w:topLinePunct w:val="0"/>
        <w:bidi w:val="0"/>
        <w:adjustRightInd/>
        <w:spacing w:beforeAutospacing="0" w:line="348" w:lineRule="auto"/>
        <w:ind w:firstLine="420" w:firstLineChars="200"/>
        <w:textAlignment w:val="auto"/>
        <w:outlineLvl w:val="9"/>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w:t>
      </w:r>
      <w:r>
        <w:rPr>
          <w:rFonts w:hint="eastAsia" w:ascii="宋体" w:hAnsi="宋体" w:cs="Times New Roman"/>
          <w:color w:val="auto"/>
          <w:kern w:val="2"/>
          <w:sz w:val="21"/>
          <w:szCs w:val="21"/>
          <w:highlight w:val="none"/>
          <w:lang w:eastAsia="zh-CN"/>
        </w:rPr>
        <w:t>；</w:t>
      </w:r>
      <w:r>
        <w:rPr>
          <w:rFonts w:ascii="宋体" w:hAnsi="宋体" w:cs="Times New Roman"/>
          <w:color w:val="auto"/>
          <w:kern w:val="2"/>
          <w:sz w:val="21"/>
          <w:szCs w:val="21"/>
          <w:highlight w:val="none"/>
        </w:rPr>
        <w:t>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w:t>
      </w:r>
      <w:r>
        <w:rPr>
          <w:rFonts w:hint="eastAsia" w:ascii="宋体" w:hAnsi="宋体" w:cs="Times New Roman"/>
          <w:color w:val="auto"/>
          <w:kern w:val="2"/>
          <w:sz w:val="21"/>
          <w:szCs w:val="21"/>
          <w:highlight w:val="none"/>
          <w:lang w:eastAsia="zh-CN"/>
        </w:rPr>
        <w:t>；</w:t>
      </w:r>
      <w:r>
        <w:rPr>
          <w:rFonts w:ascii="宋体" w:hAnsi="宋体" w:cs="Times New Roman"/>
          <w:color w:val="auto"/>
          <w:kern w:val="2"/>
          <w:sz w:val="21"/>
          <w:szCs w:val="21"/>
          <w:highlight w:val="none"/>
        </w:rPr>
        <w:t>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1"/>
          <w:szCs w:val="21"/>
          <w:highlight w:val="none"/>
        </w:rPr>
        <w:t xml:space="preserve"> - </w:t>
      </w:r>
      <w:r>
        <w:rPr>
          <w:rFonts w:hint="eastAsia" w:ascii="宋体" w:hAnsi="宋体" w:cs="Times New Roman"/>
          <w:color w:val="auto"/>
          <w:kern w:val="2"/>
          <w:sz w:val="21"/>
          <w:szCs w:val="21"/>
          <w:highlight w:val="none"/>
        </w:rPr>
        <w:t>【保函保险服务】出具预付款保函，具体步骤：选择产品—填写供应商信息—选择中标项目—确认信息—等待保险</w:t>
      </w:r>
      <w:r>
        <w:rPr>
          <w:rFonts w:ascii="宋体" w:hAnsi="宋体" w:cs="Times New Roman"/>
          <w:color w:val="auto"/>
          <w:kern w:val="2"/>
          <w:sz w:val="21"/>
          <w:szCs w:val="21"/>
          <w:highlight w:val="none"/>
        </w:rPr>
        <w:t>/保函受理—确认保单—支付保费—成功出单。政</w:t>
      </w:r>
      <w:r>
        <w:rPr>
          <w:rFonts w:hint="eastAsia" w:ascii="宋体" w:hAnsi="宋体" w:cs="Times New Roman"/>
          <w:color w:val="auto"/>
          <w:kern w:val="2"/>
          <w:sz w:val="21"/>
          <w:szCs w:val="21"/>
          <w:highlight w:val="none"/>
        </w:rPr>
        <w:t>采云金融专线</w:t>
      </w:r>
      <w:r>
        <w:rPr>
          <w:rFonts w:ascii="宋体" w:hAnsi="宋体" w:cs="Times New Roman"/>
          <w:color w:val="auto"/>
          <w:kern w:val="2"/>
          <w:sz w:val="21"/>
          <w:szCs w:val="21"/>
          <w:highlight w:val="none"/>
        </w:rPr>
        <w:t>400-903-9583。</w:t>
      </w:r>
    </w:p>
    <w:p w14:paraId="00F8CB50">
      <w:pPr>
        <w:pageBreakBefore w:val="0"/>
        <w:shd w:val="clear"/>
        <w:kinsoku/>
        <w:wordWrap/>
        <w:overflowPunct/>
        <w:topLinePunct w:val="0"/>
        <w:bidi w:val="0"/>
        <w:snapToGrid w:val="0"/>
        <w:spacing w:beforeAutospacing="0" w:line="348" w:lineRule="auto"/>
        <w:ind w:firstLine="2203" w:firstLineChars="1045"/>
        <w:textAlignment w:val="auto"/>
        <w:outlineLvl w:val="9"/>
        <w:rPr>
          <w:rFonts w:hint="eastAsia" w:ascii="宋体" w:hAnsi="宋体" w:cs="宋体"/>
          <w:b/>
          <w:color w:val="auto"/>
          <w:sz w:val="21"/>
          <w:szCs w:val="21"/>
          <w:highlight w:val="none"/>
        </w:rPr>
      </w:pPr>
    </w:p>
    <w:p w14:paraId="05600020">
      <w:pPr>
        <w:pageBreakBefore w:val="0"/>
        <w:shd w:val="clear"/>
        <w:kinsoku/>
        <w:wordWrap/>
        <w:overflowPunct/>
        <w:topLinePunct w:val="0"/>
        <w:bidi w:val="0"/>
        <w:snapToGrid w:val="0"/>
        <w:spacing w:beforeAutospacing="0" w:line="348" w:lineRule="auto"/>
        <w:ind w:firstLine="2203" w:firstLineChars="1045"/>
        <w:textAlignment w:val="auto"/>
        <w:outlineLvl w:val="9"/>
        <w:rPr>
          <w:rFonts w:hint="eastAsia" w:ascii="宋体" w:hAnsi="宋体" w:cs="宋体"/>
          <w:b/>
          <w:color w:val="auto"/>
          <w:sz w:val="21"/>
          <w:szCs w:val="21"/>
          <w:highlight w:val="none"/>
        </w:rPr>
      </w:pPr>
    </w:p>
    <w:p w14:paraId="0DD5669F">
      <w:pPr>
        <w:pageBreakBefore w:val="0"/>
        <w:shd w:val="clear"/>
        <w:kinsoku/>
        <w:wordWrap/>
        <w:overflowPunct/>
        <w:topLinePunct w:val="0"/>
        <w:bidi w:val="0"/>
        <w:snapToGrid w:val="0"/>
        <w:spacing w:beforeAutospacing="0" w:line="348" w:lineRule="auto"/>
        <w:ind w:firstLine="2203" w:firstLineChars="1045"/>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208ABAAE">
      <w:pPr>
        <w:pStyle w:val="135"/>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3E9814AE">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28.1电子交易平台发生故障而无法登录访问的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5B8AA88D">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28.2电子交易平台应用或数据库出现错误，不能进行正常操作的</w:t>
      </w:r>
      <w:r>
        <w:rPr>
          <w:rFonts w:hint="eastAsia" w:ascii="宋体" w:hAnsi="宋体" w:cs="宋体"/>
          <w:color w:val="auto"/>
          <w:sz w:val="21"/>
          <w:szCs w:val="21"/>
          <w:highlight w:val="none"/>
          <w:lang w:eastAsia="zh-CN"/>
        </w:rPr>
        <w:t>；</w:t>
      </w:r>
    </w:p>
    <w:p w14:paraId="3B1CD330">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28.3电子交易平台发现严重安全漏洞，有潜在泄密危险的</w:t>
      </w:r>
      <w:r>
        <w:rPr>
          <w:rFonts w:hint="eastAsia" w:ascii="宋体" w:hAnsi="宋体" w:cs="宋体"/>
          <w:color w:val="auto"/>
          <w:sz w:val="21"/>
          <w:szCs w:val="21"/>
          <w:highlight w:val="none"/>
          <w:lang w:eastAsia="zh-CN"/>
        </w:rPr>
        <w:t>；</w:t>
      </w:r>
    </w:p>
    <w:p w14:paraId="7BF601DB">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28.4病毒发作导致不能进行正常操作的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28DD5815">
      <w:pPr>
        <w:pStyle w:val="135"/>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6E18261E">
      <w:pPr>
        <w:pStyle w:val="135"/>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影响或可能影响采购公平、公正性的，应当重新采购。</w:t>
      </w:r>
    </w:p>
    <w:p w14:paraId="20828DD2">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03097B31">
      <w:pPr>
        <w:pStyle w:val="27"/>
        <w:pageBreakBefore w:val="0"/>
        <w:shd w:val="clear"/>
        <w:kinsoku/>
        <w:wordWrap/>
        <w:overflowPunct/>
        <w:topLinePunct w:val="0"/>
        <w:bidi w:val="0"/>
        <w:spacing w:beforeAutospacing="0" w:line="348" w:lineRule="auto"/>
        <w:ind w:firstLine="0" w:firstLineChars="0"/>
        <w:textAlignment w:val="auto"/>
        <w:outlineLvl w:val="9"/>
        <w:rPr>
          <w:rFonts w:cs="宋体"/>
          <w:b/>
          <w:color w:val="auto"/>
          <w:sz w:val="21"/>
          <w:szCs w:val="21"/>
          <w:highlight w:val="none"/>
        </w:rPr>
      </w:pPr>
      <w:r>
        <w:rPr>
          <w:rFonts w:hint="eastAsia" w:cs="宋体"/>
          <w:b/>
          <w:color w:val="auto"/>
          <w:sz w:val="21"/>
          <w:szCs w:val="21"/>
          <w:highlight w:val="none"/>
        </w:rPr>
        <w:t>30.验收</w:t>
      </w:r>
    </w:p>
    <w:p w14:paraId="5B6FA5E7">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24566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528B8776">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85C958">
      <w:pPr>
        <w:pageBreakBefore w:val="0"/>
        <w:shd w:val="clear"/>
        <w:tabs>
          <w:tab w:val="left" w:pos="0"/>
        </w:tabs>
        <w:kinsoku/>
        <w:wordWrap/>
        <w:overflowPunct/>
        <w:topLinePunct w:val="0"/>
        <w:bidi w:val="0"/>
        <w:spacing w:beforeAutospacing="0" w:line="348" w:lineRule="auto"/>
        <w:ind w:firstLine="480"/>
        <w:textAlignment w:val="auto"/>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8"/>
      <w:bookmarkEnd w:id="20"/>
      <w:bookmarkStart w:id="21" w:name="_Hlt68072990"/>
      <w:bookmarkEnd w:id="21"/>
      <w:bookmarkStart w:id="22" w:name="_Hlt74714665"/>
      <w:bookmarkEnd w:id="22"/>
      <w:bookmarkStart w:id="23" w:name="_Hlt75236011"/>
      <w:bookmarkEnd w:id="23"/>
      <w:bookmarkStart w:id="24" w:name="_Hlt75236101"/>
      <w:bookmarkEnd w:id="24"/>
      <w:bookmarkStart w:id="25" w:name="_Hlt68073093"/>
      <w:bookmarkEnd w:id="25"/>
      <w:bookmarkStart w:id="26" w:name="_Hlt74729768"/>
      <w:bookmarkEnd w:id="26"/>
      <w:bookmarkStart w:id="27" w:name="_Hlt74707468"/>
      <w:bookmarkEnd w:id="27"/>
      <w:bookmarkStart w:id="28" w:name="_Hlt74730295"/>
      <w:bookmarkEnd w:id="28"/>
      <w:bookmarkStart w:id="29" w:name="_Hlt68403820"/>
      <w:bookmarkEnd w:id="29"/>
      <w:bookmarkStart w:id="30" w:name="_Hlt75236290"/>
      <w:bookmarkEnd w:id="30"/>
      <w:bookmarkStart w:id="31" w:name="_Hlt68057669"/>
      <w:bookmarkEnd w:id="31"/>
    </w:p>
    <w:bookmarkEnd w:id="14"/>
    <w:bookmarkEnd w:id="15"/>
    <w:p w14:paraId="6FD76726">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tbl>
      <w:tblPr>
        <w:tblStyle w:val="65"/>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882"/>
        <w:gridCol w:w="1296"/>
        <w:gridCol w:w="822"/>
        <w:gridCol w:w="1287"/>
        <w:gridCol w:w="3619"/>
        <w:gridCol w:w="658"/>
        <w:gridCol w:w="658"/>
      </w:tblGrid>
      <w:tr w14:paraId="59B1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C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bookmarkStart w:id="34" w:name="_Toc18651"/>
            <w:r>
              <w:rPr>
                <w:rFonts w:hint="eastAsia" w:ascii="宋体" w:hAnsi="宋体" w:eastAsia="宋体" w:cs="宋体"/>
                <w:b/>
                <w:bCs/>
                <w:i w:val="0"/>
                <w:iCs w:val="0"/>
                <w:color w:val="000000"/>
                <w:kern w:val="0"/>
                <w:sz w:val="28"/>
                <w:szCs w:val="28"/>
                <w:u w:val="none"/>
                <w:lang w:val="en-US" w:eastAsia="zh-CN" w:bidi="ar"/>
              </w:rPr>
              <w:t>厨房设备报价清单</w:t>
            </w:r>
          </w:p>
        </w:tc>
      </w:tr>
      <w:tr w14:paraId="22E9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8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A2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项目单位：黄坛小学</w:t>
            </w:r>
          </w:p>
        </w:tc>
      </w:tr>
      <w:tr w14:paraId="7233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3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8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图片</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0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6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4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6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具体参数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B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C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953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2FA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洁具间</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8E3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154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14:paraId="0244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113665</wp:posOffset>
                  </wp:positionV>
                  <wp:extent cx="435610" cy="419100"/>
                  <wp:effectExtent l="0" t="0" r="2540" b="0"/>
                  <wp:wrapNone/>
                  <wp:docPr id="76" name="图片_3"/>
                  <wp:cNvGraphicFramePr/>
                  <a:graphic xmlns:a="http://schemas.openxmlformats.org/drawingml/2006/main">
                    <a:graphicData uri="http://schemas.openxmlformats.org/drawingml/2006/picture">
                      <pic:pic xmlns:pic="http://schemas.openxmlformats.org/drawingml/2006/picture">
                        <pic:nvPicPr>
                          <pic:cNvPr id="76" name="图片_3"/>
                          <pic:cNvPicPr/>
                        </pic:nvPicPr>
                        <pic:blipFill>
                          <a:blip r:embed="rId26"/>
                          <a:stretch>
                            <a:fillRect/>
                          </a:stretch>
                        </pic:blipFill>
                        <pic:spPr>
                          <a:xfrm>
                            <a:off x="0" y="0"/>
                            <a:ext cx="435610" cy="41910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F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拖把池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9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2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700×500×(600+150)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8B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台面选用优质不锈钢板制作，板厚1.2mm，脚采用38×1.0mm不锈钢圆管,脚杯50×100×0.8mm，横通25×0.8mm，配优质落水器及拦渣片。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7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086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9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F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47625</wp:posOffset>
                  </wp:positionV>
                  <wp:extent cx="436245" cy="427990"/>
                  <wp:effectExtent l="0" t="0" r="1905" b="10160"/>
                  <wp:wrapNone/>
                  <wp:docPr id="88" name="图片_5"/>
                  <wp:cNvGraphicFramePr/>
                  <a:graphic xmlns:a="http://schemas.openxmlformats.org/drawingml/2006/main">
                    <a:graphicData uri="http://schemas.openxmlformats.org/drawingml/2006/picture">
                      <pic:pic xmlns:pic="http://schemas.openxmlformats.org/drawingml/2006/picture">
                        <pic:nvPicPr>
                          <pic:cNvPr id="88" name="图片_5"/>
                          <pic:cNvPicPr/>
                        </pic:nvPicPr>
                        <pic:blipFill>
                          <a:blip r:embed="rId27"/>
                          <a:stretch>
                            <a:fillRect/>
                          </a:stretch>
                        </pic:blipFill>
                        <pic:spPr>
                          <a:xfrm>
                            <a:off x="0" y="0"/>
                            <a:ext cx="436245" cy="42799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拖把沥干池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0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1500×400×600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6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台面选用优质不锈钢板制作，板厚1.2mm，脚采用38×1.0mm不锈钢圆管,脚杯50×100×0.8mm，横通25×0.8mm，配优质落水器及拦渣片。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1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AAA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ED1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食库</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89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D6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437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3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D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95885</wp:posOffset>
                  </wp:positionV>
                  <wp:extent cx="497840" cy="387985"/>
                  <wp:effectExtent l="0" t="0" r="16510" b="12065"/>
                  <wp:wrapNone/>
                  <wp:docPr id="112" name="图片_7"/>
                  <wp:cNvGraphicFramePr/>
                  <a:graphic xmlns:a="http://schemas.openxmlformats.org/drawingml/2006/main">
                    <a:graphicData uri="http://schemas.openxmlformats.org/drawingml/2006/picture">
                      <pic:pic xmlns:pic="http://schemas.openxmlformats.org/drawingml/2006/picture">
                        <pic:nvPicPr>
                          <pic:cNvPr id="112" name="图片_7"/>
                          <pic:cNvPicPr/>
                        </pic:nvPicPr>
                        <pic:blipFill>
                          <a:blip r:embed="rId28"/>
                          <a:stretch>
                            <a:fillRect/>
                          </a:stretch>
                        </pic:blipFill>
                        <pic:spPr>
                          <a:xfrm>
                            <a:off x="0" y="0"/>
                            <a:ext cx="497840" cy="38798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3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风幕机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E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1500×220×195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0F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风量：2970m³/h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 47dB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说明：全金属外壳，防火性能高，耐腐蚀性佳，容易清洗；设高低档位，两档风量，节能调速；采用原厂设计生产电机，高效节能，独特挡风条设计，风向自由可调。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9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9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725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AC3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更衣</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47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B7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0A77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B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B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76200</wp:posOffset>
                  </wp:positionV>
                  <wp:extent cx="361950" cy="638175"/>
                  <wp:effectExtent l="0" t="0" r="0" b="9525"/>
                  <wp:wrapNone/>
                  <wp:docPr id="111" name="图片_19"/>
                  <wp:cNvGraphicFramePr/>
                  <a:graphic xmlns:a="http://schemas.openxmlformats.org/drawingml/2006/main">
                    <a:graphicData uri="http://schemas.openxmlformats.org/drawingml/2006/picture">
                      <pic:pic xmlns:pic="http://schemas.openxmlformats.org/drawingml/2006/picture">
                        <pic:nvPicPr>
                          <pic:cNvPr id="111" name="图片_19"/>
                          <pic:cNvPicPr/>
                        </pic:nvPicPr>
                        <pic:blipFill>
                          <a:blip r:embed="rId29"/>
                          <a:stretch>
                            <a:fillRect/>
                          </a:stretch>
                        </pic:blipFill>
                        <pic:spPr>
                          <a:xfrm>
                            <a:off x="0" y="0"/>
                            <a:ext cx="361950" cy="63817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自动冷暖干手器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6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3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250×165×470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3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电量：0.55KW/1PH/220V；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说明：出风温度20～40℃。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7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FD1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1CF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粗加工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A2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D5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784A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A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61595</wp:posOffset>
                  </wp:positionV>
                  <wp:extent cx="480060" cy="337820"/>
                  <wp:effectExtent l="0" t="0" r="15240" b="5080"/>
                  <wp:wrapNone/>
                  <wp:docPr id="110" name="图片_36"/>
                  <wp:cNvGraphicFramePr/>
                  <a:graphic xmlns:a="http://schemas.openxmlformats.org/drawingml/2006/main">
                    <a:graphicData uri="http://schemas.openxmlformats.org/drawingml/2006/picture">
                      <pic:pic xmlns:pic="http://schemas.openxmlformats.org/drawingml/2006/picture">
                        <pic:nvPicPr>
                          <pic:cNvPr id="110" name="图片_36"/>
                          <pic:cNvPicPr/>
                        </pic:nvPicPr>
                        <pic:blipFill>
                          <a:blip r:embed="rId30"/>
                          <a:stretch>
                            <a:fillRect/>
                          </a:stretch>
                        </pic:blipFill>
                        <pic:spPr>
                          <a:xfrm>
                            <a:off x="0" y="0"/>
                            <a:ext cx="480060" cy="33782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粘捕式灭蝇灯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0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5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390×200×165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7F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功率：8W/220V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说明：静音粘补，无声保护；超大粘纸，降低成本；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B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1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6B0A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2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86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大单星盆台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F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3B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1000×760×(800+150)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2F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说明：利旧设备需拆卸、搬运及安装，投标人综合考虑。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5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03A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F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72390</wp:posOffset>
                  </wp:positionV>
                  <wp:extent cx="533400" cy="390525"/>
                  <wp:effectExtent l="0" t="0" r="0" b="9525"/>
                  <wp:wrapNone/>
                  <wp:docPr id="109" name="图片_33"/>
                  <wp:cNvGraphicFramePr/>
                  <a:graphic xmlns:a="http://schemas.openxmlformats.org/drawingml/2006/main">
                    <a:graphicData uri="http://schemas.openxmlformats.org/drawingml/2006/picture">
                      <pic:pic xmlns:pic="http://schemas.openxmlformats.org/drawingml/2006/picture">
                        <pic:nvPicPr>
                          <pic:cNvPr id="109" name="图片_33"/>
                          <pic:cNvPicPr/>
                        </pic:nvPicPr>
                        <pic:blipFill>
                          <a:blip r:embed="rId31"/>
                          <a:stretch>
                            <a:fillRect/>
                          </a:stretch>
                        </pic:blipFill>
                        <pic:spPr>
                          <a:xfrm>
                            <a:off x="0" y="0"/>
                            <a:ext cx="533400" cy="39052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4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8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1000×760×800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9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台面选用优质不锈钢板制作，台面厚1.2mm，下衬10mm厚减噪板，加强档采用1.0 mm不锈钢板，脚采用38×1.0mm不锈钢方管,脚杯50×100×0.8mm，横通25×0.8mm。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D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0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D06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7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-115570</wp:posOffset>
                  </wp:positionV>
                  <wp:extent cx="486410" cy="300355"/>
                  <wp:effectExtent l="0" t="0" r="8890" b="4445"/>
                  <wp:wrapNone/>
                  <wp:docPr id="108" name="图片_35"/>
                  <wp:cNvGraphicFramePr/>
                  <a:graphic xmlns:a="http://schemas.openxmlformats.org/drawingml/2006/main">
                    <a:graphicData uri="http://schemas.openxmlformats.org/drawingml/2006/picture">
                      <pic:pic xmlns:pic="http://schemas.openxmlformats.org/drawingml/2006/picture">
                        <pic:nvPicPr>
                          <pic:cNvPr id="108" name="图片_35"/>
                          <pic:cNvPicPr/>
                        </pic:nvPicPr>
                        <pic:blipFill>
                          <a:blip r:embed="rId32"/>
                          <a:stretch>
                            <a:fillRect/>
                          </a:stretch>
                        </pic:blipFill>
                        <pic:spPr>
                          <a:xfrm>
                            <a:off x="0" y="0"/>
                            <a:ext cx="486410" cy="30035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3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开放式洗地龙头连摇摆支架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B4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4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C2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表面静电喷塑开放式卷盘，配10.7米黑色高压重工三层钢丝液压管，配置一把前扳机黄铜水枪，管子承受压力300-1000psi，温度0-100℃。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B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6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93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B07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切配区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C7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BF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6F0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8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4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112395</wp:posOffset>
                  </wp:positionV>
                  <wp:extent cx="473075" cy="328930"/>
                  <wp:effectExtent l="0" t="0" r="3175" b="13970"/>
                  <wp:wrapNone/>
                  <wp:docPr id="107" name="图片_38"/>
                  <wp:cNvGraphicFramePr/>
                  <a:graphic xmlns:a="http://schemas.openxmlformats.org/drawingml/2006/main">
                    <a:graphicData uri="http://schemas.openxmlformats.org/drawingml/2006/picture">
                      <pic:pic xmlns:pic="http://schemas.openxmlformats.org/drawingml/2006/picture">
                        <pic:nvPicPr>
                          <pic:cNvPr id="107" name="图片_38"/>
                          <pic:cNvPicPr/>
                        </pic:nvPicPr>
                        <pic:blipFill>
                          <a:blip r:embed="rId33"/>
                          <a:stretch>
                            <a:fillRect/>
                          </a:stretch>
                        </pic:blipFill>
                        <pic:spPr>
                          <a:xfrm>
                            <a:off x="0" y="0"/>
                            <a:ext cx="473075" cy="32893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F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粘捕式灭蝇灯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1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8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390×200×165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F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功率：8W/220V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说明：静音粘补，无声保护；超大粘纸，降低成本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6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5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2160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D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C7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1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大单星盆台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9B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8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1000×760×(800+150)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55D1">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000000"/>
                <w:kern w:val="2"/>
                <w:sz w:val="18"/>
                <w:szCs w:val="18"/>
                <w:highlight w:val="yellow"/>
                <w:u w:val="none"/>
                <w:lang w:val="en-US" w:eastAsia="zh-CN" w:bidi="ar-SA"/>
              </w:rPr>
            </w:pPr>
            <w:r>
              <w:rPr>
                <w:rFonts w:hint="eastAsia" w:ascii="宋体" w:hAnsi="宋体" w:eastAsia="宋体" w:cs="宋体"/>
                <w:i w:val="0"/>
                <w:iCs w:val="0"/>
                <w:color w:val="000000"/>
                <w:kern w:val="0"/>
                <w:sz w:val="18"/>
                <w:szCs w:val="18"/>
                <w:u w:val="none"/>
                <w:lang w:val="en-US" w:eastAsia="zh-CN" w:bidi="ar"/>
              </w:rPr>
              <w:t>说明：利旧设备需拆卸、搬运及安装，投标人综合考虑。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265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D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D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35560</wp:posOffset>
                  </wp:positionV>
                  <wp:extent cx="485775" cy="609600"/>
                  <wp:effectExtent l="0" t="0" r="9525" b="0"/>
                  <wp:wrapNone/>
                  <wp:docPr id="106" name="图片_46"/>
                  <wp:cNvGraphicFramePr/>
                  <a:graphic xmlns:a="http://schemas.openxmlformats.org/drawingml/2006/main">
                    <a:graphicData uri="http://schemas.openxmlformats.org/drawingml/2006/picture">
                      <pic:pic xmlns:pic="http://schemas.openxmlformats.org/drawingml/2006/picture">
                        <pic:nvPicPr>
                          <pic:cNvPr id="106" name="图片_46"/>
                          <pic:cNvPicPr/>
                        </pic:nvPicPr>
                        <pic:blipFill>
                          <a:blip r:embed="rId34"/>
                          <a:stretch>
                            <a:fillRect/>
                          </a:stretch>
                        </pic:blipFill>
                        <pic:spPr>
                          <a:xfrm>
                            <a:off x="0" y="0"/>
                            <a:ext cx="485775" cy="60960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4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刀具砧板消毒柜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5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F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1000×550×1300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B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选用优质不锈钢板制作；定时控制消毒；刀具消毒带沥水板，砧板消毒加粗支撑杆，结实耐用；优质把手美观大方；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电量：1KW/220V。</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D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2FF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-407035</wp:posOffset>
                  </wp:positionV>
                  <wp:extent cx="501015" cy="668655"/>
                  <wp:effectExtent l="0" t="0" r="13335" b="17145"/>
                  <wp:wrapNone/>
                  <wp:docPr id="105" name="图片_193"/>
                  <wp:cNvGraphicFramePr/>
                  <a:graphic xmlns:a="http://schemas.openxmlformats.org/drawingml/2006/main">
                    <a:graphicData uri="http://schemas.openxmlformats.org/drawingml/2006/picture">
                      <pic:pic xmlns:pic="http://schemas.openxmlformats.org/drawingml/2006/picture">
                        <pic:nvPicPr>
                          <pic:cNvPr id="105" name="图片_193"/>
                          <pic:cNvPicPr/>
                        </pic:nvPicPr>
                        <pic:blipFill>
                          <a:blip r:embed="rId35"/>
                          <a:stretch>
                            <a:fillRect/>
                          </a:stretch>
                        </pic:blipFill>
                        <pic:spPr>
                          <a:xfrm>
                            <a:off x="0" y="0"/>
                            <a:ext cx="501015" cy="66865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定制工具消毒柜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8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3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1310×635×1880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有效容积：760L；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功率：4.6KW/220V；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温度可调范围：30℃～150℃；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1、内外箱均采用优质不锈钢板材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2、外箱顶部及外箱后背板使用环保无锌花表面钝化优质镀锌板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3、360度高温热风循环系统，让器具消毒更彻底；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4、使用耐高温风机、不锈钢加热管及微电脑控制板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5、柜内配备不锈钢网篮，网框为不锈钢材质，表面二次镀镍防锈，卫生、耐用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0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C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E37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B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E08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-161925</wp:posOffset>
                  </wp:positionV>
                  <wp:extent cx="481330" cy="365125"/>
                  <wp:effectExtent l="0" t="0" r="13970" b="15875"/>
                  <wp:wrapNone/>
                  <wp:docPr id="104" name="图片_54"/>
                  <wp:cNvGraphicFramePr/>
                  <a:graphic xmlns:a="http://schemas.openxmlformats.org/drawingml/2006/main">
                    <a:graphicData uri="http://schemas.openxmlformats.org/drawingml/2006/picture">
                      <pic:pic xmlns:pic="http://schemas.openxmlformats.org/drawingml/2006/picture">
                        <pic:nvPicPr>
                          <pic:cNvPr id="104" name="图片_54"/>
                          <pic:cNvPicPr/>
                        </pic:nvPicPr>
                        <pic:blipFill>
                          <a:blip r:embed="rId36"/>
                          <a:stretch>
                            <a:fillRect/>
                          </a:stretch>
                        </pic:blipFill>
                        <pic:spPr>
                          <a:xfrm>
                            <a:off x="0" y="0"/>
                            <a:ext cx="481330" cy="36512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开放式洗地龙头连摇摆支架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C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XDF-5510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52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表面静电喷塑开放式卷盘，配10.7米黑色高压重工三层钢丝液压管，配置一把前扳机黄铜水枪，管子承受压力300-1000psi，温度0-100℃。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8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4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FC3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6DA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烹饪区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19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E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65E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2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346075</wp:posOffset>
                  </wp:positionV>
                  <wp:extent cx="479425" cy="338455"/>
                  <wp:effectExtent l="0" t="0" r="15875" b="4445"/>
                  <wp:wrapNone/>
                  <wp:docPr id="103" name="图片_56"/>
                  <wp:cNvGraphicFramePr/>
                  <a:graphic xmlns:a="http://schemas.openxmlformats.org/drawingml/2006/main">
                    <a:graphicData uri="http://schemas.openxmlformats.org/drawingml/2006/picture">
                      <pic:pic xmlns:pic="http://schemas.openxmlformats.org/drawingml/2006/picture">
                        <pic:nvPicPr>
                          <pic:cNvPr id="103" name="图片_56"/>
                          <pic:cNvPicPr/>
                        </pic:nvPicPr>
                        <pic:blipFill>
                          <a:blip r:embed="rId28"/>
                          <a:stretch>
                            <a:fillRect/>
                          </a:stretch>
                        </pic:blipFill>
                        <pic:spPr>
                          <a:xfrm>
                            <a:off x="0" y="0"/>
                            <a:ext cx="479425" cy="33845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风幕机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0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7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1220×220×195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F8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风量：2370m³/h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 47dB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说明：全金属外壳，防火性能高，耐腐蚀性佳，容易清洗；设高低档位，两档风量，节能调速；采用原厂设计生产电机，高效节能，独特挡风条设计，风向自由可调。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D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CC6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2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C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85725</wp:posOffset>
                  </wp:positionV>
                  <wp:extent cx="394335" cy="329565"/>
                  <wp:effectExtent l="0" t="0" r="5715" b="13335"/>
                  <wp:wrapNone/>
                  <wp:docPr id="102" name="图片_58"/>
                  <wp:cNvGraphicFramePr/>
                  <a:graphic xmlns:a="http://schemas.openxmlformats.org/drawingml/2006/main">
                    <a:graphicData uri="http://schemas.openxmlformats.org/drawingml/2006/picture">
                      <pic:pic xmlns:pic="http://schemas.openxmlformats.org/drawingml/2006/picture">
                        <pic:nvPicPr>
                          <pic:cNvPr id="102" name="图片_58"/>
                          <pic:cNvPicPr/>
                        </pic:nvPicPr>
                        <pic:blipFill>
                          <a:blip r:embed="rId37"/>
                          <a:stretch>
                            <a:fillRect/>
                          </a:stretch>
                        </pic:blipFill>
                        <pic:spPr>
                          <a:xfrm>
                            <a:off x="0" y="0"/>
                            <a:ext cx="394335" cy="32956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5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粘捕式灭蝇灯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0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390×200×165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EC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功率：8W/220V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说明：静音粘补，无声保护；超大粘纸，降低成本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4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C41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D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53975</wp:posOffset>
                  </wp:positionV>
                  <wp:extent cx="434975" cy="252730"/>
                  <wp:effectExtent l="0" t="0" r="3175" b="13970"/>
                  <wp:wrapNone/>
                  <wp:docPr id="101" name="图片_60"/>
                  <wp:cNvGraphicFramePr/>
                  <a:graphic xmlns:a="http://schemas.openxmlformats.org/drawingml/2006/main">
                    <a:graphicData uri="http://schemas.openxmlformats.org/drawingml/2006/picture">
                      <pic:pic xmlns:pic="http://schemas.openxmlformats.org/drawingml/2006/picture">
                        <pic:nvPicPr>
                          <pic:cNvPr id="101" name="图片_60"/>
                          <pic:cNvPicPr/>
                        </pic:nvPicPr>
                        <pic:blipFill>
                          <a:blip r:embed="rId38"/>
                          <a:stretch>
                            <a:fillRect/>
                          </a:stretch>
                        </pic:blipFill>
                        <pic:spPr>
                          <a:xfrm>
                            <a:off x="0" y="0"/>
                            <a:ext cx="434975" cy="25273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7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脱排油烟罩(单位：平方米)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0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6200+2200×1300×500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83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选用优质不锈钢板制作，板厚1.0mm，双层隔油排、积油杯、防爆灯。(风机及排烟、新风管另计)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F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r>
      <w:tr w14:paraId="2320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9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E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153670</wp:posOffset>
                  </wp:positionV>
                  <wp:extent cx="438150" cy="447675"/>
                  <wp:effectExtent l="0" t="0" r="0" b="9525"/>
                  <wp:wrapNone/>
                  <wp:docPr id="100" name="图片_74"/>
                  <wp:cNvGraphicFramePr/>
                  <a:graphic xmlns:a="http://schemas.openxmlformats.org/drawingml/2006/main">
                    <a:graphicData uri="http://schemas.openxmlformats.org/drawingml/2006/picture">
                      <pic:pic xmlns:pic="http://schemas.openxmlformats.org/drawingml/2006/picture">
                        <pic:nvPicPr>
                          <pic:cNvPr id="100" name="图片_74"/>
                          <pic:cNvPicPr/>
                        </pic:nvPicPr>
                        <pic:blipFill>
                          <a:blip r:embed="rId39"/>
                          <a:stretch>
                            <a:fillRect/>
                          </a:stretch>
                        </pic:blipFill>
                        <pic:spPr>
                          <a:xfrm>
                            <a:off x="0" y="0"/>
                            <a:ext cx="438150" cy="44767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6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调料平台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4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E3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500×1200×(800+400)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C0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台面选用优质不锈钢板制作，台面厚1.2mm，下衬10mm厚减噪板，加强档采用1.0 mm不锈钢板，脚采用38×1.0mm不锈钢圆管,脚杯50×100×0.8mm，横通25×0.8mm。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A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ECE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F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A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5715</wp:posOffset>
                  </wp:positionV>
                  <wp:extent cx="456565" cy="637540"/>
                  <wp:effectExtent l="0" t="0" r="635" b="10160"/>
                  <wp:wrapNone/>
                  <wp:docPr id="79" name="图片_21"/>
                  <wp:cNvGraphicFramePr/>
                  <a:graphic xmlns:a="http://schemas.openxmlformats.org/drawingml/2006/main">
                    <a:graphicData uri="http://schemas.openxmlformats.org/drawingml/2006/picture">
                      <pic:pic xmlns:pic="http://schemas.openxmlformats.org/drawingml/2006/picture">
                        <pic:nvPicPr>
                          <pic:cNvPr id="79" name="图片_21"/>
                          <pic:cNvPicPr/>
                        </pic:nvPicPr>
                        <pic:blipFill>
                          <a:blip r:embed="rId40"/>
                          <a:stretch>
                            <a:fillRect/>
                          </a:stretch>
                        </pic:blipFill>
                        <pic:spPr>
                          <a:xfrm>
                            <a:off x="0" y="0"/>
                            <a:ext cx="456565" cy="63754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8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电磁双眼大锅灶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9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C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2000×1200×(800+400)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54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功率：2*25KW/380V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1、材质：面板采用一体成型优质304#不锈钢板，厚1.35，侧板厚1.0。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2、面板两侧宽30mm直边 前高40mm后高70，形成坡形状方便清洁无积水及两侧溢水。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3、锅厚3mm并通过食品接触产品安全及卫生认证，全304#不锈钢水龙头。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4、采用锌合金双八档旋转开关及一键启停电源开关，方便离岗关机并准确无误停止加热。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5、机芯核心部件采用不同导热特殊材料灌封，散热的同时又能达到防水，防潮效果。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6、采用识字量运算控制，智能调节算法真正实现对功率、频率、温度、电源、电压、电流、相位、频率等参数的数字化控制。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7、采用变频送风技术，同步感应追踪多路工作点温度，大大增加散热系统使用寿命，有效防止散热系统堵塞。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★所投电磁双头大炒灶整机提供带CNAS、CMA、Ilac-MRA标识的检测报告，产品满足GB40876-2021标准，热效率≥97%，判定为一级能效，提供加盖公章的第三方检测报告或证明资料复印件。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电磁双头大炒整机带CNAS或CMA标识的检测报告，满足GB4343.1-2018标准，辐射骚扰检测合格且整机具有离人感应安全保护功能，可以设定监测距离和报警时间。人员在离开设定距离时并且达到报警时间，设备就会发出警报声音并立即停止加热。当人员回到设定距离以内会立即自动恢复加热，提供加盖公章的第三方检测报告或证明资料复印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1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9D7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9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1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186055</wp:posOffset>
                  </wp:positionV>
                  <wp:extent cx="410210" cy="329565"/>
                  <wp:effectExtent l="0" t="0" r="8890" b="13335"/>
                  <wp:wrapNone/>
                  <wp:docPr id="81" name="图片_66"/>
                  <wp:cNvGraphicFramePr/>
                  <a:graphic xmlns:a="http://schemas.openxmlformats.org/drawingml/2006/main">
                    <a:graphicData uri="http://schemas.openxmlformats.org/drawingml/2006/picture">
                      <pic:pic xmlns:pic="http://schemas.openxmlformats.org/drawingml/2006/picture">
                        <pic:nvPicPr>
                          <pic:cNvPr id="81" name="图片_66"/>
                          <pic:cNvPicPr/>
                        </pic:nvPicPr>
                        <pic:blipFill>
                          <a:blip r:embed="rId31"/>
                          <a:stretch>
                            <a:fillRect/>
                          </a:stretch>
                        </pic:blipFill>
                        <pic:spPr>
                          <a:xfrm>
                            <a:off x="0" y="0"/>
                            <a:ext cx="410210" cy="32956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2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单层工作台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4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5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1580×1200×800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EE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台面选用优质不锈钢板制作，台面厚1.2mm，下衬10mm厚减噪板，加强档采用1.0 mm不锈钢板，脚采用38×1.0mm不锈钢方管,脚杯50×100×0.8mm，横通25×0.8mm。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9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F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51E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D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-262890</wp:posOffset>
                  </wp:positionV>
                  <wp:extent cx="517525" cy="560705"/>
                  <wp:effectExtent l="0" t="0" r="15875" b="10795"/>
                  <wp:wrapNone/>
                  <wp:docPr id="80" name="图片_2"/>
                  <wp:cNvGraphicFramePr/>
                  <a:graphic xmlns:a="http://schemas.openxmlformats.org/drawingml/2006/main">
                    <a:graphicData uri="http://schemas.openxmlformats.org/drawingml/2006/picture">
                      <pic:pic xmlns:pic="http://schemas.openxmlformats.org/drawingml/2006/picture">
                        <pic:nvPicPr>
                          <pic:cNvPr id="80" name="图片_2"/>
                          <pic:cNvPicPr/>
                        </pic:nvPicPr>
                        <pic:blipFill>
                          <a:blip r:embed="rId41"/>
                          <a:stretch>
                            <a:fillRect/>
                          </a:stretch>
                        </pic:blipFill>
                        <pic:spPr>
                          <a:xfrm>
                            <a:off x="0" y="0"/>
                            <a:ext cx="517525" cy="56070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9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定制电磁小炒+大炒灶</w:t>
            </w:r>
            <w:r>
              <w:rPr>
                <w:rFonts w:hint="eastAsia" w:ascii="宋体" w:hAnsi="宋体" w:eastAsia="宋体" w:cs="宋体"/>
                <w:i w:val="0"/>
                <w:iCs w:val="0"/>
                <w:color w:val="FF0000"/>
                <w:kern w:val="0"/>
                <w:sz w:val="18"/>
                <w:szCs w:val="18"/>
                <w:u w:val="none"/>
                <w:lang w:val="en-US" w:eastAsia="zh-CN" w:bidi="ar"/>
              </w:rPr>
              <w:t>（需提供投标样品）</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D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D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2000×1200×800+400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F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功率：15KW+20KW/380V</w:t>
            </w:r>
          </w:p>
          <w:p w14:paraId="0AF10D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1、材质：面板采用一体成型优质304#不锈钢板，厚1.35，侧板厚1.0。</w:t>
            </w:r>
          </w:p>
          <w:p w14:paraId="16B58B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2、面板两侧宽30mm直边 前高40mm后高70，形成坡形状方便清洁无积水及两侧溢水。</w:t>
            </w:r>
          </w:p>
          <w:p w14:paraId="1C4F51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3、锅厚3mm并通过食品接触产品安全及卫生认证，全304#不锈钢水龙头。</w:t>
            </w:r>
          </w:p>
          <w:p w14:paraId="0547E2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4、采用锌合金双八档旋转开关及一键启停电源开关，方便离岗关机并准确无误停止加热。</w:t>
            </w:r>
          </w:p>
          <w:p w14:paraId="597D2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5、机芯核心部件采用不同导热特殊材料灌封，散热的同时又能达到防水，防潮效果。</w:t>
            </w:r>
          </w:p>
          <w:p w14:paraId="06D3D8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6、采用识字量运算控制，智能调节算法真正实现对功率、频率、温度、电源、电压、电流、相位、频率等参数的数字化控制。</w:t>
            </w:r>
          </w:p>
          <w:p w14:paraId="790505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7、采用变频送风技术，同步感应追踪多路工作点温度，大大增加散热系统使用寿命，有效防止散热系统堵塞。</w:t>
            </w:r>
          </w:p>
          <w:p w14:paraId="308F2E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8、线盘采用耐高温高频线制作锅底发热均匀无盲区同时提高有效热能降低用电成本。</w:t>
            </w:r>
          </w:p>
          <w:p w14:paraId="284FB4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供电磁炉机芯提供带CMA标识的检测报告，产品满足GB/T16422.2-2022、GB/T16422.3-2022标准，紫外老化辐照度0.51W/(m2.nm)@340nm，实验时间≥165h，检验检测结果≤0.1及氙弧灯老化辐照度1.20W/(m2.nm)@340nm，实验时间≥480h，检测结果≤0.1。提供加盖公章的第三方检测报告或证明资料复印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E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ECA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9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2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双星盆连平台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CE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9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规格：1600×760×(800+150)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CAD5">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auto"/>
                <w:kern w:val="2"/>
                <w:sz w:val="18"/>
                <w:szCs w:val="18"/>
                <w:highlight w:val="yellow"/>
                <w:u w:val="none"/>
                <w:lang w:val="en-US" w:eastAsia="zh-CN" w:bidi="ar-SA"/>
              </w:rPr>
            </w:pPr>
            <w:r>
              <w:rPr>
                <w:rFonts w:hint="eastAsia" w:ascii="宋体" w:hAnsi="宋体" w:eastAsia="宋体" w:cs="宋体"/>
                <w:i w:val="0"/>
                <w:iCs w:val="0"/>
                <w:color w:val="auto"/>
                <w:kern w:val="0"/>
                <w:sz w:val="18"/>
                <w:szCs w:val="18"/>
                <w:u w:val="none"/>
                <w:lang w:val="en-US" w:eastAsia="zh-CN" w:bidi="ar"/>
              </w:rPr>
              <w:t>说明：利旧设备需拆卸、搬运及安装，投标人综合考虑。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0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B18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5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-90170</wp:posOffset>
                  </wp:positionV>
                  <wp:extent cx="469900" cy="407670"/>
                  <wp:effectExtent l="0" t="0" r="6350" b="11430"/>
                  <wp:wrapNone/>
                  <wp:docPr id="99" name="图片_84"/>
                  <wp:cNvGraphicFramePr/>
                  <a:graphic xmlns:a="http://schemas.openxmlformats.org/drawingml/2006/main">
                    <a:graphicData uri="http://schemas.openxmlformats.org/drawingml/2006/picture">
                      <pic:pic xmlns:pic="http://schemas.openxmlformats.org/drawingml/2006/picture">
                        <pic:nvPicPr>
                          <pic:cNvPr id="99" name="图片_84"/>
                          <pic:cNvPicPr/>
                        </pic:nvPicPr>
                        <pic:blipFill>
                          <a:blip r:embed="rId42"/>
                          <a:stretch>
                            <a:fillRect/>
                          </a:stretch>
                        </pic:blipFill>
                        <pic:spPr>
                          <a:xfrm>
                            <a:off x="0" y="0"/>
                            <a:ext cx="469900" cy="40767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开放式洗地龙头连摇摆支架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1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E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9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表面静电喷塑开放式卷盘，配10.7米黑色高压重工三层钢丝液压管，配置一把前扳机黄铜水枪，管子承受压力300-1000psi，温度0-100℃。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D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D71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658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蒸煮间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A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5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37E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24765</wp:posOffset>
                  </wp:positionV>
                  <wp:extent cx="471805" cy="300355"/>
                  <wp:effectExtent l="0" t="0" r="4445" b="4445"/>
                  <wp:wrapNone/>
                  <wp:docPr id="98" name="图片_90"/>
                  <wp:cNvGraphicFramePr/>
                  <a:graphic xmlns:a="http://schemas.openxmlformats.org/drawingml/2006/main">
                    <a:graphicData uri="http://schemas.openxmlformats.org/drawingml/2006/picture">
                      <pic:pic xmlns:pic="http://schemas.openxmlformats.org/drawingml/2006/picture">
                        <pic:nvPicPr>
                          <pic:cNvPr id="98" name="图片_90"/>
                          <pic:cNvPicPr/>
                        </pic:nvPicPr>
                        <pic:blipFill>
                          <a:blip r:embed="rId43"/>
                          <a:stretch>
                            <a:fillRect/>
                          </a:stretch>
                        </pic:blipFill>
                        <pic:spPr>
                          <a:xfrm>
                            <a:off x="0" y="0"/>
                            <a:ext cx="471805" cy="30035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粘捕式灭蝇灯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F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6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390×200×165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8D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功率：8W/220V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说明：静音粘补，无声保护；超大粘纸，降低成本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B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43A9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2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4F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单星盆台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5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700×760×(800+150)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6A8">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000000"/>
                <w:kern w:val="2"/>
                <w:sz w:val="18"/>
                <w:szCs w:val="18"/>
                <w:highlight w:val="yellow"/>
                <w:u w:val="none"/>
                <w:lang w:val="en-US" w:eastAsia="zh-CN" w:bidi="ar-SA"/>
              </w:rPr>
            </w:pPr>
            <w:r>
              <w:rPr>
                <w:rFonts w:hint="eastAsia" w:ascii="宋体" w:hAnsi="宋体" w:eastAsia="宋体" w:cs="宋体"/>
                <w:i w:val="0"/>
                <w:iCs w:val="0"/>
                <w:color w:val="000000"/>
                <w:kern w:val="0"/>
                <w:sz w:val="18"/>
                <w:szCs w:val="18"/>
                <w:u w:val="none"/>
                <w:lang w:val="en-US" w:eastAsia="zh-CN" w:bidi="ar"/>
              </w:rPr>
              <w:t>说明：利旧设备需拆卸、搬运及安装，投标人综合考虑。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9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F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3DC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5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3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19685</wp:posOffset>
                  </wp:positionV>
                  <wp:extent cx="359410" cy="241935"/>
                  <wp:effectExtent l="0" t="0" r="2540" b="5715"/>
                  <wp:wrapNone/>
                  <wp:docPr id="97" name="图片_96"/>
                  <wp:cNvGraphicFramePr/>
                  <a:graphic xmlns:a="http://schemas.openxmlformats.org/drawingml/2006/main">
                    <a:graphicData uri="http://schemas.openxmlformats.org/drawingml/2006/picture">
                      <pic:pic xmlns:pic="http://schemas.openxmlformats.org/drawingml/2006/picture">
                        <pic:nvPicPr>
                          <pic:cNvPr id="97" name="图片_96"/>
                          <pic:cNvPicPr/>
                        </pic:nvPicPr>
                        <pic:blipFill>
                          <a:blip r:embed="rId44"/>
                          <a:stretch>
                            <a:fillRect/>
                          </a:stretch>
                        </pic:blipFill>
                        <pic:spPr>
                          <a:xfrm>
                            <a:off x="0" y="0"/>
                            <a:ext cx="359410" cy="24193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F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集气罩(单位：平方米)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D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8200×1200×500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70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选用优质不锈钢板制作，板厚1.0mm，配防爆灯。(排汽风管另计)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5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r>
      <w:tr w14:paraId="0FF1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4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98425</wp:posOffset>
                  </wp:positionV>
                  <wp:extent cx="507365" cy="455295"/>
                  <wp:effectExtent l="0" t="0" r="6985" b="1905"/>
                  <wp:wrapNone/>
                  <wp:docPr id="96" name="图片_189"/>
                  <wp:cNvGraphicFramePr/>
                  <a:graphic xmlns:a="http://schemas.openxmlformats.org/drawingml/2006/main">
                    <a:graphicData uri="http://schemas.openxmlformats.org/drawingml/2006/picture">
                      <pic:pic xmlns:pic="http://schemas.openxmlformats.org/drawingml/2006/picture">
                        <pic:nvPicPr>
                          <pic:cNvPr id="96" name="图片_189"/>
                          <pic:cNvPicPr/>
                        </pic:nvPicPr>
                        <pic:blipFill>
                          <a:blip r:embed="rId45"/>
                          <a:stretch>
                            <a:fillRect/>
                          </a:stretch>
                        </pic:blipFill>
                        <pic:spPr>
                          <a:xfrm>
                            <a:off x="0" y="0"/>
                            <a:ext cx="507365" cy="45529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电汽两用蒸饭车(双门)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9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1220×710×1470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3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电量：2×12KW/3PH/380V；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容量：100KG；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整机柜体全部采用不锈钢优质板材制作，包括内部全不锈钢加强；配有接地标准，自动进水功能，浮球304材质，蒸饭时箱内承受650帕微压状态，自动泄压，水的蒸发量每小时24公斤，既安全节能、食物口感更佳，柜体采用高密度保温材料，使用过程中外壳表面温度在50摄氏度以内，不烫手，保温性能优良。安全节能。配液压拉伸成形饭盘。</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0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47F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D37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洗碗间/消毒间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9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72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E96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4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226060</wp:posOffset>
                  </wp:positionV>
                  <wp:extent cx="473075" cy="314325"/>
                  <wp:effectExtent l="0" t="0" r="3175" b="9525"/>
                  <wp:wrapNone/>
                  <wp:docPr id="95" name="图片_102"/>
                  <wp:cNvGraphicFramePr/>
                  <a:graphic xmlns:a="http://schemas.openxmlformats.org/drawingml/2006/main">
                    <a:graphicData uri="http://schemas.openxmlformats.org/drawingml/2006/picture">
                      <pic:pic xmlns:pic="http://schemas.openxmlformats.org/drawingml/2006/picture">
                        <pic:nvPicPr>
                          <pic:cNvPr id="95" name="图片_102"/>
                          <pic:cNvPicPr/>
                        </pic:nvPicPr>
                        <pic:blipFill>
                          <a:blip r:embed="rId28"/>
                          <a:stretch>
                            <a:fillRect/>
                          </a:stretch>
                        </pic:blipFill>
                        <pic:spPr>
                          <a:xfrm>
                            <a:off x="0" y="0"/>
                            <a:ext cx="473075" cy="31432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风幕机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6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D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1500×220×195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7B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风量：2970m³/h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 47dB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说明：全金属外壳，防火性能高，耐腐蚀性佳，容易清洗；设高低档位，两档风量，节能调速；采用原厂设计生产电机，高效节能，独特挡风条设计，风向自由可调。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5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847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4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E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238125</wp:posOffset>
                  </wp:positionV>
                  <wp:extent cx="461645" cy="332740"/>
                  <wp:effectExtent l="0" t="0" r="14605" b="10160"/>
                  <wp:wrapNone/>
                  <wp:docPr id="94" name="图片_104"/>
                  <wp:cNvGraphicFramePr/>
                  <a:graphic xmlns:a="http://schemas.openxmlformats.org/drawingml/2006/main">
                    <a:graphicData uri="http://schemas.openxmlformats.org/drawingml/2006/picture">
                      <pic:pic xmlns:pic="http://schemas.openxmlformats.org/drawingml/2006/picture">
                        <pic:nvPicPr>
                          <pic:cNvPr id="94" name="图片_104"/>
                          <pic:cNvPicPr/>
                        </pic:nvPicPr>
                        <pic:blipFill>
                          <a:blip r:embed="rId28"/>
                          <a:stretch>
                            <a:fillRect/>
                          </a:stretch>
                        </pic:blipFill>
                        <pic:spPr>
                          <a:xfrm>
                            <a:off x="0" y="0"/>
                            <a:ext cx="461645" cy="33274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5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风幕机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2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1220×220×195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E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风量：2370m³/h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 47dB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说明：全金属外壳，防火性能高，耐腐蚀性佳，容易清洗；设高低档位，两档风量，节能调速；采用原厂设计生产电机，高效节能，独特挡风条设计，风向自由可调。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7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E9A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F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47625</wp:posOffset>
                  </wp:positionV>
                  <wp:extent cx="389890" cy="359410"/>
                  <wp:effectExtent l="0" t="0" r="10160" b="2540"/>
                  <wp:wrapNone/>
                  <wp:docPr id="93" name="图片_106"/>
                  <wp:cNvGraphicFramePr/>
                  <a:graphic xmlns:a="http://schemas.openxmlformats.org/drawingml/2006/main">
                    <a:graphicData uri="http://schemas.openxmlformats.org/drawingml/2006/picture">
                      <pic:pic xmlns:pic="http://schemas.openxmlformats.org/drawingml/2006/picture">
                        <pic:nvPicPr>
                          <pic:cNvPr id="93" name="图片_106"/>
                          <pic:cNvPicPr/>
                        </pic:nvPicPr>
                        <pic:blipFill>
                          <a:blip r:embed="rId46"/>
                          <a:stretch>
                            <a:fillRect/>
                          </a:stretch>
                        </pic:blipFill>
                        <pic:spPr>
                          <a:xfrm>
                            <a:off x="0" y="0"/>
                            <a:ext cx="389890" cy="35941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B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粘捕式灭蝇灯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A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390×200×165</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F9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功率：8W/220V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说明：静音粘补，无声保护；超大粘纸，降低成本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1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E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2A30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95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4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大单星盆台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07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1000×750×(800+150)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FE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说明：利旧设备需拆卸、搬运及安装，投标人综合考虑。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2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7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D24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0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4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6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大单星盆台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77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1200×750×(800+150)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33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说明：利旧设备需拆卸、搬运及安装，投标人综合考虑。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3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54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7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B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8890</wp:posOffset>
                  </wp:positionV>
                  <wp:extent cx="514350" cy="422275"/>
                  <wp:effectExtent l="0" t="0" r="0" b="15875"/>
                  <wp:wrapNone/>
                  <wp:docPr id="92" name="图片_110"/>
                  <wp:cNvGraphicFramePr/>
                  <a:graphic xmlns:a="http://schemas.openxmlformats.org/drawingml/2006/main">
                    <a:graphicData uri="http://schemas.openxmlformats.org/drawingml/2006/picture">
                      <pic:pic xmlns:pic="http://schemas.openxmlformats.org/drawingml/2006/picture">
                        <pic:nvPicPr>
                          <pic:cNvPr id="92" name="图片_110"/>
                          <pic:cNvPicPr/>
                        </pic:nvPicPr>
                        <pic:blipFill>
                          <a:blip r:embed="rId47"/>
                          <a:stretch>
                            <a:fillRect/>
                          </a:stretch>
                        </pic:blipFill>
                        <pic:spPr>
                          <a:xfrm>
                            <a:off x="0" y="0"/>
                            <a:ext cx="514350" cy="42227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3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开放式洗地龙头连摇摆支架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F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39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表面静电喷塑开放式卷盘，配10.7米黑色高压重工三层钢丝液压管，配置一把前扳机黄铜水枪，管子承受压力300-1000psi，温度0-100℃。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E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3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BCC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0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0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65405</wp:posOffset>
                  </wp:positionV>
                  <wp:extent cx="358775" cy="640080"/>
                  <wp:effectExtent l="0" t="0" r="3175" b="7620"/>
                  <wp:wrapNone/>
                  <wp:docPr id="91" name="图片_118"/>
                  <wp:cNvGraphicFramePr/>
                  <a:graphic xmlns:a="http://schemas.openxmlformats.org/drawingml/2006/main">
                    <a:graphicData uri="http://schemas.openxmlformats.org/drawingml/2006/picture">
                      <pic:pic xmlns:pic="http://schemas.openxmlformats.org/drawingml/2006/picture">
                        <pic:nvPicPr>
                          <pic:cNvPr id="91" name="图片_118"/>
                          <pic:cNvPicPr/>
                        </pic:nvPicPr>
                        <pic:blipFill>
                          <a:blip r:embed="rId48"/>
                          <a:stretch>
                            <a:fillRect/>
                          </a:stretch>
                        </pic:blipFill>
                        <pic:spPr>
                          <a:xfrm>
                            <a:off x="0" y="0"/>
                            <a:ext cx="358775" cy="64008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0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全自动电热开水器连座</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3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0CC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600×600×1750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CE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容量：120L；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供水量：150L/H；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电量：15KW/3PH/380V。</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8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C3C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0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354965</wp:posOffset>
                  </wp:positionV>
                  <wp:extent cx="486410" cy="605790"/>
                  <wp:effectExtent l="0" t="0" r="8890" b="3810"/>
                  <wp:wrapNone/>
                  <wp:docPr id="89" name="图片_120"/>
                  <wp:cNvGraphicFramePr/>
                  <a:graphic xmlns:a="http://schemas.openxmlformats.org/drawingml/2006/main">
                    <a:graphicData uri="http://schemas.openxmlformats.org/drawingml/2006/picture">
                      <pic:pic xmlns:pic="http://schemas.openxmlformats.org/drawingml/2006/picture">
                        <pic:nvPicPr>
                          <pic:cNvPr id="89" name="图片_120"/>
                          <pic:cNvPicPr/>
                        </pic:nvPicPr>
                        <pic:blipFill>
                          <a:blip r:embed="rId49"/>
                          <a:stretch>
                            <a:fillRect/>
                          </a:stretch>
                        </pic:blipFill>
                        <pic:spPr>
                          <a:xfrm>
                            <a:off x="0" y="0"/>
                            <a:ext cx="486410" cy="60579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双门热风消毒柜</w:t>
            </w:r>
            <w:r>
              <w:rPr>
                <w:rFonts w:hint="eastAsia" w:ascii="宋体" w:hAnsi="宋体" w:eastAsia="宋体" w:cs="宋体"/>
                <w:i w:val="0"/>
                <w:iCs w:val="0"/>
                <w:color w:val="FF0000"/>
                <w:kern w:val="0"/>
                <w:sz w:val="18"/>
                <w:szCs w:val="18"/>
                <w:u w:val="none"/>
                <w:lang w:val="en-US" w:eastAsia="zh-CN" w:bidi="ar"/>
              </w:rPr>
              <w:t>（需提供投标样品）</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1310×635×1880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B3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有效容积：760L；</w:t>
            </w:r>
          </w:p>
          <w:p w14:paraId="048E84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功率：4.6KW/220V；</w:t>
            </w:r>
          </w:p>
          <w:p w14:paraId="121C83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温度可调范围：30℃～150℃；</w:t>
            </w:r>
          </w:p>
          <w:p w14:paraId="058AA6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1、内外箱均采用优质不锈钢板材</w:t>
            </w:r>
          </w:p>
          <w:p w14:paraId="78A732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2、外箱顶部及外箱后背板使用环保无锌花表面钝化优质镀锌板</w:t>
            </w:r>
          </w:p>
          <w:p w14:paraId="7A927E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3、360度高温热风循环系统，让器具消毒更彻底；</w:t>
            </w:r>
          </w:p>
          <w:p w14:paraId="083117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4、使用耐高温风机、不锈钢加热管及微电脑控制板</w:t>
            </w:r>
          </w:p>
          <w:p w14:paraId="11ABE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5、柜内配备不锈钢网篮，网框为不锈钢材质，表面二次镀镍防锈，卫生、耐用。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3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AB7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B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2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154940</wp:posOffset>
                  </wp:positionV>
                  <wp:extent cx="444500" cy="76200"/>
                  <wp:effectExtent l="0" t="0" r="12700" b="0"/>
                  <wp:wrapNone/>
                  <wp:docPr id="67" name="图片_125"/>
                  <wp:cNvGraphicFramePr/>
                  <a:graphic xmlns:a="http://schemas.openxmlformats.org/drawingml/2006/main">
                    <a:graphicData uri="http://schemas.openxmlformats.org/drawingml/2006/picture">
                      <pic:pic xmlns:pic="http://schemas.openxmlformats.org/drawingml/2006/picture">
                        <pic:nvPicPr>
                          <pic:cNvPr id="67" name="图片_125"/>
                          <pic:cNvPicPr/>
                        </pic:nvPicPr>
                        <pic:blipFill>
                          <a:blip r:embed="rId50"/>
                          <a:stretch>
                            <a:fillRect/>
                          </a:stretch>
                        </pic:blipFill>
                        <pic:spPr>
                          <a:xfrm flipV="1">
                            <a:off x="0" y="0"/>
                            <a:ext cx="444500" cy="7620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3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紫外线杀菌灯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E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1070×96×53</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52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功率：30W/220V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说明：遥控开关,延时功能；灯管防爆，保证安全；整体圆角，易于清洁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B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0687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370205</wp:posOffset>
                  </wp:positionV>
                  <wp:extent cx="523875" cy="652780"/>
                  <wp:effectExtent l="0" t="0" r="9525" b="13970"/>
                  <wp:wrapNone/>
                  <wp:docPr id="84" name="图片_191"/>
                  <wp:cNvGraphicFramePr/>
                  <a:graphic xmlns:a="http://schemas.openxmlformats.org/drawingml/2006/main">
                    <a:graphicData uri="http://schemas.openxmlformats.org/drawingml/2006/picture">
                      <pic:pic xmlns:pic="http://schemas.openxmlformats.org/drawingml/2006/picture">
                        <pic:nvPicPr>
                          <pic:cNvPr id="84" name="图片_191"/>
                          <pic:cNvPicPr/>
                        </pic:nvPicPr>
                        <pic:blipFill>
                          <a:blip r:embed="rId51"/>
                          <a:stretch>
                            <a:fillRect/>
                          </a:stretch>
                        </pic:blipFill>
                        <pic:spPr>
                          <a:xfrm>
                            <a:off x="0" y="0"/>
                            <a:ext cx="523875" cy="65278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定制成品盒消毒柜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A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1310×635×1880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有效容积：760L；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功率：4.6KW/220V；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温度可调范围：30℃～150℃；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1、内外箱均采用优质不锈钢板材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2、外箱顶部及外箱后背板使用环保无锌花表面钝化优质镀锌板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3、360度高温热风循环系统，让器具消毒更彻底；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4、使用耐高温风机、不锈钢加热管及微电脑控制板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5、柜内配备不锈钢网篮，网框为不锈钢材质，表面二次镀镍防锈，卫生、耐用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7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DF4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639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备餐间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41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D5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208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8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34925</wp:posOffset>
                  </wp:positionV>
                  <wp:extent cx="361950" cy="638175"/>
                  <wp:effectExtent l="0" t="0" r="0" b="9525"/>
                  <wp:wrapNone/>
                  <wp:docPr id="70" name="图片_130"/>
                  <wp:cNvGraphicFramePr/>
                  <a:graphic xmlns:a="http://schemas.openxmlformats.org/drawingml/2006/main">
                    <a:graphicData uri="http://schemas.openxmlformats.org/drawingml/2006/picture">
                      <pic:pic xmlns:pic="http://schemas.openxmlformats.org/drawingml/2006/picture">
                        <pic:nvPicPr>
                          <pic:cNvPr id="70" name="图片_130"/>
                          <pic:cNvPicPr/>
                        </pic:nvPicPr>
                        <pic:blipFill>
                          <a:blip r:embed="rId29"/>
                          <a:stretch>
                            <a:fillRect/>
                          </a:stretch>
                        </pic:blipFill>
                        <pic:spPr>
                          <a:xfrm>
                            <a:off x="0" y="0"/>
                            <a:ext cx="361950" cy="63817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5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自动冷暖干手器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A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250×165×470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C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电量：0.55KW/1PH/220V；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说明：出风温度20～40℃。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1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B51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5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E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76200</wp:posOffset>
                  </wp:positionV>
                  <wp:extent cx="492760" cy="76200"/>
                  <wp:effectExtent l="0" t="0" r="2540" b="0"/>
                  <wp:wrapNone/>
                  <wp:docPr id="65" name="图片_133"/>
                  <wp:cNvGraphicFramePr/>
                  <a:graphic xmlns:a="http://schemas.openxmlformats.org/drawingml/2006/main">
                    <a:graphicData uri="http://schemas.openxmlformats.org/drawingml/2006/picture">
                      <pic:pic xmlns:pic="http://schemas.openxmlformats.org/drawingml/2006/picture">
                        <pic:nvPicPr>
                          <pic:cNvPr id="65" name="图片_133"/>
                          <pic:cNvPicPr/>
                        </pic:nvPicPr>
                        <pic:blipFill>
                          <a:blip r:embed="rId50"/>
                          <a:stretch>
                            <a:fillRect/>
                          </a:stretch>
                        </pic:blipFill>
                        <pic:spPr>
                          <a:xfrm>
                            <a:off x="0" y="0"/>
                            <a:ext cx="492760" cy="7620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3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紫外线杀菌灯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6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1070×96×53</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E1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功率：30W/220V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覆盖面积：25㎡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说明：遥控开关,延时功能；灯管防爆，保证安全；整体圆角，易于清洁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A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2712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137795</wp:posOffset>
                  </wp:positionV>
                  <wp:extent cx="299720" cy="662940"/>
                  <wp:effectExtent l="0" t="0" r="5080" b="3810"/>
                  <wp:wrapNone/>
                  <wp:docPr id="90" name="图片_45"/>
                  <wp:cNvGraphicFramePr/>
                  <a:graphic xmlns:a="http://schemas.openxmlformats.org/drawingml/2006/main">
                    <a:graphicData uri="http://schemas.openxmlformats.org/drawingml/2006/picture">
                      <pic:pic xmlns:pic="http://schemas.openxmlformats.org/drawingml/2006/picture">
                        <pic:nvPicPr>
                          <pic:cNvPr id="90" name="图片_45"/>
                          <pic:cNvPicPr/>
                        </pic:nvPicPr>
                        <pic:blipFill>
                          <a:blip r:embed="rId52"/>
                          <a:stretch>
                            <a:fillRect/>
                          </a:stretch>
                        </pic:blipFill>
                        <pic:spPr>
                          <a:xfrm>
                            <a:off x="0" y="0"/>
                            <a:ext cx="299720" cy="66294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留样冰箱</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1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3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1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1、静音风机360度循环制冷，箱内温度更均匀；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2、中空低辐射高透光钢化玻璃，锁冷隔热防凝露，观察食品更方便；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3、人性化温度旋钮控温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4、独立led灯光控制开关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容量：248L</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7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DE5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7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9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20320</wp:posOffset>
                  </wp:positionV>
                  <wp:extent cx="379730" cy="375285"/>
                  <wp:effectExtent l="0" t="0" r="1270" b="5715"/>
                  <wp:wrapNone/>
                  <wp:docPr id="85" name="图片_138"/>
                  <wp:cNvGraphicFramePr/>
                  <a:graphic xmlns:a="http://schemas.openxmlformats.org/drawingml/2006/main">
                    <a:graphicData uri="http://schemas.openxmlformats.org/drawingml/2006/picture">
                      <pic:pic xmlns:pic="http://schemas.openxmlformats.org/drawingml/2006/picture">
                        <pic:nvPicPr>
                          <pic:cNvPr id="85" name="图片_138"/>
                          <pic:cNvPicPr/>
                        </pic:nvPicPr>
                        <pic:blipFill>
                          <a:blip r:embed="rId53"/>
                          <a:stretch>
                            <a:fillRect/>
                          </a:stretch>
                        </pic:blipFill>
                        <pic:spPr>
                          <a:xfrm>
                            <a:off x="0" y="0"/>
                            <a:ext cx="379730" cy="37528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C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单星盆台</w:t>
            </w:r>
          </w:p>
          <w:p w14:paraId="7021E808">
            <w:pPr>
              <w:pStyle w:val="2"/>
              <w:keepNext w:val="0"/>
              <w:keepLines w:val="0"/>
              <w:suppressLineNumbers w:val="0"/>
              <w:spacing w:before="0" w:beforeAutospacing="0" w:afterAutospacing="0"/>
              <w:ind w:left="0" w:leftChars="0" w:right="0" w:firstLine="0" w:firstLineChars="0"/>
              <w:rPr>
                <w:rFonts w:hint="eastAsia"/>
              </w:rPr>
            </w:pPr>
            <w:r>
              <w:rPr>
                <w:rFonts w:hint="eastAsia"/>
                <w:color w:val="FF0000"/>
              </w:rPr>
              <w:t>（需提供投标样品）</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600×750×(800+150)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97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台面选用优质不锈钢板制作，板厚1.2mm，脚采用38×1.0mm不锈钢方管,脚杯50×100×0.8mm，横通25×0.8mm，配优质落水器及拦渣片。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D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56E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3F4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其他</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B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73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6B80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5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-212725</wp:posOffset>
                  </wp:positionV>
                  <wp:extent cx="491490" cy="452755"/>
                  <wp:effectExtent l="0" t="0" r="3810" b="4445"/>
                  <wp:wrapNone/>
                  <wp:docPr id="69" name="图片_151"/>
                  <wp:cNvGraphicFramePr/>
                  <a:graphic xmlns:a="http://schemas.openxmlformats.org/drawingml/2006/main">
                    <a:graphicData uri="http://schemas.openxmlformats.org/drawingml/2006/picture">
                      <pic:pic xmlns:pic="http://schemas.openxmlformats.org/drawingml/2006/picture">
                        <pic:nvPicPr>
                          <pic:cNvPr id="69" name="图片_151"/>
                          <pic:cNvPicPr/>
                        </pic:nvPicPr>
                        <pic:blipFill>
                          <a:blip r:embed="rId54"/>
                          <a:stretch>
                            <a:fillRect/>
                          </a:stretch>
                        </pic:blipFill>
                        <pic:spPr>
                          <a:xfrm>
                            <a:off x="0" y="0"/>
                            <a:ext cx="491490" cy="45275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8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感应龙头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8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全铜材质，红外感应距离25cm，感应距离可调，可接冷、热水源，直流电（电池型），开单孔，开孔4分（22mm。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▲产品属节水产品，水嘴技术要求须符合 GB25501-2019《水嘴水效限定值及水效等级》要求，提供加盖公章的第三方检测报告复印件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3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A6E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4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F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-308610</wp:posOffset>
                  </wp:positionV>
                  <wp:extent cx="501650" cy="554990"/>
                  <wp:effectExtent l="0" t="0" r="12700" b="16510"/>
                  <wp:wrapNone/>
                  <wp:docPr id="72" name="图片_152"/>
                  <wp:cNvGraphicFramePr/>
                  <a:graphic xmlns:a="http://schemas.openxmlformats.org/drawingml/2006/main">
                    <a:graphicData uri="http://schemas.openxmlformats.org/drawingml/2006/picture">
                      <pic:pic xmlns:pic="http://schemas.openxmlformats.org/drawingml/2006/picture">
                        <pic:nvPicPr>
                          <pic:cNvPr id="72" name="图片_152"/>
                          <pic:cNvPicPr/>
                        </pic:nvPicPr>
                        <pic:blipFill>
                          <a:blip r:embed="rId55"/>
                          <a:stretch>
                            <a:fillRect/>
                          </a:stretch>
                        </pic:blipFill>
                        <pic:spPr>
                          <a:xfrm>
                            <a:off x="0" y="0"/>
                            <a:ext cx="501650" cy="55499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6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双温摇摆龙头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F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9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全铜材质，全铜阀芯，标配六寸（152mm）鹅颈水嘴（可选配八寸（203mm）鹅颈水嘴），开孔孔距4"（101mm），开孔4分（22mm）。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▲产品属节水产品，水嘴技术要求须符合 GB25501-2019《水嘴水效限定值及水效等级》要求，提供加盖公章的第三方检测报告复印件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9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E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DD6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4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10160</wp:posOffset>
                  </wp:positionV>
                  <wp:extent cx="411480" cy="323215"/>
                  <wp:effectExtent l="0" t="0" r="7620" b="635"/>
                  <wp:wrapNone/>
                  <wp:docPr id="87" name="图片_153"/>
                  <wp:cNvGraphicFramePr/>
                  <a:graphic xmlns:a="http://schemas.openxmlformats.org/drawingml/2006/main">
                    <a:graphicData uri="http://schemas.openxmlformats.org/drawingml/2006/picture">
                      <pic:pic xmlns:pic="http://schemas.openxmlformats.org/drawingml/2006/picture">
                        <pic:nvPicPr>
                          <pic:cNvPr id="87" name="图片_153"/>
                          <pic:cNvPicPr/>
                        </pic:nvPicPr>
                        <pic:blipFill>
                          <a:blip r:embed="rId56"/>
                          <a:stretch>
                            <a:fillRect/>
                          </a:stretch>
                        </pic:blipFill>
                        <pic:spPr>
                          <a:xfrm>
                            <a:off x="0" y="0"/>
                            <a:ext cx="411480" cy="32321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进水软管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D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90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0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精密编织网采用不锈钢编织而成，排列紧凑，光滑平整,防爆防漏，坚固耐用；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7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67BC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5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60960</wp:posOffset>
                  </wp:positionV>
                  <wp:extent cx="431800" cy="259080"/>
                  <wp:effectExtent l="0" t="0" r="6350" b="7620"/>
                  <wp:wrapNone/>
                  <wp:docPr id="77" name="图片_154"/>
                  <wp:cNvGraphicFramePr/>
                  <a:graphic xmlns:a="http://schemas.openxmlformats.org/drawingml/2006/main">
                    <a:graphicData uri="http://schemas.openxmlformats.org/drawingml/2006/picture">
                      <pic:pic xmlns:pic="http://schemas.openxmlformats.org/drawingml/2006/picture">
                        <pic:nvPicPr>
                          <pic:cNvPr id="77" name="图片_154"/>
                          <pic:cNvPicPr/>
                        </pic:nvPicPr>
                        <pic:blipFill>
                          <a:blip r:embed="rId57"/>
                          <a:stretch>
                            <a:fillRect/>
                          </a:stretch>
                        </pic:blipFill>
                        <pic:spPr>
                          <a:xfrm>
                            <a:off x="0" y="0"/>
                            <a:ext cx="431800" cy="25908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D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下水软管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8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F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BE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优质PVC材质，内嵌螺旋弹力钢丝层，坚固耐用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6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B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6BCB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5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2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-92075</wp:posOffset>
                  </wp:positionV>
                  <wp:extent cx="504825" cy="431165"/>
                  <wp:effectExtent l="0" t="0" r="9525" b="6985"/>
                  <wp:wrapNone/>
                  <wp:docPr id="74" name="图片_155"/>
                  <wp:cNvGraphicFramePr/>
                  <a:graphic xmlns:a="http://schemas.openxmlformats.org/drawingml/2006/main">
                    <a:graphicData uri="http://schemas.openxmlformats.org/drawingml/2006/picture">
                      <pic:pic xmlns:pic="http://schemas.openxmlformats.org/drawingml/2006/picture">
                        <pic:nvPicPr>
                          <pic:cNvPr id="74" name="图片_155"/>
                          <pic:cNvPicPr/>
                        </pic:nvPicPr>
                        <pic:blipFill>
                          <a:blip r:embed="rId58"/>
                          <a:stretch>
                            <a:fillRect/>
                          </a:stretch>
                        </pic:blipFill>
                        <pic:spPr>
                          <a:xfrm>
                            <a:off x="0" y="0"/>
                            <a:ext cx="504825" cy="43116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A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去水杯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B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0B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5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选用不锈钢制作，一体成型耐腐蚀；内置过滤提篮；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0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F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3AE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6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6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100330</wp:posOffset>
                  </wp:positionV>
                  <wp:extent cx="429895" cy="881380"/>
                  <wp:effectExtent l="0" t="0" r="8255" b="13970"/>
                  <wp:wrapNone/>
                  <wp:docPr id="71" name="图片_177"/>
                  <wp:cNvGraphicFramePr/>
                  <a:graphic xmlns:a="http://schemas.openxmlformats.org/drawingml/2006/main">
                    <a:graphicData uri="http://schemas.openxmlformats.org/drawingml/2006/picture">
                      <pic:pic xmlns:pic="http://schemas.openxmlformats.org/drawingml/2006/picture">
                        <pic:nvPicPr>
                          <pic:cNvPr id="71" name="图片_177"/>
                          <pic:cNvPicPr/>
                        </pic:nvPicPr>
                        <pic:blipFill>
                          <a:blip r:embed="rId59"/>
                          <a:stretch>
                            <a:fillRect/>
                          </a:stretch>
                        </pic:blipFill>
                        <pic:spPr>
                          <a:xfrm>
                            <a:off x="0" y="0"/>
                            <a:ext cx="429895" cy="88138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8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700×920×1900</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B8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储水量：500L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材质：内胆304不锈钢，外壳不锈钢拉丝板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进/出水管径：DN50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包含上门安装、调试、安装辅材及税金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冷热水管和电源需提供至安装位置2米范围内，不包含土建工程。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6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A96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7EC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FF"/>
                <w:sz w:val="18"/>
                <w:szCs w:val="18"/>
                <w:u w:val="none"/>
              </w:rPr>
            </w:pPr>
            <w:r>
              <w:rPr>
                <w:rFonts w:hint="eastAsia" w:ascii="宋体" w:hAnsi="宋体" w:eastAsia="宋体" w:cs="宋体"/>
                <w:b/>
                <w:bCs/>
                <w:i w:val="0"/>
                <w:iCs w:val="0"/>
                <w:color w:val="0000FF"/>
                <w:kern w:val="0"/>
                <w:sz w:val="18"/>
                <w:szCs w:val="18"/>
                <w:u w:val="none"/>
                <w:lang w:val="en-US" w:eastAsia="zh-CN" w:bidi="ar"/>
              </w:rPr>
              <w:t>排烟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B0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9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F53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1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60325</wp:posOffset>
                  </wp:positionV>
                  <wp:extent cx="485775" cy="428625"/>
                  <wp:effectExtent l="0" t="0" r="9525" b="9525"/>
                  <wp:wrapNone/>
                  <wp:docPr id="78" name="图片_160"/>
                  <wp:cNvGraphicFramePr/>
                  <a:graphic xmlns:a="http://schemas.openxmlformats.org/drawingml/2006/main">
                    <a:graphicData uri="http://schemas.openxmlformats.org/drawingml/2006/picture">
                      <pic:pic xmlns:pic="http://schemas.openxmlformats.org/drawingml/2006/picture">
                        <pic:nvPicPr>
                          <pic:cNvPr id="78" name="图片_160"/>
                          <pic:cNvPicPr/>
                        </pic:nvPicPr>
                        <pic:blipFill>
                          <a:blip r:embed="rId60"/>
                          <a:stretch>
                            <a:fillRect/>
                          </a:stretch>
                        </pic:blipFill>
                        <pic:spPr>
                          <a:xfrm>
                            <a:off x="0" y="0"/>
                            <a:ext cx="485775" cy="42862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E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不锈钢排烟风管(单位：㎡)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F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B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B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选用优质不锈钢板制作，板厚0.8mm；抗压能力高不易变形，外形美观整洁；密封性强；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D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r>
      <w:tr w14:paraId="148F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107950</wp:posOffset>
                  </wp:positionV>
                  <wp:extent cx="342900" cy="285750"/>
                  <wp:effectExtent l="0" t="0" r="0" b="0"/>
                  <wp:wrapNone/>
                  <wp:docPr id="86" name="图片_161"/>
                  <wp:cNvGraphicFramePr/>
                  <a:graphic xmlns:a="http://schemas.openxmlformats.org/drawingml/2006/main">
                    <a:graphicData uri="http://schemas.openxmlformats.org/drawingml/2006/picture">
                      <pic:pic xmlns:pic="http://schemas.openxmlformats.org/drawingml/2006/picture">
                        <pic:nvPicPr>
                          <pic:cNvPr id="86" name="图片_161"/>
                          <pic:cNvPicPr/>
                        </pic:nvPicPr>
                        <pic:blipFill>
                          <a:blip r:embed="rId61"/>
                          <a:stretch>
                            <a:fillRect/>
                          </a:stretch>
                        </pic:blipFill>
                        <pic:spPr>
                          <a:xfrm>
                            <a:off x="0" y="0"/>
                            <a:ext cx="342900" cy="28575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风管法兰（单位：米）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7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8E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D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采用优质镀锌角铁制作；耐高温、耐腐蚀。</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D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5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BC9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9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风管吊杆及支架(单位：套)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7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EA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1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采用优质镀锌材料制作；吊杆厚</w:t>
            </w:r>
            <w:r>
              <w:rPr>
                <w:rFonts w:hint="default" w:ascii="Calibri" w:hAnsi="Calibri" w:eastAsia="宋体" w:cs="Calibri"/>
                <w:i w:val="0"/>
                <w:iCs w:val="0"/>
                <w:color w:val="000000"/>
                <w:kern w:val="0"/>
                <w:sz w:val="18"/>
                <w:szCs w:val="18"/>
                <w:u w:val="none"/>
                <w:lang w:val="en-US" w:eastAsia="zh-CN" w:bidi="ar"/>
              </w:rPr>
              <w:t>Φ</w:t>
            </w:r>
            <w:r>
              <w:rPr>
                <w:rFonts w:hint="eastAsia" w:ascii="宋体" w:hAnsi="宋体" w:eastAsia="宋体" w:cs="宋体"/>
                <w:i w:val="0"/>
                <w:iCs w:val="0"/>
                <w:color w:val="000000"/>
                <w:kern w:val="0"/>
                <w:sz w:val="18"/>
                <w:szCs w:val="18"/>
                <w:u w:val="none"/>
                <w:lang w:val="en-US" w:eastAsia="zh-CN" w:bidi="ar"/>
              </w:rPr>
              <w:t>10MM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7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A73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8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-20320</wp:posOffset>
                  </wp:positionV>
                  <wp:extent cx="403225" cy="537845"/>
                  <wp:effectExtent l="0" t="0" r="15875" b="14605"/>
                  <wp:wrapNone/>
                  <wp:docPr id="82" name="图片_162"/>
                  <wp:cNvGraphicFramePr/>
                  <a:graphic xmlns:a="http://schemas.openxmlformats.org/drawingml/2006/main">
                    <a:graphicData uri="http://schemas.openxmlformats.org/drawingml/2006/picture">
                      <pic:pic xmlns:pic="http://schemas.openxmlformats.org/drawingml/2006/picture">
                        <pic:nvPicPr>
                          <pic:cNvPr id="82" name="图片_162"/>
                          <pic:cNvPicPr/>
                        </pic:nvPicPr>
                        <pic:blipFill>
                          <a:blip r:embed="rId62"/>
                          <a:stretch>
                            <a:fillRect/>
                          </a:stretch>
                        </pic:blipFill>
                        <pic:spPr>
                          <a:xfrm>
                            <a:off x="0" y="0"/>
                            <a:ext cx="403225" cy="53784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8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风柜</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9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F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D9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风量：48000-63000m³/h；</w:t>
            </w:r>
          </w:p>
          <w:p w14:paraId="14E29A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风压：809-860Pa；</w:t>
            </w:r>
          </w:p>
          <w:p w14:paraId="1E944D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电量：22KW/380V。</w:t>
            </w:r>
          </w:p>
          <w:p w14:paraId="7A7B56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 </w:t>
            </w:r>
          </w:p>
          <w:p w14:paraId="2E8A26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★1.所投产品外壳采用优质彩钢板：依据标准 GB/T 10125-2021 的要求对彩钢板进行中性盐雾试验。试验≥240h后，样品主表面未出现基材腐蚀，性能评级为 10/6mG。提供加盖公章的第三方检测报告复印件</w:t>
            </w:r>
          </w:p>
          <w:p w14:paraId="0208D4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★2.所投产品依据GB/T4208-2017《外壳防护等级》防水≥IP69认证证书。提供加盖公章的第三方检测报告复印件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1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928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A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E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-53340</wp:posOffset>
                  </wp:positionV>
                  <wp:extent cx="548640" cy="489585"/>
                  <wp:effectExtent l="0" t="0" r="3810" b="5715"/>
                  <wp:wrapNone/>
                  <wp:docPr id="73" name="图片_56_SpCnt_1"/>
                  <wp:cNvGraphicFramePr/>
                  <a:graphic xmlns:a="http://schemas.openxmlformats.org/drawingml/2006/main">
                    <a:graphicData uri="http://schemas.openxmlformats.org/drawingml/2006/picture">
                      <pic:pic xmlns:pic="http://schemas.openxmlformats.org/drawingml/2006/picture">
                        <pic:nvPicPr>
                          <pic:cNvPr id="73" name="图片_56_SpCnt_1"/>
                          <pic:cNvPicPr/>
                        </pic:nvPicPr>
                        <pic:blipFill>
                          <a:blip r:embed="rId63"/>
                          <a:stretch>
                            <a:fillRect/>
                          </a:stretch>
                        </pic:blipFill>
                        <pic:spPr>
                          <a:xfrm>
                            <a:off x="0" y="0"/>
                            <a:ext cx="548640" cy="48958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静电式油烟净化器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0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5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F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处理风量：42000m³/H</w:t>
            </w:r>
          </w:p>
          <w:p w14:paraId="6F6A37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处理效率：≥98%</w:t>
            </w:r>
          </w:p>
          <w:p w14:paraId="1A521C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说高效净化：采用冷凝、过滤、双层吸附去油烟四重净化，净化率达到≥98%以上，且目测无烟</w:t>
            </w:r>
          </w:p>
          <w:p w14:paraId="236E61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易于清洗：设备采用模块化设计，方便用户进行拆解、清洗和维护，延长设备使用寿命。</w:t>
            </w:r>
          </w:p>
          <w:p w14:paraId="7A83D6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智能安全：采用智能化控制系统，可根据需要模块化开启且具备一键启停、缺相保护、过流过载保护等功能。</w:t>
            </w:r>
          </w:p>
          <w:p w14:paraId="0AA1CF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★净化器（机体）连续喷雾时间为≥500小时，保护评级为RP：8级及以上。基板（电场）连续喷雾时间为≥120小时，保护评级为RP：9级及以上。提供加盖公章的第三方检测报告复印件。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4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E0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1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104775</wp:posOffset>
                  </wp:positionV>
                  <wp:extent cx="495300" cy="304800"/>
                  <wp:effectExtent l="0" t="0" r="0" b="0"/>
                  <wp:wrapNone/>
                  <wp:docPr id="68" name="图片_171"/>
                  <wp:cNvGraphicFramePr/>
                  <a:graphic xmlns:a="http://schemas.openxmlformats.org/drawingml/2006/main">
                    <a:graphicData uri="http://schemas.openxmlformats.org/drawingml/2006/picture">
                      <pic:pic xmlns:pic="http://schemas.openxmlformats.org/drawingml/2006/picture">
                        <pic:nvPicPr>
                          <pic:cNvPr id="68" name="图片_171"/>
                          <pic:cNvPicPr/>
                        </pic:nvPicPr>
                        <pic:blipFill>
                          <a:blip r:embed="rId64"/>
                          <a:stretch>
                            <a:fillRect/>
                          </a:stretch>
                        </pic:blipFill>
                        <pic:spPr>
                          <a:xfrm>
                            <a:off x="0" y="0"/>
                            <a:ext cx="495300" cy="30480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风柜支架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53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8#槽钢制作。</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1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87B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9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9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36830</wp:posOffset>
                  </wp:positionV>
                  <wp:extent cx="495300" cy="304800"/>
                  <wp:effectExtent l="0" t="0" r="0" b="0"/>
                  <wp:wrapNone/>
                  <wp:docPr id="64" name="图片_172"/>
                  <wp:cNvGraphicFramePr/>
                  <a:graphic xmlns:a="http://schemas.openxmlformats.org/drawingml/2006/main">
                    <a:graphicData uri="http://schemas.openxmlformats.org/drawingml/2006/picture">
                      <pic:pic xmlns:pic="http://schemas.openxmlformats.org/drawingml/2006/picture">
                        <pic:nvPicPr>
                          <pic:cNvPr id="64" name="图片_172"/>
                          <pic:cNvPicPr/>
                        </pic:nvPicPr>
                        <pic:blipFill>
                          <a:blip r:embed="rId64"/>
                          <a:stretch>
                            <a:fillRect/>
                          </a:stretch>
                        </pic:blipFill>
                        <pic:spPr>
                          <a:xfrm>
                            <a:off x="0" y="0"/>
                            <a:ext cx="495300" cy="30480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B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净化箱支架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5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1D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3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8#槽钢制作。</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9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426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5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6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153035</wp:posOffset>
                  </wp:positionV>
                  <wp:extent cx="295275" cy="295910"/>
                  <wp:effectExtent l="0" t="0" r="9525" b="8890"/>
                  <wp:wrapNone/>
                  <wp:docPr id="75" name="图片_173"/>
                  <wp:cNvGraphicFramePr/>
                  <a:graphic xmlns:a="http://schemas.openxmlformats.org/drawingml/2006/main">
                    <a:graphicData uri="http://schemas.openxmlformats.org/drawingml/2006/picture">
                      <pic:pic xmlns:pic="http://schemas.openxmlformats.org/drawingml/2006/picture">
                        <pic:nvPicPr>
                          <pic:cNvPr id="75" name="图片_173"/>
                          <pic:cNvPicPr/>
                        </pic:nvPicPr>
                        <pic:blipFill>
                          <a:blip r:embed="rId65"/>
                          <a:stretch>
                            <a:fillRect/>
                          </a:stretch>
                        </pic:blipFill>
                        <pic:spPr>
                          <a:xfrm>
                            <a:off x="0" y="0"/>
                            <a:ext cx="295275" cy="29591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7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减震器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1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58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与风柜配套。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E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D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72C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8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81915</wp:posOffset>
                  </wp:positionV>
                  <wp:extent cx="276225" cy="411480"/>
                  <wp:effectExtent l="0" t="0" r="9525" b="7620"/>
                  <wp:wrapNone/>
                  <wp:docPr id="66" name="图片_174"/>
                  <wp:cNvGraphicFramePr/>
                  <a:graphic xmlns:a="http://schemas.openxmlformats.org/drawingml/2006/main">
                    <a:graphicData uri="http://schemas.openxmlformats.org/drawingml/2006/picture">
                      <pic:pic xmlns:pic="http://schemas.openxmlformats.org/drawingml/2006/picture">
                        <pic:nvPicPr>
                          <pic:cNvPr id="66" name="图片_174"/>
                          <pic:cNvPicPr/>
                        </pic:nvPicPr>
                        <pic:blipFill>
                          <a:blip r:embed="rId66"/>
                          <a:stretch>
                            <a:fillRect/>
                          </a:stretch>
                        </pic:blipFill>
                        <pic:spPr>
                          <a:xfrm>
                            <a:off x="0" y="0"/>
                            <a:ext cx="276225" cy="41148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7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防火阀</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E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东盛</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78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C4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优质钢板制，喷漆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8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9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81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9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-151765</wp:posOffset>
                  </wp:positionV>
                  <wp:extent cx="471805" cy="695325"/>
                  <wp:effectExtent l="0" t="0" r="4445" b="9525"/>
                  <wp:wrapNone/>
                  <wp:docPr id="83" name="图片_175"/>
                  <wp:cNvGraphicFramePr/>
                  <a:graphic xmlns:a="http://schemas.openxmlformats.org/drawingml/2006/main">
                    <a:graphicData uri="http://schemas.openxmlformats.org/drawingml/2006/picture">
                      <pic:pic xmlns:pic="http://schemas.openxmlformats.org/drawingml/2006/picture">
                        <pic:nvPicPr>
                          <pic:cNvPr id="83" name="图片_175"/>
                          <pic:cNvPicPr/>
                        </pic:nvPicPr>
                        <pic:blipFill>
                          <a:blip r:embed="rId67"/>
                          <a:stretch>
                            <a:fillRect/>
                          </a:stretch>
                        </pic:blipFill>
                        <pic:spPr>
                          <a:xfrm>
                            <a:off x="0" y="0"/>
                            <a:ext cx="471805" cy="695325"/>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智能变频控制箱</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9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4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配用电机：22KW</w:t>
            </w:r>
          </w:p>
          <w:p w14:paraId="4F9CD0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说明：集成控制，风机、净化器同步控制；不锈钢拉丝箱体，一键切换节能/中速/高速/强力/工作模式；智能节能，节能率达20%～50%；变频控制，无极调速，节约维护成本；使用普通电机，变频无电磁声。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0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604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5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A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76835</wp:posOffset>
                  </wp:positionV>
                  <wp:extent cx="380365" cy="400050"/>
                  <wp:effectExtent l="0" t="0" r="635" b="0"/>
                  <wp:wrapNone/>
                  <wp:docPr id="63" name="图片_176"/>
                  <wp:cNvGraphicFramePr/>
                  <a:graphic xmlns:a="http://schemas.openxmlformats.org/drawingml/2006/main">
                    <a:graphicData uri="http://schemas.openxmlformats.org/drawingml/2006/picture">
                      <pic:pic xmlns:pic="http://schemas.openxmlformats.org/drawingml/2006/picture">
                        <pic:nvPicPr>
                          <pic:cNvPr id="63" name="图片_176"/>
                          <pic:cNvPicPr/>
                        </pic:nvPicPr>
                        <pic:blipFill>
                          <a:blip r:embed="rId68"/>
                          <a:stretch>
                            <a:fillRect/>
                          </a:stretch>
                        </pic:blipFill>
                        <pic:spPr>
                          <a:xfrm>
                            <a:off x="0" y="0"/>
                            <a:ext cx="380365" cy="400050"/>
                          </a:xfrm>
                          <a:prstGeom prst="rect">
                            <a:avLst/>
                          </a:prstGeom>
                          <a:noFill/>
                          <a:ln>
                            <a:noFill/>
                          </a:ln>
                        </pic:spPr>
                      </pic:pic>
                    </a:graphicData>
                  </a:graphic>
                </wp:anchor>
              </w:drawing>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5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帆布软接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7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厂制品</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90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20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与风柜配套。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A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E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0AEAE5D4">
      <w:pPr>
        <w:widowControl/>
        <w:kinsoku/>
        <w:wordWrap/>
        <w:overflowPunct/>
        <w:topLinePunct w:val="0"/>
        <w:bidi w:val="0"/>
        <w:adjustRightInd/>
        <w:spacing w:line="360" w:lineRule="auto"/>
        <w:jc w:val="left"/>
        <w:outlineLvl w:val="9"/>
        <w:rPr>
          <w:rFonts w:hint="eastAsia" w:ascii="宋体" w:hAnsi="宋体" w:cs="宋体"/>
          <w:b/>
          <w:color w:val="auto"/>
          <w:kern w:val="0"/>
          <w:sz w:val="24"/>
          <w:szCs w:val="24"/>
          <w:highlight w:val="none"/>
          <w:lang w:eastAsia="zh-CN"/>
        </w:rPr>
      </w:pPr>
    </w:p>
    <w:p w14:paraId="5C2EE5B5">
      <w:pPr>
        <w:spacing w:line="360" w:lineRule="auto"/>
        <w:ind w:firstLine="422" w:firstLineChars="200"/>
        <w:rPr>
          <w:rFonts w:hint="eastAsia" w:ascii="宋体" w:hAnsi="宋体" w:eastAsia="宋体"/>
          <w:b/>
          <w:szCs w:val="21"/>
          <w:lang w:val="en-US" w:eastAsia="zh-CN"/>
        </w:rPr>
      </w:pPr>
      <w:r>
        <w:rPr>
          <w:rFonts w:hint="eastAsia" w:ascii="宋体" w:hAnsi="宋体" w:eastAsia="宋体"/>
          <w:b/>
          <w:szCs w:val="21"/>
          <w:lang w:val="en-US" w:eastAsia="zh-CN"/>
        </w:rPr>
        <w:t>二 、投标供应商需提供样品：</w:t>
      </w:r>
    </w:p>
    <w:tbl>
      <w:tblPr>
        <w:tblStyle w:val="65"/>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6"/>
        <w:gridCol w:w="1278"/>
        <w:gridCol w:w="1290"/>
        <w:gridCol w:w="6330"/>
      </w:tblGrid>
      <w:tr w14:paraId="2ACD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26" w:type="dxa"/>
            <w:shd w:val="clear" w:color="auto" w:fill="auto"/>
            <w:vAlign w:val="center"/>
          </w:tcPr>
          <w:p w14:paraId="03555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F07</w:t>
            </w:r>
          </w:p>
        </w:tc>
        <w:tc>
          <w:tcPr>
            <w:tcW w:w="1278" w:type="dxa"/>
            <w:shd w:val="clear" w:color="auto" w:fill="auto"/>
            <w:vAlign w:val="center"/>
          </w:tcPr>
          <w:p w14:paraId="7CC90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FF"/>
                <w:kern w:val="0"/>
                <w:sz w:val="18"/>
                <w:szCs w:val="18"/>
                <w:u w:val="none"/>
                <w:lang w:val="en-US" w:eastAsia="zh-CN" w:bidi="ar"/>
              </w:rPr>
            </w:pPr>
            <w:r>
              <w:rPr>
                <w:rFonts w:hint="eastAsia" w:ascii="宋体" w:hAnsi="宋体" w:eastAsia="宋体" w:cs="宋体"/>
                <w:i w:val="0"/>
                <w:iCs w:val="0"/>
                <w:color w:val="0000FF"/>
                <w:kern w:val="0"/>
                <w:sz w:val="18"/>
                <w:szCs w:val="18"/>
                <w:u w:val="none"/>
                <w:lang w:val="en-US" w:eastAsia="zh-CN" w:bidi="ar"/>
              </w:rPr>
              <w:t>定制电磁小炒+大炒灶</w:t>
            </w:r>
          </w:p>
        </w:tc>
        <w:tc>
          <w:tcPr>
            <w:tcW w:w="1290" w:type="dxa"/>
            <w:shd w:val="clear" w:color="auto" w:fill="auto"/>
            <w:vAlign w:val="center"/>
          </w:tcPr>
          <w:p w14:paraId="4AE99F37">
            <w:pPr>
              <w:pStyle w:val="2"/>
              <w:keepNext w:val="0"/>
              <w:keepLines w:val="0"/>
              <w:suppressLineNumbers w:val="0"/>
              <w:spacing w:before="0" w:beforeAutospacing="0" w:afterAutospacing="0"/>
              <w:ind w:left="0" w:leftChars="0" w:right="0" w:firstLine="0" w:firstLineChars="0"/>
              <w:rPr>
                <w:rFonts w:hint="eastAsia"/>
                <w:sz w:val="18"/>
                <w:szCs w:val="18"/>
                <w:lang w:val="en-US" w:eastAsia="zh-CN"/>
              </w:rPr>
            </w:pPr>
            <w:r>
              <w:rPr>
                <w:rFonts w:hint="eastAsia" w:ascii="宋体" w:hAnsi="宋体" w:eastAsia="宋体" w:cs="宋体"/>
                <w:i w:val="0"/>
                <w:iCs w:val="0"/>
                <w:color w:val="000000"/>
                <w:kern w:val="0"/>
                <w:sz w:val="18"/>
                <w:szCs w:val="18"/>
                <w:u w:val="none"/>
                <w:lang w:val="en-US" w:eastAsia="zh-CN" w:bidi="ar"/>
              </w:rPr>
              <w:t>2000×1200×800+400</w:t>
            </w:r>
          </w:p>
        </w:tc>
        <w:tc>
          <w:tcPr>
            <w:tcW w:w="6330" w:type="dxa"/>
            <w:shd w:val="clear" w:color="auto" w:fill="auto"/>
            <w:vAlign w:val="center"/>
          </w:tcPr>
          <w:p w14:paraId="4366D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功率：15KW+20KW/380V</w:t>
            </w:r>
          </w:p>
          <w:p w14:paraId="44588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1、材质：面板采用一体成型优质304#不锈钢板，厚1.35，侧板厚1.0。</w:t>
            </w:r>
          </w:p>
          <w:p w14:paraId="15A1E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2、面板两侧宽30mm直边 前高40mm后高70，形成坡形状方便清洁无积水及两侧溢水。</w:t>
            </w:r>
          </w:p>
          <w:p w14:paraId="5B7F9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3、锅厚3mm并通过食品接触产品安全及卫生认证，全304#不锈钢水龙头。</w:t>
            </w:r>
          </w:p>
          <w:p w14:paraId="477DE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4、采用锌合金双八档旋转开关及一键启停电源开关，方便离岗关机并准确无误停止加热。</w:t>
            </w:r>
          </w:p>
          <w:p w14:paraId="400E0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5、机芯核心部件采用不同导热特殊材料灌封，散热的同时又能达到防水，防潮效果。</w:t>
            </w:r>
          </w:p>
          <w:p w14:paraId="5B3A8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6、采用识字量运算控制，智能调节算法真正实现对功率、频率、温度、电源、电压、电流、相位、频率等参数的数字化控制。</w:t>
            </w:r>
          </w:p>
          <w:p w14:paraId="7EB37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7、采用变频送风技术，同步感应追踪多路工作点温度，大大增加散热系统使用寿命，有效防止散热系统堵塞。</w:t>
            </w:r>
          </w:p>
          <w:p w14:paraId="40328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8、线盘采用耐高温高频线制作锅底发热均匀无盲区同时提高有效热能降低用电成本。</w:t>
            </w:r>
          </w:p>
          <w:p w14:paraId="73086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电磁炉机芯提供带CMA标识的检测报告，产品满足GB/T16422.2-2022、GB/T16422.3-2022标准，紫外老化辐照度0.51W/(m2.nm)@340nm，实验时间≥165h，检验检测结果≤0.1及氙弧灯老化辐照度1.20W/(m2.nm)@340nm，实验时间≥480h，检测结果≤0.1。提供加盖公章的第三方检测报告或证明资料复印件。</w:t>
            </w:r>
          </w:p>
        </w:tc>
      </w:tr>
      <w:tr w14:paraId="0127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26" w:type="dxa"/>
            <w:shd w:val="clear" w:color="auto" w:fill="auto"/>
            <w:vAlign w:val="center"/>
          </w:tcPr>
          <w:p w14:paraId="266A6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auto"/>
                <w:kern w:val="0"/>
                <w:sz w:val="18"/>
                <w:szCs w:val="18"/>
                <w:u w:val="single"/>
                <w:lang w:val="en-US" w:eastAsia="zh-CN" w:bidi="ar"/>
              </w:rPr>
              <w:t>H10</w:t>
            </w:r>
          </w:p>
        </w:tc>
        <w:tc>
          <w:tcPr>
            <w:tcW w:w="1278" w:type="dxa"/>
            <w:shd w:val="clear" w:color="auto" w:fill="auto"/>
            <w:vAlign w:val="center"/>
          </w:tcPr>
          <w:p w14:paraId="3049F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FF"/>
                <w:kern w:val="0"/>
                <w:sz w:val="18"/>
                <w:szCs w:val="18"/>
                <w:u w:val="none"/>
                <w:lang w:val="en-US" w:eastAsia="zh-CN" w:bidi="ar"/>
              </w:rPr>
            </w:pPr>
            <w:r>
              <w:rPr>
                <w:rFonts w:hint="eastAsia" w:ascii="宋体" w:hAnsi="宋体" w:eastAsia="宋体" w:cs="宋体"/>
                <w:i w:val="0"/>
                <w:iCs w:val="0"/>
                <w:color w:val="0000FF"/>
                <w:kern w:val="0"/>
                <w:sz w:val="18"/>
                <w:szCs w:val="18"/>
                <w:u w:val="none"/>
                <w:lang w:val="en-US" w:eastAsia="zh-CN" w:bidi="ar"/>
              </w:rPr>
              <w:t>双门热风消毒柜（需提供样品）</w:t>
            </w:r>
          </w:p>
        </w:tc>
        <w:tc>
          <w:tcPr>
            <w:tcW w:w="1290" w:type="dxa"/>
            <w:shd w:val="clear" w:color="auto" w:fill="auto"/>
            <w:vAlign w:val="center"/>
          </w:tcPr>
          <w:p w14:paraId="506FC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1310×635×1880</w:t>
            </w:r>
          </w:p>
        </w:tc>
        <w:tc>
          <w:tcPr>
            <w:tcW w:w="6330" w:type="dxa"/>
            <w:shd w:val="clear" w:color="auto" w:fill="auto"/>
            <w:vAlign w:val="center"/>
          </w:tcPr>
          <w:p w14:paraId="22BA4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有效容积：760L；</w:t>
            </w:r>
          </w:p>
          <w:p w14:paraId="6305E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功率：4.6KW/220V；</w:t>
            </w:r>
          </w:p>
          <w:p w14:paraId="04ECC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温度可调范围：30℃～150℃；</w:t>
            </w:r>
          </w:p>
          <w:p w14:paraId="38FD0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1、内外箱均采用优质不锈钢板材</w:t>
            </w:r>
          </w:p>
          <w:p w14:paraId="60B00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2、外箱顶部及外箱后背板使用环保无锌花表面钝化优质镀锌板</w:t>
            </w:r>
          </w:p>
          <w:p w14:paraId="5CECF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3、360度高温热风循环系统，让器具消毒更彻底；</w:t>
            </w:r>
          </w:p>
          <w:p w14:paraId="2CD06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4、使用耐高温风机、不锈钢加热管及微电脑控制板</w:t>
            </w:r>
          </w:p>
          <w:p w14:paraId="5AE44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5、柜内配备不锈钢网篮，网框为不锈钢材质，表面二次镀镍防锈，卫生、耐用。</w:t>
            </w:r>
          </w:p>
        </w:tc>
      </w:tr>
      <w:tr w14:paraId="24E2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6" w:type="dxa"/>
            <w:shd w:val="clear" w:color="auto" w:fill="auto"/>
            <w:vAlign w:val="center"/>
          </w:tcPr>
          <w:p w14:paraId="4E810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asciiTheme="minorEastAsia" w:hAnsiTheme="minorEastAsia" w:eastAsiaTheme="minorEastAsia"/>
                <w:b/>
                <w:bCs/>
                <w:color w:val="auto"/>
                <w:kern w:val="0"/>
                <w:sz w:val="18"/>
                <w:szCs w:val="18"/>
                <w:highlight w:val="none"/>
                <w:u w:val="single"/>
              </w:rPr>
              <w:t>J05</w:t>
            </w:r>
          </w:p>
        </w:tc>
        <w:tc>
          <w:tcPr>
            <w:tcW w:w="1278" w:type="dxa"/>
            <w:shd w:val="clear" w:color="auto" w:fill="auto"/>
            <w:vAlign w:val="center"/>
          </w:tcPr>
          <w:p w14:paraId="58B7B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FF"/>
                <w:kern w:val="0"/>
                <w:sz w:val="18"/>
                <w:szCs w:val="18"/>
                <w:u w:val="none"/>
                <w:lang w:val="en-US" w:eastAsia="zh-CN" w:bidi="ar"/>
              </w:rPr>
              <w:t>单星盆台（需提供投标样品）</w:t>
            </w:r>
          </w:p>
        </w:tc>
        <w:tc>
          <w:tcPr>
            <w:tcW w:w="1290" w:type="dxa"/>
            <w:shd w:val="clear" w:color="auto" w:fill="auto"/>
            <w:vAlign w:val="center"/>
          </w:tcPr>
          <w:p w14:paraId="1AC885CC">
            <w:pPr>
              <w:pStyle w:val="2"/>
              <w:keepNext w:val="0"/>
              <w:keepLines w:val="0"/>
              <w:suppressLineNumbers w:val="0"/>
              <w:spacing w:before="0" w:beforeAutospacing="0" w:afterAutospacing="0"/>
              <w:ind w:left="0" w:leftChars="0" w:right="0" w:firstLine="0" w:firstLineChars="0"/>
              <w:rPr>
                <w:rFonts w:hint="default"/>
                <w:sz w:val="18"/>
                <w:szCs w:val="18"/>
                <w:lang w:val="en-US" w:eastAsia="zh-CN"/>
              </w:rPr>
            </w:pPr>
            <w:r>
              <w:rPr>
                <w:rFonts w:hint="eastAsia" w:ascii="宋体" w:hAnsi="宋体" w:eastAsia="宋体" w:cs="宋体"/>
                <w:i w:val="0"/>
                <w:iCs w:val="0"/>
                <w:color w:val="000000"/>
                <w:kern w:val="0"/>
                <w:sz w:val="18"/>
                <w:szCs w:val="18"/>
                <w:u w:val="none"/>
                <w:lang w:val="en-US" w:eastAsia="zh-CN" w:bidi="ar"/>
              </w:rPr>
              <w:t>600×750×(800+150)</w:t>
            </w:r>
          </w:p>
        </w:tc>
        <w:tc>
          <w:tcPr>
            <w:tcW w:w="6330" w:type="dxa"/>
            <w:shd w:val="clear" w:color="auto" w:fill="auto"/>
            <w:vAlign w:val="center"/>
          </w:tcPr>
          <w:p w14:paraId="3B51F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台面选用优质不锈钢板制作，板厚1.2mm，脚采用38×1.0mm不锈钢方管,脚杯50×100×0.8mm，横通25×0.8mm，配优质落水器及拦渣片。</w:t>
            </w:r>
          </w:p>
        </w:tc>
      </w:tr>
      <w:tr w14:paraId="00A6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624" w:type="dxa"/>
            <w:gridSpan w:val="4"/>
            <w:shd w:val="clear" w:color="auto" w:fill="auto"/>
            <w:vAlign w:val="center"/>
          </w:tcPr>
          <w:p w14:paraId="62571D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both"/>
              <w:rPr>
                <w:rFonts w:hint="eastAsia" w:ascii="宋体" w:hAnsi="宋体" w:eastAsia="宋体" w:cs="宋体"/>
                <w:i w:val="0"/>
                <w:iCs w:val="0"/>
                <w:color w:val="000000"/>
                <w:kern w:val="0"/>
                <w:sz w:val="18"/>
                <w:szCs w:val="18"/>
                <w:u w:val="none"/>
                <w:lang w:val="en-US" w:eastAsia="zh-CN" w:bidi="ar"/>
              </w:rPr>
            </w:pPr>
            <w:r>
              <w:rPr>
                <w:rFonts w:hint="eastAsia" w:cs="宋体" w:asciiTheme="minorEastAsia" w:hAnsiTheme="minorEastAsia" w:eastAsiaTheme="minorEastAsia"/>
                <w:b/>
                <w:bCs/>
                <w:snapToGrid w:val="0"/>
                <w:color w:val="auto"/>
                <w:kern w:val="28"/>
                <w:sz w:val="18"/>
                <w:szCs w:val="18"/>
                <w:highlight w:val="none"/>
                <w:u w:val="single"/>
                <w:lang w:eastAsia="zh-CN"/>
              </w:rPr>
              <w:t>序号</w:t>
            </w:r>
            <w:r>
              <w:rPr>
                <w:rFonts w:hint="eastAsia" w:cs="宋体" w:asciiTheme="minorEastAsia" w:hAnsiTheme="minorEastAsia" w:eastAsiaTheme="minorEastAsia"/>
                <w:b/>
                <w:bCs/>
                <w:snapToGrid w:val="0"/>
                <w:color w:val="auto"/>
                <w:kern w:val="28"/>
                <w:sz w:val="18"/>
                <w:szCs w:val="18"/>
                <w:highlight w:val="none"/>
                <w:u w:val="single"/>
                <w:lang w:val="en-US" w:eastAsia="zh-CN"/>
              </w:rPr>
              <w:t>F07定制电磁小炒+大炒灶；</w:t>
            </w:r>
            <w:r>
              <w:rPr>
                <w:rFonts w:hint="eastAsia" w:cs="宋体" w:asciiTheme="minorEastAsia" w:hAnsiTheme="minorEastAsia" w:eastAsiaTheme="minorEastAsia"/>
                <w:b/>
                <w:bCs/>
                <w:color w:val="auto"/>
                <w:kern w:val="0"/>
                <w:sz w:val="18"/>
                <w:szCs w:val="18"/>
                <w:highlight w:val="none"/>
                <w:u w:val="single"/>
                <w:lang w:eastAsia="zh-CN"/>
              </w:rPr>
              <w:t>序号</w:t>
            </w:r>
            <w:r>
              <w:rPr>
                <w:rFonts w:hint="eastAsia" w:ascii="宋体" w:hAnsi="宋体" w:cs="宋体"/>
                <w:b/>
                <w:bCs/>
                <w:i w:val="0"/>
                <w:iCs w:val="0"/>
                <w:color w:val="auto"/>
                <w:kern w:val="0"/>
                <w:sz w:val="18"/>
                <w:szCs w:val="18"/>
                <w:u w:val="single"/>
                <w:lang w:val="en-US" w:eastAsia="zh-CN" w:bidi="ar"/>
              </w:rPr>
              <w:t>H10</w:t>
            </w:r>
            <w:r>
              <w:rPr>
                <w:rFonts w:hint="eastAsia" w:ascii="宋体" w:hAnsi="宋体" w:eastAsia="宋体" w:cs="宋体"/>
                <w:b/>
                <w:bCs/>
                <w:i w:val="0"/>
                <w:iCs w:val="0"/>
                <w:color w:val="auto"/>
                <w:kern w:val="0"/>
                <w:sz w:val="18"/>
                <w:szCs w:val="18"/>
                <w:u w:val="single"/>
                <w:lang w:val="en-US" w:eastAsia="zh-CN" w:bidi="ar"/>
              </w:rPr>
              <w:t>双门热风消毒柜</w:t>
            </w:r>
            <w:r>
              <w:rPr>
                <w:rFonts w:hint="eastAsia" w:cs="宋体" w:asciiTheme="minorEastAsia" w:hAnsiTheme="minorEastAsia" w:eastAsiaTheme="minorEastAsia"/>
                <w:b/>
                <w:bCs/>
                <w:color w:val="auto"/>
                <w:kern w:val="0"/>
                <w:sz w:val="18"/>
                <w:szCs w:val="18"/>
                <w:highlight w:val="none"/>
                <w:u w:val="single"/>
              </w:rPr>
              <w:t>；</w:t>
            </w:r>
            <w:r>
              <w:rPr>
                <w:rFonts w:hint="eastAsia" w:cs="宋体" w:asciiTheme="minorEastAsia" w:hAnsiTheme="minorEastAsia" w:eastAsiaTheme="minorEastAsia"/>
                <w:b/>
                <w:bCs/>
                <w:color w:val="auto"/>
                <w:kern w:val="0"/>
                <w:sz w:val="18"/>
                <w:szCs w:val="18"/>
                <w:highlight w:val="none"/>
                <w:u w:val="single"/>
                <w:lang w:eastAsia="zh-CN"/>
              </w:rPr>
              <w:t>序号</w:t>
            </w:r>
            <w:r>
              <w:rPr>
                <w:rFonts w:hint="eastAsia" w:cs="宋体" w:asciiTheme="minorEastAsia" w:hAnsiTheme="minorEastAsia" w:eastAsiaTheme="minorEastAsia"/>
                <w:b/>
                <w:bCs/>
                <w:color w:val="auto"/>
                <w:kern w:val="0"/>
                <w:sz w:val="18"/>
                <w:szCs w:val="18"/>
                <w:highlight w:val="none"/>
                <w:u w:val="single"/>
              </w:rPr>
              <w:t>J05</w:t>
            </w:r>
            <w:r>
              <w:rPr>
                <w:rFonts w:hint="eastAsia" w:cs="宋体" w:asciiTheme="minorEastAsia" w:hAnsiTheme="minorEastAsia" w:eastAsiaTheme="minorEastAsia"/>
                <w:b/>
                <w:bCs/>
                <w:color w:val="auto"/>
                <w:kern w:val="0"/>
                <w:sz w:val="18"/>
                <w:szCs w:val="18"/>
                <w:highlight w:val="none"/>
                <w:u w:val="single"/>
                <w:lang w:val="en-US" w:eastAsia="zh-CN"/>
              </w:rPr>
              <w:t>单星盆台</w:t>
            </w:r>
            <w:r>
              <w:rPr>
                <w:rFonts w:hint="eastAsia" w:cs="宋体" w:asciiTheme="minorEastAsia" w:hAnsiTheme="minorEastAsia" w:eastAsiaTheme="minorEastAsia"/>
                <w:b/>
                <w:bCs/>
                <w:color w:val="auto"/>
                <w:kern w:val="0"/>
                <w:sz w:val="18"/>
                <w:szCs w:val="18"/>
                <w:highlight w:val="none"/>
                <w:u w:val="single"/>
                <w:lang w:eastAsia="zh-CN"/>
              </w:rPr>
              <w:t>各一台</w:t>
            </w:r>
          </w:p>
        </w:tc>
      </w:tr>
    </w:tbl>
    <w:p w14:paraId="55FCEB65">
      <w:pPr>
        <w:pStyle w:val="26"/>
        <w:rPr>
          <w:rFonts w:hint="eastAsia" w:ascii="宋体" w:hAnsi="宋体" w:cs="宋体"/>
          <w:b/>
          <w:color w:val="auto"/>
          <w:kern w:val="0"/>
          <w:sz w:val="24"/>
          <w:szCs w:val="24"/>
          <w:highlight w:val="none"/>
          <w:lang w:eastAsia="zh-CN"/>
        </w:rPr>
      </w:pPr>
    </w:p>
    <w:p w14:paraId="43D3A35F">
      <w:pPr>
        <w:rPr>
          <w:rFonts w:hint="eastAsia"/>
          <w:lang w:eastAsia="zh-CN"/>
        </w:rPr>
      </w:pPr>
    </w:p>
    <w:p w14:paraId="7304BA20">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、重要商务要求一览表</w:t>
      </w:r>
      <w:r>
        <w:rPr>
          <w:rFonts w:hint="eastAsia" w:ascii="宋体" w:hAnsi="宋体" w:cs="宋体"/>
          <w:b/>
          <w:color w:val="auto"/>
          <w:kern w:val="0"/>
          <w:sz w:val="24"/>
          <w:szCs w:val="24"/>
          <w:highlight w:val="none"/>
          <w:lang w:val="en-US" w:eastAsia="zh-CN"/>
        </w:rPr>
        <w:t>：</w:t>
      </w:r>
    </w:p>
    <w:tbl>
      <w:tblPr>
        <w:tblStyle w:val="65"/>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369"/>
      </w:tblGrid>
      <w:tr w14:paraId="4EF3E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2" w:type="dxa"/>
            <w:vMerge w:val="restart"/>
            <w:noWrap w:val="0"/>
            <w:vAlign w:val="center"/>
          </w:tcPr>
          <w:p w14:paraId="6BC46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color w:val="auto"/>
                <w:kern w:val="0"/>
                <w:sz w:val="21"/>
                <w:szCs w:val="21"/>
                <w:highlight w:val="none"/>
              </w:rPr>
              <w:t>交货（安装）</w:t>
            </w:r>
          </w:p>
          <w:p w14:paraId="4DB86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时间及地点</w:t>
            </w:r>
          </w:p>
        </w:tc>
        <w:tc>
          <w:tcPr>
            <w:tcW w:w="7369" w:type="dxa"/>
            <w:noWrap w:val="0"/>
            <w:vAlign w:val="center"/>
          </w:tcPr>
          <w:p w14:paraId="635D8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交货时间</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合同履约期限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2"/>
                <w:sz w:val="21"/>
                <w:szCs w:val="21"/>
                <w:highlight w:val="none"/>
                <w:lang w:val="en-US" w:eastAsia="zh-CN" w:bidi="ar-SA"/>
              </w:rPr>
              <w:t>1．合同签订后按业主要求供货（具体供货时间以业主要求为准，接到通知后一周内交货）；</w:t>
            </w:r>
          </w:p>
          <w:p w14:paraId="129CBD12">
            <w:pPr>
              <w:pStyle w:val="26"/>
              <w:keepNext w:val="0"/>
              <w:keepLines w:val="0"/>
              <w:suppressLineNumbers w:val="0"/>
              <w:spacing w:before="0" w:beforeAutospacing="0" w:after="0" w:afterAutospacing="0"/>
              <w:ind w:left="0" w:right="0"/>
              <w:rPr>
                <w:rFonts w:hint="eastAsia"/>
              </w:rPr>
            </w:pPr>
            <w:r>
              <w:rPr>
                <w:rFonts w:hint="eastAsia" w:ascii="宋体" w:hAnsi="宋体" w:eastAsia="宋体" w:cs="宋体"/>
                <w:b w:val="0"/>
                <w:bCs w:val="0"/>
                <w:color w:val="auto"/>
                <w:kern w:val="2"/>
                <w:sz w:val="21"/>
                <w:szCs w:val="21"/>
                <w:highlight w:val="none"/>
                <w:lang w:val="en-US" w:eastAsia="zh-CN" w:bidi="ar-SA"/>
              </w:rPr>
              <w:t>2．如因中标方原因造成交货期延迟，每延迟一天，罚1000元，累计延期达30天，没收全部履约保证金。</w:t>
            </w:r>
          </w:p>
        </w:tc>
      </w:tr>
      <w:tr w14:paraId="2C6DD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2" w:type="dxa"/>
            <w:vMerge w:val="continue"/>
            <w:noWrap w:val="0"/>
            <w:vAlign w:val="center"/>
          </w:tcPr>
          <w:p w14:paraId="5A87F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7369" w:type="dxa"/>
            <w:noWrap w:val="0"/>
            <w:vAlign w:val="center"/>
          </w:tcPr>
          <w:p w14:paraId="7C063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安装地点：</w:t>
            </w:r>
            <w:r>
              <w:rPr>
                <w:rFonts w:hint="eastAsia" w:ascii="宋体" w:hAnsi="宋体" w:eastAsia="宋体" w:cs="宋体"/>
                <w:color w:val="auto"/>
                <w:kern w:val="0"/>
                <w:sz w:val="21"/>
                <w:szCs w:val="21"/>
                <w:highlight w:val="none"/>
                <w:lang w:val="en-US" w:eastAsia="zh-CN"/>
              </w:rPr>
              <w:t>采购人指定地点。</w:t>
            </w:r>
          </w:p>
        </w:tc>
      </w:tr>
      <w:tr w14:paraId="1F6F3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052" w:type="dxa"/>
            <w:vMerge w:val="continue"/>
            <w:noWrap w:val="0"/>
            <w:vAlign w:val="center"/>
          </w:tcPr>
          <w:p w14:paraId="69358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7369" w:type="dxa"/>
            <w:noWrap w:val="0"/>
            <w:vAlign w:val="center"/>
          </w:tcPr>
          <w:p w14:paraId="02466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安装标准：符合我国国家有关技术规范和技术标准。</w:t>
            </w:r>
          </w:p>
        </w:tc>
      </w:tr>
      <w:tr w14:paraId="57423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2" w:type="dxa"/>
            <w:vMerge w:val="continue"/>
            <w:noWrap w:val="0"/>
            <w:vAlign w:val="center"/>
          </w:tcPr>
          <w:p w14:paraId="17D8F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7369" w:type="dxa"/>
            <w:noWrap w:val="0"/>
            <w:vAlign w:val="center"/>
          </w:tcPr>
          <w:p w14:paraId="25838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验收标准：</w:t>
            </w:r>
            <w:r>
              <w:rPr>
                <w:rFonts w:hint="eastAsia" w:ascii="宋体" w:hAnsi="宋体" w:cs="宋体"/>
                <w:color w:val="auto"/>
                <w:kern w:val="0"/>
                <w:sz w:val="21"/>
                <w:szCs w:val="21"/>
                <w:highlight w:val="none"/>
                <w:lang w:eastAsia="zh-CN"/>
              </w:rPr>
              <w:t>货物</w:t>
            </w:r>
            <w:r>
              <w:rPr>
                <w:rFonts w:hint="eastAsia" w:ascii="宋体" w:hAnsi="宋体" w:eastAsia="宋体" w:cs="宋体"/>
                <w:color w:val="auto"/>
                <w:kern w:val="0"/>
                <w:sz w:val="21"/>
                <w:szCs w:val="21"/>
                <w:highlight w:val="none"/>
              </w:rPr>
              <w:t>安装后，</w:t>
            </w:r>
            <w:r>
              <w:rPr>
                <w:rFonts w:hint="eastAsia" w:ascii="宋体" w:hAnsi="宋体"/>
                <w:bCs/>
                <w:szCs w:val="21"/>
              </w:rPr>
              <w:t>本项目采用现场验收方式验收,验收标准以符合相关附件所提供的功能和甲方的要求为准。</w:t>
            </w:r>
          </w:p>
        </w:tc>
      </w:tr>
      <w:tr w14:paraId="74FC1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2" w:type="dxa"/>
            <w:vMerge w:val="continue"/>
            <w:noWrap w:val="0"/>
            <w:vAlign w:val="center"/>
          </w:tcPr>
          <w:p w14:paraId="1A024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7369" w:type="dxa"/>
            <w:noWrap w:val="0"/>
            <w:vAlign w:val="center"/>
          </w:tcPr>
          <w:p w14:paraId="37F8D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安装、验收所产生的一切费用（包括卸货、搬运费等）由中标人负责。</w:t>
            </w:r>
          </w:p>
        </w:tc>
      </w:tr>
      <w:tr w14:paraId="1E42E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2" w:type="dxa"/>
            <w:vMerge w:val="continue"/>
            <w:noWrap w:val="0"/>
            <w:vAlign w:val="center"/>
          </w:tcPr>
          <w:p w14:paraId="35D57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7369" w:type="dxa"/>
            <w:noWrap w:val="0"/>
            <w:vAlign w:val="center"/>
          </w:tcPr>
          <w:p w14:paraId="694D0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0"/>
                <w:sz w:val="21"/>
                <w:szCs w:val="21"/>
                <w:highlight w:val="none"/>
              </w:rPr>
            </w:pPr>
            <w:r>
              <w:rPr>
                <w:rFonts w:hint="eastAsia" w:ascii="宋体" w:hAnsi="宋体"/>
                <w:szCs w:val="20"/>
              </w:rPr>
              <w:t>项目完成后，中标供应商须提供免费的使用指导</w:t>
            </w:r>
          </w:p>
        </w:tc>
      </w:tr>
      <w:tr w14:paraId="44896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2" w:type="dxa"/>
            <w:noWrap w:val="0"/>
            <w:vAlign w:val="center"/>
          </w:tcPr>
          <w:p w14:paraId="0B054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履约保证金</w:t>
            </w:r>
          </w:p>
        </w:tc>
        <w:tc>
          <w:tcPr>
            <w:tcW w:w="7369" w:type="dxa"/>
            <w:noWrap w:val="0"/>
            <w:vAlign w:val="center"/>
          </w:tcPr>
          <w:p w14:paraId="45A11E69">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00" w:lineRule="exact"/>
              <w:ind w:left="0" w:leftChars="0" w:right="0"/>
              <w:textAlignment w:val="auto"/>
              <w:rPr>
                <w:rFonts w:hint="eastAsia" w:ascii="Times New Roman" w:hAnsi="宋体" w:eastAsia="宋体" w:cs="宋体"/>
                <w:bCs/>
                <w:color w:val="auto"/>
                <w:sz w:val="21"/>
                <w:szCs w:val="21"/>
                <w:highlight w:val="none"/>
                <w:lang w:eastAsia="zh-CN"/>
              </w:rPr>
            </w:pPr>
            <w:r>
              <w:rPr>
                <w:rFonts w:hint="eastAsia" w:ascii="Times New Roman" w:hAnsi="宋体" w:eastAsia="宋体" w:cs="宋体"/>
                <w:bCs/>
                <w:color w:val="auto"/>
                <w:sz w:val="21"/>
                <w:szCs w:val="21"/>
                <w:highlight w:val="none"/>
                <w:lang w:eastAsia="zh-CN"/>
              </w:rPr>
              <w:t>履约保证金：</w:t>
            </w:r>
          </w:p>
          <w:p w14:paraId="0E085317">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00" w:lineRule="exact"/>
              <w:ind w:left="0" w:leftChars="0" w:right="0"/>
              <w:textAlignment w:val="auto"/>
              <w:rPr>
                <w:rFonts w:hint="eastAsia" w:ascii="Times New Roman" w:hAnsi="宋体" w:eastAsia="宋体" w:cs="宋体"/>
                <w:bCs/>
                <w:color w:val="auto"/>
                <w:sz w:val="21"/>
                <w:szCs w:val="21"/>
                <w:highlight w:val="none"/>
                <w:lang w:eastAsia="zh-CN"/>
              </w:rPr>
            </w:pPr>
            <w:r>
              <w:rPr>
                <w:rFonts w:hint="eastAsia" w:ascii="Times New Roman" w:hAnsi="宋体" w:eastAsia="宋体" w:cs="宋体"/>
                <w:bCs/>
                <w:color w:val="auto"/>
                <w:sz w:val="21"/>
                <w:szCs w:val="21"/>
                <w:highlight w:val="none"/>
                <w:lang w:eastAsia="zh-CN"/>
              </w:rPr>
              <w:t>（1）履约保证金金额：合同总价的1%</w:t>
            </w:r>
          </w:p>
          <w:p w14:paraId="4C563BCD">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00" w:lineRule="exact"/>
              <w:ind w:left="0" w:leftChars="0" w:right="0" w:firstLine="0" w:firstLineChars="0"/>
              <w:textAlignment w:val="auto"/>
              <w:rPr>
                <w:rFonts w:hint="eastAsia" w:ascii="Times New Roman" w:hAnsi="宋体" w:eastAsia="宋体" w:cs="宋体"/>
                <w:bCs/>
                <w:color w:val="auto"/>
                <w:sz w:val="21"/>
                <w:szCs w:val="21"/>
                <w:highlight w:val="none"/>
                <w:lang w:eastAsia="zh-CN"/>
              </w:rPr>
            </w:pPr>
            <w:r>
              <w:rPr>
                <w:rFonts w:hint="eastAsia" w:ascii="Times New Roman" w:hAnsi="宋体" w:eastAsia="宋体" w:cs="宋体"/>
                <w:bCs/>
                <w:color w:val="auto"/>
                <w:sz w:val="21"/>
                <w:szCs w:val="21"/>
                <w:highlight w:val="none"/>
                <w:lang w:eastAsia="zh-CN"/>
              </w:rPr>
              <w:t>（2）履约保证金形式：电汇、网银、银行保函（采购人认可的银行开具的保函）、保险保单。</w:t>
            </w:r>
          </w:p>
          <w:p w14:paraId="3488F2C8">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00" w:lineRule="exact"/>
              <w:ind w:left="0" w:leftChars="0" w:right="0" w:firstLine="0" w:firstLineChars="0"/>
              <w:textAlignment w:val="auto"/>
              <w:rPr>
                <w:rFonts w:hint="eastAsia" w:ascii="Times New Roman" w:hAnsi="宋体" w:eastAsia="宋体" w:cs="宋体"/>
                <w:bCs/>
                <w:color w:val="auto"/>
                <w:sz w:val="21"/>
                <w:szCs w:val="21"/>
                <w:highlight w:val="none"/>
                <w:lang w:eastAsia="zh-CN"/>
              </w:rPr>
            </w:pPr>
            <w:r>
              <w:rPr>
                <w:rFonts w:hint="eastAsia" w:ascii="Times New Roman" w:hAnsi="宋体" w:eastAsia="宋体" w:cs="宋体"/>
                <w:bCs/>
                <w:color w:val="auto"/>
                <w:sz w:val="21"/>
                <w:szCs w:val="21"/>
                <w:highlight w:val="none"/>
                <w:lang w:eastAsia="zh-CN"/>
              </w:rPr>
              <w:t>（</w:t>
            </w:r>
            <w:r>
              <w:rPr>
                <w:rFonts w:hint="eastAsia" w:ascii="Times New Roman" w:hAnsi="宋体" w:eastAsia="宋体" w:cs="宋体"/>
                <w:bCs/>
                <w:color w:val="auto"/>
                <w:sz w:val="21"/>
                <w:szCs w:val="21"/>
                <w:highlight w:val="none"/>
                <w:lang w:val="en-US" w:eastAsia="zh-CN"/>
              </w:rPr>
              <w:t>3</w:t>
            </w:r>
            <w:r>
              <w:rPr>
                <w:rFonts w:hint="eastAsia" w:ascii="Times New Roman" w:hAnsi="宋体" w:eastAsia="宋体" w:cs="宋体"/>
                <w:bCs/>
                <w:color w:val="auto"/>
                <w:sz w:val="21"/>
                <w:szCs w:val="21"/>
                <w:highlight w:val="none"/>
                <w:lang w:eastAsia="zh-CN"/>
              </w:rPr>
              <w:t>）履约保证金递交时间：合同签订后5个工作日内。</w:t>
            </w:r>
          </w:p>
          <w:p w14:paraId="2BAD4914">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00" w:lineRule="exact"/>
              <w:ind w:left="0" w:leftChars="0" w:right="0" w:firstLine="0" w:firstLineChars="0"/>
              <w:textAlignment w:val="auto"/>
              <w:rPr>
                <w:rFonts w:hint="eastAsia" w:ascii="Times New Roman" w:hAnsi="宋体" w:eastAsia="宋体" w:cs="宋体"/>
                <w:bCs/>
                <w:color w:val="auto"/>
                <w:sz w:val="21"/>
                <w:szCs w:val="21"/>
                <w:highlight w:val="none"/>
                <w:lang w:eastAsia="zh-CN"/>
              </w:rPr>
            </w:pPr>
            <w:r>
              <w:rPr>
                <w:rFonts w:hint="eastAsia" w:ascii="Times New Roman" w:hAnsi="宋体" w:eastAsia="宋体" w:cs="宋体"/>
                <w:bCs/>
                <w:color w:val="auto"/>
                <w:sz w:val="21"/>
                <w:szCs w:val="21"/>
                <w:highlight w:val="none"/>
                <w:lang w:eastAsia="zh-CN"/>
              </w:rPr>
              <w:t>（</w:t>
            </w:r>
            <w:r>
              <w:rPr>
                <w:rFonts w:hint="eastAsia" w:ascii="Times New Roman" w:hAnsi="宋体" w:eastAsia="宋体" w:cs="宋体"/>
                <w:bCs/>
                <w:color w:val="auto"/>
                <w:sz w:val="21"/>
                <w:szCs w:val="21"/>
                <w:highlight w:val="none"/>
                <w:lang w:val="en-US" w:eastAsia="zh-CN"/>
              </w:rPr>
              <w:t>4</w:t>
            </w:r>
            <w:r>
              <w:rPr>
                <w:rFonts w:hint="eastAsia" w:ascii="Times New Roman" w:hAnsi="宋体" w:eastAsia="宋体" w:cs="宋体"/>
                <w:bCs/>
                <w:color w:val="auto"/>
                <w:sz w:val="21"/>
                <w:szCs w:val="21"/>
                <w:highlight w:val="none"/>
                <w:lang w:eastAsia="zh-CN"/>
              </w:rPr>
              <w:t>）履约保证金的退还时间：履约保证金于合同履行完毕后一个月内退还（不计息）</w:t>
            </w:r>
          </w:p>
          <w:p w14:paraId="6FB2B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default" w:ascii="宋体" w:hAnsi="宋体" w:eastAsia="宋体" w:cs="宋体"/>
                <w:color w:val="auto"/>
                <w:kern w:val="0"/>
                <w:sz w:val="21"/>
                <w:szCs w:val="21"/>
                <w:highlight w:val="none"/>
                <w:lang w:val="en-US" w:eastAsia="zh-CN"/>
              </w:rPr>
            </w:pPr>
            <w:r>
              <w:rPr>
                <w:rFonts w:hint="eastAsia" w:ascii="Times New Roman" w:hAnsi="宋体" w:eastAsia="宋体" w:cs="宋体"/>
                <w:bCs/>
                <w:color w:val="auto"/>
                <w:sz w:val="21"/>
                <w:szCs w:val="21"/>
                <w:highlight w:val="none"/>
                <w:lang w:eastAsia="zh-CN"/>
              </w:rPr>
              <w:t>（</w:t>
            </w:r>
            <w:r>
              <w:rPr>
                <w:rFonts w:hint="eastAsia" w:ascii="Times New Roman" w:hAnsi="宋体" w:eastAsia="宋体" w:cs="宋体"/>
                <w:bCs/>
                <w:color w:val="auto"/>
                <w:sz w:val="21"/>
                <w:szCs w:val="21"/>
                <w:highlight w:val="none"/>
                <w:lang w:val="en-US" w:eastAsia="zh-CN"/>
              </w:rPr>
              <w:t>5</w:t>
            </w:r>
            <w:r>
              <w:rPr>
                <w:rFonts w:hint="eastAsia" w:ascii="Times New Roman" w:hAnsi="宋体" w:eastAsia="宋体" w:cs="宋体"/>
                <w:bCs/>
                <w:color w:val="auto"/>
                <w:sz w:val="21"/>
                <w:szCs w:val="21"/>
                <w:highlight w:val="none"/>
                <w:lang w:eastAsia="zh-CN"/>
              </w:rPr>
              <w:t>）履约保证金不予退还的情形：因中标人原因造成合同无法履行时，招标人有权解除或终止合同，并没收中标人的全部履约保证金，由此造成的各项损失均由中标人承担。</w:t>
            </w:r>
          </w:p>
        </w:tc>
      </w:tr>
      <w:tr w14:paraId="41122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2" w:type="dxa"/>
            <w:noWrap w:val="0"/>
            <w:vAlign w:val="center"/>
          </w:tcPr>
          <w:p w14:paraId="75EE8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付款条件</w:t>
            </w:r>
          </w:p>
        </w:tc>
        <w:tc>
          <w:tcPr>
            <w:tcW w:w="7369" w:type="dxa"/>
            <w:noWrap w:val="0"/>
            <w:vAlign w:val="center"/>
          </w:tcPr>
          <w:p w14:paraId="29CB8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适用于中小微企业：</w:t>
            </w:r>
          </w:p>
          <w:p w14:paraId="6FE9D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①合同生效且具备实施条件后，七个工作日内支付合同总额的40%作为预付款</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（合同签订时中标人主动要求不需要预付款的采购人可以不支付）</w:t>
            </w:r>
            <w:r>
              <w:rPr>
                <w:rFonts w:hint="eastAsia" w:ascii="宋体" w:hAnsi="宋体" w:cs="宋体"/>
                <w:b w:val="0"/>
                <w:bCs w:val="0"/>
                <w:color w:val="auto"/>
                <w:kern w:val="0"/>
                <w:sz w:val="21"/>
                <w:szCs w:val="21"/>
                <w:highlight w:val="none"/>
                <w:lang w:val="en-US" w:eastAsia="zh-CN"/>
              </w:rPr>
              <w:t>；</w:t>
            </w:r>
          </w:p>
          <w:p w14:paraId="76E0B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②货到验收合格后七个工作日内一次性付清余款。</w:t>
            </w:r>
          </w:p>
          <w:p w14:paraId="6428A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适用于大型企业：</w:t>
            </w:r>
          </w:p>
          <w:p w14:paraId="7B980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①货到验收合格且采购人收到合法有效的发票后</w:t>
            </w:r>
            <w:r>
              <w:rPr>
                <w:rFonts w:hint="eastAsia" w:ascii="宋体" w:hAnsi="宋体" w:cs="宋体"/>
                <w:b w:val="0"/>
                <w:bCs w:val="0"/>
                <w:color w:val="auto"/>
                <w:kern w:val="0"/>
                <w:sz w:val="21"/>
                <w:szCs w:val="21"/>
                <w:highlight w:val="none"/>
                <w:lang w:val="en-US" w:eastAsia="zh-CN"/>
              </w:rPr>
              <w:t>二个月</w:t>
            </w:r>
            <w:r>
              <w:rPr>
                <w:rFonts w:hint="eastAsia" w:ascii="宋体" w:hAnsi="宋体" w:eastAsia="宋体" w:cs="宋体"/>
                <w:b w:val="0"/>
                <w:bCs w:val="0"/>
                <w:color w:val="auto"/>
                <w:kern w:val="0"/>
                <w:sz w:val="21"/>
                <w:szCs w:val="21"/>
                <w:highlight w:val="none"/>
                <w:lang w:val="en-US" w:eastAsia="zh-CN"/>
              </w:rPr>
              <w:t>内付清全款。</w:t>
            </w:r>
          </w:p>
        </w:tc>
      </w:tr>
      <w:tr w14:paraId="5C7E2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2" w:type="dxa"/>
            <w:noWrap w:val="0"/>
            <w:vAlign w:val="center"/>
          </w:tcPr>
          <w:p w14:paraId="7397853E">
            <w:pPr>
              <w:keepNext w:val="0"/>
              <w:keepLines w:val="0"/>
              <w:pageBreakBefore w:val="0"/>
              <w:suppressLineNumbers w:val="0"/>
              <w:kinsoku/>
              <w:wordWrap/>
              <w:overflowPunct/>
              <w:topLinePunct w:val="0"/>
              <w:autoSpaceDE/>
              <w:autoSpaceDN/>
              <w:bidi w:val="0"/>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Times New Roman" w:hAnsi="宋体" w:eastAsia="宋体" w:cs="Times New Roman"/>
                <w:color w:val="auto"/>
                <w:kern w:val="2"/>
                <w:sz w:val="21"/>
                <w:highlight w:val="none"/>
                <w:lang w:val="en-US" w:eastAsia="zh-CN"/>
              </w:rPr>
              <w:t>安全问题</w:t>
            </w:r>
          </w:p>
        </w:tc>
        <w:tc>
          <w:tcPr>
            <w:tcW w:w="7369" w:type="dxa"/>
            <w:noWrap w:val="0"/>
            <w:vAlign w:val="center"/>
          </w:tcPr>
          <w:p w14:paraId="13E4A6AB">
            <w:pPr>
              <w:keepNext w:val="0"/>
              <w:keepLines w:val="0"/>
              <w:pageBreakBefore w:val="0"/>
              <w:suppressLineNumbers w:val="0"/>
              <w:kinsoku/>
              <w:wordWrap/>
              <w:overflowPunct/>
              <w:topLinePunct w:val="0"/>
              <w:autoSpaceDE/>
              <w:autoSpaceDN/>
              <w:bidi w:val="0"/>
              <w:snapToGrid/>
              <w:spacing w:before="0" w:beforeAutospacing="0" w:after="0" w:afterAutospacing="0" w:line="300" w:lineRule="exact"/>
              <w:ind w:left="0" w:right="0"/>
              <w:textAlignment w:val="auto"/>
              <w:rPr>
                <w:rFonts w:hint="eastAsia" w:ascii="宋体" w:hAnsi="宋体" w:eastAsia="宋体" w:cs="宋体"/>
                <w:b w:val="0"/>
                <w:bCs w:val="0"/>
                <w:color w:val="auto"/>
                <w:kern w:val="0"/>
                <w:sz w:val="21"/>
                <w:szCs w:val="21"/>
                <w:highlight w:val="none"/>
                <w:lang w:val="en-US" w:eastAsia="zh-CN"/>
              </w:rPr>
            </w:pPr>
            <w:r>
              <w:rPr>
                <w:rFonts w:hint="eastAsia" w:ascii="Times New Roman" w:hAnsi="宋体" w:eastAsia="宋体" w:cs="Times New Roman"/>
                <w:color w:val="auto"/>
                <w:kern w:val="2"/>
                <w:sz w:val="21"/>
                <w:highlight w:val="none"/>
                <w:lang w:val="en-US" w:eastAsia="zh-CN"/>
              </w:rPr>
              <w:t>安全问题：成交供应商在项目实施过程中应注意自身安全，参加相关保险，实施过程中发生一切意外事故（如发生车祸等），由成交供应商负全责。</w:t>
            </w:r>
          </w:p>
        </w:tc>
      </w:tr>
    </w:tbl>
    <w:p w14:paraId="0088DBD3">
      <w:pPr>
        <w:pStyle w:val="53"/>
        <w:ind w:left="0" w:leftChars="0" w:firstLine="0" w:firstLineChars="0"/>
        <w:rPr>
          <w:rFonts w:hint="eastAsia"/>
        </w:rPr>
      </w:pPr>
    </w:p>
    <w:p w14:paraId="4600B9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6EBCD30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color w:val="auto"/>
          <w:sz w:val="36"/>
          <w:szCs w:val="36"/>
          <w:highlight w:val="none"/>
        </w:rPr>
      </w:pPr>
    </w:p>
    <w:p w14:paraId="037D77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62CB03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0E10EA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CD005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1389A65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7925833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color w:val="auto"/>
          <w:sz w:val="36"/>
          <w:szCs w:val="36"/>
          <w:highlight w:val="none"/>
        </w:rPr>
      </w:pPr>
    </w:p>
    <w:p w14:paraId="7A780C12">
      <w:pPr>
        <w:pStyle w:val="2"/>
        <w:rPr>
          <w:rFonts w:hint="eastAsia" w:ascii="宋体" w:hAnsi="宋体" w:cs="宋体"/>
          <w:b/>
          <w:color w:val="auto"/>
          <w:sz w:val="36"/>
          <w:szCs w:val="36"/>
          <w:highlight w:val="none"/>
        </w:rPr>
      </w:pPr>
    </w:p>
    <w:p w14:paraId="01673509">
      <w:pPr>
        <w:pStyle w:val="2"/>
        <w:rPr>
          <w:rFonts w:hint="eastAsia" w:ascii="宋体" w:hAnsi="宋体" w:cs="宋体"/>
          <w:b/>
          <w:color w:val="auto"/>
          <w:sz w:val="36"/>
          <w:szCs w:val="36"/>
          <w:highlight w:val="none"/>
        </w:rPr>
      </w:pPr>
    </w:p>
    <w:p w14:paraId="067F388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35" w:name="_Toc184310298"/>
      <w:bookmarkEnd w:id="35"/>
      <w:bookmarkStart w:id="36" w:name="_Toc184312091"/>
      <w:bookmarkEnd w:id="36"/>
      <w:bookmarkStart w:id="37" w:name="_Toc184308083"/>
      <w:bookmarkEnd w:id="37"/>
      <w:bookmarkStart w:id="38" w:name="_Toc184313250"/>
      <w:bookmarkEnd w:id="38"/>
      <w:bookmarkStart w:id="39" w:name="_Toc184314470"/>
      <w:bookmarkEnd w:id="39"/>
      <w:bookmarkStart w:id="40" w:name="_Toc184310312"/>
      <w:bookmarkEnd w:id="40"/>
      <w:bookmarkStart w:id="41" w:name="_Toc184312069"/>
      <w:bookmarkEnd w:id="41"/>
      <w:bookmarkStart w:id="42" w:name="_Toc184310278"/>
      <w:bookmarkEnd w:id="42"/>
      <w:bookmarkStart w:id="43" w:name="_Toc184313305"/>
      <w:bookmarkEnd w:id="43"/>
      <w:bookmarkStart w:id="44" w:name="_Toc184310275"/>
      <w:bookmarkEnd w:id="44"/>
      <w:bookmarkStart w:id="45" w:name="_Toc184312075"/>
      <w:bookmarkEnd w:id="45"/>
      <w:bookmarkStart w:id="46" w:name="_Toc184310309"/>
      <w:bookmarkEnd w:id="46"/>
      <w:bookmarkStart w:id="47" w:name="_Toc184310330"/>
      <w:bookmarkEnd w:id="47"/>
      <w:bookmarkStart w:id="48" w:name="_Toc184312072"/>
      <w:bookmarkEnd w:id="48"/>
      <w:bookmarkStart w:id="49" w:name="_Toc184308077"/>
      <w:bookmarkEnd w:id="49"/>
      <w:bookmarkStart w:id="50" w:name="_Toc184312135"/>
      <w:bookmarkEnd w:id="50"/>
      <w:bookmarkStart w:id="51" w:name="_Toc184313275"/>
      <w:bookmarkEnd w:id="51"/>
      <w:bookmarkStart w:id="52" w:name="_Toc184310304"/>
      <w:bookmarkEnd w:id="52"/>
      <w:bookmarkStart w:id="53" w:name="_Toc184310321"/>
      <w:bookmarkEnd w:id="53"/>
      <w:bookmarkStart w:id="54" w:name="_Toc184314425"/>
      <w:bookmarkEnd w:id="54"/>
      <w:bookmarkStart w:id="55" w:name="_Toc184314447"/>
      <w:bookmarkEnd w:id="55"/>
      <w:bookmarkStart w:id="56" w:name="_Toc184314476"/>
      <w:bookmarkEnd w:id="56"/>
      <w:bookmarkStart w:id="57" w:name="_Toc184308040"/>
      <w:bookmarkEnd w:id="57"/>
      <w:bookmarkStart w:id="58" w:name="_Toc184308095"/>
      <w:bookmarkEnd w:id="58"/>
      <w:bookmarkStart w:id="59" w:name="_Toc184313251"/>
      <w:bookmarkEnd w:id="59"/>
      <w:bookmarkStart w:id="60" w:name="_Toc184312127"/>
      <w:bookmarkEnd w:id="60"/>
      <w:bookmarkStart w:id="61" w:name="_Toc184313287"/>
      <w:bookmarkEnd w:id="61"/>
      <w:bookmarkStart w:id="62" w:name="_Toc184310323"/>
      <w:bookmarkEnd w:id="62"/>
      <w:bookmarkStart w:id="63" w:name="_Toc184313256"/>
      <w:bookmarkEnd w:id="63"/>
      <w:bookmarkStart w:id="64" w:name="_Toc184313292"/>
      <w:bookmarkEnd w:id="64"/>
      <w:bookmarkStart w:id="65" w:name="_Toc184308049"/>
      <w:bookmarkEnd w:id="65"/>
      <w:bookmarkStart w:id="66" w:name="_Toc184308088"/>
      <w:bookmarkEnd w:id="66"/>
      <w:bookmarkStart w:id="67" w:name="_Toc184308058"/>
      <w:bookmarkEnd w:id="67"/>
      <w:bookmarkStart w:id="68" w:name="_Toc184312126"/>
      <w:bookmarkEnd w:id="68"/>
      <w:bookmarkStart w:id="69" w:name="_Toc184310341"/>
      <w:bookmarkEnd w:id="69"/>
      <w:bookmarkStart w:id="70" w:name="_Toc184313293"/>
      <w:bookmarkEnd w:id="70"/>
      <w:bookmarkStart w:id="71" w:name="_Toc184312108"/>
      <w:bookmarkEnd w:id="71"/>
      <w:bookmarkStart w:id="72" w:name="_Toc184308099"/>
      <w:bookmarkEnd w:id="72"/>
      <w:bookmarkStart w:id="73" w:name="_Toc184314438"/>
      <w:bookmarkEnd w:id="73"/>
      <w:bookmarkStart w:id="74" w:name="_Toc184312102"/>
      <w:bookmarkEnd w:id="74"/>
      <w:bookmarkStart w:id="75" w:name="_Toc184312111"/>
      <w:bookmarkEnd w:id="75"/>
      <w:bookmarkStart w:id="76" w:name="_Toc184313270"/>
      <w:bookmarkEnd w:id="76"/>
      <w:bookmarkStart w:id="77" w:name="_Toc184308046"/>
      <w:bookmarkEnd w:id="77"/>
      <w:bookmarkStart w:id="78" w:name="_Toc184314420"/>
      <w:bookmarkEnd w:id="78"/>
      <w:bookmarkStart w:id="79" w:name="_Toc184312094"/>
      <w:bookmarkEnd w:id="79"/>
      <w:bookmarkStart w:id="80" w:name="_Toc184312119"/>
      <w:bookmarkEnd w:id="80"/>
      <w:bookmarkStart w:id="81" w:name="_Toc184313268"/>
      <w:bookmarkEnd w:id="81"/>
      <w:bookmarkStart w:id="82" w:name="_Toc184308078"/>
      <w:bookmarkEnd w:id="82"/>
      <w:bookmarkStart w:id="83" w:name="_Toc184310285"/>
      <w:bookmarkEnd w:id="83"/>
      <w:bookmarkStart w:id="84" w:name="_Toc184313283"/>
      <w:bookmarkEnd w:id="84"/>
      <w:bookmarkStart w:id="85" w:name="_Toc184308082"/>
      <w:bookmarkEnd w:id="85"/>
      <w:bookmarkStart w:id="86" w:name="_Toc184314442"/>
      <w:bookmarkEnd w:id="86"/>
      <w:bookmarkStart w:id="87" w:name="_Toc184312137"/>
      <w:bookmarkEnd w:id="87"/>
      <w:bookmarkStart w:id="88" w:name="_Toc184313246"/>
      <w:bookmarkEnd w:id="88"/>
      <w:bookmarkStart w:id="89" w:name="_Toc184310273"/>
      <w:bookmarkEnd w:id="89"/>
      <w:bookmarkStart w:id="90" w:name="_Toc184312130"/>
      <w:bookmarkEnd w:id="90"/>
      <w:bookmarkStart w:id="91" w:name="_Toc184313282"/>
      <w:bookmarkEnd w:id="91"/>
      <w:bookmarkStart w:id="92" w:name="_Toc184308067"/>
      <w:bookmarkEnd w:id="92"/>
      <w:bookmarkStart w:id="93" w:name="_Toc184310343"/>
      <w:bookmarkEnd w:id="93"/>
      <w:bookmarkStart w:id="94" w:name="_Toc184308044"/>
      <w:bookmarkEnd w:id="94"/>
      <w:bookmarkStart w:id="95" w:name="_Toc184310291"/>
      <w:bookmarkEnd w:id="95"/>
      <w:bookmarkStart w:id="96" w:name="_Toc184314423"/>
      <w:bookmarkEnd w:id="96"/>
      <w:bookmarkStart w:id="97" w:name="_Toc184314463"/>
      <w:bookmarkEnd w:id="97"/>
      <w:bookmarkStart w:id="98" w:name="_Toc184312097"/>
      <w:bookmarkEnd w:id="98"/>
      <w:bookmarkStart w:id="99" w:name="_Toc184310331"/>
      <w:bookmarkEnd w:id="99"/>
      <w:bookmarkStart w:id="100" w:name="_Toc184312077"/>
      <w:bookmarkEnd w:id="100"/>
      <w:bookmarkStart w:id="101" w:name="_Toc184312115"/>
      <w:bookmarkEnd w:id="101"/>
      <w:bookmarkStart w:id="102" w:name="_Toc184313261"/>
      <w:bookmarkEnd w:id="102"/>
      <w:bookmarkStart w:id="103" w:name="_Toc184312112"/>
      <w:bookmarkEnd w:id="103"/>
      <w:bookmarkStart w:id="104" w:name="_Toc184308098"/>
      <w:bookmarkEnd w:id="104"/>
      <w:bookmarkStart w:id="105" w:name="_Toc184308061"/>
      <w:bookmarkEnd w:id="105"/>
      <w:bookmarkStart w:id="106" w:name="_Toc184308071"/>
      <w:bookmarkEnd w:id="106"/>
      <w:bookmarkStart w:id="107" w:name="_Toc184313310"/>
      <w:bookmarkEnd w:id="107"/>
      <w:bookmarkStart w:id="108" w:name="_Toc184308104"/>
      <w:bookmarkEnd w:id="108"/>
      <w:bookmarkStart w:id="109" w:name="_Toc184310290"/>
      <w:bookmarkEnd w:id="109"/>
      <w:bookmarkStart w:id="110" w:name="_Toc184310293"/>
      <w:bookmarkEnd w:id="110"/>
      <w:bookmarkStart w:id="111" w:name="_Toc184314481"/>
      <w:bookmarkEnd w:id="111"/>
      <w:bookmarkStart w:id="112" w:name="_Toc184308068"/>
      <w:bookmarkEnd w:id="112"/>
      <w:bookmarkStart w:id="113" w:name="_Toc184313288"/>
      <w:bookmarkEnd w:id="113"/>
      <w:bookmarkStart w:id="114" w:name="_Toc184308103"/>
      <w:bookmarkEnd w:id="114"/>
      <w:bookmarkStart w:id="115" w:name="_Toc184314450"/>
      <w:bookmarkEnd w:id="115"/>
      <w:bookmarkStart w:id="116" w:name="_Toc184313284"/>
      <w:bookmarkEnd w:id="116"/>
      <w:bookmarkStart w:id="117" w:name="_Toc184312081"/>
      <w:bookmarkEnd w:id="117"/>
      <w:bookmarkStart w:id="118" w:name="_Toc184314430"/>
      <w:bookmarkEnd w:id="118"/>
      <w:bookmarkStart w:id="119" w:name="_Toc184308093"/>
      <w:bookmarkEnd w:id="119"/>
      <w:bookmarkStart w:id="120" w:name="_Toc184310332"/>
      <w:bookmarkEnd w:id="120"/>
      <w:bookmarkStart w:id="121" w:name="_Toc184314415"/>
      <w:bookmarkEnd w:id="121"/>
      <w:bookmarkStart w:id="122" w:name="_Toc184312096"/>
      <w:bookmarkEnd w:id="122"/>
      <w:bookmarkStart w:id="123" w:name="_Toc184308048"/>
      <w:bookmarkEnd w:id="123"/>
      <w:bookmarkStart w:id="124" w:name="_Toc184308041"/>
      <w:bookmarkEnd w:id="124"/>
      <w:bookmarkStart w:id="125" w:name="_Toc184310303"/>
      <w:bookmarkEnd w:id="125"/>
      <w:bookmarkStart w:id="126" w:name="_Toc184308065"/>
      <w:bookmarkEnd w:id="126"/>
      <w:bookmarkStart w:id="127" w:name="_Toc184312114"/>
      <w:bookmarkEnd w:id="127"/>
      <w:bookmarkStart w:id="128" w:name="_Toc184308037"/>
      <w:bookmarkEnd w:id="128"/>
      <w:bookmarkStart w:id="129" w:name="_Toc184312074"/>
      <w:bookmarkEnd w:id="129"/>
      <w:bookmarkStart w:id="130" w:name="_Toc184314414"/>
      <w:bookmarkEnd w:id="130"/>
      <w:bookmarkStart w:id="131" w:name="_Toc184314467"/>
      <w:bookmarkEnd w:id="131"/>
      <w:bookmarkStart w:id="132" w:name="_Toc184310307"/>
      <w:bookmarkEnd w:id="132"/>
      <w:bookmarkStart w:id="133" w:name="_Toc184310326"/>
      <w:bookmarkEnd w:id="133"/>
      <w:bookmarkStart w:id="134" w:name="_Toc184310308"/>
      <w:bookmarkEnd w:id="134"/>
      <w:bookmarkStart w:id="135" w:name="_Toc184312132"/>
      <w:bookmarkEnd w:id="135"/>
      <w:bookmarkStart w:id="136" w:name="_Toc184313273"/>
      <w:bookmarkEnd w:id="136"/>
      <w:bookmarkStart w:id="137" w:name="_Toc184308076"/>
      <w:bookmarkEnd w:id="137"/>
      <w:bookmarkStart w:id="138" w:name="_Toc184312123"/>
      <w:bookmarkEnd w:id="138"/>
      <w:bookmarkStart w:id="139" w:name="_Toc184308056"/>
      <w:bookmarkEnd w:id="139"/>
      <w:bookmarkStart w:id="140" w:name="_Toc184314439"/>
      <w:bookmarkEnd w:id="140"/>
      <w:bookmarkStart w:id="141" w:name="_Toc184314461"/>
      <w:bookmarkEnd w:id="141"/>
      <w:bookmarkStart w:id="142" w:name="_Toc184313266"/>
      <w:bookmarkEnd w:id="142"/>
      <w:bookmarkStart w:id="143" w:name="_Toc184312136"/>
      <w:bookmarkEnd w:id="143"/>
      <w:bookmarkStart w:id="144" w:name="_Toc184308069"/>
      <w:bookmarkEnd w:id="144"/>
      <w:bookmarkStart w:id="145" w:name="_Toc184313252"/>
      <w:bookmarkEnd w:id="145"/>
      <w:bookmarkStart w:id="146" w:name="_Toc184314443"/>
      <w:bookmarkEnd w:id="146"/>
      <w:bookmarkStart w:id="147" w:name="_Toc184313309"/>
      <w:bookmarkEnd w:id="147"/>
      <w:bookmarkStart w:id="148" w:name="_Toc184313260"/>
      <w:bookmarkEnd w:id="148"/>
      <w:bookmarkStart w:id="149" w:name="_Toc184310314"/>
      <w:bookmarkEnd w:id="149"/>
      <w:bookmarkStart w:id="150" w:name="_Toc184314480"/>
      <w:bookmarkEnd w:id="150"/>
      <w:bookmarkStart w:id="151" w:name="_Toc184310302"/>
      <w:bookmarkEnd w:id="151"/>
      <w:bookmarkStart w:id="152" w:name="_Toc184312080"/>
      <w:bookmarkEnd w:id="152"/>
      <w:bookmarkStart w:id="153" w:name="_Toc184314474"/>
      <w:bookmarkEnd w:id="153"/>
      <w:bookmarkStart w:id="154" w:name="_Toc184308100"/>
      <w:bookmarkEnd w:id="154"/>
      <w:bookmarkStart w:id="155" w:name="_Toc184310305"/>
      <w:bookmarkEnd w:id="155"/>
      <w:bookmarkStart w:id="156" w:name="_Toc184308042"/>
      <w:bookmarkEnd w:id="156"/>
      <w:bookmarkStart w:id="157" w:name="_Toc184314475"/>
      <w:bookmarkEnd w:id="157"/>
      <w:bookmarkStart w:id="158" w:name="_Toc184314457"/>
      <w:bookmarkEnd w:id="158"/>
      <w:bookmarkStart w:id="159" w:name="_Toc184314435"/>
      <w:bookmarkEnd w:id="159"/>
      <w:bookmarkStart w:id="160" w:name="_Toc184310286"/>
      <w:bookmarkEnd w:id="160"/>
      <w:bookmarkStart w:id="161" w:name="_Toc184313238"/>
      <w:bookmarkEnd w:id="161"/>
      <w:bookmarkStart w:id="162" w:name="_Toc184308075"/>
      <w:bookmarkEnd w:id="162"/>
      <w:bookmarkStart w:id="163" w:name="_Toc184310289"/>
      <w:bookmarkEnd w:id="163"/>
      <w:bookmarkStart w:id="164" w:name="_Toc184314431"/>
      <w:bookmarkEnd w:id="164"/>
      <w:bookmarkStart w:id="165" w:name="_Toc184310344"/>
      <w:bookmarkEnd w:id="165"/>
      <w:bookmarkStart w:id="166" w:name="_Toc184308074"/>
      <w:bookmarkEnd w:id="166"/>
      <w:bookmarkStart w:id="167" w:name="_Toc184313297"/>
      <w:bookmarkEnd w:id="167"/>
      <w:bookmarkStart w:id="168" w:name="_Toc184308038"/>
      <w:bookmarkEnd w:id="168"/>
      <w:bookmarkStart w:id="169" w:name="_Toc184314458"/>
      <w:bookmarkEnd w:id="169"/>
      <w:bookmarkStart w:id="170" w:name="_Toc184313276"/>
      <w:bookmarkEnd w:id="170"/>
      <w:bookmarkStart w:id="171" w:name="_Toc184313304"/>
      <w:bookmarkEnd w:id="171"/>
      <w:bookmarkStart w:id="172" w:name="_Toc184313263"/>
      <w:bookmarkEnd w:id="172"/>
      <w:bookmarkStart w:id="173" w:name="_Toc184314468"/>
      <w:bookmarkEnd w:id="173"/>
      <w:bookmarkStart w:id="174" w:name="_Toc184310306"/>
      <w:bookmarkEnd w:id="174"/>
      <w:bookmarkStart w:id="175" w:name="_Toc184310319"/>
      <w:bookmarkEnd w:id="175"/>
      <w:bookmarkStart w:id="176" w:name="_Toc184310288"/>
      <w:bookmarkEnd w:id="176"/>
      <w:bookmarkStart w:id="177" w:name="_Toc184310296"/>
      <w:bookmarkEnd w:id="177"/>
      <w:bookmarkStart w:id="178" w:name="_Toc184314477"/>
      <w:bookmarkEnd w:id="178"/>
      <w:bookmarkStart w:id="179" w:name="_Toc184313255"/>
      <w:bookmarkEnd w:id="179"/>
      <w:bookmarkStart w:id="180" w:name="_Toc184314421"/>
      <w:bookmarkEnd w:id="180"/>
      <w:bookmarkStart w:id="181" w:name="_Toc184312124"/>
      <w:bookmarkEnd w:id="181"/>
      <w:bookmarkStart w:id="182" w:name="_Toc184308090"/>
      <w:bookmarkEnd w:id="182"/>
      <w:bookmarkStart w:id="183" w:name="_Toc184310329"/>
      <w:bookmarkEnd w:id="183"/>
      <w:bookmarkStart w:id="184" w:name="_Toc184313300"/>
      <w:bookmarkEnd w:id="184"/>
      <w:bookmarkStart w:id="185" w:name="_Toc184310282"/>
      <w:bookmarkEnd w:id="185"/>
      <w:bookmarkStart w:id="186" w:name="_Toc184310322"/>
      <w:bookmarkEnd w:id="186"/>
      <w:bookmarkStart w:id="187" w:name="_Toc184313290"/>
      <w:bookmarkEnd w:id="187"/>
      <w:bookmarkStart w:id="188" w:name="_Toc184312122"/>
      <w:bookmarkEnd w:id="188"/>
      <w:bookmarkStart w:id="189" w:name="_Toc184312085"/>
      <w:bookmarkEnd w:id="189"/>
      <w:bookmarkStart w:id="190" w:name="_Toc184313257"/>
      <w:bookmarkEnd w:id="190"/>
      <w:bookmarkStart w:id="191" w:name="_Toc184308051"/>
      <w:bookmarkEnd w:id="191"/>
      <w:bookmarkStart w:id="192" w:name="_Toc184312116"/>
      <w:bookmarkEnd w:id="192"/>
      <w:bookmarkStart w:id="193" w:name="_Toc184314444"/>
      <w:bookmarkEnd w:id="193"/>
      <w:bookmarkStart w:id="194" w:name="_Toc184313262"/>
      <w:bookmarkEnd w:id="194"/>
      <w:bookmarkStart w:id="195" w:name="_Toc184314469"/>
      <w:bookmarkEnd w:id="195"/>
      <w:bookmarkStart w:id="196" w:name="_Toc184308053"/>
      <w:bookmarkEnd w:id="196"/>
      <w:bookmarkStart w:id="197" w:name="_Toc184310342"/>
      <w:bookmarkEnd w:id="197"/>
      <w:bookmarkStart w:id="198" w:name="_Toc184313253"/>
      <w:bookmarkEnd w:id="198"/>
      <w:bookmarkStart w:id="199" w:name="_Toc184308066"/>
      <w:bookmarkEnd w:id="199"/>
      <w:bookmarkStart w:id="200" w:name="_Toc184313306"/>
      <w:bookmarkEnd w:id="200"/>
      <w:bookmarkStart w:id="201" w:name="_Toc184314433"/>
      <w:bookmarkEnd w:id="201"/>
      <w:bookmarkStart w:id="202" w:name="_Toc184313301"/>
      <w:bookmarkEnd w:id="202"/>
      <w:bookmarkStart w:id="203" w:name="_Toc184310300"/>
      <w:bookmarkEnd w:id="203"/>
      <w:bookmarkStart w:id="204" w:name="_Toc184308059"/>
      <w:bookmarkEnd w:id="204"/>
      <w:bookmarkStart w:id="205" w:name="_Toc184308043"/>
      <w:bookmarkEnd w:id="205"/>
      <w:bookmarkStart w:id="206" w:name="_Toc184310310"/>
      <w:bookmarkEnd w:id="206"/>
      <w:bookmarkStart w:id="207" w:name="_Toc184314459"/>
      <w:bookmarkEnd w:id="207"/>
      <w:bookmarkStart w:id="208" w:name="_Toc184310339"/>
      <w:bookmarkEnd w:id="208"/>
      <w:bookmarkStart w:id="209" w:name="_Toc184313274"/>
      <w:bookmarkEnd w:id="209"/>
      <w:bookmarkStart w:id="210" w:name="_Toc184314436"/>
      <w:bookmarkEnd w:id="210"/>
      <w:bookmarkStart w:id="211" w:name="_Toc184312128"/>
      <w:bookmarkEnd w:id="211"/>
      <w:bookmarkStart w:id="212" w:name="_Toc184312138"/>
      <w:bookmarkEnd w:id="212"/>
      <w:bookmarkStart w:id="213" w:name="_Toc184313258"/>
      <w:bookmarkEnd w:id="213"/>
      <w:bookmarkStart w:id="214" w:name="_Toc184313307"/>
      <w:bookmarkEnd w:id="214"/>
      <w:bookmarkStart w:id="215" w:name="_Toc184308055"/>
      <w:bookmarkEnd w:id="215"/>
      <w:bookmarkStart w:id="216" w:name="_Toc184314426"/>
      <w:bookmarkEnd w:id="216"/>
      <w:bookmarkStart w:id="217" w:name="_Toc184312133"/>
      <w:bookmarkEnd w:id="217"/>
      <w:bookmarkStart w:id="218" w:name="_Toc184312103"/>
      <w:bookmarkEnd w:id="218"/>
      <w:bookmarkStart w:id="219" w:name="_Toc184312109"/>
      <w:bookmarkEnd w:id="219"/>
      <w:bookmarkStart w:id="220" w:name="_Toc184314413"/>
      <w:bookmarkEnd w:id="220"/>
      <w:bookmarkStart w:id="221" w:name="_Toc184308060"/>
      <w:bookmarkEnd w:id="221"/>
      <w:bookmarkStart w:id="222" w:name="_Toc184314429"/>
      <w:bookmarkEnd w:id="222"/>
      <w:bookmarkStart w:id="223" w:name="_Toc184313254"/>
      <w:bookmarkEnd w:id="223"/>
      <w:bookmarkStart w:id="224" w:name="_Toc184314465"/>
      <w:bookmarkEnd w:id="224"/>
      <w:bookmarkStart w:id="225" w:name="_Toc184314448"/>
      <w:bookmarkEnd w:id="225"/>
      <w:bookmarkStart w:id="226" w:name="_Toc184308108"/>
      <w:bookmarkEnd w:id="226"/>
      <w:bookmarkStart w:id="227" w:name="_Toc184312090"/>
      <w:bookmarkEnd w:id="227"/>
      <w:bookmarkStart w:id="228" w:name="_Toc184314422"/>
      <w:bookmarkEnd w:id="228"/>
      <w:bookmarkStart w:id="229" w:name="_Toc184312070"/>
      <w:bookmarkEnd w:id="229"/>
      <w:bookmarkStart w:id="230" w:name="_Toc184314434"/>
      <w:bookmarkEnd w:id="230"/>
      <w:bookmarkStart w:id="231" w:name="_Toc184308080"/>
      <w:bookmarkEnd w:id="231"/>
      <w:bookmarkStart w:id="232" w:name="_Toc184314411"/>
      <w:bookmarkEnd w:id="232"/>
      <w:bookmarkStart w:id="233" w:name="_Toc184308101"/>
      <w:bookmarkEnd w:id="233"/>
      <w:bookmarkStart w:id="234" w:name="_Toc184314451"/>
      <w:bookmarkEnd w:id="234"/>
      <w:bookmarkStart w:id="235" w:name="_Toc184312101"/>
      <w:bookmarkEnd w:id="235"/>
      <w:bookmarkStart w:id="236" w:name="_Toc184312067"/>
      <w:bookmarkEnd w:id="236"/>
      <w:bookmarkStart w:id="237" w:name="_Toc184310292"/>
      <w:bookmarkEnd w:id="237"/>
      <w:bookmarkStart w:id="238" w:name="_Toc184310334"/>
      <w:bookmarkEnd w:id="238"/>
      <w:bookmarkStart w:id="239" w:name="_Toc184312110"/>
      <w:bookmarkEnd w:id="239"/>
      <w:bookmarkStart w:id="240" w:name="_Toc184313264"/>
      <w:bookmarkEnd w:id="240"/>
      <w:bookmarkStart w:id="241" w:name="_Toc184313247"/>
      <w:bookmarkEnd w:id="241"/>
      <w:bookmarkStart w:id="242" w:name="_Toc184308089"/>
      <w:bookmarkEnd w:id="242"/>
      <w:bookmarkStart w:id="243" w:name="_Toc184314455"/>
      <w:bookmarkEnd w:id="243"/>
      <w:bookmarkStart w:id="244" w:name="_Toc184313259"/>
      <w:bookmarkEnd w:id="244"/>
      <w:bookmarkStart w:id="245" w:name="_Toc184312079"/>
      <w:bookmarkEnd w:id="245"/>
      <w:bookmarkStart w:id="246" w:name="_Toc184313248"/>
      <w:bookmarkEnd w:id="246"/>
      <w:bookmarkStart w:id="247" w:name="_Toc184313303"/>
      <w:bookmarkEnd w:id="247"/>
      <w:bookmarkStart w:id="248" w:name="_Toc184314466"/>
      <w:bookmarkEnd w:id="248"/>
      <w:bookmarkStart w:id="249" w:name="_Toc184308070"/>
      <w:bookmarkEnd w:id="249"/>
      <w:bookmarkStart w:id="250" w:name="_Toc184313294"/>
      <w:bookmarkEnd w:id="250"/>
      <w:bookmarkStart w:id="251" w:name="_Toc184314479"/>
      <w:bookmarkEnd w:id="251"/>
      <w:bookmarkStart w:id="252" w:name="_Toc184313278"/>
      <w:bookmarkEnd w:id="252"/>
      <w:bookmarkStart w:id="253" w:name="_Toc184308092"/>
      <w:bookmarkEnd w:id="253"/>
      <w:bookmarkStart w:id="254" w:name="_Toc184313243"/>
      <w:bookmarkEnd w:id="254"/>
      <w:bookmarkStart w:id="255" w:name="_Toc184308096"/>
      <w:bookmarkEnd w:id="255"/>
      <w:bookmarkStart w:id="256" w:name="_Toc184308052"/>
      <w:bookmarkEnd w:id="256"/>
      <w:bookmarkStart w:id="257" w:name="_Toc184313244"/>
      <w:bookmarkEnd w:id="257"/>
      <w:bookmarkStart w:id="258" w:name="_Toc184308072"/>
      <w:bookmarkEnd w:id="258"/>
      <w:bookmarkStart w:id="259" w:name="_Toc184313296"/>
      <w:bookmarkEnd w:id="259"/>
      <w:bookmarkStart w:id="260" w:name="_Toc184312129"/>
      <w:bookmarkEnd w:id="260"/>
      <w:bookmarkStart w:id="261" w:name="_Toc184312104"/>
      <w:bookmarkEnd w:id="261"/>
      <w:bookmarkStart w:id="262" w:name="_Toc184314441"/>
      <w:bookmarkEnd w:id="262"/>
      <w:bookmarkStart w:id="263" w:name="_Toc184313277"/>
      <w:bookmarkEnd w:id="263"/>
      <w:bookmarkStart w:id="264" w:name="_Toc184310283"/>
      <w:bookmarkEnd w:id="264"/>
      <w:bookmarkStart w:id="265" w:name="_Toc184313240"/>
      <w:bookmarkEnd w:id="265"/>
      <w:bookmarkStart w:id="266" w:name="_Toc184314460"/>
      <w:bookmarkEnd w:id="266"/>
      <w:bookmarkStart w:id="267" w:name="_Toc184310311"/>
      <w:bookmarkEnd w:id="267"/>
      <w:bookmarkStart w:id="268" w:name="_Toc184314446"/>
      <w:bookmarkEnd w:id="268"/>
      <w:bookmarkStart w:id="269" w:name="_Toc184314471"/>
      <w:bookmarkEnd w:id="269"/>
      <w:bookmarkStart w:id="270" w:name="_Toc184314412"/>
      <w:bookmarkEnd w:id="270"/>
      <w:bookmarkStart w:id="271" w:name="_Toc184308085"/>
      <w:bookmarkEnd w:id="271"/>
      <w:bookmarkStart w:id="272" w:name="_Toc184314473"/>
      <w:bookmarkEnd w:id="272"/>
      <w:bookmarkStart w:id="273" w:name="_Toc184314440"/>
      <w:bookmarkEnd w:id="273"/>
      <w:bookmarkStart w:id="274" w:name="_Toc184308079"/>
      <w:bookmarkEnd w:id="274"/>
      <w:bookmarkStart w:id="275" w:name="_Toc184310337"/>
      <w:bookmarkEnd w:id="275"/>
      <w:bookmarkStart w:id="276" w:name="_Toc184313302"/>
      <w:bookmarkEnd w:id="276"/>
      <w:bookmarkStart w:id="277" w:name="_Toc184314416"/>
      <w:bookmarkEnd w:id="277"/>
      <w:bookmarkStart w:id="278" w:name="_Toc184310335"/>
      <w:bookmarkEnd w:id="278"/>
      <w:bookmarkStart w:id="279" w:name="_Toc184310280"/>
      <w:bookmarkEnd w:id="279"/>
      <w:bookmarkStart w:id="280" w:name="_Toc184314449"/>
      <w:bookmarkEnd w:id="280"/>
      <w:bookmarkStart w:id="281" w:name="_Toc184310279"/>
      <w:bookmarkEnd w:id="281"/>
      <w:bookmarkStart w:id="282" w:name="_Toc184313272"/>
      <w:bookmarkEnd w:id="282"/>
      <w:bookmarkStart w:id="283" w:name="_Toc184314482"/>
      <w:bookmarkEnd w:id="283"/>
      <w:bookmarkStart w:id="284" w:name="_Toc184312073"/>
      <w:bookmarkEnd w:id="284"/>
      <w:bookmarkStart w:id="285" w:name="_Toc184312078"/>
      <w:bookmarkEnd w:id="285"/>
      <w:bookmarkStart w:id="286" w:name="_Toc184314428"/>
      <w:bookmarkEnd w:id="286"/>
      <w:bookmarkStart w:id="287" w:name="_Toc184308106"/>
      <w:bookmarkEnd w:id="287"/>
      <w:bookmarkStart w:id="288" w:name="_Toc184313298"/>
      <w:bookmarkEnd w:id="288"/>
      <w:bookmarkStart w:id="289" w:name="_Toc184312131"/>
      <w:bookmarkEnd w:id="289"/>
      <w:bookmarkStart w:id="290" w:name="_Toc184312088"/>
      <w:bookmarkEnd w:id="290"/>
      <w:bookmarkStart w:id="291" w:name="_Toc184313241"/>
      <w:bookmarkEnd w:id="291"/>
      <w:bookmarkStart w:id="292" w:name="_Toc184314410"/>
      <w:bookmarkEnd w:id="292"/>
      <w:bookmarkStart w:id="293" w:name="_Toc184312139"/>
      <w:bookmarkEnd w:id="293"/>
      <w:bookmarkStart w:id="294" w:name="_Toc184310281"/>
      <w:bookmarkEnd w:id="294"/>
      <w:bookmarkStart w:id="295" w:name="_Toc184314445"/>
      <w:bookmarkEnd w:id="295"/>
      <w:bookmarkStart w:id="296" w:name="_Toc184312105"/>
      <w:bookmarkEnd w:id="296"/>
      <w:bookmarkStart w:id="297" w:name="_Toc184310295"/>
      <w:bookmarkEnd w:id="297"/>
      <w:bookmarkStart w:id="298" w:name="_Toc184310284"/>
      <w:bookmarkEnd w:id="298"/>
      <w:bookmarkStart w:id="299" w:name="_Toc184313280"/>
      <w:bookmarkEnd w:id="299"/>
      <w:bookmarkStart w:id="300" w:name="_Toc184310299"/>
      <w:bookmarkEnd w:id="300"/>
      <w:bookmarkStart w:id="301" w:name="_Toc184314454"/>
      <w:bookmarkEnd w:id="301"/>
      <w:bookmarkStart w:id="302" w:name="_Toc184308057"/>
      <w:bookmarkEnd w:id="302"/>
      <w:bookmarkStart w:id="303" w:name="_Toc184310287"/>
      <w:bookmarkEnd w:id="303"/>
      <w:bookmarkStart w:id="304" w:name="_Toc184308091"/>
      <w:bookmarkEnd w:id="304"/>
      <w:bookmarkStart w:id="305" w:name="_Toc184310327"/>
      <w:bookmarkEnd w:id="305"/>
      <w:bookmarkStart w:id="306" w:name="_Toc184308063"/>
      <w:bookmarkEnd w:id="306"/>
      <w:bookmarkStart w:id="307" w:name="_Toc184310324"/>
      <w:bookmarkEnd w:id="307"/>
      <w:bookmarkStart w:id="308" w:name="_Toc184314417"/>
      <w:bookmarkEnd w:id="308"/>
      <w:bookmarkStart w:id="309" w:name="_Toc184308105"/>
      <w:bookmarkEnd w:id="309"/>
      <w:bookmarkStart w:id="310" w:name="_Toc184314432"/>
      <w:bookmarkEnd w:id="310"/>
      <w:bookmarkStart w:id="311" w:name="_Toc184312117"/>
      <w:bookmarkEnd w:id="311"/>
      <w:bookmarkStart w:id="312" w:name="_Toc184313281"/>
      <w:bookmarkEnd w:id="312"/>
      <w:bookmarkStart w:id="313" w:name="_Toc184312113"/>
      <w:bookmarkEnd w:id="313"/>
      <w:bookmarkStart w:id="314" w:name="_Toc184310274"/>
      <w:bookmarkEnd w:id="314"/>
      <w:bookmarkStart w:id="315" w:name="_Toc184312086"/>
      <w:bookmarkEnd w:id="315"/>
      <w:bookmarkStart w:id="316" w:name="_Toc184312106"/>
      <w:bookmarkEnd w:id="316"/>
      <w:bookmarkStart w:id="317" w:name="_Toc184314478"/>
      <w:bookmarkEnd w:id="317"/>
      <w:bookmarkStart w:id="318" w:name="_Toc184312134"/>
      <w:bookmarkEnd w:id="318"/>
      <w:bookmarkStart w:id="319" w:name="_Toc184310297"/>
      <w:bookmarkEnd w:id="319"/>
      <w:bookmarkStart w:id="320" w:name="_Toc184308102"/>
      <w:bookmarkEnd w:id="320"/>
      <w:bookmarkStart w:id="321" w:name="_Toc184312087"/>
      <w:bookmarkEnd w:id="321"/>
      <w:bookmarkStart w:id="322" w:name="_Toc184310325"/>
      <w:bookmarkEnd w:id="322"/>
      <w:bookmarkStart w:id="323" w:name="_Toc184312099"/>
      <w:bookmarkEnd w:id="323"/>
      <w:bookmarkStart w:id="324" w:name="_Toc184313279"/>
      <w:bookmarkEnd w:id="324"/>
      <w:bookmarkStart w:id="325" w:name="_Toc184308039"/>
      <w:bookmarkEnd w:id="325"/>
      <w:bookmarkStart w:id="326" w:name="_Toc184310328"/>
      <w:bookmarkEnd w:id="326"/>
      <w:bookmarkStart w:id="327" w:name="_Toc184314462"/>
      <w:bookmarkEnd w:id="327"/>
      <w:bookmarkStart w:id="328" w:name="_Toc184312121"/>
      <w:bookmarkEnd w:id="328"/>
      <w:bookmarkStart w:id="329" w:name="_Toc184312092"/>
      <w:bookmarkEnd w:id="329"/>
      <w:bookmarkStart w:id="330" w:name="_Toc184313239"/>
      <w:bookmarkEnd w:id="330"/>
      <w:bookmarkStart w:id="331" w:name="_Toc184314427"/>
      <w:bookmarkEnd w:id="331"/>
      <w:bookmarkStart w:id="332" w:name="_Toc184308097"/>
      <w:bookmarkEnd w:id="332"/>
      <w:bookmarkStart w:id="333" w:name="_Toc184312120"/>
      <w:bookmarkEnd w:id="333"/>
      <w:bookmarkStart w:id="334" w:name="_Toc184310301"/>
      <w:bookmarkEnd w:id="334"/>
      <w:bookmarkStart w:id="335" w:name="_Toc184308086"/>
      <w:bookmarkEnd w:id="335"/>
      <w:bookmarkStart w:id="336" w:name="_Toc184308084"/>
      <w:bookmarkEnd w:id="336"/>
      <w:bookmarkStart w:id="337" w:name="_Toc184314418"/>
      <w:bookmarkEnd w:id="337"/>
      <w:bookmarkStart w:id="338" w:name="_Toc184310313"/>
      <w:bookmarkEnd w:id="338"/>
      <w:bookmarkStart w:id="339" w:name="_Toc184312082"/>
      <w:bookmarkEnd w:id="339"/>
      <w:bookmarkStart w:id="340" w:name="_Toc184312118"/>
      <w:bookmarkEnd w:id="340"/>
      <w:bookmarkStart w:id="341" w:name="_Toc184313265"/>
      <w:bookmarkEnd w:id="341"/>
      <w:bookmarkStart w:id="342" w:name="_Toc184313242"/>
      <w:bookmarkEnd w:id="342"/>
      <w:bookmarkStart w:id="343" w:name="_Toc184313286"/>
      <w:bookmarkEnd w:id="343"/>
      <w:bookmarkStart w:id="344" w:name="_Toc184310277"/>
      <w:bookmarkEnd w:id="344"/>
      <w:bookmarkStart w:id="345" w:name="_Toc184314453"/>
      <w:bookmarkEnd w:id="345"/>
      <w:bookmarkStart w:id="346" w:name="_Toc184314437"/>
      <w:bookmarkEnd w:id="346"/>
      <w:bookmarkStart w:id="347" w:name="_Toc184314464"/>
      <w:bookmarkEnd w:id="347"/>
      <w:bookmarkStart w:id="348" w:name="_Toc184310338"/>
      <w:bookmarkEnd w:id="348"/>
      <w:bookmarkStart w:id="349" w:name="_Toc184308047"/>
      <w:bookmarkEnd w:id="349"/>
      <w:bookmarkStart w:id="350" w:name="_Toc184310276"/>
      <w:bookmarkEnd w:id="350"/>
      <w:bookmarkStart w:id="351" w:name="_Toc184312076"/>
      <w:bookmarkEnd w:id="351"/>
      <w:bookmarkStart w:id="352" w:name="_Toc184314472"/>
      <w:bookmarkEnd w:id="352"/>
      <w:bookmarkStart w:id="353" w:name="_Toc184308050"/>
      <w:bookmarkEnd w:id="353"/>
      <w:bookmarkStart w:id="354" w:name="_Toc184308087"/>
      <w:bookmarkEnd w:id="354"/>
      <w:bookmarkStart w:id="355" w:name="_Toc184314456"/>
      <w:bookmarkEnd w:id="355"/>
      <w:bookmarkStart w:id="356" w:name="_Toc184312084"/>
      <w:bookmarkEnd w:id="356"/>
      <w:bookmarkStart w:id="357" w:name="_Toc184308054"/>
      <w:bookmarkEnd w:id="357"/>
      <w:bookmarkStart w:id="358" w:name="_Toc184308036"/>
      <w:bookmarkEnd w:id="358"/>
      <w:bookmarkStart w:id="359" w:name="_Toc184313249"/>
      <w:bookmarkEnd w:id="359"/>
      <w:bookmarkStart w:id="360" w:name="_Toc184312125"/>
      <w:bookmarkEnd w:id="360"/>
      <w:bookmarkStart w:id="361" w:name="_Toc184313285"/>
      <w:bookmarkEnd w:id="361"/>
      <w:bookmarkStart w:id="362" w:name="_Toc184308081"/>
      <w:bookmarkEnd w:id="362"/>
      <w:bookmarkStart w:id="363" w:name="_Toc184312095"/>
      <w:bookmarkEnd w:id="363"/>
      <w:bookmarkStart w:id="364" w:name="_Toc184308045"/>
      <w:bookmarkEnd w:id="364"/>
      <w:bookmarkStart w:id="365" w:name="_Toc184313245"/>
      <w:bookmarkEnd w:id="365"/>
      <w:bookmarkStart w:id="366" w:name="_Toc184310333"/>
      <w:bookmarkEnd w:id="366"/>
      <w:bookmarkStart w:id="367" w:name="_Toc184310315"/>
      <w:bookmarkEnd w:id="367"/>
      <w:bookmarkStart w:id="368" w:name="_Toc184310320"/>
      <w:bookmarkEnd w:id="368"/>
      <w:bookmarkStart w:id="369" w:name="_Toc184310272"/>
      <w:bookmarkEnd w:id="369"/>
      <w:bookmarkStart w:id="370" w:name="_Toc184312068"/>
      <w:bookmarkEnd w:id="370"/>
      <w:bookmarkStart w:id="371" w:name="_Toc184312093"/>
      <w:bookmarkEnd w:id="371"/>
      <w:bookmarkStart w:id="372" w:name="_Toc184312098"/>
      <w:bookmarkEnd w:id="372"/>
      <w:bookmarkStart w:id="373" w:name="_Toc184310318"/>
      <w:bookmarkEnd w:id="373"/>
      <w:bookmarkStart w:id="374" w:name="_Toc184313299"/>
      <w:bookmarkEnd w:id="374"/>
      <w:bookmarkStart w:id="375" w:name="_Toc184312107"/>
      <w:bookmarkEnd w:id="375"/>
      <w:bookmarkStart w:id="376" w:name="_Toc184313269"/>
      <w:bookmarkEnd w:id="376"/>
      <w:bookmarkStart w:id="377" w:name="_Toc184313295"/>
      <w:bookmarkEnd w:id="377"/>
      <w:bookmarkStart w:id="378" w:name="_Toc184312083"/>
      <w:bookmarkEnd w:id="378"/>
      <w:bookmarkStart w:id="379" w:name="_Toc184312089"/>
      <w:bookmarkEnd w:id="379"/>
      <w:bookmarkStart w:id="380" w:name="_Toc184312100"/>
      <w:bookmarkEnd w:id="380"/>
      <w:bookmarkStart w:id="381" w:name="_Toc184310336"/>
      <w:bookmarkEnd w:id="381"/>
      <w:bookmarkStart w:id="382" w:name="_Toc184308064"/>
      <w:bookmarkEnd w:id="382"/>
      <w:bookmarkStart w:id="383" w:name="_Toc184314452"/>
      <w:bookmarkEnd w:id="383"/>
      <w:bookmarkStart w:id="384" w:name="_Toc184314419"/>
      <w:bookmarkEnd w:id="384"/>
      <w:bookmarkStart w:id="385" w:name="_Toc184314424"/>
      <w:bookmarkEnd w:id="385"/>
      <w:bookmarkStart w:id="386" w:name="_Toc184308107"/>
      <w:bookmarkEnd w:id="386"/>
      <w:bookmarkStart w:id="387" w:name="_Toc184313271"/>
      <w:bookmarkEnd w:id="387"/>
      <w:bookmarkStart w:id="388" w:name="_Toc184313267"/>
      <w:bookmarkEnd w:id="388"/>
      <w:bookmarkStart w:id="389" w:name="_Toc184310340"/>
      <w:bookmarkEnd w:id="389"/>
      <w:bookmarkStart w:id="390" w:name="_Toc184312071"/>
      <w:bookmarkEnd w:id="390"/>
      <w:bookmarkStart w:id="391" w:name="_Toc184310317"/>
      <w:bookmarkEnd w:id="391"/>
      <w:bookmarkStart w:id="392" w:name="_Toc184310316"/>
      <w:bookmarkEnd w:id="392"/>
      <w:bookmarkStart w:id="393" w:name="_Toc184308073"/>
      <w:bookmarkEnd w:id="393"/>
      <w:bookmarkStart w:id="394" w:name="_Toc184313291"/>
      <w:bookmarkEnd w:id="394"/>
      <w:bookmarkStart w:id="395" w:name="_Toc184310294"/>
      <w:bookmarkEnd w:id="395"/>
      <w:bookmarkStart w:id="396" w:name="_Toc184313289"/>
      <w:bookmarkEnd w:id="396"/>
      <w:bookmarkStart w:id="397" w:name="_Toc184308094"/>
      <w:bookmarkEnd w:id="397"/>
      <w:bookmarkStart w:id="398" w:name="_Toc184313308"/>
      <w:bookmarkEnd w:id="398"/>
      <w:bookmarkStart w:id="399" w:name="_Toc184308062"/>
      <w:bookmarkEnd w:id="399"/>
      <w:r>
        <w:rPr>
          <w:rFonts w:hint="eastAsia" w:ascii="宋体" w:hAnsi="宋体" w:cs="宋体"/>
          <w:b/>
          <w:color w:val="auto"/>
          <w:sz w:val="36"/>
          <w:szCs w:val="36"/>
          <w:highlight w:val="none"/>
        </w:rPr>
        <w:t>评标办法</w:t>
      </w:r>
      <w:bookmarkEnd w:id="34"/>
    </w:p>
    <w:p w14:paraId="6F7B297D">
      <w:pPr>
        <w:pStyle w:val="2"/>
        <w:numPr>
          <w:ilvl w:val="0"/>
          <w:numId w:val="0"/>
        </w:numPr>
        <w:ind w:leftChars="0"/>
      </w:pPr>
    </w:p>
    <w:p w14:paraId="70EEBE0B">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5"/>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04"/>
        <w:gridCol w:w="7972"/>
        <w:gridCol w:w="713"/>
      </w:tblGrid>
      <w:tr w14:paraId="0DD2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03" w:type="dxa"/>
            <w:vMerge w:val="restart"/>
            <w:noWrap w:val="0"/>
            <w:vAlign w:val="top"/>
          </w:tcPr>
          <w:p w14:paraId="3B57860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171642A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5C2797E7">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11D80E1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52BA8A38">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551A8E9E">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71B1ABC7">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5369AEF3">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443E9C4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77317C5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3A718791">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p w14:paraId="38BF254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商务技术（70分）</w:t>
            </w:r>
          </w:p>
        </w:tc>
        <w:tc>
          <w:tcPr>
            <w:tcW w:w="1004" w:type="dxa"/>
            <w:noWrap w:val="0"/>
            <w:vAlign w:val="center"/>
          </w:tcPr>
          <w:p w14:paraId="4504992A">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招标需求响应</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24</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lang w:eastAsia="zh-CN"/>
              </w:rPr>
              <w:t>）</w:t>
            </w:r>
          </w:p>
        </w:tc>
        <w:tc>
          <w:tcPr>
            <w:tcW w:w="7972" w:type="dxa"/>
            <w:noWrap w:val="0"/>
            <w:vAlign w:val="center"/>
          </w:tcPr>
          <w:p w14:paraId="6F08BCCA">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评委会根据投标人对招标</w:t>
            </w:r>
            <w:r>
              <w:rPr>
                <w:rFonts w:hint="eastAsia" w:ascii="宋体" w:hAnsi="宋体" w:eastAsia="宋体" w:cs="宋体"/>
                <w:szCs w:val="21"/>
                <w:highlight w:val="none"/>
                <w:lang w:eastAsia="zh-CN"/>
              </w:rPr>
              <w:t>技术</w:t>
            </w:r>
            <w:r>
              <w:rPr>
                <w:rFonts w:hint="eastAsia" w:ascii="宋体" w:hAnsi="宋体" w:eastAsia="宋体" w:cs="宋体"/>
                <w:szCs w:val="21"/>
                <w:highlight w:val="none"/>
              </w:rPr>
              <w:t>需求响应情况打分，全部满足招标</w:t>
            </w:r>
            <w:r>
              <w:rPr>
                <w:rFonts w:hint="eastAsia" w:ascii="宋体" w:hAnsi="宋体" w:eastAsia="宋体" w:cs="宋体"/>
                <w:szCs w:val="21"/>
                <w:highlight w:val="none"/>
                <w:lang w:eastAsia="zh-CN"/>
              </w:rPr>
              <w:t>技术</w:t>
            </w:r>
            <w:r>
              <w:rPr>
                <w:rFonts w:hint="eastAsia" w:ascii="宋体" w:hAnsi="宋体" w:eastAsia="宋体" w:cs="宋体"/>
                <w:szCs w:val="21"/>
                <w:highlight w:val="none"/>
              </w:rPr>
              <w:t>需求的得</w:t>
            </w:r>
            <w:r>
              <w:rPr>
                <w:rFonts w:hint="eastAsia" w:ascii="宋体" w:hAnsi="宋体" w:cs="宋体"/>
                <w:szCs w:val="21"/>
                <w:highlight w:val="none"/>
                <w:lang w:val="en-US" w:eastAsia="zh-CN"/>
              </w:rPr>
              <w:t>24</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打</w:t>
            </w:r>
            <w:r>
              <w:rPr>
                <w:rFonts w:hint="eastAsia" w:ascii="宋体" w:hAnsi="宋体" w:eastAsia="宋体" w:cs="宋体"/>
                <w:szCs w:val="21"/>
                <w:highlight w:val="none"/>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的</w:t>
            </w:r>
            <w:r>
              <w:rPr>
                <w:rFonts w:hint="eastAsia" w:ascii="宋体" w:hAnsi="宋体" w:eastAsia="宋体" w:cs="宋体"/>
                <w:szCs w:val="21"/>
                <w:highlight w:val="none"/>
              </w:rPr>
              <w:t>每负偏离一项扣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一般条款每负</w:t>
            </w:r>
            <w:r>
              <w:rPr>
                <w:rFonts w:hint="eastAsia" w:ascii="宋体" w:hAnsi="宋体" w:eastAsia="宋体" w:cs="宋体"/>
                <w:szCs w:val="21"/>
                <w:highlight w:val="none"/>
              </w:rPr>
              <w:t>每负偏离一项扣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本项扣分分值</w:t>
            </w:r>
            <w:r>
              <w:rPr>
                <w:rFonts w:hint="eastAsia" w:ascii="宋体" w:hAnsi="宋体" w:eastAsia="宋体" w:cs="宋体"/>
                <w:szCs w:val="21"/>
                <w:highlight w:val="none"/>
                <w:lang w:eastAsia="zh-CN"/>
              </w:rPr>
              <w:t>扣完</w:t>
            </w:r>
            <w:r>
              <w:rPr>
                <w:rFonts w:hint="eastAsia" w:ascii="宋体" w:hAnsi="宋体" w:eastAsia="宋体" w:cs="宋体"/>
                <w:szCs w:val="21"/>
                <w:highlight w:val="none"/>
              </w:rPr>
              <w:t>，作无效投标处理。</w:t>
            </w:r>
          </w:p>
        </w:tc>
        <w:tc>
          <w:tcPr>
            <w:tcW w:w="713" w:type="dxa"/>
            <w:noWrap w:val="0"/>
            <w:vAlign w:val="center"/>
          </w:tcPr>
          <w:p w14:paraId="2DCB3038">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客观评审</w:t>
            </w:r>
          </w:p>
        </w:tc>
      </w:tr>
      <w:tr w14:paraId="7F00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03" w:type="dxa"/>
            <w:vMerge w:val="continue"/>
            <w:noWrap w:val="0"/>
            <w:vAlign w:val="top"/>
          </w:tcPr>
          <w:p w14:paraId="6F0517BC">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restart"/>
            <w:noWrap w:val="0"/>
            <w:vAlign w:val="center"/>
          </w:tcPr>
          <w:p w14:paraId="4EC66D29">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default" w:ascii="宋体" w:hAnsi="宋体" w:eastAsia="宋体" w:cs="宋体"/>
                <w:szCs w:val="21"/>
                <w:highlight w:val="none"/>
              </w:rPr>
              <w:t>实施方案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10分</w:t>
            </w:r>
            <w:r>
              <w:rPr>
                <w:rFonts w:hint="eastAsia" w:ascii="宋体" w:hAnsi="宋体" w:eastAsia="宋体" w:cs="宋体"/>
                <w:szCs w:val="21"/>
                <w:highlight w:val="none"/>
                <w:lang w:eastAsia="zh-CN"/>
              </w:rPr>
              <w:t>）</w:t>
            </w:r>
          </w:p>
        </w:tc>
        <w:tc>
          <w:tcPr>
            <w:tcW w:w="7972" w:type="dxa"/>
            <w:noWrap w:val="0"/>
            <w:vAlign w:val="center"/>
          </w:tcPr>
          <w:p w14:paraId="298ABA9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default" w:ascii="宋体" w:hAnsi="宋体" w:eastAsia="宋体" w:cs="宋体"/>
                <w:szCs w:val="21"/>
                <w:highlight w:val="none"/>
              </w:rPr>
              <w:t>货物供货、验货、组装就位、关键步骤的思路和要点，具有科学性、合理性、规范性和可操作性</w:t>
            </w:r>
            <w:r>
              <w:rPr>
                <w:rFonts w:hint="eastAsia" w:ascii="宋体" w:hAnsi="宋体" w:eastAsia="宋体" w:cs="宋体"/>
                <w:szCs w:val="21"/>
                <w:highlight w:val="none"/>
                <w:lang w:eastAsia="zh-CN"/>
              </w:rPr>
              <w:t>为</w:t>
            </w:r>
            <w:r>
              <w:rPr>
                <w:rFonts w:hint="eastAsia" w:ascii="宋体" w:hAnsi="宋体" w:eastAsia="宋体" w:cs="宋体"/>
                <w:szCs w:val="21"/>
                <w:highlight w:val="none"/>
                <w:lang w:val="en-US" w:eastAsia="zh-CN"/>
              </w:rPr>
              <w:t>符合要求</w:t>
            </w:r>
            <w:r>
              <w:rPr>
                <w:rFonts w:hint="eastAsia" w:ascii="宋体" w:hAnsi="宋体" w:eastAsia="宋体" w:cs="宋体"/>
                <w:szCs w:val="21"/>
                <w:highlight w:val="none"/>
              </w:rPr>
              <w:t>进行评议：</w:t>
            </w:r>
          </w:p>
          <w:p w14:paraId="0FA77A91">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完全符合得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分，大部分符合得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分，部分符合得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未提供</w:t>
            </w:r>
            <w:r>
              <w:rPr>
                <w:rFonts w:hint="eastAsia" w:ascii="宋体" w:hAnsi="宋体" w:eastAsia="宋体" w:cs="宋体"/>
                <w:szCs w:val="21"/>
                <w:highlight w:val="none"/>
              </w:rPr>
              <w:t>不得分；</w:t>
            </w:r>
          </w:p>
        </w:tc>
        <w:tc>
          <w:tcPr>
            <w:tcW w:w="713" w:type="dxa"/>
            <w:noWrap w:val="0"/>
            <w:vAlign w:val="center"/>
          </w:tcPr>
          <w:p w14:paraId="407C405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2ACF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03" w:type="dxa"/>
            <w:vMerge w:val="continue"/>
            <w:noWrap w:val="0"/>
            <w:vAlign w:val="top"/>
          </w:tcPr>
          <w:p w14:paraId="412379B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continue"/>
            <w:noWrap w:val="0"/>
            <w:vAlign w:val="center"/>
          </w:tcPr>
          <w:p w14:paraId="3E60BB46">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7972" w:type="dxa"/>
            <w:noWrap w:val="0"/>
            <w:vAlign w:val="center"/>
          </w:tcPr>
          <w:p w14:paraId="73305D7B">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eastAsia="zh-CN"/>
              </w:rPr>
            </w:pPr>
            <w:r>
              <w:rPr>
                <w:rFonts w:hint="default" w:ascii="宋体" w:hAnsi="宋体" w:eastAsia="宋体" w:cs="宋体"/>
                <w:szCs w:val="21"/>
                <w:highlight w:val="none"/>
              </w:rPr>
              <w:t>组织机构、人员配置、工作程序和步骤的描述能满足本项目要求</w:t>
            </w:r>
            <w:r>
              <w:rPr>
                <w:rFonts w:hint="eastAsia" w:ascii="宋体" w:hAnsi="宋体" w:eastAsia="宋体" w:cs="宋体"/>
                <w:szCs w:val="21"/>
                <w:highlight w:val="none"/>
              </w:rPr>
              <w:t>进行评议</w:t>
            </w:r>
            <w:r>
              <w:rPr>
                <w:rFonts w:hint="eastAsia" w:ascii="宋体" w:hAnsi="宋体" w:eastAsia="宋体" w:cs="宋体"/>
                <w:szCs w:val="21"/>
                <w:highlight w:val="none"/>
                <w:lang w:eastAsia="zh-CN"/>
              </w:rPr>
              <w:t>：</w:t>
            </w:r>
          </w:p>
          <w:p w14:paraId="36FE4F38">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rPr>
              <w:t>完全符合得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分，大部分符合得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分，部分符合得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未提供</w:t>
            </w:r>
            <w:r>
              <w:rPr>
                <w:rFonts w:hint="eastAsia" w:ascii="宋体" w:hAnsi="宋体" w:eastAsia="宋体" w:cs="宋体"/>
                <w:szCs w:val="21"/>
                <w:highlight w:val="none"/>
              </w:rPr>
              <w:t>不得分；</w:t>
            </w:r>
          </w:p>
        </w:tc>
        <w:tc>
          <w:tcPr>
            <w:tcW w:w="713" w:type="dxa"/>
            <w:noWrap w:val="0"/>
            <w:vAlign w:val="center"/>
          </w:tcPr>
          <w:p w14:paraId="41748F8D">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4B27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03" w:type="dxa"/>
            <w:vMerge w:val="continue"/>
            <w:noWrap w:val="0"/>
            <w:vAlign w:val="top"/>
          </w:tcPr>
          <w:p w14:paraId="2A53A11B">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continue"/>
            <w:noWrap w:val="0"/>
            <w:vAlign w:val="center"/>
          </w:tcPr>
          <w:p w14:paraId="60064239">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7972" w:type="dxa"/>
            <w:noWrap w:val="0"/>
            <w:vAlign w:val="center"/>
          </w:tcPr>
          <w:p w14:paraId="7EEA558D">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根据确保供货的组织措施方案（保证施工安全，文明施工主要措施、 施工场地管理计划等方案），安排是否合理，规范性和可操作性进行评议：</w:t>
            </w:r>
          </w:p>
          <w:p w14:paraId="7C7362C8">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组织实施方案的科学性、合理性、规范性和可操作性完全符合得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p w14:paraId="657E8AF7">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组织实施方案安排</w:t>
            </w:r>
            <w:r>
              <w:rPr>
                <w:rFonts w:hint="eastAsia" w:ascii="宋体" w:hAnsi="宋体" w:eastAsia="宋体" w:cs="宋体"/>
                <w:szCs w:val="21"/>
                <w:highlight w:val="none"/>
                <w:lang w:eastAsia="zh-CN"/>
              </w:rPr>
              <w:t>较</w:t>
            </w:r>
            <w:r>
              <w:rPr>
                <w:rFonts w:hint="eastAsia" w:ascii="宋体" w:hAnsi="宋体" w:eastAsia="宋体" w:cs="宋体"/>
                <w:szCs w:val="21"/>
                <w:highlight w:val="none"/>
              </w:rPr>
              <w:t>合理、</w:t>
            </w:r>
            <w:r>
              <w:rPr>
                <w:rFonts w:hint="eastAsia" w:ascii="宋体" w:hAnsi="宋体" w:eastAsia="宋体" w:cs="宋体"/>
                <w:szCs w:val="21"/>
                <w:highlight w:val="none"/>
                <w:lang w:eastAsia="zh-CN"/>
              </w:rPr>
              <w:t>较</w:t>
            </w:r>
            <w:r>
              <w:rPr>
                <w:rFonts w:hint="eastAsia" w:ascii="宋体" w:hAnsi="宋体" w:eastAsia="宋体" w:cs="宋体"/>
                <w:szCs w:val="21"/>
                <w:highlight w:val="none"/>
              </w:rPr>
              <w:t>可行、有契合度的得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7A59364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组织实施方案部分合理性</w:t>
            </w:r>
            <w:r>
              <w:rPr>
                <w:rFonts w:hint="eastAsia" w:ascii="宋体" w:hAnsi="宋体" w:eastAsia="宋体" w:cs="宋体"/>
                <w:szCs w:val="21"/>
                <w:highlight w:val="none"/>
                <w:lang w:eastAsia="zh-CN"/>
              </w:rPr>
              <w:t>、</w:t>
            </w:r>
            <w:r>
              <w:rPr>
                <w:rFonts w:hint="eastAsia" w:ascii="宋体" w:hAnsi="宋体" w:eastAsia="宋体" w:cs="宋体"/>
                <w:szCs w:val="21"/>
                <w:highlight w:val="none"/>
              </w:rPr>
              <w:t>可行</w:t>
            </w:r>
            <w:r>
              <w:rPr>
                <w:rFonts w:hint="eastAsia" w:ascii="宋体" w:hAnsi="宋体" w:eastAsia="宋体" w:cs="宋体"/>
                <w:szCs w:val="21"/>
                <w:highlight w:val="none"/>
                <w:lang w:eastAsia="zh-CN"/>
              </w:rPr>
              <w:t>的</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5BC15DDC">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组织实施方案安排不合理、存在明显问题的得</w:t>
            </w:r>
            <w:r>
              <w:rPr>
                <w:rFonts w:hint="eastAsia" w:ascii="宋体" w:hAnsi="宋体" w:eastAsia="宋体" w:cs="宋体"/>
                <w:szCs w:val="21"/>
                <w:highlight w:val="none"/>
                <w:lang w:val="en-US" w:eastAsia="zh-CN"/>
              </w:rPr>
              <w:t>1分；</w:t>
            </w:r>
          </w:p>
          <w:p w14:paraId="085CAA08">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lang w:eastAsia="zh-CN"/>
              </w:rPr>
              <w:t>未提供</w:t>
            </w:r>
            <w:r>
              <w:rPr>
                <w:rFonts w:hint="eastAsia" w:ascii="宋体" w:hAnsi="宋体" w:eastAsia="宋体" w:cs="宋体"/>
                <w:szCs w:val="21"/>
                <w:highlight w:val="none"/>
              </w:rPr>
              <w:t>不得分；</w:t>
            </w:r>
          </w:p>
        </w:tc>
        <w:tc>
          <w:tcPr>
            <w:tcW w:w="713" w:type="dxa"/>
            <w:noWrap w:val="0"/>
            <w:vAlign w:val="center"/>
          </w:tcPr>
          <w:p w14:paraId="3988AD0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13F3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03" w:type="dxa"/>
            <w:vMerge w:val="continue"/>
            <w:noWrap w:val="0"/>
            <w:vAlign w:val="top"/>
          </w:tcPr>
          <w:p w14:paraId="17261961">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noWrap w:val="0"/>
            <w:vAlign w:val="center"/>
          </w:tcPr>
          <w:p w14:paraId="239165D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r>
              <w:rPr>
                <w:rFonts w:hint="default" w:ascii="宋体" w:hAnsi="宋体" w:eastAsia="宋体" w:cs="宋体"/>
                <w:szCs w:val="21"/>
                <w:highlight w:val="none"/>
              </w:rPr>
              <w:t>进度计划</w:t>
            </w:r>
          </w:p>
          <w:p w14:paraId="04285F8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3分</w:t>
            </w:r>
            <w:r>
              <w:rPr>
                <w:rFonts w:hint="eastAsia" w:ascii="宋体" w:hAnsi="宋体" w:eastAsia="宋体" w:cs="宋体"/>
                <w:szCs w:val="21"/>
                <w:highlight w:val="none"/>
                <w:lang w:eastAsia="zh-CN"/>
              </w:rPr>
              <w:t>）</w:t>
            </w:r>
          </w:p>
        </w:tc>
        <w:tc>
          <w:tcPr>
            <w:tcW w:w="7972" w:type="dxa"/>
            <w:noWrap w:val="0"/>
            <w:vAlign w:val="center"/>
          </w:tcPr>
          <w:p w14:paraId="17163636">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lang w:eastAsia="zh-Hans"/>
              </w:rPr>
            </w:pPr>
            <w:r>
              <w:rPr>
                <w:rFonts w:hint="default" w:ascii="宋体" w:hAnsi="宋体" w:eastAsia="宋体" w:cs="宋体"/>
                <w:szCs w:val="21"/>
                <w:highlight w:val="none"/>
                <w:lang w:eastAsia="zh-Hans"/>
              </w:rPr>
              <w:t>根据供应商提供针对本项目制定的</w:t>
            </w:r>
            <w:r>
              <w:rPr>
                <w:rFonts w:hint="default" w:ascii="宋体" w:hAnsi="宋体" w:eastAsia="宋体" w:cs="宋体"/>
                <w:szCs w:val="21"/>
                <w:highlight w:val="none"/>
              </w:rPr>
              <w:t>工作时间进度表</w:t>
            </w:r>
            <w:r>
              <w:rPr>
                <w:rFonts w:hint="eastAsia" w:ascii="宋体" w:hAnsi="宋体" w:eastAsia="宋体" w:cs="宋体"/>
                <w:szCs w:val="21"/>
                <w:highlight w:val="none"/>
                <w:lang w:eastAsia="zh-CN"/>
              </w:rPr>
              <w:t>、</w:t>
            </w:r>
            <w:r>
              <w:rPr>
                <w:rFonts w:hint="default" w:ascii="宋体" w:hAnsi="宋体" w:eastAsia="宋体" w:cs="宋体"/>
                <w:szCs w:val="21"/>
                <w:highlight w:val="none"/>
                <w:lang w:eastAsia="zh-Hans"/>
              </w:rPr>
              <w:t>工期承诺和工期保证措施是否具体、详细、可行，有利于项目实施的情况，由专家进行打分。</w:t>
            </w:r>
          </w:p>
          <w:p w14:paraId="674CE66F">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lang w:eastAsia="zh-Hans"/>
              </w:rPr>
            </w:pPr>
            <w:r>
              <w:rPr>
                <w:rFonts w:hint="default" w:ascii="宋体" w:hAnsi="宋体" w:eastAsia="宋体" w:cs="宋体"/>
                <w:szCs w:val="21"/>
                <w:highlight w:val="none"/>
                <w:lang w:eastAsia="zh-Hans"/>
              </w:rPr>
              <w:t>以上内容工作思路和要点内容阐述完整且完全符合项目需求的得</w:t>
            </w:r>
            <w:r>
              <w:rPr>
                <w:rFonts w:hint="default" w:ascii="宋体" w:hAnsi="宋体" w:eastAsia="宋体" w:cs="宋体"/>
                <w:szCs w:val="21"/>
                <w:highlight w:val="none"/>
              </w:rPr>
              <w:t>3</w:t>
            </w:r>
            <w:r>
              <w:rPr>
                <w:rFonts w:hint="default" w:ascii="宋体" w:hAnsi="宋体" w:eastAsia="宋体" w:cs="宋体"/>
                <w:szCs w:val="21"/>
                <w:highlight w:val="none"/>
                <w:lang w:eastAsia="zh-Hans"/>
              </w:rPr>
              <w:t>分；</w:t>
            </w:r>
          </w:p>
          <w:p w14:paraId="3AF58ED7">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lang w:eastAsia="zh-Hans"/>
              </w:rPr>
            </w:pPr>
            <w:r>
              <w:rPr>
                <w:rFonts w:hint="default" w:ascii="宋体" w:hAnsi="宋体" w:eastAsia="宋体" w:cs="宋体"/>
                <w:szCs w:val="21"/>
                <w:highlight w:val="none"/>
                <w:lang w:eastAsia="zh-Hans"/>
              </w:rPr>
              <w:t>内容较完整、基本符合项目需求的得</w:t>
            </w:r>
            <w:r>
              <w:rPr>
                <w:rFonts w:hint="default" w:ascii="宋体" w:hAnsi="宋体" w:eastAsia="宋体" w:cs="宋体"/>
                <w:szCs w:val="21"/>
                <w:highlight w:val="none"/>
              </w:rPr>
              <w:t>2</w:t>
            </w:r>
            <w:r>
              <w:rPr>
                <w:rFonts w:hint="default" w:ascii="宋体" w:hAnsi="宋体" w:eastAsia="宋体" w:cs="宋体"/>
                <w:szCs w:val="21"/>
                <w:highlight w:val="none"/>
                <w:lang w:eastAsia="zh-Hans"/>
              </w:rPr>
              <w:t>分；</w:t>
            </w:r>
          </w:p>
          <w:p w14:paraId="76C1ED81">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lang w:eastAsia="zh-Hans"/>
              </w:rPr>
            </w:pPr>
            <w:r>
              <w:rPr>
                <w:rFonts w:hint="default" w:ascii="宋体" w:hAnsi="宋体" w:eastAsia="宋体" w:cs="宋体"/>
                <w:szCs w:val="21"/>
                <w:highlight w:val="none"/>
                <w:lang w:eastAsia="zh-Hans"/>
              </w:rPr>
              <w:t>阐述粗略、缺陷较多、与采购需求有出入的得</w:t>
            </w:r>
            <w:r>
              <w:rPr>
                <w:rFonts w:hint="default" w:ascii="宋体" w:hAnsi="宋体" w:eastAsia="宋体" w:cs="宋体"/>
                <w:szCs w:val="21"/>
                <w:highlight w:val="none"/>
              </w:rPr>
              <w:t>1</w:t>
            </w:r>
            <w:r>
              <w:rPr>
                <w:rFonts w:hint="default" w:ascii="宋体" w:hAnsi="宋体" w:eastAsia="宋体" w:cs="宋体"/>
                <w:szCs w:val="21"/>
                <w:highlight w:val="none"/>
                <w:lang w:eastAsia="zh-Hans"/>
              </w:rPr>
              <w:t>分；</w:t>
            </w:r>
          </w:p>
          <w:p w14:paraId="6F08C4A8">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eastAsia="zh-CN"/>
              </w:rPr>
            </w:pPr>
            <w:r>
              <w:rPr>
                <w:rFonts w:hint="default" w:ascii="宋体" w:hAnsi="宋体" w:eastAsia="宋体" w:cs="宋体"/>
                <w:szCs w:val="21"/>
                <w:highlight w:val="none"/>
                <w:lang w:eastAsia="zh-Hans"/>
              </w:rPr>
              <w:t>未提供相关阐述或不符合项目需求的不得分。</w:t>
            </w:r>
          </w:p>
        </w:tc>
        <w:tc>
          <w:tcPr>
            <w:tcW w:w="713" w:type="dxa"/>
            <w:noWrap w:val="0"/>
            <w:vAlign w:val="center"/>
          </w:tcPr>
          <w:p w14:paraId="0086433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主观评审</w:t>
            </w:r>
          </w:p>
        </w:tc>
      </w:tr>
      <w:tr w14:paraId="68A8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03" w:type="dxa"/>
            <w:vMerge w:val="continue"/>
            <w:noWrap w:val="0"/>
            <w:vAlign w:val="top"/>
          </w:tcPr>
          <w:p w14:paraId="1BC20E5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restart"/>
            <w:noWrap w:val="0"/>
            <w:vAlign w:val="center"/>
          </w:tcPr>
          <w:p w14:paraId="4406004B">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售后服务方案及服务承诺</w:t>
            </w:r>
          </w:p>
          <w:p w14:paraId="47C16499">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12分</w:t>
            </w:r>
            <w:r>
              <w:rPr>
                <w:rFonts w:hint="eastAsia" w:ascii="宋体" w:hAnsi="宋体" w:eastAsia="宋体" w:cs="宋体"/>
                <w:szCs w:val="21"/>
                <w:highlight w:val="none"/>
                <w:lang w:eastAsia="zh-CN"/>
              </w:rPr>
              <w:t>）</w:t>
            </w:r>
          </w:p>
        </w:tc>
        <w:tc>
          <w:tcPr>
            <w:tcW w:w="7972" w:type="dxa"/>
            <w:noWrap w:val="0"/>
            <w:vAlign w:val="center"/>
          </w:tcPr>
          <w:p w14:paraId="4635B20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评委会根据</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设有</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售后服务机构的</w:t>
            </w:r>
            <w:r>
              <w:rPr>
                <w:rFonts w:hint="eastAsia" w:ascii="宋体" w:hAnsi="宋体" w:eastAsia="宋体" w:cs="宋体"/>
                <w:szCs w:val="21"/>
                <w:highlight w:val="none"/>
                <w:lang w:val="en-US" w:eastAsia="zh-CN"/>
              </w:rPr>
              <w:t>便捷性、售后响应速度等进行综合评议，</w:t>
            </w:r>
            <w:r>
              <w:rPr>
                <w:rFonts w:hint="eastAsia" w:ascii="宋体" w:hAnsi="宋体" w:eastAsia="宋体" w:cs="宋体"/>
                <w:szCs w:val="21"/>
                <w:highlight w:val="none"/>
              </w:rPr>
              <w:t>最高</w:t>
            </w:r>
            <w:r>
              <w:rPr>
                <w:rFonts w:hint="eastAsia" w:ascii="宋体" w:hAnsi="宋体" w:eastAsia="宋体" w:cs="宋体"/>
                <w:szCs w:val="21"/>
                <w:highlight w:val="none"/>
                <w:lang w:val="en-US" w:eastAsia="zh-CN"/>
              </w:rPr>
              <w:t>3分。</w:t>
            </w:r>
          </w:p>
          <w:p w14:paraId="50B13E06">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服务机构的便捷性、售后响应速度，到达现场时间：</w:t>
            </w:r>
          </w:p>
          <w:p w14:paraId="0E0EF960">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①承诺在30分钟内响应并在2小时内到达项目现场的得3分；</w:t>
            </w:r>
          </w:p>
          <w:p w14:paraId="0A101C97">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②在45小时内响应并在3小时内到达现场的得2分；</w:t>
            </w:r>
          </w:p>
          <w:p w14:paraId="6616FCD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③在1小时内响应并在4小时内到达现场的得1分；</w:t>
            </w:r>
          </w:p>
          <w:p w14:paraId="7E88184D">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未提供相关内容不得分</w:t>
            </w:r>
          </w:p>
        </w:tc>
        <w:tc>
          <w:tcPr>
            <w:tcW w:w="713" w:type="dxa"/>
            <w:noWrap w:val="0"/>
            <w:vAlign w:val="center"/>
          </w:tcPr>
          <w:p w14:paraId="64870D9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客观评审</w:t>
            </w:r>
          </w:p>
        </w:tc>
      </w:tr>
      <w:tr w14:paraId="11AD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03" w:type="dxa"/>
            <w:vMerge w:val="continue"/>
            <w:noWrap w:val="0"/>
            <w:vAlign w:val="top"/>
          </w:tcPr>
          <w:p w14:paraId="5A79D49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continue"/>
            <w:noWrap w:val="0"/>
            <w:vAlign w:val="center"/>
          </w:tcPr>
          <w:p w14:paraId="6807E473">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7972" w:type="dxa"/>
            <w:noWrap w:val="0"/>
            <w:vAlign w:val="center"/>
          </w:tcPr>
          <w:p w14:paraId="4113C095">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eastAsia="zh-CN"/>
              </w:rPr>
            </w:pPr>
            <w:r>
              <w:rPr>
                <w:rFonts w:hint="eastAsia" w:ascii="宋体" w:hAnsi="宋体" w:eastAsia="宋体" w:cs="宋体"/>
                <w:szCs w:val="21"/>
                <w:highlight w:val="none"/>
              </w:rPr>
              <w:t>评委会根据</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提供的技术服务承诺</w:t>
            </w:r>
            <w:r>
              <w:rPr>
                <w:rFonts w:hint="eastAsia" w:ascii="宋体" w:hAnsi="宋体" w:eastAsia="宋体" w:cs="宋体"/>
                <w:szCs w:val="21"/>
                <w:highlight w:val="none"/>
                <w:lang w:eastAsia="zh-CN"/>
              </w:rPr>
              <w:t>（质保期外售后方案）；</w:t>
            </w:r>
            <w:r>
              <w:rPr>
                <w:rFonts w:hint="eastAsia" w:ascii="宋体" w:hAnsi="宋体" w:eastAsia="宋体" w:cs="宋体"/>
                <w:szCs w:val="21"/>
                <w:highlight w:val="none"/>
              </w:rPr>
              <w:t>最高</w:t>
            </w:r>
            <w:r>
              <w:rPr>
                <w:rFonts w:hint="eastAsia" w:ascii="宋体" w:hAnsi="宋体" w:eastAsia="宋体" w:cs="宋体"/>
                <w:szCs w:val="21"/>
                <w:highlight w:val="none"/>
                <w:lang w:val="en-US" w:eastAsia="zh-CN"/>
              </w:rPr>
              <w:t>3分</w:t>
            </w:r>
          </w:p>
          <w:p w14:paraId="037C8EC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技术服务承诺等</w:t>
            </w:r>
            <w:r>
              <w:rPr>
                <w:rFonts w:hint="eastAsia" w:ascii="宋体" w:hAnsi="宋体" w:eastAsia="宋体" w:cs="宋体"/>
                <w:szCs w:val="21"/>
                <w:highlight w:val="none"/>
                <w:lang w:val="en-US" w:eastAsia="zh-CN"/>
              </w:rPr>
              <w:t>内容详实，逻辑清晰，符合项目实际情况，切实可行的</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28403171">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rPr>
              <w:t>技术服务承诺等</w:t>
            </w:r>
            <w:r>
              <w:rPr>
                <w:rFonts w:hint="eastAsia" w:ascii="宋体" w:hAnsi="宋体" w:eastAsia="宋体" w:cs="宋体"/>
                <w:szCs w:val="21"/>
                <w:highlight w:val="none"/>
                <w:lang w:eastAsia="zh-CN"/>
              </w:rPr>
              <w:t>内容较</w:t>
            </w:r>
            <w:r>
              <w:rPr>
                <w:rFonts w:hint="eastAsia" w:ascii="宋体" w:hAnsi="宋体" w:eastAsia="宋体" w:cs="宋体"/>
                <w:szCs w:val="21"/>
                <w:highlight w:val="none"/>
              </w:rPr>
              <w:t>合理、</w:t>
            </w:r>
            <w:r>
              <w:rPr>
                <w:rFonts w:hint="eastAsia" w:ascii="宋体" w:hAnsi="宋体" w:eastAsia="宋体" w:cs="宋体"/>
                <w:szCs w:val="21"/>
                <w:highlight w:val="none"/>
                <w:lang w:eastAsia="zh-CN"/>
              </w:rPr>
              <w:t>较</w:t>
            </w:r>
            <w:r>
              <w:rPr>
                <w:rFonts w:hint="eastAsia" w:ascii="宋体" w:hAnsi="宋体" w:eastAsia="宋体" w:cs="宋体"/>
                <w:szCs w:val="21"/>
                <w:highlight w:val="none"/>
              </w:rPr>
              <w:t>可行、有契合度的得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63BECBED">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技术服务承诺等技术服务承诺等部分符合</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存在明显问题的得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w:t>
            </w:r>
          </w:p>
          <w:p w14:paraId="2B4E9D44">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lang w:eastAsia="zh-CN"/>
              </w:rPr>
              <w:t>未提供</w:t>
            </w:r>
            <w:r>
              <w:rPr>
                <w:rFonts w:hint="eastAsia" w:ascii="宋体" w:hAnsi="宋体" w:eastAsia="宋体" w:cs="宋体"/>
                <w:szCs w:val="21"/>
                <w:highlight w:val="none"/>
              </w:rPr>
              <w:t>不得分；</w:t>
            </w:r>
          </w:p>
        </w:tc>
        <w:tc>
          <w:tcPr>
            <w:tcW w:w="713" w:type="dxa"/>
            <w:noWrap w:val="0"/>
            <w:vAlign w:val="center"/>
          </w:tcPr>
          <w:p w14:paraId="446D808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7773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03" w:type="dxa"/>
            <w:vMerge w:val="continue"/>
            <w:noWrap w:val="0"/>
            <w:vAlign w:val="top"/>
          </w:tcPr>
          <w:p w14:paraId="6873149D">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continue"/>
            <w:noWrap w:val="0"/>
            <w:vAlign w:val="center"/>
          </w:tcPr>
          <w:p w14:paraId="6935AE1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7972" w:type="dxa"/>
            <w:noWrap w:val="0"/>
            <w:vAlign w:val="center"/>
          </w:tcPr>
          <w:p w14:paraId="015D6FA8">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根据供应商对本项目的培训方案（包括培训时间、培训人员、培训内容）；</w:t>
            </w:r>
            <w:r>
              <w:rPr>
                <w:rFonts w:hint="eastAsia" w:ascii="宋体" w:hAnsi="宋体" w:eastAsia="宋体" w:cs="宋体"/>
                <w:szCs w:val="21"/>
                <w:highlight w:val="none"/>
              </w:rPr>
              <w:t>最高</w:t>
            </w:r>
            <w:r>
              <w:rPr>
                <w:rFonts w:hint="eastAsia" w:ascii="宋体" w:hAnsi="宋体" w:eastAsia="宋体" w:cs="宋体"/>
                <w:szCs w:val="21"/>
                <w:highlight w:val="none"/>
                <w:lang w:val="en-US" w:eastAsia="zh-CN"/>
              </w:rPr>
              <w:t>3分</w:t>
            </w:r>
          </w:p>
          <w:p w14:paraId="49F457A9">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培训方案内容详细完整，能快速有效的协助</w:t>
            </w:r>
            <w:r>
              <w:rPr>
                <w:rFonts w:hint="eastAsia" w:ascii="宋体" w:hAnsi="宋体" w:eastAsia="宋体" w:cs="宋体"/>
                <w:szCs w:val="21"/>
                <w:highlight w:val="none"/>
                <w:lang w:eastAsia="zh-CN"/>
              </w:rPr>
              <w:t>业主</w:t>
            </w:r>
            <w:r>
              <w:rPr>
                <w:rFonts w:hint="eastAsia" w:ascii="宋体" w:hAnsi="宋体" w:eastAsia="宋体" w:cs="宋体"/>
                <w:szCs w:val="21"/>
                <w:highlight w:val="none"/>
              </w:rPr>
              <w:t xml:space="preserve">掌握产品特性的得3分； </w:t>
            </w:r>
          </w:p>
          <w:p w14:paraId="3521C5C4">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培训方案内容较详细完整，预计效果能满足</w:t>
            </w:r>
            <w:r>
              <w:rPr>
                <w:rFonts w:hint="eastAsia" w:ascii="宋体" w:hAnsi="宋体" w:eastAsia="宋体" w:cs="宋体"/>
                <w:szCs w:val="21"/>
                <w:highlight w:val="none"/>
                <w:lang w:eastAsia="zh-CN"/>
              </w:rPr>
              <w:t>业主</w:t>
            </w:r>
            <w:r>
              <w:rPr>
                <w:rFonts w:hint="eastAsia" w:ascii="宋体" w:hAnsi="宋体" w:eastAsia="宋体" w:cs="宋体"/>
                <w:szCs w:val="21"/>
                <w:highlight w:val="none"/>
              </w:rPr>
              <w:t xml:space="preserve">基本使用需求的得2分； </w:t>
            </w:r>
          </w:p>
          <w:p w14:paraId="230341B4">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培训方案内容简单，预计效果不能满足</w:t>
            </w:r>
            <w:r>
              <w:rPr>
                <w:rFonts w:hint="eastAsia" w:ascii="宋体" w:hAnsi="宋体" w:eastAsia="宋体" w:cs="宋体"/>
                <w:szCs w:val="21"/>
                <w:highlight w:val="none"/>
                <w:lang w:eastAsia="zh-CN"/>
              </w:rPr>
              <w:t>业主</w:t>
            </w:r>
            <w:r>
              <w:rPr>
                <w:rFonts w:hint="eastAsia" w:ascii="宋体" w:hAnsi="宋体" w:eastAsia="宋体" w:cs="宋体"/>
                <w:szCs w:val="21"/>
                <w:highlight w:val="none"/>
              </w:rPr>
              <w:t xml:space="preserve">使用需求的得1分； </w:t>
            </w:r>
          </w:p>
          <w:p w14:paraId="05B94A91">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未提供不得分。</w:t>
            </w:r>
          </w:p>
        </w:tc>
        <w:tc>
          <w:tcPr>
            <w:tcW w:w="713" w:type="dxa"/>
            <w:noWrap w:val="0"/>
            <w:vAlign w:val="center"/>
          </w:tcPr>
          <w:p w14:paraId="1E1C058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740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03" w:type="dxa"/>
            <w:vMerge w:val="continue"/>
            <w:noWrap w:val="0"/>
            <w:vAlign w:val="top"/>
          </w:tcPr>
          <w:p w14:paraId="371E8F13">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vMerge w:val="continue"/>
            <w:noWrap w:val="0"/>
            <w:vAlign w:val="center"/>
          </w:tcPr>
          <w:p w14:paraId="1974F17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7972" w:type="dxa"/>
            <w:noWrap w:val="0"/>
            <w:vAlign w:val="center"/>
          </w:tcPr>
          <w:p w14:paraId="16769CEE">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售后服务人员配置及管理团队情况：根据投标人是否专设售后服务团队、团队实力强弱等综合评分。综合实力强得3分，实力较强得2分，一般得1分。</w:t>
            </w:r>
          </w:p>
        </w:tc>
        <w:tc>
          <w:tcPr>
            <w:tcW w:w="713" w:type="dxa"/>
            <w:noWrap w:val="0"/>
            <w:vAlign w:val="center"/>
          </w:tcPr>
          <w:p w14:paraId="50CD186D">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主观评审</w:t>
            </w:r>
          </w:p>
        </w:tc>
      </w:tr>
      <w:tr w14:paraId="48D6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03" w:type="dxa"/>
            <w:vMerge w:val="continue"/>
            <w:noWrap w:val="0"/>
            <w:vAlign w:val="top"/>
          </w:tcPr>
          <w:p w14:paraId="44C9B0D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c>
          <w:tcPr>
            <w:tcW w:w="1004" w:type="dxa"/>
            <w:noWrap w:val="0"/>
            <w:vAlign w:val="center"/>
          </w:tcPr>
          <w:p w14:paraId="28EF92A8">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质保</w:t>
            </w:r>
          </w:p>
          <w:p w14:paraId="739D9A5E">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2分</w:t>
            </w:r>
            <w:r>
              <w:rPr>
                <w:rFonts w:hint="eastAsia" w:ascii="宋体" w:hAnsi="宋体" w:eastAsia="宋体" w:cs="宋体"/>
                <w:szCs w:val="21"/>
                <w:highlight w:val="none"/>
                <w:lang w:eastAsia="zh-CN"/>
              </w:rPr>
              <w:t>）</w:t>
            </w:r>
          </w:p>
        </w:tc>
        <w:tc>
          <w:tcPr>
            <w:tcW w:w="7972" w:type="dxa"/>
            <w:noWrap w:val="0"/>
            <w:vAlign w:val="center"/>
          </w:tcPr>
          <w:p w14:paraId="7B0F983C">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质保：满足招标人基本要求（</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年）的不得分，在此基础上每增加1年得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分，本项最多得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tc>
        <w:tc>
          <w:tcPr>
            <w:tcW w:w="713" w:type="dxa"/>
            <w:noWrap w:val="0"/>
            <w:vAlign w:val="center"/>
          </w:tcPr>
          <w:p w14:paraId="0BF458EF">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客观评审</w:t>
            </w:r>
          </w:p>
        </w:tc>
      </w:tr>
      <w:tr w14:paraId="4498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03" w:type="dxa"/>
            <w:vMerge w:val="continue"/>
            <w:noWrap w:val="0"/>
            <w:vAlign w:val="top"/>
          </w:tcPr>
          <w:p w14:paraId="6608E22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tc>
        <w:tc>
          <w:tcPr>
            <w:tcW w:w="1004" w:type="dxa"/>
            <w:noWrap w:val="0"/>
            <w:vAlign w:val="center"/>
          </w:tcPr>
          <w:p w14:paraId="46EE129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业绩</w:t>
            </w:r>
          </w:p>
          <w:p w14:paraId="2E4C68C7">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3分</w:t>
            </w:r>
            <w:r>
              <w:rPr>
                <w:rFonts w:hint="eastAsia" w:ascii="宋体" w:hAnsi="宋体" w:eastAsia="宋体" w:cs="宋体"/>
                <w:szCs w:val="21"/>
                <w:highlight w:val="none"/>
                <w:lang w:eastAsia="zh-CN"/>
              </w:rPr>
              <w:t>）</w:t>
            </w:r>
          </w:p>
        </w:tc>
        <w:tc>
          <w:tcPr>
            <w:tcW w:w="7972" w:type="dxa"/>
            <w:noWrap w:val="0"/>
            <w:vAlign w:val="center"/>
          </w:tcPr>
          <w:p w14:paraId="635D0DD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自</w:t>
            </w:r>
            <w:r>
              <w:rPr>
                <w:rFonts w:hint="eastAsia" w:ascii="宋体" w:hAnsi="宋体" w:eastAsia="宋体" w:cs="宋体"/>
                <w:szCs w:val="21"/>
                <w:highlight w:val="none"/>
                <w:lang w:val="en-US" w:eastAsia="zh-CN"/>
              </w:rPr>
              <w:t>2022</w:t>
            </w:r>
            <w:r>
              <w:rPr>
                <w:rFonts w:hint="eastAsia" w:ascii="宋体" w:hAnsi="宋体" w:eastAsia="宋体" w:cs="宋体"/>
                <w:szCs w:val="21"/>
                <w:highlight w:val="none"/>
              </w:rPr>
              <w:t>年1月1日（以签订合同日期为准）至今，投标人具有厨房设备采购和安装项目的成功案例，每提供1个得1分，最高得3分。</w:t>
            </w:r>
          </w:p>
          <w:p w14:paraId="615F3C6A">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rPr>
              <w:t>注：响应文件中须提供中标通知书复印件或合同复印件加盖公章编入</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文件中。</w:t>
            </w:r>
          </w:p>
        </w:tc>
        <w:tc>
          <w:tcPr>
            <w:tcW w:w="713" w:type="dxa"/>
            <w:noWrap w:val="0"/>
            <w:vAlign w:val="center"/>
          </w:tcPr>
          <w:p w14:paraId="19CD2683">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客观评审</w:t>
            </w:r>
          </w:p>
        </w:tc>
      </w:tr>
      <w:tr w14:paraId="102B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Merge w:val="continue"/>
            <w:noWrap w:val="0"/>
            <w:vAlign w:val="top"/>
          </w:tcPr>
          <w:p w14:paraId="1F5324E5">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tc>
        <w:tc>
          <w:tcPr>
            <w:tcW w:w="1004" w:type="dxa"/>
            <w:vMerge w:val="restart"/>
            <w:noWrap w:val="0"/>
            <w:vAlign w:val="center"/>
          </w:tcPr>
          <w:p w14:paraId="2599430A">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样品</w:t>
            </w:r>
          </w:p>
          <w:p w14:paraId="64B4411E">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（15分）</w:t>
            </w:r>
          </w:p>
        </w:tc>
        <w:tc>
          <w:tcPr>
            <w:tcW w:w="7972" w:type="dxa"/>
            <w:noWrap w:val="0"/>
            <w:vAlign w:val="center"/>
          </w:tcPr>
          <w:p w14:paraId="4D5856FD">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样品外观（4分）：</w:t>
            </w:r>
          </w:p>
          <w:p w14:paraId="6F48AD26">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（1）外观尺寸是否符合采购文件要求且设计美观进行评议（最高2分）</w:t>
            </w:r>
          </w:p>
          <w:p w14:paraId="7D4DBF6E">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（2）表面及层板无划痕、锤印、烧痕、尖角、毛刺、刃口、波纹状缺陷情况进行评议（最高2分）</w:t>
            </w:r>
          </w:p>
        </w:tc>
        <w:tc>
          <w:tcPr>
            <w:tcW w:w="713" w:type="dxa"/>
            <w:noWrap w:val="0"/>
            <w:vAlign w:val="center"/>
          </w:tcPr>
          <w:p w14:paraId="1E95649D">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0999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3" w:type="dxa"/>
            <w:vMerge w:val="continue"/>
            <w:noWrap w:val="0"/>
            <w:vAlign w:val="top"/>
          </w:tcPr>
          <w:p w14:paraId="3535346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tc>
        <w:tc>
          <w:tcPr>
            <w:tcW w:w="1004" w:type="dxa"/>
            <w:vMerge w:val="continue"/>
            <w:noWrap w:val="0"/>
            <w:vAlign w:val="center"/>
          </w:tcPr>
          <w:p w14:paraId="2F1F2587">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p>
        </w:tc>
        <w:tc>
          <w:tcPr>
            <w:tcW w:w="7972" w:type="dxa"/>
            <w:noWrap w:val="0"/>
            <w:vAlign w:val="center"/>
          </w:tcPr>
          <w:p w14:paraId="05EE29DF">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焊接工艺（4分）：</w:t>
            </w:r>
          </w:p>
          <w:p w14:paraId="5A3A3309">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样品的工艺，部件是否紧密拼接、</w:t>
            </w:r>
            <w:r>
              <w:rPr>
                <w:rFonts w:hint="eastAsia" w:ascii="宋体" w:hAnsi="宋体" w:eastAsia="宋体" w:cs="宋体"/>
                <w:szCs w:val="21"/>
                <w:highlight w:val="none"/>
              </w:rPr>
              <w:t>焊接牢固，无虚焊、焊透、裂纹等缺陷进行评议（最高2分）；</w:t>
            </w:r>
          </w:p>
          <w:p w14:paraId="123A5656">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（2）焊缝处进行抛光处理的工艺进行评议（最高2分）。</w:t>
            </w:r>
          </w:p>
        </w:tc>
        <w:tc>
          <w:tcPr>
            <w:tcW w:w="713" w:type="dxa"/>
            <w:noWrap w:val="0"/>
            <w:vAlign w:val="center"/>
          </w:tcPr>
          <w:p w14:paraId="02CDED1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0A38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03" w:type="dxa"/>
            <w:vMerge w:val="continue"/>
            <w:noWrap w:val="0"/>
            <w:vAlign w:val="top"/>
          </w:tcPr>
          <w:p w14:paraId="0153E715">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tc>
        <w:tc>
          <w:tcPr>
            <w:tcW w:w="1004" w:type="dxa"/>
            <w:vMerge w:val="continue"/>
            <w:noWrap w:val="0"/>
            <w:vAlign w:val="center"/>
          </w:tcPr>
          <w:p w14:paraId="42D20E38">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p>
        </w:tc>
        <w:tc>
          <w:tcPr>
            <w:tcW w:w="7972" w:type="dxa"/>
            <w:noWrap w:val="0"/>
            <w:vAlign w:val="center"/>
          </w:tcPr>
          <w:p w14:paraId="2E6DAEC0">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材质、配件质量（4分）：</w:t>
            </w:r>
          </w:p>
          <w:p w14:paraId="7EF80537">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（1）根据</w:t>
            </w:r>
            <w:r>
              <w:rPr>
                <w:rFonts w:hint="eastAsia" w:ascii="宋体" w:hAnsi="宋体" w:cs="宋体"/>
                <w:szCs w:val="21"/>
                <w:highlight w:val="none"/>
                <w:lang w:val="en-US" w:eastAsia="zh-CN"/>
              </w:rPr>
              <w:t>提供的样品材质是否符合采购文件要求， 结实、耐用、环保</w:t>
            </w:r>
            <w:r>
              <w:rPr>
                <w:rFonts w:hint="eastAsia" w:ascii="宋体" w:hAnsi="宋体" w:eastAsia="宋体" w:cs="宋体"/>
                <w:szCs w:val="21"/>
                <w:highlight w:val="none"/>
              </w:rPr>
              <w:t>（最高2分）</w:t>
            </w:r>
          </w:p>
          <w:p w14:paraId="7A0C4DCD">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（2）配件质量、规格、品质进行评议</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各种配件结合处无崩茬或松动。是否无少件、 漏钉、透钉，安装、扎实程度等</w:t>
            </w:r>
            <w:r>
              <w:rPr>
                <w:rFonts w:hint="eastAsia" w:ascii="宋体" w:hAnsi="宋体" w:eastAsia="宋体" w:cs="宋体"/>
                <w:szCs w:val="21"/>
                <w:highlight w:val="none"/>
                <w:lang w:eastAsia="zh-CN"/>
              </w:rPr>
              <w:t>）</w:t>
            </w:r>
            <w:r>
              <w:rPr>
                <w:rFonts w:hint="eastAsia" w:ascii="宋体" w:hAnsi="宋体" w:eastAsia="宋体" w:cs="宋体"/>
                <w:szCs w:val="21"/>
                <w:highlight w:val="none"/>
              </w:rPr>
              <w:t>（最高2分）。</w:t>
            </w:r>
          </w:p>
        </w:tc>
        <w:tc>
          <w:tcPr>
            <w:tcW w:w="713" w:type="dxa"/>
            <w:noWrap w:val="0"/>
            <w:vAlign w:val="center"/>
          </w:tcPr>
          <w:p w14:paraId="16B2425D">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3669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3" w:type="dxa"/>
            <w:vMerge w:val="continue"/>
            <w:noWrap w:val="0"/>
            <w:vAlign w:val="top"/>
          </w:tcPr>
          <w:p w14:paraId="243945D2">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tc>
        <w:tc>
          <w:tcPr>
            <w:tcW w:w="1004" w:type="dxa"/>
            <w:vMerge w:val="continue"/>
            <w:noWrap w:val="0"/>
            <w:vAlign w:val="center"/>
          </w:tcPr>
          <w:p w14:paraId="078A740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p>
        </w:tc>
        <w:tc>
          <w:tcPr>
            <w:tcW w:w="7972" w:type="dxa"/>
            <w:noWrap w:val="0"/>
            <w:vAlign w:val="center"/>
          </w:tcPr>
          <w:p w14:paraId="30D51C61">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样品功能（3分）：</w:t>
            </w:r>
          </w:p>
          <w:p w14:paraId="72F17F75">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样品功能设计合理、使用方便得3分；使用不方便，设计不合理不符合采购文件要求或存在缺陷的每项扣1分。</w:t>
            </w:r>
          </w:p>
        </w:tc>
        <w:tc>
          <w:tcPr>
            <w:tcW w:w="713" w:type="dxa"/>
            <w:noWrap w:val="0"/>
            <w:vAlign w:val="center"/>
          </w:tcPr>
          <w:p w14:paraId="3929BC2F">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主观评审</w:t>
            </w:r>
          </w:p>
        </w:tc>
      </w:tr>
      <w:tr w14:paraId="7342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03" w:type="dxa"/>
            <w:vMerge w:val="continue"/>
            <w:noWrap w:val="0"/>
            <w:vAlign w:val="top"/>
          </w:tcPr>
          <w:p w14:paraId="5822D9F1">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tc>
        <w:tc>
          <w:tcPr>
            <w:tcW w:w="1004" w:type="dxa"/>
            <w:noWrap w:val="0"/>
            <w:vAlign w:val="center"/>
          </w:tcPr>
          <w:p w14:paraId="4935CC6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政策性因素加分</w:t>
            </w:r>
            <w:r>
              <w:rPr>
                <w:rFonts w:hint="eastAsia" w:ascii="宋体" w:hAnsi="宋体" w:eastAsia="宋体" w:cs="宋体"/>
                <w:szCs w:val="21"/>
                <w:highlight w:val="none"/>
                <w:lang w:val="en-US" w:eastAsia="zh-CN"/>
              </w:rPr>
              <w:t>(1分)</w:t>
            </w:r>
          </w:p>
        </w:tc>
        <w:tc>
          <w:tcPr>
            <w:tcW w:w="7972" w:type="dxa"/>
            <w:noWrap w:val="0"/>
            <w:vAlign w:val="center"/>
          </w:tcPr>
          <w:p w14:paraId="4F1A4937">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政策性因素加分（节能环保产品）（1分）：</w:t>
            </w:r>
          </w:p>
          <w:p w14:paraId="5590D493">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rPr>
              <w:t>投标产品属于《节能产品政府采购品目清单》范围的且具有国家确定的认证机构出具的、处于有效期之内的节能产品认证证书的得0.5分；</w:t>
            </w:r>
          </w:p>
          <w:p w14:paraId="5D6CB6CC">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投标产品属于《环境标志产品政府采购品目清单》范围的且具有国家确定的认证机构出具的、处于有效期之内的环境标志产品认证证书的得0.5分。</w:t>
            </w:r>
          </w:p>
        </w:tc>
        <w:tc>
          <w:tcPr>
            <w:tcW w:w="713" w:type="dxa"/>
            <w:noWrap w:val="0"/>
            <w:vAlign w:val="center"/>
          </w:tcPr>
          <w:p w14:paraId="3B8DE9BB">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客观评审</w:t>
            </w:r>
          </w:p>
        </w:tc>
      </w:tr>
      <w:tr w14:paraId="6912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noWrap w:val="0"/>
            <w:vAlign w:val="top"/>
          </w:tcPr>
          <w:p w14:paraId="416FC859">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p>
          <w:p w14:paraId="5719880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r>
              <w:rPr>
                <w:rFonts w:hint="default" w:ascii="宋体" w:hAnsi="宋体" w:eastAsia="宋体" w:cs="宋体"/>
                <w:szCs w:val="21"/>
                <w:highlight w:val="none"/>
              </w:rPr>
              <w:t>价格分</w:t>
            </w:r>
          </w:p>
          <w:p w14:paraId="45865911">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rPr>
            </w:pPr>
            <w:r>
              <w:rPr>
                <w:rFonts w:hint="eastAsia" w:ascii="宋体" w:hAnsi="宋体" w:eastAsia="宋体" w:cs="宋体"/>
                <w:szCs w:val="21"/>
                <w:highlight w:val="none"/>
              </w:rPr>
              <w:t>(30</w:t>
            </w:r>
            <w:r>
              <w:rPr>
                <w:rFonts w:hint="default" w:ascii="宋体" w:hAnsi="宋体" w:eastAsia="宋体" w:cs="宋体"/>
                <w:szCs w:val="21"/>
                <w:highlight w:val="none"/>
              </w:rPr>
              <w:t>分</w:t>
            </w:r>
            <w:r>
              <w:rPr>
                <w:rFonts w:hint="eastAsia" w:ascii="宋体" w:hAnsi="宋体" w:eastAsia="宋体" w:cs="宋体"/>
                <w:szCs w:val="21"/>
                <w:highlight w:val="none"/>
              </w:rPr>
              <w:t>)</w:t>
            </w:r>
          </w:p>
        </w:tc>
        <w:tc>
          <w:tcPr>
            <w:tcW w:w="8976" w:type="dxa"/>
            <w:gridSpan w:val="2"/>
            <w:noWrap w:val="0"/>
            <w:vAlign w:val="center"/>
          </w:tcPr>
          <w:p w14:paraId="0C68D307">
            <w:pPr>
              <w:keepNext w:val="0"/>
              <w:keepLines w:val="0"/>
              <w:suppressLineNumbers w:val="0"/>
              <w:spacing w:before="0" w:beforeAutospacing="0" w:after="0" w:afterAutospacing="0" w:line="360" w:lineRule="exact"/>
              <w:ind w:left="0" w:right="0"/>
              <w:jc w:val="left"/>
              <w:rPr>
                <w:rFonts w:hint="default" w:ascii="宋体" w:hAnsi="宋体" w:eastAsia="宋体" w:cs="宋体"/>
                <w:szCs w:val="21"/>
                <w:highlight w:val="none"/>
              </w:rPr>
            </w:pPr>
            <w:r>
              <w:rPr>
                <w:rFonts w:hint="eastAsia" w:ascii="宋体" w:hAnsi="宋体" w:eastAsia="宋体" w:cs="宋体"/>
                <w:szCs w:val="21"/>
                <w:highlight w:val="none"/>
              </w:rPr>
              <w:t>按满足采购文件要求且有效投标价格最低的投标报价作为评标基准价，其报价分为满分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0分；其他投标人的报价分按以下公式计算：</w:t>
            </w:r>
          </w:p>
          <w:p w14:paraId="23C898A3">
            <w:pPr>
              <w:keepNext w:val="0"/>
              <w:keepLines w:val="0"/>
              <w:suppressLineNumbers w:val="0"/>
              <w:spacing w:before="0" w:beforeAutospacing="0" w:after="0" w:afterAutospacing="0" w:line="360" w:lineRule="exact"/>
              <w:ind w:left="0" w:right="0"/>
              <w:jc w:val="left"/>
              <w:rPr>
                <w:rFonts w:hint="eastAsia" w:ascii="宋体" w:hAnsi="宋体" w:eastAsia="宋体" w:cs="宋体"/>
                <w:szCs w:val="21"/>
                <w:highlight w:val="none"/>
              </w:rPr>
            </w:pPr>
            <w:r>
              <w:rPr>
                <w:rFonts w:hint="eastAsia" w:ascii="宋体" w:hAnsi="宋体" w:eastAsia="宋体" w:cs="宋体"/>
                <w:szCs w:val="21"/>
                <w:highlight w:val="none"/>
              </w:rPr>
              <w:t>投标报价得分＝（评标基准价/投标报价）×</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0%×100</w:t>
            </w:r>
          </w:p>
        </w:tc>
        <w:tc>
          <w:tcPr>
            <w:tcW w:w="713" w:type="dxa"/>
            <w:noWrap w:val="0"/>
            <w:vAlign w:val="center"/>
          </w:tcPr>
          <w:p w14:paraId="2B87D0D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rPr>
            </w:pPr>
          </w:p>
        </w:tc>
      </w:tr>
    </w:tbl>
    <w:p w14:paraId="7BA6B455">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备注：</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编制投标文件（商务技术文件部分）时，建议按此目录（序号和内容）提供评标标准相应的商务技术资料</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、小数点后保留一位数。</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、各评标委员会成员自行按以上参考分值评分。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、重大事件由评标委员会集体讨论，应当按照少数服从多数的原则作出结论。</w:t>
      </w:r>
    </w:p>
    <w:p w14:paraId="34590F0D">
      <w:pPr>
        <w:kinsoku/>
        <w:wordWrap/>
        <w:overflowPunct/>
        <w:topLinePunct w:val="0"/>
        <w:bidi w:val="0"/>
        <w:snapToGrid w:val="0"/>
        <w:spacing w:line="360" w:lineRule="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62C725D9">
      <w:pPr>
        <w:kinsoku/>
        <w:wordWrap/>
        <w:overflowPunct/>
        <w:topLinePunct w:val="0"/>
        <w:bidi w:val="0"/>
        <w:adjustRightInd/>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为中标候选人的评标方法。</w:t>
      </w:r>
    </w:p>
    <w:p w14:paraId="73E14818">
      <w:pPr>
        <w:kinsoku/>
        <w:wordWrap/>
        <w:overflowPunct/>
        <w:topLinePunct w:val="0"/>
        <w:bidi w:val="0"/>
        <w:adjustRightInd/>
        <w:spacing w:line="360" w:lineRule="auto"/>
        <w:outlineLvl w:val="9"/>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2D34AFBD">
      <w:pPr>
        <w:kinsoku/>
        <w:wordWrap/>
        <w:overflowPunct/>
        <w:topLinePunct w:val="0"/>
        <w:bidi w:val="0"/>
        <w:spacing w:line="360" w:lineRule="auto"/>
        <w:ind w:firstLine="413" w:firstLineChars="196"/>
        <w:outlineLvl w:val="9"/>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68177602">
      <w:pPr>
        <w:kinsoku/>
        <w:wordWrap/>
        <w:overflowPunct/>
        <w:topLinePunct w:val="0"/>
        <w:bidi w:val="0"/>
        <w:spacing w:line="360" w:lineRule="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450DC2C6">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的投标文件进行符合性审查，以确定其是否满足招标文件的实质性要求。不满足招标文件的实质性要求的，投标无效。</w:t>
      </w:r>
    </w:p>
    <w:p w14:paraId="0A521F1E">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1361D731">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的商务和技术文件进行评价，并汇总商务技术得分情况。</w:t>
      </w:r>
    </w:p>
    <w:p w14:paraId="242AE4A7">
      <w:pPr>
        <w:kinsoku/>
        <w:wordWrap/>
        <w:overflowPunct/>
        <w:topLinePunct w:val="0"/>
        <w:bidi w:val="0"/>
        <w:spacing w:line="360" w:lineRule="auto"/>
        <w:ind w:firstLine="413" w:firstLineChars="196"/>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55F9CA04">
      <w:pPr>
        <w:pStyle w:val="135"/>
        <w:kinsoku/>
        <w:wordWrap/>
        <w:overflowPunct/>
        <w:topLinePunct w:val="0"/>
        <w:bidi w:val="0"/>
        <w:spacing w:before="0"/>
        <w:ind w:firstLine="445" w:firstLineChars="212"/>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5CCC2787">
      <w:pPr>
        <w:pStyle w:val="135"/>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cs="宋体"/>
          <w:color w:val="auto"/>
          <w:kern w:val="0"/>
          <w:sz w:val="21"/>
          <w:szCs w:val="21"/>
          <w:highlight w:val="none"/>
          <w:lang w:eastAsia="zh-CN"/>
        </w:rPr>
        <w:t>；</w:t>
      </w:r>
    </w:p>
    <w:p w14:paraId="13D40D0F">
      <w:pPr>
        <w:pStyle w:val="135"/>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11FD3EA9">
      <w:pPr>
        <w:pStyle w:val="135"/>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15B2615F">
      <w:pPr>
        <w:pStyle w:val="135"/>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3571E63">
      <w:pPr>
        <w:pStyle w:val="135"/>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确认后产生约束力。</w:t>
      </w:r>
    </w:p>
    <w:p w14:paraId="5D6A4B1D">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5DDCC175">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6ED05AFB">
      <w:pPr>
        <w:pStyle w:val="135"/>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不能证明其报价合理性的，评标委员会应当将其作为无效投标处理。</w:t>
      </w:r>
    </w:p>
    <w:p w14:paraId="173A2895">
      <w:pPr>
        <w:pStyle w:val="135"/>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D52A7D">
      <w:pPr>
        <w:kinsoku/>
        <w:wordWrap/>
        <w:overflowPunct/>
        <w:topLinePunct w:val="0"/>
        <w:bidi w:val="0"/>
        <w:spacing w:line="360" w:lineRule="auto"/>
        <w:ind w:firstLine="422"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为排名第一的中标候选人。</w:t>
      </w:r>
      <w:r>
        <w:rPr>
          <w:rFonts w:hint="eastAsia" w:ascii="宋体" w:hAnsi="宋体" w:eastAsia="宋体" w:cs="宋体"/>
          <w:b/>
          <w:bCs/>
          <w:color w:val="auto"/>
          <w:kern w:val="0"/>
          <w:sz w:val="21"/>
          <w:szCs w:val="21"/>
          <w:highlight w:val="none"/>
          <w:lang w:val="en-US" w:eastAsia="zh-CN"/>
        </w:rPr>
        <w:t>有效投标供应商数量等于3家时，中标候选人数量为1家</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有效投标供应商数量等于4家时，中标候选人数量为2家</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有效投标供应商数量大于等于5家时，中标候选人数量为3家。</w:t>
      </w:r>
    </w:p>
    <w:p w14:paraId="60D2EF15">
      <w:pPr>
        <w:kinsoku/>
        <w:wordWrap/>
        <w:overflowPunct/>
        <w:topLinePunct w:val="0"/>
        <w:bidi w:val="0"/>
        <w:spacing w:line="360" w:lineRule="auto"/>
        <w:ind w:firstLine="420" w:firstLineChars="200"/>
        <w:outlineLvl w:val="9"/>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参加同一合同项下投标的，按一家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计算，评审后得分最高的同品牌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获得中标人推荐资格</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评审得分相同的，采取随机抽取方式确定，其他同品牌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不作为中标候选人。</w:t>
      </w:r>
    </w:p>
    <w:p w14:paraId="6C683753">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E8B113">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35A05DCA">
      <w:pPr>
        <w:pStyle w:val="135"/>
        <w:kinsoku/>
        <w:wordWrap/>
        <w:overflowPunct/>
        <w:topLinePunct w:val="0"/>
        <w:bidi w:val="0"/>
        <w:spacing w:before="0"/>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w:t>
      </w: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作出必要的澄清、说明或者补正的，评标委员会和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通过电子交易平台交换数据电文，</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提交使用电子签名的相关数据电文或通过平台上传加盖公章的扫描件。给予</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提交澄清、说明或补正的时间不得少于半小时，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已经明确表示澄清说明或补正完毕的除外。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的澄清、说明或者补正不得超出投标文件的范围或者改变投标文件的实质性内容。</w:t>
      </w:r>
    </w:p>
    <w:p w14:paraId="4288758C">
      <w:pPr>
        <w:pStyle w:val="27"/>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56C53F92">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r>
        <w:rPr>
          <w:rFonts w:hint="eastAsia" w:ascii="宋体" w:hAnsi="宋体" w:cs="宋体"/>
          <w:color w:val="auto"/>
          <w:kern w:val="0"/>
          <w:sz w:val="21"/>
          <w:szCs w:val="21"/>
          <w:highlight w:val="none"/>
          <w:lang w:eastAsia="zh-CN"/>
        </w:rPr>
        <w:t>；</w:t>
      </w:r>
    </w:p>
    <w:p w14:paraId="2304C3C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4.2.2投标文件未按照招标文件要求签署、盖章的</w:t>
      </w:r>
      <w:r>
        <w:rPr>
          <w:rFonts w:hint="eastAsia" w:ascii="宋体" w:hAnsi="宋体" w:cs="宋体"/>
          <w:color w:val="auto"/>
          <w:kern w:val="0"/>
          <w:sz w:val="21"/>
          <w:szCs w:val="21"/>
          <w:highlight w:val="none"/>
          <w:lang w:eastAsia="zh-CN"/>
        </w:rPr>
        <w:t>；</w:t>
      </w:r>
    </w:p>
    <w:p w14:paraId="0575B152">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r>
        <w:rPr>
          <w:rFonts w:hint="eastAsia" w:ascii="宋体" w:hAnsi="宋体" w:cs="宋体"/>
          <w:color w:val="auto"/>
          <w:kern w:val="0"/>
          <w:sz w:val="21"/>
          <w:szCs w:val="21"/>
          <w:highlight w:val="none"/>
          <w:lang w:eastAsia="zh-CN"/>
        </w:rPr>
        <w:t>；</w:t>
      </w:r>
    </w:p>
    <w:p w14:paraId="313645C4">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4.2.4投标文件含有采购人不能接受的附加条件的</w:t>
      </w:r>
      <w:r>
        <w:rPr>
          <w:rFonts w:hint="eastAsia" w:ascii="宋体" w:hAnsi="宋体" w:cs="宋体"/>
          <w:color w:val="auto"/>
          <w:kern w:val="0"/>
          <w:sz w:val="21"/>
          <w:szCs w:val="21"/>
          <w:highlight w:val="none"/>
          <w:lang w:eastAsia="zh-CN"/>
        </w:rPr>
        <w:t>；</w:t>
      </w:r>
    </w:p>
    <w:p w14:paraId="235C494B">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4.2.5投标文件中承诺的投标有效期少于招标文件中载明的投标有效期的</w:t>
      </w:r>
      <w:r>
        <w:rPr>
          <w:rFonts w:hint="eastAsia" w:ascii="宋体" w:hAnsi="宋体" w:cs="宋体"/>
          <w:color w:val="auto"/>
          <w:kern w:val="0"/>
          <w:sz w:val="21"/>
          <w:szCs w:val="21"/>
          <w:highlight w:val="none"/>
          <w:lang w:eastAsia="zh-CN"/>
        </w:rPr>
        <w:t>；</w:t>
      </w:r>
    </w:p>
    <w:p w14:paraId="0379ADDD">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44D0B58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71D7235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4B45210C">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r>
        <w:rPr>
          <w:rFonts w:hint="eastAsia" w:ascii="宋体" w:hAnsi="宋体" w:cs="宋体"/>
          <w:color w:val="auto"/>
          <w:kern w:val="0"/>
          <w:sz w:val="21"/>
          <w:szCs w:val="21"/>
          <w:highlight w:val="none"/>
          <w:lang w:eastAsia="zh-CN"/>
        </w:rPr>
        <w:t>；</w:t>
      </w:r>
    </w:p>
    <w:p w14:paraId="51A7F25C">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r>
        <w:rPr>
          <w:rFonts w:hint="eastAsia" w:ascii="宋体" w:hAnsi="宋体" w:cs="宋体"/>
          <w:color w:val="auto"/>
          <w:kern w:val="0"/>
          <w:sz w:val="21"/>
          <w:szCs w:val="21"/>
          <w:highlight w:val="none"/>
          <w:lang w:eastAsia="zh-CN"/>
        </w:rPr>
        <w:t>；</w:t>
      </w:r>
    </w:p>
    <w:p w14:paraId="496A30EA">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r>
        <w:rPr>
          <w:rFonts w:hint="eastAsia" w:ascii="宋体" w:hAnsi="宋体" w:cs="宋体"/>
          <w:color w:val="auto"/>
          <w:kern w:val="0"/>
          <w:sz w:val="21"/>
          <w:szCs w:val="21"/>
          <w:highlight w:val="none"/>
          <w:lang w:eastAsia="zh-CN"/>
        </w:rPr>
        <w:t>；</w:t>
      </w:r>
    </w:p>
    <w:p w14:paraId="59D88EE0">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r>
        <w:rPr>
          <w:rFonts w:hint="eastAsia" w:ascii="宋体" w:hAnsi="宋体" w:cs="宋体"/>
          <w:color w:val="auto"/>
          <w:kern w:val="0"/>
          <w:sz w:val="21"/>
          <w:szCs w:val="21"/>
          <w:highlight w:val="none"/>
          <w:lang w:eastAsia="zh-CN"/>
        </w:rPr>
        <w:t>；</w:t>
      </w:r>
    </w:p>
    <w:p w14:paraId="1DAF1AFC">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rPr>
        <w:t>4.2.13 投标</w:t>
      </w:r>
      <w:r>
        <w:rPr>
          <w:rFonts w:hint="eastAsia" w:ascii="宋体" w:hAnsi="宋体" w:eastAsia="宋体" w:cs="宋体"/>
          <w:color w:val="auto"/>
          <w:kern w:val="0"/>
          <w:sz w:val="21"/>
          <w:szCs w:val="21"/>
          <w:highlight w:val="none"/>
          <w:lang w:val="en-US"/>
        </w:rPr>
        <w:t>文件不满足招标文件的其它实质性要求的</w:t>
      </w:r>
      <w:r>
        <w:rPr>
          <w:rFonts w:hint="eastAsia" w:ascii="宋体" w:hAnsi="宋体" w:cs="宋体"/>
          <w:color w:val="auto"/>
          <w:kern w:val="0"/>
          <w:sz w:val="21"/>
          <w:szCs w:val="21"/>
          <w:highlight w:val="none"/>
          <w:lang w:val="en-US" w:eastAsia="zh-CN"/>
        </w:rPr>
        <w:t>；</w:t>
      </w:r>
    </w:p>
    <w:p w14:paraId="1B86644C">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4.2.14法律、法规、规章（适用本市的）及省级以上规范性文件（适用本市的）规定的其他无效情形。</w:t>
      </w:r>
    </w:p>
    <w:p w14:paraId="2B4EB3F8">
      <w:pPr>
        <w:pStyle w:val="27"/>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463E9921">
      <w:pPr>
        <w:pStyle w:val="27"/>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rPr>
        <w:t>5.1符合专业条件的供应商或者对招标文件作实质响应的供应商不足3家的</w:t>
      </w:r>
      <w:r>
        <w:rPr>
          <w:rFonts w:hint="eastAsia" w:cs="宋体"/>
          <w:color w:val="auto"/>
          <w:sz w:val="21"/>
          <w:szCs w:val="21"/>
          <w:highlight w:val="none"/>
          <w:lang w:eastAsia="zh-CN"/>
        </w:rPr>
        <w:t>；</w:t>
      </w:r>
    </w:p>
    <w:p w14:paraId="0F86F06A">
      <w:pPr>
        <w:pStyle w:val="27"/>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rPr>
        <w:t>5.2出现影响采购公正的违法、违规行为的</w:t>
      </w:r>
      <w:r>
        <w:rPr>
          <w:rFonts w:hint="eastAsia" w:cs="宋体"/>
          <w:color w:val="auto"/>
          <w:sz w:val="21"/>
          <w:szCs w:val="21"/>
          <w:highlight w:val="none"/>
          <w:lang w:eastAsia="zh-CN"/>
        </w:rPr>
        <w:t>；</w:t>
      </w:r>
    </w:p>
    <w:p w14:paraId="4A8C65C5">
      <w:pPr>
        <w:pStyle w:val="27"/>
        <w:kinsoku/>
        <w:wordWrap/>
        <w:overflowPunct/>
        <w:topLinePunct w:val="0"/>
        <w:bidi w:val="0"/>
        <w:snapToGrid w:val="0"/>
        <w:spacing w:line="360" w:lineRule="auto"/>
        <w:outlineLvl w:val="9"/>
        <w:rPr>
          <w:rFonts w:hint="eastAsia" w:eastAsia="宋体" w:cs="宋体"/>
          <w:color w:val="auto"/>
          <w:sz w:val="21"/>
          <w:szCs w:val="21"/>
          <w:highlight w:val="none"/>
          <w:lang w:eastAsia="zh-CN"/>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r>
        <w:rPr>
          <w:rFonts w:hint="eastAsia" w:cs="宋体"/>
          <w:color w:val="auto"/>
          <w:sz w:val="21"/>
          <w:szCs w:val="21"/>
          <w:highlight w:val="none"/>
          <w:lang w:eastAsia="zh-CN"/>
        </w:rPr>
        <w:t>；</w:t>
      </w:r>
    </w:p>
    <w:p w14:paraId="56DFD964">
      <w:pPr>
        <w:pStyle w:val="27"/>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5.4因重大变故，采购任务取消的。</w:t>
      </w:r>
    </w:p>
    <w:p w14:paraId="1291E81E">
      <w:pPr>
        <w:pStyle w:val="27"/>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w:t>
      </w:r>
      <w:r>
        <w:rPr>
          <w:rFonts w:hint="eastAsia" w:cs="宋体"/>
          <w:color w:val="auto"/>
          <w:sz w:val="21"/>
          <w:szCs w:val="21"/>
          <w:highlight w:val="none"/>
          <w:lang w:eastAsia="zh-CN"/>
        </w:rPr>
        <w:t>供应商</w:t>
      </w:r>
      <w:r>
        <w:rPr>
          <w:rFonts w:hint="eastAsia" w:cs="宋体"/>
          <w:color w:val="auto"/>
          <w:sz w:val="21"/>
          <w:szCs w:val="21"/>
          <w:highlight w:val="none"/>
        </w:rPr>
        <w:t>。</w:t>
      </w:r>
    </w:p>
    <w:p w14:paraId="791ED669">
      <w:pPr>
        <w:pStyle w:val="27"/>
        <w:kinsoku/>
        <w:wordWrap/>
        <w:overflowPunct/>
        <w:topLinePunct w:val="0"/>
        <w:bidi w:val="0"/>
        <w:snapToGrid w:val="0"/>
        <w:spacing w:line="360" w:lineRule="auto"/>
        <w:ind w:firstLine="517" w:firstLineChars="245"/>
        <w:outlineLvl w:val="9"/>
        <w:rPr>
          <w:rFonts w:hint="eastAsia" w:cs="宋体"/>
          <w:b/>
          <w:color w:val="auto"/>
          <w:sz w:val="21"/>
          <w:szCs w:val="21"/>
          <w:highlight w:val="none"/>
          <w:lang w:val="en-US" w:eastAsia="zh-CN"/>
        </w:rPr>
      </w:pPr>
      <w:r>
        <w:rPr>
          <w:rFonts w:hint="eastAsia" w:cs="宋体"/>
          <w:b/>
          <w:color w:val="auto"/>
          <w:sz w:val="21"/>
          <w:szCs w:val="21"/>
          <w:highlight w:val="none"/>
          <w:lang w:val="en-US" w:eastAsia="zh-CN"/>
        </w:rPr>
        <w:t>6.参与同一个采购包（标段）的供应商存在下列情形之一且无法合理解释的，其投标（响应）文件无效：</w:t>
      </w:r>
    </w:p>
    <w:p w14:paraId="74DFD2F7">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6.1不同供应商的电子投标（响应）文件上传计算机的网卡MAC地址或硬盘序列号等硬件信息相同的；</w:t>
      </w:r>
    </w:p>
    <w:p w14:paraId="3CEE899F">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6.2.上传的电子投标（响应）文件若出现使用本项目其他投标（响应）供应商的数字证书加密的，或者加盖本项目其他投标（响应）供应商的电子印章的；</w:t>
      </w:r>
    </w:p>
    <w:p w14:paraId="14E6E920">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6.3.不同供应商的投标（响应）文件的内容存在3处（含）以上错误一致的；6.4.不同供应商联系人为同一人或不同联系人的联系电话一致的。</w:t>
      </w:r>
    </w:p>
    <w:p w14:paraId="04E24192">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废标后，采购代理机构应当将废标理由通知所有供应商。</w:t>
      </w:r>
    </w:p>
    <w:p w14:paraId="5AD95BBE">
      <w:pPr>
        <w:pStyle w:val="27"/>
        <w:kinsoku/>
        <w:wordWrap/>
        <w:overflowPunct/>
        <w:topLinePunct w:val="0"/>
        <w:bidi w:val="0"/>
        <w:snapToGrid w:val="0"/>
        <w:spacing w:line="360" w:lineRule="auto"/>
        <w:ind w:firstLine="517" w:firstLineChars="245"/>
        <w:outlineLvl w:val="9"/>
        <w:rPr>
          <w:rFonts w:hint="eastAsia" w:cs="宋体"/>
          <w:b/>
          <w:color w:val="auto"/>
          <w:sz w:val="21"/>
          <w:szCs w:val="21"/>
          <w:highlight w:val="none"/>
        </w:rPr>
      </w:pPr>
      <w:r>
        <w:rPr>
          <w:rFonts w:hint="eastAsia" w:cs="宋体"/>
          <w:b/>
          <w:color w:val="auto"/>
          <w:sz w:val="21"/>
          <w:szCs w:val="21"/>
          <w:highlight w:val="none"/>
          <w:lang w:val="en-US" w:eastAsia="zh-CN"/>
        </w:rPr>
        <w:t>7.供应商围标串标,其投标（响应）文件无效，</w:t>
      </w:r>
      <w:r>
        <w:rPr>
          <w:rFonts w:hint="eastAsia" w:cs="宋体"/>
          <w:b/>
          <w:color w:val="auto"/>
          <w:sz w:val="21"/>
          <w:szCs w:val="21"/>
          <w:highlight w:val="none"/>
        </w:rPr>
        <w:t>是指供应商成立多家公司围标串标，投标文件相互混装、异常一致，投标报价呈规律性差异，投标保证金从同一账户转出等恶意串通行为。具体包括：</w:t>
      </w:r>
    </w:p>
    <w:p w14:paraId="5085488B">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7.1供应商的投标文件相互混装；</w:t>
      </w:r>
    </w:p>
    <w:p w14:paraId="7863D61F">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7.2供应商的投标文件异常一致；</w:t>
      </w:r>
    </w:p>
    <w:p w14:paraId="782125ED">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7.3供应商的投标保证金从同一账户转出；</w:t>
      </w:r>
    </w:p>
    <w:p w14:paraId="5326DE41">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7.4供应商的投标文件由同一单位或个人编制；</w:t>
      </w:r>
    </w:p>
    <w:p w14:paraId="2B886A04">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7.5供应商委托同一单位或个人办理投标事宜；</w:t>
      </w:r>
    </w:p>
    <w:p w14:paraId="1A778432">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7.6供应商的项目管理成员或者联系人员为同一人；</w:t>
      </w:r>
    </w:p>
    <w:p w14:paraId="5AF17DC8">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7.7供应商的MAC地址或硬盘序列号等硬件信息相同；</w:t>
      </w:r>
    </w:p>
    <w:p w14:paraId="17065075">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7.8对大量技术参数响应负偏离、不提供证明材料或者不积极响应采购文件要求，以促成合格供应商符合法定数量；</w:t>
      </w:r>
    </w:p>
    <w:p w14:paraId="48916C88">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7.9事先约定由某一特定供应商中标、成交；</w:t>
      </w:r>
    </w:p>
    <w:p w14:paraId="1D0E8B31">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7.10成立多家公司围标串标；</w:t>
      </w:r>
    </w:p>
    <w:p w14:paraId="1F97B678">
      <w:pPr>
        <w:pStyle w:val="27"/>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7.11其他围标串标行为。</w:t>
      </w:r>
    </w:p>
    <w:p w14:paraId="79DE262F">
      <w:pPr>
        <w:pStyle w:val="27"/>
        <w:kinsoku/>
        <w:wordWrap/>
        <w:overflowPunct/>
        <w:topLinePunct w:val="0"/>
        <w:bidi w:val="0"/>
        <w:snapToGrid w:val="0"/>
        <w:spacing w:line="360" w:lineRule="auto"/>
        <w:ind w:firstLine="517" w:firstLineChars="245"/>
        <w:outlineLvl w:val="9"/>
        <w:rPr>
          <w:rFonts w:cs="宋体"/>
          <w:color w:val="auto"/>
          <w:sz w:val="21"/>
          <w:szCs w:val="21"/>
          <w:highlight w:val="none"/>
        </w:rPr>
      </w:pPr>
      <w:r>
        <w:rPr>
          <w:rFonts w:hint="eastAsia" w:cs="宋体"/>
          <w:b/>
          <w:color w:val="auto"/>
          <w:sz w:val="21"/>
          <w:szCs w:val="21"/>
          <w:highlight w:val="none"/>
          <w:lang w:val="en-US" w:eastAsia="zh-CN"/>
        </w:rPr>
        <w:t>8</w:t>
      </w:r>
      <w:r>
        <w:rPr>
          <w:rFonts w:hint="eastAsia" w:cs="宋体"/>
          <w:b/>
          <w:color w:val="auto"/>
          <w:sz w:val="21"/>
          <w:szCs w:val="21"/>
          <w:highlight w:val="none"/>
        </w:rPr>
        <w:t>.修改招标文件，重新组织采购活动。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594E7E2F">
      <w:pPr>
        <w:pStyle w:val="27"/>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71F57C96">
      <w:pPr>
        <w:pStyle w:val="27"/>
        <w:kinsoku/>
        <w:wordWrap/>
        <w:overflowPunct/>
        <w:topLinePunct w:val="0"/>
        <w:bidi w:val="0"/>
        <w:snapToGrid w:val="0"/>
        <w:spacing w:line="360" w:lineRule="auto"/>
        <w:outlineLvl w:val="9"/>
        <w:rPr>
          <w:rFonts w:cs="宋体"/>
          <w:color w:val="auto"/>
          <w:sz w:val="21"/>
          <w:szCs w:val="21"/>
          <w:highlight w:val="none"/>
        </w:rPr>
      </w:pPr>
      <w:r>
        <w:rPr>
          <w:rFonts w:hint="default" w:cs="宋体"/>
          <w:color w:val="auto"/>
          <w:sz w:val="21"/>
          <w:szCs w:val="21"/>
          <w:highlight w:val="none"/>
          <w:lang w:val="en-US"/>
        </w:rPr>
        <w:t>9</w:t>
      </w:r>
      <w:r>
        <w:rPr>
          <w:rFonts w:hint="eastAsia" w:cs="宋体"/>
          <w:color w:val="auto"/>
          <w:sz w:val="21"/>
          <w:szCs w:val="21"/>
          <w:highlight w:val="none"/>
        </w:rPr>
        <w:t>.1未确定中标供应商的，终止本次政府采购活动，重新开展政府采购活动。</w:t>
      </w:r>
    </w:p>
    <w:p w14:paraId="0D554149">
      <w:pPr>
        <w:pStyle w:val="27"/>
        <w:kinsoku/>
        <w:wordWrap/>
        <w:overflowPunct/>
        <w:topLinePunct w:val="0"/>
        <w:bidi w:val="0"/>
        <w:snapToGrid w:val="0"/>
        <w:spacing w:line="360" w:lineRule="auto"/>
        <w:outlineLvl w:val="9"/>
        <w:rPr>
          <w:rFonts w:cs="宋体"/>
          <w:color w:val="auto"/>
          <w:sz w:val="21"/>
          <w:szCs w:val="21"/>
          <w:highlight w:val="none"/>
        </w:rPr>
      </w:pPr>
      <w:r>
        <w:rPr>
          <w:rFonts w:hint="default" w:cs="宋体"/>
          <w:color w:val="auto"/>
          <w:sz w:val="21"/>
          <w:szCs w:val="21"/>
          <w:highlight w:val="none"/>
          <w:lang w:val="en-US"/>
        </w:rPr>
        <w:t>9</w:t>
      </w:r>
      <w:r>
        <w:rPr>
          <w:rFonts w:hint="eastAsia" w:cs="宋体"/>
          <w:color w:val="auto"/>
          <w:sz w:val="21"/>
          <w:szCs w:val="21"/>
          <w:highlight w:val="none"/>
        </w:rPr>
        <w:t>.2已确定中标供应商但尚未签订政府采购合同的，中标结果无效，从合格的中标候选人中另行确定中标供应商</w:t>
      </w:r>
      <w:r>
        <w:rPr>
          <w:rFonts w:hint="eastAsia" w:cs="宋体"/>
          <w:color w:val="auto"/>
          <w:sz w:val="21"/>
          <w:szCs w:val="21"/>
          <w:highlight w:val="none"/>
          <w:lang w:eastAsia="zh-CN"/>
        </w:rPr>
        <w:t>；</w:t>
      </w:r>
      <w:r>
        <w:rPr>
          <w:rFonts w:hint="eastAsia" w:cs="宋体"/>
          <w:color w:val="auto"/>
          <w:sz w:val="21"/>
          <w:szCs w:val="21"/>
          <w:highlight w:val="none"/>
        </w:rPr>
        <w:t>没有合格的中标候选人的，重新开展政府采购活动。</w:t>
      </w:r>
    </w:p>
    <w:p w14:paraId="734C4598">
      <w:pPr>
        <w:pStyle w:val="27"/>
        <w:kinsoku/>
        <w:wordWrap/>
        <w:overflowPunct/>
        <w:topLinePunct w:val="0"/>
        <w:bidi w:val="0"/>
        <w:snapToGrid w:val="0"/>
        <w:spacing w:line="360" w:lineRule="auto"/>
        <w:outlineLvl w:val="9"/>
        <w:rPr>
          <w:rFonts w:cs="宋体"/>
          <w:color w:val="auto"/>
          <w:sz w:val="21"/>
          <w:szCs w:val="21"/>
          <w:highlight w:val="none"/>
        </w:rPr>
      </w:pPr>
      <w:r>
        <w:rPr>
          <w:rFonts w:hint="default" w:cs="宋体"/>
          <w:color w:val="auto"/>
          <w:sz w:val="21"/>
          <w:szCs w:val="21"/>
          <w:highlight w:val="none"/>
          <w:lang w:val="en-US"/>
        </w:rPr>
        <w:t>9</w:t>
      </w:r>
      <w:r>
        <w:rPr>
          <w:rFonts w:hint="eastAsia" w:cs="宋体"/>
          <w:color w:val="auto"/>
          <w:sz w:val="21"/>
          <w:szCs w:val="21"/>
          <w:highlight w:val="none"/>
        </w:rPr>
        <w:t>.3政府采购合同已签订但尚未履行的，撤销合同，从合格的中标候选人中另行确定中标供应商</w:t>
      </w:r>
      <w:r>
        <w:rPr>
          <w:rFonts w:hint="eastAsia" w:cs="宋体"/>
          <w:color w:val="auto"/>
          <w:sz w:val="21"/>
          <w:szCs w:val="21"/>
          <w:highlight w:val="none"/>
          <w:lang w:eastAsia="zh-CN"/>
        </w:rPr>
        <w:t>；</w:t>
      </w:r>
      <w:r>
        <w:rPr>
          <w:rFonts w:hint="eastAsia" w:cs="宋体"/>
          <w:color w:val="auto"/>
          <w:sz w:val="21"/>
          <w:szCs w:val="21"/>
          <w:highlight w:val="none"/>
        </w:rPr>
        <w:t>没有合格的中标候选人的，重新开展政府采购活动。</w:t>
      </w:r>
    </w:p>
    <w:p w14:paraId="02806968">
      <w:pPr>
        <w:pStyle w:val="27"/>
        <w:kinsoku/>
        <w:wordWrap/>
        <w:overflowPunct/>
        <w:topLinePunct w:val="0"/>
        <w:bidi w:val="0"/>
        <w:snapToGrid w:val="0"/>
        <w:spacing w:line="360" w:lineRule="auto"/>
        <w:outlineLvl w:val="9"/>
        <w:rPr>
          <w:rFonts w:cs="宋体"/>
          <w:color w:val="auto"/>
          <w:sz w:val="21"/>
          <w:szCs w:val="21"/>
          <w:highlight w:val="none"/>
        </w:rPr>
      </w:pPr>
      <w:r>
        <w:rPr>
          <w:rFonts w:hint="default" w:cs="宋体"/>
          <w:color w:val="auto"/>
          <w:sz w:val="21"/>
          <w:szCs w:val="21"/>
          <w:highlight w:val="none"/>
          <w:lang w:val="en-US"/>
        </w:rPr>
        <w:t>9</w:t>
      </w:r>
      <w:r>
        <w:rPr>
          <w:rFonts w:hint="eastAsia" w:cs="宋体"/>
          <w:color w:val="auto"/>
          <w:sz w:val="21"/>
          <w:szCs w:val="21"/>
          <w:highlight w:val="none"/>
        </w:rPr>
        <w:t>.4政府采购合同已经履行，给采购人、供应商造成损失的，由责任人承担赔偿责任。</w:t>
      </w:r>
    </w:p>
    <w:p w14:paraId="17A5FB82">
      <w:pPr>
        <w:pStyle w:val="27"/>
        <w:kinsoku/>
        <w:wordWrap/>
        <w:overflowPunct/>
        <w:topLinePunct w:val="0"/>
        <w:bidi w:val="0"/>
        <w:snapToGrid w:val="0"/>
        <w:spacing w:line="360" w:lineRule="auto"/>
        <w:outlineLvl w:val="9"/>
        <w:rPr>
          <w:rFonts w:cs="宋体"/>
          <w:color w:val="auto"/>
          <w:sz w:val="21"/>
          <w:szCs w:val="21"/>
          <w:highlight w:val="none"/>
        </w:rPr>
      </w:pPr>
      <w:r>
        <w:rPr>
          <w:rFonts w:hint="default" w:cs="宋体"/>
          <w:color w:val="auto"/>
          <w:sz w:val="21"/>
          <w:szCs w:val="21"/>
          <w:highlight w:val="none"/>
          <w:lang w:val="en-US"/>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w:t>
      </w:r>
      <w:r>
        <w:rPr>
          <w:rFonts w:hint="eastAsia" w:cs="宋体"/>
          <w:color w:val="auto"/>
          <w:sz w:val="21"/>
          <w:szCs w:val="21"/>
          <w:highlight w:val="none"/>
          <w:lang w:val="en-US" w:eastAsia="zh-CN"/>
        </w:rPr>
        <w:t>f</w:t>
      </w:r>
      <w:r>
        <w:rPr>
          <w:rFonts w:hint="eastAsia" w:cs="宋体"/>
          <w:color w:val="auto"/>
          <w:sz w:val="21"/>
          <w:szCs w:val="21"/>
          <w:highlight w:val="none"/>
        </w:rPr>
        <w:t>为中标无效的，依照</w:t>
      </w:r>
      <w:r>
        <w:rPr>
          <w:rFonts w:hint="default" w:cs="宋体"/>
          <w:color w:val="auto"/>
          <w:sz w:val="21"/>
          <w:szCs w:val="21"/>
          <w:highlight w:val="none"/>
          <w:lang w:val="en-US"/>
        </w:rPr>
        <w:t>9</w:t>
      </w:r>
      <w:r>
        <w:rPr>
          <w:rFonts w:hint="eastAsia" w:cs="宋体"/>
          <w:color w:val="auto"/>
          <w:sz w:val="21"/>
          <w:szCs w:val="21"/>
          <w:highlight w:val="none"/>
        </w:rPr>
        <w:t>.1-</w:t>
      </w:r>
      <w:r>
        <w:rPr>
          <w:rFonts w:hint="default" w:cs="宋体"/>
          <w:color w:val="auto"/>
          <w:sz w:val="21"/>
          <w:szCs w:val="21"/>
          <w:highlight w:val="none"/>
          <w:lang w:val="en-US"/>
        </w:rPr>
        <w:t>9</w:t>
      </w:r>
      <w:r>
        <w:rPr>
          <w:rFonts w:hint="eastAsia" w:cs="宋体"/>
          <w:color w:val="auto"/>
          <w:sz w:val="21"/>
          <w:szCs w:val="21"/>
          <w:highlight w:val="none"/>
        </w:rPr>
        <w:t>.4规定处理。</w:t>
      </w:r>
    </w:p>
    <w:p w14:paraId="4749D95C">
      <w:pPr>
        <w:pStyle w:val="27"/>
        <w:kinsoku/>
        <w:wordWrap/>
        <w:overflowPunct/>
        <w:topLinePunct w:val="0"/>
        <w:bidi w:val="0"/>
        <w:snapToGrid w:val="0"/>
        <w:spacing w:line="360" w:lineRule="auto"/>
        <w:ind w:firstLine="0" w:firstLineChars="0"/>
        <w:outlineLvl w:val="9"/>
        <w:rPr>
          <w:rFonts w:cs="宋体"/>
          <w:color w:val="auto"/>
          <w:highlight w:val="none"/>
        </w:rPr>
      </w:pPr>
    </w:p>
    <w:p w14:paraId="437B9D52">
      <w:pPr>
        <w:rPr>
          <w:rFonts w:cs="宋体"/>
          <w:color w:val="auto"/>
          <w:highlight w:val="none"/>
        </w:rPr>
      </w:pPr>
    </w:p>
    <w:p w14:paraId="173FC4B0">
      <w:pPr>
        <w:pStyle w:val="21"/>
        <w:rPr>
          <w:rFonts w:cs="宋体"/>
          <w:color w:val="auto"/>
          <w:highlight w:val="none"/>
        </w:rPr>
      </w:pPr>
    </w:p>
    <w:p w14:paraId="316C34A4"/>
    <w:bookmarkEnd w:id="33"/>
    <w:p w14:paraId="09C2C6C5">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0" w:name="_Toc8264"/>
      <w:bookmarkStart w:id="401" w:name="第五部分"/>
      <w:bookmarkStart w:id="402" w:name="_Toc86217003"/>
      <w:r>
        <w:rPr>
          <w:rFonts w:hint="eastAsia" w:ascii="宋体" w:hAnsi="宋体" w:cs="宋体"/>
          <w:b/>
          <w:color w:val="auto"/>
          <w:sz w:val="36"/>
          <w:szCs w:val="36"/>
          <w:highlight w:val="none"/>
        </w:rPr>
        <w:t>第五部分 拟签订的合同文本</w:t>
      </w:r>
      <w:bookmarkEnd w:id="400"/>
    </w:p>
    <w:p w14:paraId="7ECEE1A8">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C1E8CB">
      <w:pPr>
        <w:kinsoku/>
        <w:wordWrap/>
        <w:overflowPunct/>
        <w:topLinePunct w:val="0"/>
        <w:bidi w:val="0"/>
        <w:spacing w:line="480" w:lineRule="auto"/>
        <w:jc w:val="center"/>
        <w:outlineLvl w:val="9"/>
        <w:rPr>
          <w:rFonts w:ascii="宋体" w:hAnsi="宋体" w:cs="宋体"/>
          <w:b/>
          <w:color w:val="auto"/>
          <w:sz w:val="28"/>
          <w:szCs w:val="28"/>
          <w:highlight w:val="none"/>
        </w:rPr>
      </w:pPr>
    </w:p>
    <w:p w14:paraId="136874A7">
      <w:pPr>
        <w:kinsoku/>
        <w:wordWrap/>
        <w:overflowPunct/>
        <w:topLinePunct w:val="0"/>
        <w:bidi w:val="0"/>
        <w:spacing w:line="480" w:lineRule="auto"/>
        <w:jc w:val="center"/>
        <w:outlineLvl w:val="9"/>
        <w:rPr>
          <w:rFonts w:ascii="宋体" w:hAnsi="宋体" w:cs="宋体"/>
          <w:b/>
          <w:color w:val="auto"/>
          <w:sz w:val="24"/>
          <w:highlight w:val="none"/>
        </w:rPr>
      </w:pPr>
    </w:p>
    <w:p w14:paraId="18F7696B">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B90DBBD">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747F39C">
      <w:pPr>
        <w:pStyle w:val="703"/>
        <w:kinsoku/>
        <w:wordWrap/>
        <w:overflowPunct/>
        <w:topLinePunct w:val="0"/>
        <w:bidi w:val="0"/>
        <w:outlineLvl w:val="9"/>
        <w:rPr>
          <w:rFonts w:ascii="宋体" w:hAnsi="宋体" w:cs="宋体"/>
          <w:color w:val="auto"/>
          <w:szCs w:val="24"/>
          <w:highlight w:val="none"/>
        </w:rPr>
      </w:pPr>
    </w:p>
    <w:p w14:paraId="3CEEAC0C">
      <w:pPr>
        <w:pStyle w:val="703"/>
        <w:kinsoku/>
        <w:wordWrap/>
        <w:overflowPunct/>
        <w:topLinePunct w:val="0"/>
        <w:bidi w:val="0"/>
        <w:outlineLvl w:val="9"/>
        <w:rPr>
          <w:rFonts w:ascii="宋体" w:hAnsi="宋体" w:cs="宋体"/>
          <w:color w:val="auto"/>
          <w:szCs w:val="24"/>
          <w:highlight w:val="none"/>
        </w:rPr>
      </w:pPr>
    </w:p>
    <w:p w14:paraId="54F62085">
      <w:pPr>
        <w:pStyle w:val="703"/>
        <w:kinsoku/>
        <w:wordWrap/>
        <w:overflowPunct/>
        <w:topLinePunct w:val="0"/>
        <w:bidi w:val="0"/>
        <w:jc w:val="center"/>
        <w:outlineLvl w:val="9"/>
        <w:rPr>
          <w:rFonts w:ascii="宋体" w:hAnsi="宋体" w:cs="宋体"/>
          <w:color w:val="auto"/>
          <w:szCs w:val="24"/>
          <w:highlight w:val="none"/>
        </w:rPr>
      </w:pPr>
    </w:p>
    <w:p w14:paraId="279AC1B7">
      <w:pPr>
        <w:pStyle w:val="703"/>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47C8A61">
      <w:pPr>
        <w:pStyle w:val="703"/>
        <w:kinsoku/>
        <w:wordWrap/>
        <w:overflowPunct/>
        <w:topLinePunct w:val="0"/>
        <w:bidi w:val="0"/>
        <w:outlineLvl w:val="9"/>
        <w:rPr>
          <w:rFonts w:ascii="宋体" w:hAnsi="宋体" w:cs="宋体"/>
          <w:color w:val="auto"/>
          <w:szCs w:val="24"/>
          <w:highlight w:val="none"/>
        </w:rPr>
      </w:pPr>
    </w:p>
    <w:p w14:paraId="286FC735">
      <w:pPr>
        <w:pStyle w:val="703"/>
        <w:kinsoku/>
        <w:wordWrap/>
        <w:overflowPunct/>
        <w:topLinePunct w:val="0"/>
        <w:bidi w:val="0"/>
        <w:outlineLvl w:val="9"/>
        <w:rPr>
          <w:rFonts w:ascii="宋体" w:hAnsi="宋体" w:cs="宋体"/>
          <w:color w:val="auto"/>
          <w:szCs w:val="24"/>
          <w:highlight w:val="none"/>
        </w:rPr>
      </w:pPr>
    </w:p>
    <w:p w14:paraId="6AC2F0F2">
      <w:pPr>
        <w:kinsoku/>
        <w:wordWrap/>
        <w:overflowPunct/>
        <w:topLinePunct w:val="0"/>
        <w:bidi w:val="0"/>
        <w:spacing w:before="120" w:line="22" w:lineRule="atLeast"/>
        <w:outlineLvl w:val="9"/>
        <w:rPr>
          <w:rFonts w:ascii="宋体" w:hAnsi="宋体" w:cs="宋体"/>
          <w:color w:val="auto"/>
          <w:sz w:val="24"/>
          <w:highlight w:val="none"/>
        </w:rPr>
      </w:pPr>
    </w:p>
    <w:p w14:paraId="16E77256">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宁海县黄坛镇中心小学厨房设备采购项目</w:t>
      </w:r>
      <w:r>
        <w:rPr>
          <w:rFonts w:hint="eastAsia" w:ascii="宋体" w:hAnsi="宋体" w:cs="宋体"/>
          <w:color w:val="auto"/>
          <w:sz w:val="24"/>
          <w:highlight w:val="none"/>
          <w:u w:val="single"/>
          <w:lang w:val="en-US" w:eastAsia="zh-CN"/>
        </w:rPr>
        <w:t xml:space="preserve">          </w:t>
      </w:r>
    </w:p>
    <w:p w14:paraId="66B98EC1">
      <w:pPr>
        <w:kinsoku/>
        <w:wordWrap/>
        <w:overflowPunct/>
        <w:topLinePunct w:val="0"/>
        <w:bidi w:val="0"/>
        <w:outlineLvl w:val="9"/>
        <w:rPr>
          <w:rFonts w:ascii="宋体" w:hAnsi="宋体" w:cs="宋体"/>
          <w:color w:val="auto"/>
          <w:sz w:val="24"/>
          <w:highlight w:val="none"/>
        </w:rPr>
      </w:pPr>
    </w:p>
    <w:p w14:paraId="54C69A75">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宁海县黄坛镇中心小学</w:t>
      </w:r>
      <w:r>
        <w:rPr>
          <w:rFonts w:hint="eastAsia" w:ascii="宋体" w:hAnsi="宋体" w:cs="宋体"/>
          <w:color w:val="auto"/>
          <w:sz w:val="24"/>
          <w:highlight w:val="none"/>
          <w:u w:val="single"/>
          <w:lang w:val="en-US" w:eastAsia="zh-CN"/>
        </w:rPr>
        <w:t xml:space="preserve">                                                  </w:t>
      </w:r>
    </w:p>
    <w:p w14:paraId="1FE58D9E">
      <w:pPr>
        <w:kinsoku/>
        <w:wordWrap/>
        <w:overflowPunct/>
        <w:topLinePunct w:val="0"/>
        <w:bidi w:val="0"/>
        <w:spacing w:before="120" w:line="22" w:lineRule="atLeast"/>
        <w:outlineLvl w:val="9"/>
        <w:rPr>
          <w:rFonts w:ascii="宋体" w:hAnsi="宋体" w:cs="宋体"/>
          <w:color w:val="auto"/>
          <w:sz w:val="24"/>
          <w:highlight w:val="none"/>
        </w:rPr>
      </w:pPr>
    </w:p>
    <w:p w14:paraId="015FAAFD">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C3EFB5E">
      <w:pPr>
        <w:kinsoku/>
        <w:wordWrap/>
        <w:overflowPunct/>
        <w:topLinePunct w:val="0"/>
        <w:bidi w:val="0"/>
        <w:spacing w:before="120" w:line="22" w:lineRule="atLeast"/>
        <w:outlineLvl w:val="9"/>
        <w:rPr>
          <w:rFonts w:ascii="宋体" w:hAnsi="宋体" w:cs="宋体"/>
          <w:color w:val="auto"/>
          <w:sz w:val="24"/>
          <w:highlight w:val="none"/>
        </w:rPr>
      </w:pPr>
    </w:p>
    <w:p w14:paraId="0F7A6EAF">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08A7B2F2">
      <w:pPr>
        <w:pStyle w:val="85"/>
        <w:ind w:left="0" w:leftChars="0" w:firstLine="0" w:firstLineChars="0"/>
        <w:rPr>
          <w:color w:val="auto"/>
          <w:highlight w:val="none"/>
        </w:rPr>
      </w:pPr>
    </w:p>
    <w:p w14:paraId="6992407C">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宁海童氏工程管理咨询有限公司                           </w:t>
      </w:r>
    </w:p>
    <w:p w14:paraId="354AA4B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2D52AC3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101D8FF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宁海县黄坛镇中心小学</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宁海县黄坛镇中心小学厨房设备采购项目（</w:t>
      </w:r>
      <w:r>
        <w:rPr>
          <w:rFonts w:hint="eastAsia" w:ascii="宋体" w:hAnsi="宋体" w:cs="宋体"/>
          <w:color w:val="auto"/>
          <w:sz w:val="24"/>
          <w:highlight w:val="none"/>
          <w:u w:val="single"/>
          <w:lang w:val="en-US" w:eastAsia="zh-CN"/>
        </w:rPr>
        <w:t>项目编号NH-TS2025-061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102FBBD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宁海县黄坛镇中心小学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6F09F1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3" w:name="_Toc2232"/>
      <w:bookmarkStart w:id="404" w:name="_Toc3029"/>
      <w:bookmarkStart w:id="405" w:name="_Toc24059"/>
      <w:r>
        <w:rPr>
          <w:rFonts w:hint="eastAsia" w:ascii="宋体" w:hAnsi="宋体" w:cs="宋体"/>
          <w:b/>
          <w:color w:val="auto"/>
          <w:sz w:val="24"/>
          <w:highlight w:val="none"/>
        </w:rPr>
        <w:t>1.1 合同组成部分</w:t>
      </w:r>
      <w:bookmarkEnd w:id="403"/>
      <w:bookmarkEnd w:id="404"/>
      <w:bookmarkEnd w:id="405"/>
    </w:p>
    <w:p w14:paraId="4751B55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3EF6508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 本合同及其补充合同、变更协议</w:t>
      </w:r>
      <w:r>
        <w:rPr>
          <w:rFonts w:hint="eastAsia" w:ascii="宋体" w:hAnsi="宋体" w:cs="宋体"/>
          <w:color w:val="auto"/>
          <w:sz w:val="24"/>
          <w:highlight w:val="none"/>
          <w:lang w:eastAsia="zh-CN"/>
        </w:rPr>
        <w:t>；</w:t>
      </w:r>
    </w:p>
    <w:p w14:paraId="60FF1B0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 中标或者成交通知书</w:t>
      </w:r>
      <w:r>
        <w:rPr>
          <w:rFonts w:hint="eastAsia" w:ascii="宋体" w:hAnsi="宋体" w:cs="宋体"/>
          <w:color w:val="auto"/>
          <w:sz w:val="24"/>
          <w:highlight w:val="none"/>
          <w:lang w:eastAsia="zh-CN"/>
        </w:rPr>
        <w:t>；</w:t>
      </w:r>
    </w:p>
    <w:p w14:paraId="1522D4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 投标或者响应文件（含澄清或者说明文件）</w:t>
      </w:r>
      <w:r>
        <w:rPr>
          <w:rFonts w:hint="eastAsia" w:ascii="宋体" w:hAnsi="宋体" w:cs="宋体"/>
          <w:color w:val="auto"/>
          <w:sz w:val="24"/>
          <w:highlight w:val="none"/>
          <w:lang w:eastAsia="zh-CN"/>
        </w:rPr>
        <w:t>；</w:t>
      </w:r>
    </w:p>
    <w:p w14:paraId="740E5BF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r>
        <w:rPr>
          <w:rFonts w:hint="eastAsia" w:ascii="宋体" w:hAnsi="宋体" w:cs="宋体"/>
          <w:color w:val="auto"/>
          <w:sz w:val="24"/>
          <w:highlight w:val="none"/>
          <w:lang w:eastAsia="zh-CN"/>
        </w:rPr>
        <w:t>；</w:t>
      </w:r>
    </w:p>
    <w:p w14:paraId="0D040C5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6DB25E3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6" w:name="_Toc27126"/>
      <w:bookmarkStart w:id="407" w:name="_Toc24300"/>
      <w:bookmarkStart w:id="408" w:name="_Toc21295"/>
      <w:r>
        <w:rPr>
          <w:rFonts w:hint="eastAsia" w:ascii="宋体" w:hAnsi="宋体" w:cs="宋体"/>
          <w:b/>
          <w:color w:val="auto"/>
          <w:sz w:val="24"/>
          <w:highlight w:val="none"/>
        </w:rPr>
        <w:t>1.2 货物</w:t>
      </w:r>
      <w:bookmarkEnd w:id="406"/>
      <w:bookmarkEnd w:id="407"/>
      <w:bookmarkEnd w:id="408"/>
    </w:p>
    <w:p w14:paraId="6F31C7E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47B8526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6BAB8A5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17EB1CC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9" w:name="_Toc23292"/>
      <w:bookmarkStart w:id="410" w:name="_Toc21551"/>
      <w:bookmarkStart w:id="411" w:name="_Toc21631"/>
      <w:r>
        <w:rPr>
          <w:rFonts w:hint="eastAsia" w:ascii="宋体" w:hAnsi="宋体" w:cs="宋体"/>
          <w:b/>
          <w:color w:val="auto"/>
          <w:sz w:val="24"/>
          <w:highlight w:val="none"/>
        </w:rPr>
        <w:t>1.3 价款</w:t>
      </w:r>
      <w:bookmarkEnd w:id="409"/>
      <w:bookmarkEnd w:id="410"/>
      <w:bookmarkEnd w:id="411"/>
    </w:p>
    <w:p w14:paraId="7A60C6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2" w:name="_Toc22618"/>
      <w:bookmarkStart w:id="413" w:name="_Toc10340"/>
      <w:bookmarkStart w:id="414" w:name="_Toc1814"/>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678D0BE7">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2A749D71">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D7988B9">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p w14:paraId="3E61A8F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5FCAD79C">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hint="eastAsia" w:eastAsia="宋体"/>
          <w:color w:val="auto"/>
          <w:highlight w:val="none"/>
          <w:lang w:val="en-US" w:eastAsia="zh-CN"/>
        </w:rPr>
      </w:pPr>
      <w:r>
        <w:rPr>
          <w:rFonts w:hint="eastAsia" w:ascii="宋体" w:hAnsi="宋体" w:eastAsia="宋体" w:cs="宋体"/>
          <w:b w:val="0"/>
          <w:bCs w:val="0"/>
          <w:color w:val="auto"/>
          <w:kern w:val="0"/>
          <w:sz w:val="24"/>
          <w:szCs w:val="24"/>
          <w:highlight w:val="none"/>
          <w:lang w:val="en-US"/>
        </w:rPr>
        <w:t>1.4.3 如果乙方不履行合同，履约保证金不予退还</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如果乙方未能按合同约定全面履行义务，那么甲方有权从履约保证金中取得补偿或赔偿，同时不影响甲方要求乙方承担合同约定的超过履约保证金的违约责任的权利</w:t>
      </w:r>
      <w:r>
        <w:rPr>
          <w:rFonts w:hint="eastAsia" w:ascii="宋体" w:hAnsi="宋体" w:cs="宋体"/>
          <w:b w:val="0"/>
          <w:bCs w:val="0"/>
          <w:color w:val="auto"/>
          <w:kern w:val="0"/>
          <w:sz w:val="24"/>
          <w:szCs w:val="24"/>
          <w:highlight w:val="none"/>
          <w:lang w:val="en-US" w:eastAsia="zh-CN"/>
        </w:rPr>
        <w:t>；</w:t>
      </w:r>
    </w:p>
    <w:p w14:paraId="30CCDEF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2"/>
      <w:bookmarkEnd w:id="413"/>
      <w:bookmarkEnd w:id="414"/>
      <w:r>
        <w:rPr>
          <w:rFonts w:hint="eastAsia" w:ascii="宋体" w:hAnsi="宋体" w:cs="宋体"/>
          <w:b/>
          <w:i w:val="0"/>
          <w:iCs w:val="0"/>
          <w:color w:val="auto"/>
          <w:sz w:val="24"/>
          <w:highlight w:val="none"/>
        </w:rPr>
        <w:t>预付款</w:t>
      </w:r>
    </w:p>
    <w:p w14:paraId="25D9963F">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58E0F35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kern w:val="0"/>
          <w:sz w:val="24"/>
          <w:highlight w:val="none"/>
          <w:lang w:eastAsia="zh-CN"/>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lang w:eastAsia="zh-CN"/>
        </w:rPr>
        <w:t>；</w:t>
      </w:r>
    </w:p>
    <w:p w14:paraId="3FF9DF9A">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eastAsia="宋体"/>
          <w:i w:val="0"/>
          <w:iCs w:val="0"/>
          <w:color w:val="auto"/>
          <w:highlight w:val="none"/>
          <w:lang w:eastAsia="zh-CN"/>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lang w:eastAsia="zh-CN"/>
        </w:rPr>
        <w:t>；</w:t>
      </w:r>
    </w:p>
    <w:p w14:paraId="4B87BE4F">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57FAD887">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4CE4367D">
      <w:pPr>
        <w:pStyle w:val="961"/>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693AA4A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89073C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5" w:name="_Toc32071"/>
      <w:bookmarkStart w:id="416" w:name="_Toc2846"/>
      <w:bookmarkStart w:id="417" w:name="_Toc19304"/>
      <w:r>
        <w:rPr>
          <w:rFonts w:hint="eastAsia" w:ascii="宋体" w:hAnsi="宋体" w:cs="宋体"/>
          <w:b/>
          <w:i w:val="0"/>
          <w:iCs w:val="0"/>
          <w:color w:val="auto"/>
          <w:sz w:val="24"/>
          <w:highlight w:val="none"/>
        </w:rPr>
        <w:t>1.7货物交付期限、地点和方式</w:t>
      </w:r>
      <w:bookmarkEnd w:id="415"/>
      <w:bookmarkEnd w:id="416"/>
      <w:bookmarkEnd w:id="417"/>
    </w:p>
    <w:p w14:paraId="59B4B55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u w:val="single"/>
          <w:lang w:eastAsia="zh-CN"/>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6A7153D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4C50D00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155C67A">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8" w:name="_Toc19554"/>
      <w:bookmarkStart w:id="419" w:name="_Toc27250"/>
      <w:bookmarkStart w:id="420" w:name="_Toc21423"/>
      <w:r>
        <w:rPr>
          <w:rFonts w:hint="eastAsia" w:ascii="宋体" w:hAnsi="宋体" w:cs="宋体"/>
          <w:b/>
          <w:color w:val="auto"/>
          <w:sz w:val="24"/>
          <w:highlight w:val="none"/>
        </w:rPr>
        <w:t>1.8违约责任</w:t>
      </w:r>
      <w:bookmarkEnd w:id="418"/>
      <w:bookmarkEnd w:id="419"/>
      <w:bookmarkEnd w:id="420"/>
    </w:p>
    <w:p w14:paraId="248C72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w:t>
      </w:r>
    </w:p>
    <w:p w14:paraId="005EF3E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5183DD3F">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2098A825">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1" w:name="_Toc28375"/>
      <w:bookmarkStart w:id="422" w:name="_Toc15583"/>
      <w:bookmarkStart w:id="423" w:name="_Toc16021"/>
      <w:r>
        <w:rPr>
          <w:rFonts w:hint="eastAsia" w:ascii="宋体" w:hAnsi="宋体" w:cs="宋体"/>
          <w:b/>
          <w:i w:val="0"/>
          <w:iCs w:val="0"/>
          <w:color w:val="auto"/>
          <w:sz w:val="24"/>
          <w:highlight w:val="none"/>
        </w:rPr>
        <w:t>1.9合同争议的解决</w:t>
      </w:r>
      <w:bookmarkEnd w:id="421"/>
      <w:bookmarkEnd w:id="422"/>
      <w:bookmarkEnd w:id="423"/>
    </w:p>
    <w:p w14:paraId="2028A74D">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2650B93A">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r>
        <w:rPr>
          <w:rFonts w:hint="eastAsia" w:ascii="宋体" w:hAnsi="宋体" w:cs="宋体"/>
          <w:i w:val="0"/>
          <w:iCs w:val="0"/>
          <w:color w:val="auto"/>
          <w:sz w:val="24"/>
          <w:highlight w:val="none"/>
          <w:lang w:eastAsia="zh-CN"/>
        </w:rPr>
        <w:t>；</w:t>
      </w:r>
    </w:p>
    <w:p w14:paraId="4F9EC91B">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112A0CFC">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24" w:name="_Toc15322"/>
      <w:bookmarkStart w:id="425" w:name="_Toc11173"/>
      <w:bookmarkStart w:id="426" w:name="_Toc7245"/>
    </w:p>
    <w:p w14:paraId="316782F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24"/>
      <w:bookmarkEnd w:id="425"/>
      <w:bookmarkEnd w:id="426"/>
    </w:p>
    <w:p w14:paraId="03FD878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706678D">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607B5E0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7B2C34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5EF13A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4ACF20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472D85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722430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C81D14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A8FE5E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54286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4D5FEB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D879DB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604FF8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7664D1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31D49D2">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335E55C">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02719778">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见证方：宁海童氏工程管理咨询有限公司</w:t>
      </w:r>
    </w:p>
    <w:p w14:paraId="047B6A8D">
      <w:pPr>
        <w:tabs>
          <w:tab w:val="left" w:pos="432"/>
        </w:tabs>
        <w:kinsoku/>
        <w:wordWrap/>
        <w:overflowPunct/>
        <w:topLinePunct w:val="0"/>
        <w:bidi w:val="0"/>
        <w:outlineLvl w:val="9"/>
        <w:rPr>
          <w:rFonts w:ascii="宋体" w:hAnsi="宋体" w:cs="宋体"/>
          <w:color w:val="auto"/>
          <w:sz w:val="24"/>
          <w:highlight w:val="none"/>
        </w:rPr>
      </w:pPr>
    </w:p>
    <w:p w14:paraId="082D9B14">
      <w:pPr>
        <w:kinsoku/>
        <w:wordWrap/>
        <w:overflowPunct/>
        <w:topLinePunct w:val="0"/>
        <w:bidi w:val="0"/>
        <w:outlineLvl w:val="9"/>
        <w:rPr>
          <w:rFonts w:ascii="宋体" w:hAnsi="宋体" w:cs="宋体"/>
          <w:color w:val="auto"/>
          <w:sz w:val="24"/>
          <w:highlight w:val="none"/>
        </w:rPr>
      </w:pPr>
    </w:p>
    <w:p w14:paraId="3DF8E258">
      <w:pPr>
        <w:tabs>
          <w:tab w:val="left" w:pos="432"/>
        </w:tabs>
        <w:kinsoku/>
        <w:wordWrap/>
        <w:overflowPunct/>
        <w:topLinePunct w:val="0"/>
        <w:bidi w:val="0"/>
        <w:outlineLvl w:val="9"/>
        <w:rPr>
          <w:rFonts w:ascii="宋体" w:hAnsi="宋体" w:cs="宋体"/>
          <w:color w:val="auto"/>
          <w:sz w:val="24"/>
          <w:highlight w:val="none"/>
        </w:rPr>
      </w:pPr>
    </w:p>
    <w:p w14:paraId="2DD4B209">
      <w:pPr>
        <w:kinsoku/>
        <w:wordWrap/>
        <w:overflowPunct/>
        <w:topLinePunct w:val="0"/>
        <w:bidi w:val="0"/>
        <w:outlineLvl w:val="9"/>
        <w:rPr>
          <w:rFonts w:ascii="宋体" w:hAnsi="宋体" w:cs="宋体"/>
          <w:color w:val="auto"/>
          <w:sz w:val="24"/>
          <w:highlight w:val="none"/>
        </w:rPr>
      </w:pPr>
    </w:p>
    <w:p w14:paraId="2F97752C">
      <w:pPr>
        <w:tabs>
          <w:tab w:val="left" w:pos="432"/>
        </w:tabs>
        <w:kinsoku/>
        <w:wordWrap/>
        <w:overflowPunct/>
        <w:topLinePunct w:val="0"/>
        <w:bidi w:val="0"/>
        <w:outlineLvl w:val="9"/>
        <w:rPr>
          <w:rFonts w:ascii="宋体" w:hAnsi="宋体" w:cs="宋体"/>
          <w:color w:val="auto"/>
          <w:sz w:val="24"/>
          <w:highlight w:val="none"/>
        </w:rPr>
      </w:pPr>
    </w:p>
    <w:p w14:paraId="02DE1A9A">
      <w:pPr>
        <w:kinsoku/>
        <w:wordWrap/>
        <w:overflowPunct/>
        <w:topLinePunct w:val="0"/>
        <w:bidi w:val="0"/>
        <w:outlineLvl w:val="9"/>
        <w:rPr>
          <w:rFonts w:ascii="宋体" w:hAnsi="宋体" w:cs="宋体"/>
          <w:color w:val="auto"/>
          <w:sz w:val="24"/>
          <w:highlight w:val="none"/>
        </w:rPr>
      </w:pPr>
    </w:p>
    <w:p w14:paraId="0F653C6F">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02D3CDC2">
      <w:pPr>
        <w:pStyle w:val="703"/>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41946D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27" w:name="_Ref467379094"/>
      <w:bookmarkStart w:id="428" w:name="_Ref467379195"/>
      <w:bookmarkStart w:id="429" w:name="_Toc28763"/>
      <w:bookmarkStart w:id="430" w:name="_Ref467379225"/>
      <w:bookmarkStart w:id="431" w:name="_Ref467379214"/>
      <w:bookmarkStart w:id="432" w:name="_Toc259093669"/>
      <w:bookmarkStart w:id="433" w:name="_Toc279701240"/>
      <w:bookmarkStart w:id="434" w:name="_Ref467379205"/>
      <w:bookmarkStart w:id="435" w:name="_Ref467378404"/>
      <w:bookmarkStart w:id="436" w:name="_Ref467378463"/>
      <w:bookmarkStart w:id="437" w:name="_Toc16917"/>
      <w:bookmarkStart w:id="438" w:name="_Ref467378499"/>
      <w:bookmarkStart w:id="439" w:name="_Ref467379109"/>
      <w:bookmarkStart w:id="440" w:name="_Ref467379101"/>
      <w:bookmarkStart w:id="441" w:name="_Toc19614"/>
      <w:bookmarkStart w:id="442" w:name="_Toc487900349"/>
      <w:r>
        <w:rPr>
          <w:rFonts w:hint="eastAsia" w:ascii="宋体" w:hAnsi="宋体" w:cs="宋体"/>
          <w:b/>
          <w:i w:val="0"/>
          <w:iCs w:val="0"/>
          <w:color w:val="auto"/>
          <w:sz w:val="24"/>
          <w:highlight w:val="none"/>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5582D1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4A95260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4853D8F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3C31AD3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AEE2FD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3" w:name="_Ref467378840"/>
      <w:r>
        <w:rPr>
          <w:rFonts w:hint="eastAsia" w:ascii="宋体" w:hAnsi="宋体" w:cs="宋体"/>
          <w:i w:val="0"/>
          <w:iCs w:val="0"/>
          <w:color w:val="auto"/>
          <w:sz w:val="24"/>
          <w:highlight w:val="none"/>
        </w:rPr>
        <w:t>2.1.4 “甲方”系指与中标或成交供应商签署合同的采购人</w:t>
      </w:r>
      <w:bookmarkEnd w:id="443"/>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采购人委托采购代理机构代表其与乙方签订合同的，采购人的授权委托书作为合同附件。</w:t>
      </w:r>
    </w:p>
    <w:p w14:paraId="77C8EBE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4" w:name="_Ref467379400"/>
      <w:r>
        <w:rPr>
          <w:rFonts w:hint="eastAsia" w:ascii="宋体" w:hAnsi="宋体" w:cs="宋体"/>
          <w:i w:val="0"/>
          <w:iCs w:val="0"/>
          <w:color w:val="auto"/>
          <w:sz w:val="24"/>
          <w:highlight w:val="none"/>
        </w:rPr>
        <w:t>2.1.5 “乙方”系指根据合同约定交付货物的中标或成交供应商</w:t>
      </w:r>
      <w:bookmarkEnd w:id="444"/>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1E379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5" w:name="_Ref467379436"/>
      <w:r>
        <w:rPr>
          <w:rFonts w:hint="eastAsia" w:ascii="宋体" w:hAnsi="宋体" w:cs="宋体"/>
          <w:i w:val="0"/>
          <w:iCs w:val="0"/>
          <w:color w:val="auto"/>
          <w:sz w:val="24"/>
          <w:highlight w:val="none"/>
        </w:rPr>
        <w:t>2.1.6 “现场”系指合同约定货物将要运至或者安装的地点。</w:t>
      </w:r>
      <w:bookmarkEnd w:id="445"/>
    </w:p>
    <w:p w14:paraId="1BA6379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6" w:name="_Toc487900350"/>
      <w:bookmarkStart w:id="447" w:name="_Toc27635"/>
      <w:bookmarkStart w:id="448" w:name="_Toc259093670"/>
      <w:bookmarkStart w:id="449" w:name="_Toc32504"/>
      <w:bookmarkStart w:id="450" w:name="_Toc279701241"/>
      <w:bookmarkStart w:id="451" w:name="_Toc13336"/>
      <w:r>
        <w:rPr>
          <w:rFonts w:hint="eastAsia" w:ascii="宋体" w:hAnsi="宋体" w:cs="宋体"/>
          <w:b/>
          <w:i w:val="0"/>
          <w:iCs w:val="0"/>
          <w:color w:val="auto"/>
          <w:sz w:val="24"/>
          <w:highlight w:val="none"/>
        </w:rPr>
        <w:t>2.2 技术规范</w:t>
      </w:r>
      <w:bookmarkEnd w:id="446"/>
      <w:bookmarkEnd w:id="447"/>
      <w:bookmarkEnd w:id="448"/>
      <w:bookmarkEnd w:id="449"/>
      <w:bookmarkEnd w:id="450"/>
      <w:bookmarkEnd w:id="451"/>
    </w:p>
    <w:p w14:paraId="5A852F6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458140D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2" w:name="_Toc27853"/>
      <w:bookmarkStart w:id="453" w:name="_Toc259093671"/>
      <w:bookmarkStart w:id="454" w:name="_Toc9829"/>
      <w:bookmarkStart w:id="455" w:name="_Toc31634"/>
      <w:bookmarkStart w:id="456" w:name="_Toc279701242"/>
      <w:bookmarkStart w:id="457" w:name="_Toc487900351"/>
      <w:r>
        <w:rPr>
          <w:rFonts w:hint="eastAsia" w:ascii="宋体" w:hAnsi="宋体" w:cs="宋体"/>
          <w:b/>
          <w:i w:val="0"/>
          <w:iCs w:val="0"/>
          <w:color w:val="auto"/>
          <w:sz w:val="24"/>
          <w:highlight w:val="none"/>
        </w:rPr>
        <w:t>2.3 知识产权</w:t>
      </w:r>
      <w:bookmarkEnd w:id="452"/>
      <w:bookmarkEnd w:id="453"/>
      <w:bookmarkEnd w:id="454"/>
      <w:bookmarkEnd w:id="455"/>
      <w:bookmarkEnd w:id="456"/>
      <w:bookmarkEnd w:id="457"/>
    </w:p>
    <w:p w14:paraId="56E357B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0F63632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9CA1C6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8" w:name="_Toc29149"/>
      <w:bookmarkStart w:id="459" w:name="_Toc4194"/>
      <w:bookmarkStart w:id="460" w:name="_Toc11932"/>
      <w:r>
        <w:rPr>
          <w:rFonts w:hint="eastAsia" w:ascii="宋体" w:hAnsi="宋体" w:cs="宋体"/>
          <w:b/>
          <w:i w:val="0"/>
          <w:iCs w:val="0"/>
          <w:color w:val="auto"/>
          <w:sz w:val="24"/>
          <w:highlight w:val="none"/>
        </w:rPr>
        <w:t>2.4 包装和装运</w:t>
      </w:r>
      <w:bookmarkEnd w:id="458"/>
      <w:bookmarkEnd w:id="459"/>
      <w:bookmarkEnd w:id="460"/>
    </w:p>
    <w:p w14:paraId="2689DB9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4733AD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3E523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16AEBF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1" w:name="_Ref467379527"/>
      <w:bookmarkStart w:id="462" w:name="_Toc259093674"/>
      <w:bookmarkStart w:id="463" w:name="_Ref467378541"/>
      <w:bookmarkStart w:id="464" w:name="_Toc279701245"/>
      <w:bookmarkStart w:id="465" w:name="_Ref467379536"/>
      <w:bookmarkStart w:id="466" w:name="_Toc487900354"/>
      <w:bookmarkStart w:id="467" w:name="_Ref467379542"/>
      <w:bookmarkStart w:id="468" w:name="_Ref467378591"/>
      <w:bookmarkStart w:id="469" w:name="_Toc26182"/>
      <w:bookmarkStart w:id="470" w:name="_Toc19074"/>
      <w:bookmarkStart w:id="471" w:name="_Toc30272"/>
      <w:r>
        <w:rPr>
          <w:rFonts w:hint="eastAsia" w:ascii="宋体" w:hAnsi="宋体" w:cs="宋体"/>
          <w:b/>
          <w:i w:val="0"/>
          <w:iCs w:val="0"/>
          <w:color w:val="auto"/>
          <w:sz w:val="24"/>
          <w:highlight w:val="none"/>
        </w:rPr>
        <w:t>2.</w:t>
      </w:r>
      <w:bookmarkEnd w:id="461"/>
      <w:bookmarkEnd w:id="462"/>
      <w:bookmarkEnd w:id="463"/>
      <w:bookmarkEnd w:id="464"/>
      <w:bookmarkEnd w:id="465"/>
      <w:bookmarkEnd w:id="466"/>
      <w:bookmarkEnd w:id="467"/>
      <w:bookmarkEnd w:id="468"/>
      <w:r>
        <w:rPr>
          <w:rFonts w:hint="eastAsia" w:ascii="宋体" w:hAnsi="宋体" w:cs="宋体"/>
          <w:b/>
          <w:i w:val="0"/>
          <w:iCs w:val="0"/>
          <w:color w:val="auto"/>
          <w:sz w:val="24"/>
          <w:highlight w:val="none"/>
        </w:rPr>
        <w:t>5 履约检查和问题反馈</w:t>
      </w:r>
      <w:bookmarkEnd w:id="469"/>
      <w:bookmarkEnd w:id="470"/>
      <w:bookmarkEnd w:id="471"/>
    </w:p>
    <w:p w14:paraId="378CF67A">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bookmarkStart w:id="472" w:name="_Ref467379657"/>
      <w:r>
        <w:rPr>
          <w:rFonts w:hint="eastAsia" w:ascii="宋体" w:hAnsi="宋体" w:cs="宋体"/>
          <w:i w:val="0"/>
          <w:iCs w:val="0"/>
          <w:color w:val="auto"/>
          <w:sz w:val="24"/>
          <w:highlight w:val="none"/>
        </w:rPr>
        <w:t>2.5.1</w:t>
      </w:r>
      <w:bookmarkEnd w:id="472"/>
      <w:bookmarkStart w:id="473" w:name="_Toc186431854"/>
      <w:bookmarkStart w:id="474" w:name="_Ref467379807"/>
      <w:bookmarkStart w:id="475" w:name="_Toc279701247"/>
      <w:bookmarkStart w:id="476" w:name="_Toc259093676"/>
      <w:bookmarkStart w:id="477" w:name="_Toc487900357"/>
      <w:bookmarkStart w:id="478" w:name="_Ref467379793"/>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r>
        <w:rPr>
          <w:rFonts w:hint="eastAsia" w:ascii="宋体" w:hAnsi="宋体" w:cs="宋体"/>
          <w:i w:val="0"/>
          <w:iCs w:val="0"/>
          <w:color w:val="auto"/>
          <w:sz w:val="24"/>
          <w:highlight w:val="none"/>
          <w:lang w:eastAsia="zh-CN"/>
        </w:rPr>
        <w:t>；</w:t>
      </w:r>
    </w:p>
    <w:p w14:paraId="6D7B82F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i w:val="0"/>
          <w:iCs w:val="0"/>
          <w:color w:val="auto"/>
          <w:sz w:val="24"/>
          <w:highlight w:val="none"/>
        </w:rPr>
        <w:t>。</w:t>
      </w:r>
    </w:p>
    <w:bookmarkEnd w:id="474"/>
    <w:bookmarkEnd w:id="475"/>
    <w:bookmarkEnd w:id="476"/>
    <w:bookmarkEnd w:id="477"/>
    <w:bookmarkEnd w:id="478"/>
    <w:bookmarkEnd w:id="479"/>
    <w:p w14:paraId="09CE2D8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0" w:name="_Toc279701248"/>
      <w:bookmarkStart w:id="481" w:name="_Ref467379923"/>
      <w:bookmarkStart w:id="482" w:name="_Ref467379852"/>
      <w:bookmarkStart w:id="483" w:name="_Toc487900358"/>
      <w:bookmarkStart w:id="484" w:name="_Ref467379863"/>
      <w:bookmarkStart w:id="485" w:name="_Toc259093677"/>
      <w:bookmarkStart w:id="486" w:name="_Toc16110"/>
      <w:bookmarkStart w:id="487" w:name="_Toc774"/>
      <w:bookmarkStart w:id="488" w:name="_Toc3225"/>
      <w:r>
        <w:rPr>
          <w:rFonts w:hint="eastAsia" w:ascii="宋体" w:hAnsi="宋体" w:cs="宋体"/>
          <w:b/>
          <w:i w:val="0"/>
          <w:iCs w:val="0"/>
          <w:color w:val="auto"/>
          <w:sz w:val="24"/>
          <w:highlight w:val="none"/>
        </w:rPr>
        <w:t>2.6 技术资料</w:t>
      </w:r>
      <w:bookmarkEnd w:id="480"/>
      <w:bookmarkEnd w:id="481"/>
      <w:bookmarkEnd w:id="482"/>
      <w:bookmarkEnd w:id="483"/>
      <w:bookmarkEnd w:id="484"/>
      <w:bookmarkEnd w:id="485"/>
      <w:r>
        <w:rPr>
          <w:rFonts w:hint="eastAsia" w:ascii="宋体" w:hAnsi="宋体" w:cs="宋体"/>
          <w:b/>
          <w:i w:val="0"/>
          <w:iCs w:val="0"/>
          <w:color w:val="auto"/>
          <w:sz w:val="24"/>
          <w:highlight w:val="none"/>
        </w:rPr>
        <w:t>和保密义务</w:t>
      </w:r>
      <w:bookmarkEnd w:id="486"/>
      <w:bookmarkEnd w:id="487"/>
      <w:bookmarkEnd w:id="488"/>
    </w:p>
    <w:p w14:paraId="0A304760">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2.6.1 乙方有权依据合同约定和项目需要，向甲方了解有关情况，调阅有关资料等，甲方应予积极配合</w:t>
      </w:r>
      <w:r>
        <w:rPr>
          <w:rFonts w:hint="eastAsia" w:ascii="宋体" w:hAnsi="宋体" w:cs="宋体"/>
          <w:i w:val="0"/>
          <w:iCs w:val="0"/>
          <w:color w:val="auto"/>
          <w:sz w:val="24"/>
          <w:highlight w:val="none"/>
          <w:lang w:eastAsia="zh-CN"/>
        </w:rPr>
        <w:t>；</w:t>
      </w:r>
    </w:p>
    <w:p w14:paraId="6E36CE64">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2.6.2 乙方有义务妥善保管和保护由甲方提供的前款信息和资料等</w:t>
      </w:r>
      <w:r>
        <w:rPr>
          <w:rFonts w:hint="eastAsia" w:ascii="宋体" w:hAnsi="宋体" w:cs="宋体"/>
          <w:i w:val="0"/>
          <w:iCs w:val="0"/>
          <w:color w:val="auto"/>
          <w:sz w:val="24"/>
          <w:highlight w:val="none"/>
          <w:lang w:eastAsia="zh-CN"/>
        </w:rPr>
        <w:t>；</w:t>
      </w:r>
    </w:p>
    <w:p w14:paraId="23C83A7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67CB9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9" w:name="_Toc7860"/>
      <w:r>
        <w:rPr>
          <w:rFonts w:hint="eastAsia" w:ascii="宋体" w:hAnsi="宋体" w:cs="宋体"/>
          <w:b/>
          <w:i w:val="0"/>
          <w:iCs w:val="0"/>
          <w:color w:val="auto"/>
          <w:sz w:val="24"/>
          <w:highlight w:val="none"/>
        </w:rPr>
        <w:t>2.7 质量保证</w:t>
      </w:r>
      <w:bookmarkEnd w:id="489"/>
    </w:p>
    <w:p w14:paraId="0D49EE90">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r>
        <w:rPr>
          <w:rFonts w:hint="eastAsia" w:ascii="宋体" w:hAnsi="宋体" w:cs="宋体"/>
          <w:i w:val="0"/>
          <w:iCs w:val="0"/>
          <w:color w:val="auto"/>
          <w:sz w:val="24"/>
          <w:highlight w:val="none"/>
          <w:lang w:eastAsia="zh-CN"/>
        </w:rPr>
        <w:t>；</w:t>
      </w:r>
    </w:p>
    <w:p w14:paraId="6223BC5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387B873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0" w:name="_Toc17244"/>
      <w:bookmarkStart w:id="491" w:name="_Toc487900362"/>
      <w:bookmarkStart w:id="492" w:name="_Toc259093681"/>
      <w:bookmarkStart w:id="493" w:name="_Toc279701252"/>
      <w:r>
        <w:rPr>
          <w:rFonts w:hint="eastAsia" w:ascii="宋体" w:hAnsi="宋体" w:cs="宋体"/>
          <w:b/>
          <w:i w:val="0"/>
          <w:iCs w:val="0"/>
          <w:color w:val="auto"/>
          <w:sz w:val="24"/>
          <w:highlight w:val="none"/>
        </w:rPr>
        <w:t>2.8 货物的风险负担</w:t>
      </w:r>
      <w:bookmarkEnd w:id="490"/>
    </w:p>
    <w:p w14:paraId="51F265C0">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A9C0B3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4" w:name="_Toc14055"/>
      <w:r>
        <w:rPr>
          <w:rFonts w:hint="eastAsia" w:ascii="宋体" w:hAnsi="宋体" w:cs="宋体"/>
          <w:b/>
          <w:i w:val="0"/>
          <w:iCs w:val="0"/>
          <w:color w:val="auto"/>
          <w:sz w:val="24"/>
          <w:highlight w:val="none"/>
        </w:rPr>
        <w:t>2.9 延迟交货</w:t>
      </w:r>
      <w:bookmarkEnd w:id="491"/>
      <w:bookmarkEnd w:id="492"/>
      <w:bookmarkEnd w:id="493"/>
      <w:bookmarkEnd w:id="494"/>
    </w:p>
    <w:p w14:paraId="7AF1DC5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甲方收到乙方通知后，认为其理由正当的，可以书面形式酌情同意乙方可以延长交货的具体时间。</w:t>
      </w:r>
    </w:p>
    <w:p w14:paraId="0529C0A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5" w:name="_Toc7502"/>
      <w:bookmarkStart w:id="496" w:name="_Toc259093683"/>
      <w:bookmarkStart w:id="497" w:name="_Toc487900364"/>
      <w:bookmarkStart w:id="498" w:name="_Toc279701254"/>
      <w:bookmarkStart w:id="499" w:name="_Ref467378121"/>
      <w:r>
        <w:rPr>
          <w:rFonts w:hint="eastAsia" w:ascii="宋体" w:hAnsi="宋体" w:cs="宋体"/>
          <w:b/>
          <w:i w:val="0"/>
          <w:iCs w:val="0"/>
          <w:color w:val="auto"/>
          <w:sz w:val="24"/>
          <w:highlight w:val="none"/>
        </w:rPr>
        <w:t>2.10 合同变更</w:t>
      </w:r>
      <w:bookmarkEnd w:id="495"/>
    </w:p>
    <w:p w14:paraId="672B53B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487900369"/>
      <w:bookmarkStart w:id="502" w:name="_Toc279701259"/>
    </w:p>
    <w:p w14:paraId="6264A05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3" w:name="_Toc10366"/>
      <w:bookmarkStart w:id="504" w:name="_Toc22955"/>
      <w:bookmarkStart w:id="505" w:name="_Toc15237"/>
      <w:r>
        <w:rPr>
          <w:rFonts w:hint="eastAsia" w:ascii="宋体" w:hAnsi="宋体" w:cs="宋体"/>
          <w:b/>
          <w:i w:val="0"/>
          <w:iCs w:val="0"/>
          <w:color w:val="auto"/>
          <w:sz w:val="24"/>
          <w:highlight w:val="none"/>
        </w:rPr>
        <w:t>2.11 合同转让</w:t>
      </w:r>
      <w:bookmarkEnd w:id="500"/>
      <w:bookmarkEnd w:id="501"/>
      <w:bookmarkEnd w:id="502"/>
      <w:r>
        <w:rPr>
          <w:rFonts w:hint="eastAsia" w:ascii="宋体" w:hAnsi="宋体" w:cs="宋体"/>
          <w:b/>
          <w:i w:val="0"/>
          <w:iCs w:val="0"/>
          <w:color w:val="auto"/>
          <w:sz w:val="24"/>
          <w:highlight w:val="none"/>
        </w:rPr>
        <w:t>和分包</w:t>
      </w:r>
      <w:bookmarkEnd w:id="503"/>
      <w:bookmarkEnd w:id="504"/>
      <w:bookmarkEnd w:id="505"/>
    </w:p>
    <w:p w14:paraId="1B76858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AED41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6596F86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6" w:name="_Toc16508"/>
      <w:bookmarkStart w:id="507" w:name="_Toc13566"/>
      <w:bookmarkStart w:id="508" w:name="_Toc14066"/>
      <w:r>
        <w:rPr>
          <w:rFonts w:hint="eastAsia" w:ascii="宋体" w:hAnsi="宋体" w:cs="宋体"/>
          <w:b/>
          <w:i w:val="0"/>
          <w:iCs w:val="0"/>
          <w:color w:val="auto"/>
          <w:sz w:val="24"/>
          <w:highlight w:val="none"/>
        </w:rPr>
        <w:t>2.12 不可抗力</w:t>
      </w:r>
      <w:bookmarkEnd w:id="506"/>
      <w:bookmarkEnd w:id="507"/>
      <w:bookmarkEnd w:id="508"/>
    </w:p>
    <w:p w14:paraId="76FFAD74">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r>
        <w:rPr>
          <w:rFonts w:hint="eastAsia" w:ascii="宋体" w:hAnsi="宋体" w:cs="宋体"/>
          <w:i w:val="0"/>
          <w:iCs w:val="0"/>
          <w:color w:val="auto"/>
          <w:sz w:val="24"/>
          <w:highlight w:val="none"/>
          <w:lang w:eastAsia="zh-CN"/>
        </w:rPr>
        <w:t>；</w:t>
      </w:r>
    </w:p>
    <w:p w14:paraId="055C20EF">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2.12.2 因不可抗力致使不能实现合同目的的，当事人可以解除合同</w:t>
      </w:r>
      <w:r>
        <w:rPr>
          <w:rFonts w:hint="eastAsia" w:ascii="宋体" w:hAnsi="宋体" w:cs="宋体"/>
          <w:i w:val="0"/>
          <w:iCs w:val="0"/>
          <w:color w:val="auto"/>
          <w:sz w:val="24"/>
          <w:highlight w:val="none"/>
          <w:lang w:eastAsia="zh-CN"/>
        </w:rPr>
        <w:t>；</w:t>
      </w:r>
    </w:p>
    <w:p w14:paraId="7BB9F70B">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r>
        <w:rPr>
          <w:rFonts w:hint="eastAsia" w:ascii="宋体" w:hAnsi="宋体" w:cs="宋体"/>
          <w:i w:val="0"/>
          <w:iCs w:val="0"/>
          <w:color w:val="auto"/>
          <w:sz w:val="24"/>
          <w:highlight w:val="none"/>
          <w:lang w:eastAsia="zh-CN"/>
        </w:rPr>
        <w:t>；</w:t>
      </w:r>
    </w:p>
    <w:p w14:paraId="10B8101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6ED86C7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9" w:name="_Toc30676"/>
      <w:bookmarkStart w:id="510" w:name="_Toc6969"/>
      <w:bookmarkStart w:id="511" w:name="_Toc279701255"/>
      <w:bookmarkStart w:id="512" w:name="_Toc689"/>
      <w:bookmarkStart w:id="513" w:name="_Toc487900365"/>
      <w:bookmarkStart w:id="514" w:name="_Toc259093684"/>
      <w:r>
        <w:rPr>
          <w:rFonts w:hint="eastAsia" w:ascii="宋体" w:hAnsi="宋体" w:cs="宋体"/>
          <w:b/>
          <w:i w:val="0"/>
          <w:iCs w:val="0"/>
          <w:color w:val="auto"/>
          <w:sz w:val="24"/>
          <w:highlight w:val="none"/>
        </w:rPr>
        <w:t>2.13 税费</w:t>
      </w:r>
      <w:bookmarkEnd w:id="509"/>
      <w:bookmarkEnd w:id="510"/>
      <w:bookmarkEnd w:id="511"/>
      <w:bookmarkEnd w:id="512"/>
      <w:bookmarkEnd w:id="513"/>
      <w:bookmarkEnd w:id="514"/>
    </w:p>
    <w:p w14:paraId="1A530CE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796247E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5" w:name="_Toc8298"/>
      <w:bookmarkStart w:id="516" w:name="_Toc259093687"/>
      <w:bookmarkStart w:id="517" w:name="_Toc279701258"/>
      <w:bookmarkStart w:id="518" w:name="_Toc7102"/>
      <w:bookmarkStart w:id="519" w:name="_Toc16959"/>
      <w:bookmarkStart w:id="520" w:name="_Toc487900368"/>
      <w:r>
        <w:rPr>
          <w:rFonts w:hint="eastAsia" w:ascii="宋体" w:hAnsi="宋体" w:cs="宋体"/>
          <w:b/>
          <w:i w:val="0"/>
          <w:iCs w:val="0"/>
          <w:color w:val="auto"/>
          <w:sz w:val="24"/>
          <w:highlight w:val="none"/>
        </w:rPr>
        <w:t>2.14乙方破产</w:t>
      </w:r>
      <w:bookmarkEnd w:id="515"/>
      <w:bookmarkEnd w:id="516"/>
      <w:bookmarkEnd w:id="517"/>
      <w:bookmarkEnd w:id="518"/>
      <w:bookmarkEnd w:id="519"/>
      <w:bookmarkEnd w:id="520"/>
    </w:p>
    <w:p w14:paraId="065ED08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CAE0E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1" w:name="_Toc15387"/>
      <w:bookmarkStart w:id="522" w:name="_Toc6134"/>
      <w:bookmarkStart w:id="523" w:name="_Toc29333"/>
      <w:r>
        <w:rPr>
          <w:rFonts w:hint="eastAsia" w:ascii="宋体" w:hAnsi="宋体" w:cs="宋体"/>
          <w:b/>
          <w:i w:val="0"/>
          <w:iCs w:val="0"/>
          <w:color w:val="auto"/>
          <w:sz w:val="24"/>
          <w:highlight w:val="none"/>
        </w:rPr>
        <w:t>2.15 合同中止、终止</w:t>
      </w:r>
      <w:bookmarkEnd w:id="521"/>
      <w:bookmarkEnd w:id="522"/>
      <w:bookmarkEnd w:id="523"/>
    </w:p>
    <w:p w14:paraId="64E35B0B">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2.15.1 双方当事人不得擅自中止或者终止合同</w:t>
      </w:r>
      <w:r>
        <w:rPr>
          <w:rFonts w:hint="eastAsia" w:ascii="宋体" w:hAnsi="宋体" w:cs="宋体"/>
          <w:i w:val="0"/>
          <w:iCs w:val="0"/>
          <w:color w:val="auto"/>
          <w:sz w:val="24"/>
          <w:highlight w:val="none"/>
          <w:lang w:eastAsia="zh-CN"/>
        </w:rPr>
        <w:t>；</w:t>
      </w:r>
    </w:p>
    <w:p w14:paraId="218508C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38C1DB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4" w:name="_Toc14563"/>
      <w:bookmarkStart w:id="525" w:name="_Toc6596"/>
      <w:bookmarkStart w:id="526" w:name="_Toc1125"/>
      <w:r>
        <w:rPr>
          <w:rFonts w:hint="eastAsia" w:ascii="宋体" w:hAnsi="宋体" w:cs="宋体"/>
          <w:b/>
          <w:i w:val="0"/>
          <w:iCs w:val="0"/>
          <w:color w:val="auto"/>
          <w:sz w:val="24"/>
          <w:highlight w:val="none"/>
        </w:rPr>
        <w:t>2.16检验和验收</w:t>
      </w:r>
      <w:bookmarkEnd w:id="524"/>
      <w:bookmarkEnd w:id="525"/>
      <w:bookmarkEnd w:id="526"/>
    </w:p>
    <w:p w14:paraId="5BED8039">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60CACDFC">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8769F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6"/>
    <w:bookmarkEnd w:id="497"/>
    <w:bookmarkEnd w:id="498"/>
    <w:bookmarkEnd w:id="499"/>
    <w:p w14:paraId="227AB6E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7" w:name="_Toc259093690"/>
      <w:bookmarkStart w:id="528" w:name="_Toc279701261"/>
      <w:bookmarkStart w:id="529" w:name="_Toc487900371"/>
      <w:bookmarkStart w:id="530" w:name="_Toc11284"/>
      <w:bookmarkStart w:id="531" w:name="_Toc25182"/>
      <w:bookmarkStart w:id="532" w:name="_Toc19604"/>
      <w:r>
        <w:rPr>
          <w:rFonts w:hint="eastAsia" w:ascii="宋体" w:hAnsi="宋体" w:cs="宋体"/>
          <w:b/>
          <w:i w:val="0"/>
          <w:iCs w:val="0"/>
          <w:color w:val="auto"/>
          <w:sz w:val="24"/>
          <w:highlight w:val="none"/>
        </w:rPr>
        <w:t>2.17 通知</w:t>
      </w:r>
      <w:bookmarkEnd w:id="527"/>
      <w:bookmarkEnd w:id="528"/>
      <w:bookmarkEnd w:id="529"/>
      <w:r>
        <w:rPr>
          <w:rFonts w:hint="eastAsia" w:ascii="宋体" w:hAnsi="宋体" w:cs="宋体"/>
          <w:b/>
          <w:i w:val="0"/>
          <w:iCs w:val="0"/>
          <w:color w:val="auto"/>
          <w:sz w:val="24"/>
          <w:highlight w:val="none"/>
        </w:rPr>
        <w:t>和送达</w:t>
      </w:r>
      <w:bookmarkEnd w:id="530"/>
      <w:bookmarkEnd w:id="531"/>
      <w:bookmarkEnd w:id="532"/>
    </w:p>
    <w:p w14:paraId="178A802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3" w:name="_Toc3135"/>
      <w:bookmarkStart w:id="534" w:name="_Toc6698"/>
      <w:bookmarkStart w:id="535" w:name="_Toc487900372"/>
      <w:bookmarkStart w:id="536" w:name="_Toc259093691"/>
      <w:bookmarkStart w:id="537"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3"/>
      <w:bookmarkEnd w:id="534"/>
    </w:p>
    <w:p w14:paraId="161A9C1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8" w:name="_Toc23294"/>
      <w:bookmarkStart w:id="539" w:name="_Toc23128"/>
      <w:r>
        <w:rPr>
          <w:rFonts w:hint="eastAsia" w:ascii="宋体" w:hAnsi="宋体" w:cs="宋体"/>
          <w:i w:val="0"/>
          <w:iCs w:val="0"/>
          <w:color w:val="auto"/>
          <w:sz w:val="24"/>
          <w:highlight w:val="none"/>
        </w:rPr>
        <w:t>2.17.2以当面交付方式送达的，交付之时视为送达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以电子邮件方式送达的，发出电子邮件之时视为送达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以传真方式送达的，发出传真之时视为送达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以邮寄方式送达的，邮件挂号寄出或者交邮之日之次日视为送达。</w:t>
      </w:r>
      <w:bookmarkEnd w:id="538"/>
      <w:bookmarkEnd w:id="539"/>
    </w:p>
    <w:p w14:paraId="503EF45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0" w:name="_Toc30599"/>
      <w:bookmarkStart w:id="541" w:name="_Toc18540"/>
      <w:bookmarkStart w:id="542" w:name="_Toc4355"/>
      <w:r>
        <w:rPr>
          <w:rFonts w:hint="eastAsia" w:ascii="宋体" w:hAnsi="宋体" w:cs="宋体"/>
          <w:b/>
          <w:i w:val="0"/>
          <w:iCs w:val="0"/>
          <w:color w:val="auto"/>
          <w:sz w:val="24"/>
          <w:highlight w:val="none"/>
        </w:rPr>
        <w:t>2.18 计量单位</w:t>
      </w:r>
      <w:bookmarkEnd w:id="535"/>
      <w:bookmarkEnd w:id="536"/>
      <w:bookmarkEnd w:id="537"/>
      <w:bookmarkEnd w:id="540"/>
      <w:bookmarkEnd w:id="541"/>
      <w:bookmarkEnd w:id="542"/>
    </w:p>
    <w:p w14:paraId="3D6C32F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5F888F7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3" w:name="_Toc10330"/>
      <w:bookmarkStart w:id="544" w:name="_Toc12773"/>
      <w:bookmarkStart w:id="545" w:name="_Toc487900373"/>
      <w:bookmarkStart w:id="546" w:name="_Toc259093692"/>
      <w:bookmarkStart w:id="547" w:name="_Toc279701263"/>
      <w:bookmarkStart w:id="548" w:name="_Toc18567"/>
      <w:r>
        <w:rPr>
          <w:rFonts w:hint="eastAsia" w:ascii="宋体" w:hAnsi="宋体" w:cs="宋体"/>
          <w:b/>
          <w:i w:val="0"/>
          <w:iCs w:val="0"/>
          <w:color w:val="auto"/>
          <w:sz w:val="24"/>
          <w:highlight w:val="none"/>
        </w:rPr>
        <w:t>2.19 合同使用的文字和适用的法律</w:t>
      </w:r>
      <w:bookmarkEnd w:id="543"/>
      <w:bookmarkEnd w:id="544"/>
      <w:bookmarkEnd w:id="545"/>
      <w:bookmarkEnd w:id="546"/>
      <w:bookmarkEnd w:id="547"/>
      <w:bookmarkEnd w:id="548"/>
    </w:p>
    <w:p w14:paraId="641FF055">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2.19.1 合同使用汉语书就、变更和解释</w:t>
      </w:r>
      <w:r>
        <w:rPr>
          <w:rFonts w:hint="eastAsia" w:ascii="宋体" w:hAnsi="宋体" w:cs="宋体"/>
          <w:i w:val="0"/>
          <w:iCs w:val="0"/>
          <w:color w:val="auto"/>
          <w:sz w:val="24"/>
          <w:highlight w:val="none"/>
          <w:lang w:eastAsia="zh-CN"/>
        </w:rPr>
        <w:t>；</w:t>
      </w:r>
    </w:p>
    <w:p w14:paraId="12B36CC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5D3FEFE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9" w:name="_Toc14001"/>
      <w:bookmarkStart w:id="550" w:name="_Toc19890"/>
      <w:bookmarkStart w:id="551" w:name="_Toc6885"/>
      <w:r>
        <w:rPr>
          <w:rFonts w:hint="eastAsia" w:ascii="宋体" w:hAnsi="宋体" w:cs="宋体"/>
          <w:b/>
          <w:i w:val="0"/>
          <w:iCs w:val="0"/>
          <w:color w:val="auto"/>
          <w:sz w:val="24"/>
          <w:highlight w:val="none"/>
        </w:rPr>
        <w:t>2.20 合同份数</w:t>
      </w:r>
      <w:bookmarkEnd w:id="549"/>
      <w:bookmarkEnd w:id="550"/>
      <w:bookmarkEnd w:id="551"/>
    </w:p>
    <w:p w14:paraId="330F999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3E1BCF59">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4078D733">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w:t>
      </w:r>
      <w:r>
        <w:rPr>
          <w:rFonts w:hint="eastAsia" w:ascii="宋体" w:hAnsi="宋体" w:cs="宋体"/>
          <w:color w:val="auto"/>
          <w:sz w:val="24"/>
          <w:highlight w:val="none"/>
          <w:lang w:eastAsia="zh-CN"/>
        </w:rPr>
        <w:t>；</w:t>
      </w:r>
      <w:r>
        <w:rPr>
          <w:rFonts w:hint="eastAsia" w:ascii="宋体" w:hAnsi="宋体" w:cs="宋体"/>
          <w:color w:val="auto"/>
          <w:sz w:val="24"/>
          <w:highlight w:val="none"/>
        </w:rPr>
        <w:t>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0271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9" w:type="dxa"/>
            <w:tcBorders>
              <w:left w:val="single" w:color="auto" w:sz="4" w:space="0"/>
            </w:tcBorders>
            <w:vAlign w:val="center"/>
          </w:tcPr>
          <w:p w14:paraId="044FF6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7" w:type="dxa"/>
            <w:vAlign w:val="center"/>
          </w:tcPr>
          <w:p w14:paraId="14CFA7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AF9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6408C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77" w:type="dxa"/>
            <w:vAlign w:val="center"/>
          </w:tcPr>
          <w:p w14:paraId="018FDA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D02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7147C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277" w:type="dxa"/>
            <w:vAlign w:val="center"/>
          </w:tcPr>
          <w:p w14:paraId="36DC90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tc>
      </w:tr>
      <w:tr w14:paraId="278F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6376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8277" w:type="dxa"/>
            <w:vAlign w:val="center"/>
          </w:tcPr>
          <w:p w14:paraId="5E24AB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2850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71D1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277" w:type="dxa"/>
            <w:vAlign w:val="center"/>
          </w:tcPr>
          <w:p w14:paraId="0B54F8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6EB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96AEC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77" w:type="dxa"/>
            <w:vAlign w:val="center"/>
          </w:tcPr>
          <w:p w14:paraId="60F58E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290408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p w14:paraId="29D56D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②货到验收合格后七个工作日内一次性付清余款。</w:t>
            </w:r>
          </w:p>
          <w:p w14:paraId="0C6428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705114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①货到验收合格且甲方收到合法有效的发票后</w:t>
            </w:r>
            <w:r>
              <w:rPr>
                <w:rFonts w:hint="eastAsia" w:ascii="宋体" w:hAnsi="宋体" w:cs="宋体"/>
                <w:color w:val="auto"/>
                <w:sz w:val="24"/>
                <w:highlight w:val="none"/>
                <w:lang w:val="en-US" w:eastAsia="zh-CN"/>
              </w:rPr>
              <w:t>二个月</w:t>
            </w:r>
            <w:r>
              <w:rPr>
                <w:rFonts w:hint="eastAsia" w:ascii="宋体" w:hAnsi="宋体" w:eastAsia="宋体" w:cs="宋体"/>
                <w:color w:val="auto"/>
                <w:sz w:val="24"/>
                <w:highlight w:val="none"/>
                <w:lang w:val="en-US" w:eastAsia="zh-CN"/>
              </w:rPr>
              <w:t>内付清全款。</w:t>
            </w:r>
          </w:p>
        </w:tc>
      </w:tr>
      <w:tr w14:paraId="461E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B287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7" w:type="dxa"/>
            <w:vAlign w:val="center"/>
          </w:tcPr>
          <w:p w14:paraId="2A68A2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30个日历</w:t>
            </w:r>
            <w:r>
              <w:rPr>
                <w:rFonts w:hint="eastAsia" w:ascii="宋体" w:hAnsi="宋体" w:eastAsia="宋体" w:cs="宋体"/>
                <w:color w:val="auto"/>
                <w:kern w:val="0"/>
                <w:sz w:val="24"/>
                <w:szCs w:val="24"/>
                <w:highlight w:val="none"/>
                <w:lang w:val="en-US" w:eastAsia="zh-CN"/>
              </w:rPr>
              <w:t>天内完成交货。</w:t>
            </w:r>
          </w:p>
        </w:tc>
      </w:tr>
      <w:tr w14:paraId="5749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7527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7" w:type="dxa"/>
            <w:vAlign w:val="center"/>
          </w:tcPr>
          <w:p w14:paraId="6FCFBB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32341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7F9C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77" w:type="dxa"/>
            <w:vAlign w:val="center"/>
          </w:tcPr>
          <w:p w14:paraId="13996A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6A730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270E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8277" w:type="dxa"/>
            <w:vAlign w:val="center"/>
          </w:tcPr>
          <w:p w14:paraId="1A8157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5608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9E73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8277" w:type="dxa"/>
            <w:vAlign w:val="center"/>
          </w:tcPr>
          <w:p w14:paraId="2BBDA1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3393B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11AEC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7" w:type="dxa"/>
            <w:vAlign w:val="center"/>
          </w:tcPr>
          <w:p w14:paraId="0D38C6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7A270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B4BD8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277" w:type="dxa"/>
            <w:vAlign w:val="center"/>
          </w:tcPr>
          <w:p w14:paraId="3D5FEF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F8C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0A271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8277" w:type="dxa"/>
            <w:vAlign w:val="center"/>
          </w:tcPr>
          <w:p w14:paraId="0C94D0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1F2DD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61BC3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8277" w:type="dxa"/>
          </w:tcPr>
          <w:p w14:paraId="03D543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6D0D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493A1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7" w:type="dxa"/>
            <w:vAlign w:val="center"/>
          </w:tcPr>
          <w:p w14:paraId="33950AB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42A0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00E81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7" w:type="dxa"/>
            <w:vAlign w:val="top"/>
          </w:tcPr>
          <w:p w14:paraId="64B2A1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581F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4F496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277" w:type="dxa"/>
            <w:vAlign w:val="center"/>
          </w:tcPr>
          <w:p w14:paraId="5BF423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1C1DB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1112CA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277" w:type="dxa"/>
            <w:vAlign w:val="center"/>
          </w:tcPr>
          <w:p w14:paraId="683303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04DDDB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0E1D8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8848D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8277" w:type="dxa"/>
            <w:vAlign w:val="top"/>
          </w:tcPr>
          <w:p w14:paraId="7014B9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4B27F4AD">
      <w:pPr>
        <w:kinsoku/>
        <w:wordWrap/>
        <w:overflowPunct/>
        <w:topLinePunct w:val="0"/>
        <w:bidi w:val="0"/>
        <w:outlineLvl w:val="9"/>
        <w:rPr>
          <w:color w:val="auto"/>
          <w:highlight w:val="none"/>
        </w:rPr>
      </w:pPr>
    </w:p>
    <w:p w14:paraId="3C059F86">
      <w:pPr>
        <w:rPr>
          <w:rFonts w:hint="eastAsia" w:ascii="宋体" w:hAnsi="宋体" w:cs="宋体"/>
          <w:b/>
          <w:color w:val="auto"/>
          <w:sz w:val="36"/>
          <w:szCs w:val="20"/>
          <w:highlight w:val="none"/>
        </w:rPr>
      </w:pPr>
      <w:bookmarkStart w:id="552" w:name="_Toc22993"/>
      <w:r>
        <w:rPr>
          <w:rFonts w:hint="eastAsia" w:ascii="宋体" w:hAnsi="宋体" w:cs="宋体"/>
          <w:b/>
          <w:color w:val="auto"/>
          <w:sz w:val="36"/>
          <w:szCs w:val="20"/>
          <w:highlight w:val="none"/>
        </w:rPr>
        <w:br w:type="page"/>
      </w:r>
    </w:p>
    <w:p w14:paraId="548BBB3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bookmarkEnd w:id="552"/>
    </w:p>
    <w:p w14:paraId="6DB7404F">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BD553F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C1FE2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CF3837">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D056D2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DD0A9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DBB28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1E9D1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2F625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8EFC13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FD1E2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01681E1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DF8C72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D28931">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2B9A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6AC2475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E03658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76D28BE3">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07F0DD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4546EB8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B88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E0BD2E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50C226C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5985C7F5">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AD001B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37E56F3F">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4AF0B4C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F662F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32726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1ED7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406E2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DBB948">
      <w:pPr>
        <w:kinsoku/>
        <w:wordWrap/>
        <w:overflowPunct/>
        <w:topLinePunct w:val="0"/>
        <w:bidi w:val="0"/>
        <w:outlineLvl w:val="9"/>
        <w:rPr>
          <w:rFonts w:ascii="宋体" w:hAnsi="宋体" w:cs="宋体"/>
          <w:color w:val="auto"/>
          <w:highlight w:val="none"/>
        </w:rPr>
      </w:pPr>
    </w:p>
    <w:p w14:paraId="7BD1C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9BFD3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68A58E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2281D8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CADF49">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7F4C33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5CC9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C010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FE9FB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35293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22529D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4B181E7">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2C31BA1">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27409F5">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7F26E1">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6F89534F">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0A961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CB86E8F">
      <w:pPr>
        <w:kinsoku/>
        <w:wordWrap/>
        <w:overflowPunct/>
        <w:topLinePunct w:val="0"/>
        <w:bidi w:val="0"/>
        <w:outlineLvl w:val="9"/>
        <w:rPr>
          <w:rFonts w:ascii="宋体" w:hAnsi="宋体" w:cs="宋体"/>
          <w:color w:val="auto"/>
          <w:highlight w:val="none"/>
        </w:rPr>
      </w:pPr>
    </w:p>
    <w:p w14:paraId="69ED01E4">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BA6F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01DA848">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85D49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ACB510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13B82D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E700BC">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FB323B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558917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33A3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2546C3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DF4A52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336BB6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0AE77A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A335C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475B0FB">
      <w:pPr>
        <w:kinsoku/>
        <w:wordWrap/>
        <w:overflowPunct/>
        <w:topLinePunct w:val="0"/>
        <w:bidi w:val="0"/>
        <w:outlineLvl w:val="9"/>
        <w:rPr>
          <w:rFonts w:ascii="宋体" w:hAnsi="宋体" w:cs="宋体"/>
          <w:color w:val="auto"/>
          <w:highlight w:val="none"/>
        </w:rPr>
      </w:pPr>
    </w:p>
    <w:p w14:paraId="6CF76F9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0207E9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9935D30">
      <w:pPr>
        <w:tabs>
          <w:tab w:val="left" w:pos="432"/>
        </w:tabs>
        <w:kinsoku/>
        <w:wordWrap/>
        <w:overflowPunct/>
        <w:topLinePunct w:val="0"/>
        <w:bidi w:val="0"/>
        <w:outlineLvl w:val="9"/>
        <w:rPr>
          <w:color w:val="auto"/>
          <w:highlight w:val="none"/>
          <w:lang w:val="en-US"/>
        </w:rPr>
      </w:pPr>
    </w:p>
    <w:p w14:paraId="7E1AC78B">
      <w:pPr>
        <w:kinsoku/>
        <w:wordWrap/>
        <w:overflowPunct/>
        <w:topLinePunct w:val="0"/>
        <w:bidi w:val="0"/>
        <w:outlineLvl w:val="9"/>
        <w:rPr>
          <w:color w:val="auto"/>
          <w:highlight w:val="none"/>
        </w:rPr>
      </w:pPr>
    </w:p>
    <w:p w14:paraId="396116E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994F77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8A1D53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EA9141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DB60A1">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6A5D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4B69223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3154E6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E03AF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F765A6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1D299AA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598A5A4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66A5CC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A5CA0B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4EE43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0760D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00841CE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01FA720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83705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F8D769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4F31206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0A685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160120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44FA9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D0BF65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11150C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55521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04340CB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7698E3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A2E36E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7E758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07385E0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231BFD5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F5C64">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106FEA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2BD9D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0E1D7D6">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26A77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AE8074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25B53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B5F7495">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DD1CF5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160DA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FA358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D95258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9D704F">
      <w:pPr>
        <w:kinsoku/>
        <w:wordWrap/>
        <w:overflowPunct/>
        <w:topLinePunct w:val="0"/>
        <w:bidi w:val="0"/>
        <w:snapToGrid w:val="0"/>
        <w:spacing w:line="360" w:lineRule="auto"/>
        <w:outlineLvl w:val="9"/>
        <w:rPr>
          <w:rFonts w:ascii="宋体" w:hAnsi="宋体" w:cs="宋体"/>
          <w:color w:val="auto"/>
          <w:sz w:val="24"/>
          <w:highlight w:val="none"/>
        </w:rPr>
      </w:pPr>
    </w:p>
    <w:p w14:paraId="07F96D88">
      <w:pPr>
        <w:kinsoku/>
        <w:wordWrap/>
        <w:overflowPunct/>
        <w:topLinePunct w:val="0"/>
        <w:bidi w:val="0"/>
        <w:snapToGrid w:val="0"/>
        <w:spacing w:line="360" w:lineRule="auto"/>
        <w:outlineLvl w:val="9"/>
        <w:rPr>
          <w:rFonts w:ascii="宋体" w:hAnsi="宋体" w:cs="宋体"/>
          <w:color w:val="auto"/>
          <w:sz w:val="24"/>
          <w:highlight w:val="none"/>
        </w:rPr>
      </w:pPr>
    </w:p>
    <w:p w14:paraId="1FDD7A31">
      <w:pPr>
        <w:kinsoku/>
        <w:wordWrap/>
        <w:overflowPunct/>
        <w:topLinePunct w:val="0"/>
        <w:bidi w:val="0"/>
        <w:snapToGrid w:val="0"/>
        <w:spacing w:line="360" w:lineRule="auto"/>
        <w:outlineLvl w:val="9"/>
        <w:rPr>
          <w:rFonts w:ascii="宋体" w:hAnsi="宋体" w:cs="宋体"/>
          <w:color w:val="auto"/>
          <w:sz w:val="24"/>
          <w:highlight w:val="none"/>
        </w:rPr>
      </w:pPr>
    </w:p>
    <w:p w14:paraId="7DC1486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D7F1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783B87">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C703E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549F2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41318C">
      <w:pPr>
        <w:kinsoku/>
        <w:wordWrap/>
        <w:overflowPunct/>
        <w:topLinePunct w:val="0"/>
        <w:bidi w:val="0"/>
        <w:jc w:val="center"/>
        <w:outlineLvl w:val="9"/>
        <w:rPr>
          <w:rFonts w:ascii="宋体" w:hAnsi="宋体" w:cs="宋体"/>
          <w:b/>
          <w:color w:val="auto"/>
          <w:kern w:val="0"/>
          <w:sz w:val="32"/>
          <w:szCs w:val="32"/>
          <w:highlight w:val="none"/>
        </w:rPr>
      </w:pPr>
    </w:p>
    <w:p w14:paraId="659C6513">
      <w:pPr>
        <w:kinsoku/>
        <w:wordWrap/>
        <w:overflowPunct/>
        <w:topLinePunct w:val="0"/>
        <w:bidi w:val="0"/>
        <w:jc w:val="center"/>
        <w:outlineLvl w:val="9"/>
        <w:rPr>
          <w:rFonts w:ascii="宋体" w:hAnsi="宋体" w:cs="宋体"/>
          <w:b/>
          <w:color w:val="auto"/>
          <w:kern w:val="0"/>
          <w:sz w:val="32"/>
          <w:szCs w:val="32"/>
          <w:highlight w:val="none"/>
        </w:rPr>
      </w:pPr>
    </w:p>
    <w:p w14:paraId="2E6C6CC6">
      <w:pPr>
        <w:kinsoku/>
        <w:wordWrap/>
        <w:overflowPunct/>
        <w:topLinePunct w:val="0"/>
        <w:bidi w:val="0"/>
        <w:jc w:val="center"/>
        <w:outlineLvl w:val="9"/>
        <w:rPr>
          <w:rFonts w:ascii="宋体" w:hAnsi="宋体" w:cs="宋体"/>
          <w:b/>
          <w:color w:val="auto"/>
          <w:kern w:val="0"/>
          <w:sz w:val="32"/>
          <w:szCs w:val="32"/>
          <w:highlight w:val="none"/>
        </w:rPr>
      </w:pPr>
    </w:p>
    <w:p w14:paraId="39C2C7E5">
      <w:pPr>
        <w:kinsoku/>
        <w:wordWrap/>
        <w:overflowPunct/>
        <w:topLinePunct w:val="0"/>
        <w:bidi w:val="0"/>
        <w:outlineLvl w:val="9"/>
        <w:rPr>
          <w:rFonts w:ascii="宋体" w:hAnsi="宋体" w:cs="宋体"/>
          <w:color w:val="auto"/>
          <w:highlight w:val="none"/>
        </w:rPr>
      </w:pPr>
    </w:p>
    <w:p w14:paraId="6FB071E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4475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EA31CC">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EA97BB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F466A">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5C3752B">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1D248428">
      <w:pPr>
        <w:pStyle w:val="153"/>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4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2E54E4">
            <w:pPr>
              <w:pStyle w:val="153"/>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76002A6">
            <w:pPr>
              <w:pStyle w:val="153"/>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07E8522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6D7674">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9FFA513">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6495BB">
      <w:pPr>
        <w:kinsoku/>
        <w:wordWrap/>
        <w:overflowPunct/>
        <w:topLinePunct w:val="0"/>
        <w:bidi w:val="0"/>
        <w:jc w:val="center"/>
        <w:outlineLvl w:val="9"/>
        <w:rPr>
          <w:rFonts w:ascii="宋体" w:hAnsi="宋体" w:cs="宋体"/>
          <w:b/>
          <w:color w:val="auto"/>
          <w:kern w:val="0"/>
          <w:sz w:val="32"/>
          <w:szCs w:val="32"/>
          <w:highlight w:val="none"/>
        </w:rPr>
      </w:pPr>
    </w:p>
    <w:p w14:paraId="151BA0E4">
      <w:pPr>
        <w:kinsoku/>
        <w:wordWrap/>
        <w:overflowPunct/>
        <w:topLinePunct w:val="0"/>
        <w:bidi w:val="0"/>
        <w:jc w:val="center"/>
        <w:outlineLvl w:val="9"/>
        <w:rPr>
          <w:rFonts w:ascii="宋体" w:hAnsi="宋体" w:cs="宋体"/>
          <w:b/>
          <w:color w:val="auto"/>
          <w:kern w:val="0"/>
          <w:sz w:val="32"/>
          <w:szCs w:val="32"/>
          <w:highlight w:val="none"/>
        </w:rPr>
      </w:pPr>
    </w:p>
    <w:p w14:paraId="3FEA4D14">
      <w:pPr>
        <w:kinsoku/>
        <w:wordWrap/>
        <w:overflowPunct/>
        <w:topLinePunct w:val="0"/>
        <w:bidi w:val="0"/>
        <w:jc w:val="center"/>
        <w:outlineLvl w:val="9"/>
        <w:rPr>
          <w:rFonts w:ascii="宋体" w:hAnsi="宋体" w:cs="宋体"/>
          <w:b/>
          <w:color w:val="auto"/>
          <w:kern w:val="0"/>
          <w:sz w:val="32"/>
          <w:szCs w:val="32"/>
          <w:highlight w:val="none"/>
        </w:rPr>
      </w:pPr>
    </w:p>
    <w:p w14:paraId="7F09F0E0">
      <w:pPr>
        <w:kinsoku/>
        <w:wordWrap/>
        <w:overflowPunct/>
        <w:topLinePunct w:val="0"/>
        <w:bidi w:val="0"/>
        <w:jc w:val="center"/>
        <w:outlineLvl w:val="9"/>
        <w:rPr>
          <w:rFonts w:ascii="宋体" w:hAnsi="宋体" w:cs="宋体"/>
          <w:b/>
          <w:color w:val="auto"/>
          <w:kern w:val="0"/>
          <w:sz w:val="32"/>
          <w:szCs w:val="32"/>
          <w:highlight w:val="none"/>
        </w:rPr>
      </w:pPr>
    </w:p>
    <w:p w14:paraId="5673E2D0">
      <w:pPr>
        <w:kinsoku/>
        <w:wordWrap/>
        <w:overflowPunct/>
        <w:topLinePunct w:val="0"/>
        <w:bidi w:val="0"/>
        <w:jc w:val="center"/>
        <w:outlineLvl w:val="9"/>
        <w:rPr>
          <w:rFonts w:ascii="宋体" w:hAnsi="宋体" w:cs="宋体"/>
          <w:b/>
          <w:color w:val="auto"/>
          <w:kern w:val="0"/>
          <w:sz w:val="32"/>
          <w:szCs w:val="32"/>
          <w:highlight w:val="none"/>
        </w:rPr>
      </w:pPr>
    </w:p>
    <w:p w14:paraId="393B2F36">
      <w:pPr>
        <w:kinsoku/>
        <w:wordWrap/>
        <w:overflowPunct/>
        <w:topLinePunct w:val="0"/>
        <w:bidi w:val="0"/>
        <w:jc w:val="center"/>
        <w:outlineLvl w:val="9"/>
        <w:rPr>
          <w:rFonts w:ascii="宋体" w:hAnsi="宋体" w:cs="宋体"/>
          <w:b/>
          <w:color w:val="auto"/>
          <w:kern w:val="0"/>
          <w:sz w:val="32"/>
          <w:szCs w:val="32"/>
          <w:highlight w:val="none"/>
        </w:rPr>
      </w:pPr>
    </w:p>
    <w:p w14:paraId="7B46E05F">
      <w:pPr>
        <w:kinsoku/>
        <w:wordWrap/>
        <w:overflowPunct/>
        <w:topLinePunct w:val="0"/>
        <w:bidi w:val="0"/>
        <w:jc w:val="center"/>
        <w:outlineLvl w:val="9"/>
        <w:rPr>
          <w:rFonts w:ascii="宋体" w:hAnsi="宋体" w:cs="宋体"/>
          <w:b/>
          <w:color w:val="auto"/>
          <w:kern w:val="0"/>
          <w:sz w:val="32"/>
          <w:szCs w:val="32"/>
          <w:highlight w:val="none"/>
        </w:rPr>
      </w:pPr>
    </w:p>
    <w:p w14:paraId="4E8AE430">
      <w:pPr>
        <w:kinsoku/>
        <w:wordWrap/>
        <w:overflowPunct/>
        <w:topLinePunct w:val="0"/>
        <w:bidi w:val="0"/>
        <w:jc w:val="center"/>
        <w:outlineLvl w:val="9"/>
        <w:rPr>
          <w:rFonts w:ascii="宋体" w:hAnsi="宋体" w:cs="宋体"/>
          <w:b/>
          <w:color w:val="auto"/>
          <w:kern w:val="0"/>
          <w:sz w:val="32"/>
          <w:szCs w:val="32"/>
          <w:highlight w:val="none"/>
        </w:rPr>
      </w:pPr>
    </w:p>
    <w:p w14:paraId="4D2F8BD4">
      <w:pPr>
        <w:kinsoku/>
        <w:wordWrap/>
        <w:overflowPunct/>
        <w:topLinePunct w:val="0"/>
        <w:bidi w:val="0"/>
        <w:jc w:val="center"/>
        <w:outlineLvl w:val="9"/>
        <w:rPr>
          <w:rFonts w:ascii="宋体" w:hAnsi="宋体" w:cs="宋体"/>
          <w:b/>
          <w:color w:val="auto"/>
          <w:kern w:val="0"/>
          <w:sz w:val="32"/>
          <w:szCs w:val="32"/>
          <w:highlight w:val="none"/>
        </w:rPr>
      </w:pPr>
    </w:p>
    <w:p w14:paraId="057FEB41">
      <w:pPr>
        <w:kinsoku/>
        <w:wordWrap/>
        <w:overflowPunct/>
        <w:topLinePunct w:val="0"/>
        <w:bidi w:val="0"/>
        <w:jc w:val="center"/>
        <w:outlineLvl w:val="9"/>
        <w:rPr>
          <w:rFonts w:ascii="宋体" w:hAnsi="宋体" w:cs="宋体"/>
          <w:b/>
          <w:color w:val="auto"/>
          <w:kern w:val="0"/>
          <w:sz w:val="32"/>
          <w:szCs w:val="32"/>
          <w:highlight w:val="none"/>
        </w:rPr>
      </w:pPr>
    </w:p>
    <w:p w14:paraId="0F1D506E">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AA9332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2A3422C">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3"/>
    <w:p w14:paraId="3B02F465">
      <w:pPr>
        <w:kinsoku/>
        <w:wordWrap/>
        <w:overflowPunct/>
        <w:topLinePunct w:val="0"/>
        <w:bidi w:val="0"/>
        <w:snapToGrid w:val="0"/>
        <w:spacing w:line="360" w:lineRule="auto"/>
        <w:outlineLvl w:val="9"/>
        <w:rPr>
          <w:rFonts w:ascii="宋体" w:hAnsi="宋体" w:cs="宋体"/>
          <w:color w:val="auto"/>
          <w:kern w:val="0"/>
          <w:sz w:val="24"/>
          <w:highlight w:val="none"/>
        </w:rPr>
      </w:pPr>
    </w:p>
    <w:p w14:paraId="774BB30C">
      <w:pPr>
        <w:kinsoku/>
        <w:wordWrap/>
        <w:overflowPunct/>
        <w:topLinePunct w:val="0"/>
        <w:bidi w:val="0"/>
        <w:jc w:val="center"/>
        <w:outlineLvl w:val="9"/>
        <w:rPr>
          <w:rFonts w:ascii="宋体" w:hAnsi="宋体" w:cs="宋体"/>
          <w:b/>
          <w:color w:val="auto"/>
          <w:kern w:val="0"/>
          <w:sz w:val="32"/>
          <w:szCs w:val="32"/>
          <w:highlight w:val="none"/>
        </w:rPr>
      </w:pPr>
    </w:p>
    <w:p w14:paraId="17A650C8">
      <w:pPr>
        <w:tabs>
          <w:tab w:val="left" w:pos="432"/>
        </w:tabs>
        <w:kinsoku/>
        <w:wordWrap/>
        <w:overflowPunct/>
        <w:topLinePunct w:val="0"/>
        <w:bidi w:val="0"/>
        <w:outlineLvl w:val="9"/>
        <w:rPr>
          <w:color w:val="auto"/>
          <w:highlight w:val="none"/>
          <w:lang w:val="en-US"/>
        </w:rPr>
      </w:pPr>
    </w:p>
    <w:p w14:paraId="14F6EE39">
      <w:pPr>
        <w:kinsoku/>
        <w:wordWrap/>
        <w:overflowPunct/>
        <w:topLinePunct w:val="0"/>
        <w:bidi w:val="0"/>
        <w:outlineLvl w:val="9"/>
        <w:rPr>
          <w:color w:val="auto"/>
          <w:highlight w:val="none"/>
        </w:rPr>
      </w:pPr>
    </w:p>
    <w:p w14:paraId="772F572A">
      <w:pPr>
        <w:tabs>
          <w:tab w:val="left" w:pos="432"/>
        </w:tabs>
        <w:kinsoku/>
        <w:wordWrap/>
        <w:overflowPunct/>
        <w:topLinePunct w:val="0"/>
        <w:bidi w:val="0"/>
        <w:outlineLvl w:val="9"/>
        <w:rPr>
          <w:color w:val="auto"/>
          <w:highlight w:val="none"/>
          <w:lang w:val="en-US"/>
        </w:rPr>
      </w:pPr>
    </w:p>
    <w:p w14:paraId="36BB8A0F">
      <w:pPr>
        <w:kinsoku/>
        <w:wordWrap/>
        <w:overflowPunct/>
        <w:topLinePunct w:val="0"/>
        <w:bidi w:val="0"/>
        <w:jc w:val="center"/>
        <w:outlineLvl w:val="9"/>
        <w:rPr>
          <w:rFonts w:ascii="宋体" w:hAnsi="宋体" w:cs="宋体"/>
          <w:b/>
          <w:color w:val="auto"/>
          <w:kern w:val="0"/>
          <w:sz w:val="32"/>
          <w:szCs w:val="32"/>
          <w:highlight w:val="none"/>
        </w:rPr>
      </w:pPr>
    </w:p>
    <w:p w14:paraId="02FC466A">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7D7B8BB">
      <w:pPr>
        <w:kinsoku/>
        <w:wordWrap/>
        <w:overflowPunct/>
        <w:topLinePunct w:val="0"/>
        <w:bidi w:val="0"/>
        <w:jc w:val="center"/>
        <w:outlineLvl w:val="9"/>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6864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9AE960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1739A98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64F114B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D6F78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5E9DA07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F0E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58EDA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5DC95849">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77FB8E2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D8EE544">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20102077">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85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70D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387523A7">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66B0D487">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2E6ECA3">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6B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AF3DD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77FC7619">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0D5E66E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2359B64F">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446BBD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D359C9">
      <w:pPr>
        <w:kinsoku/>
        <w:wordWrap/>
        <w:overflowPunct/>
        <w:topLinePunct w:val="0"/>
        <w:bidi w:val="0"/>
        <w:jc w:val="center"/>
        <w:outlineLvl w:val="9"/>
        <w:rPr>
          <w:rFonts w:ascii="宋体" w:hAnsi="宋体" w:cs="宋体"/>
          <w:b/>
          <w:color w:val="auto"/>
          <w:kern w:val="0"/>
          <w:sz w:val="32"/>
          <w:szCs w:val="32"/>
          <w:highlight w:val="none"/>
        </w:rPr>
      </w:pPr>
    </w:p>
    <w:p w14:paraId="546DA857">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D8E7CC4">
      <w:pPr>
        <w:kinsoku/>
        <w:wordWrap/>
        <w:overflowPunct/>
        <w:topLinePunct w:val="0"/>
        <w:bidi w:val="0"/>
        <w:jc w:val="center"/>
        <w:outlineLvl w:val="9"/>
        <w:rPr>
          <w:rFonts w:ascii="宋体" w:hAnsi="宋体" w:cs="宋体"/>
          <w:b/>
          <w:color w:val="auto"/>
          <w:kern w:val="0"/>
          <w:sz w:val="32"/>
          <w:szCs w:val="32"/>
          <w:highlight w:val="none"/>
        </w:rPr>
      </w:pPr>
    </w:p>
    <w:p w14:paraId="35D1073C">
      <w:pPr>
        <w:kinsoku/>
        <w:wordWrap/>
        <w:overflowPunct/>
        <w:topLinePunct w:val="0"/>
        <w:bidi w:val="0"/>
        <w:jc w:val="center"/>
        <w:outlineLvl w:val="9"/>
        <w:rPr>
          <w:rFonts w:ascii="宋体" w:hAnsi="宋体" w:cs="宋体"/>
          <w:b/>
          <w:color w:val="auto"/>
          <w:kern w:val="0"/>
          <w:sz w:val="32"/>
          <w:szCs w:val="32"/>
          <w:highlight w:val="none"/>
        </w:rPr>
      </w:pPr>
    </w:p>
    <w:p w14:paraId="698D7D11">
      <w:pPr>
        <w:kinsoku/>
        <w:wordWrap/>
        <w:overflowPunct/>
        <w:topLinePunct w:val="0"/>
        <w:bidi w:val="0"/>
        <w:jc w:val="center"/>
        <w:outlineLvl w:val="9"/>
        <w:rPr>
          <w:rFonts w:ascii="宋体" w:hAnsi="宋体" w:cs="宋体"/>
          <w:b/>
          <w:color w:val="auto"/>
          <w:kern w:val="0"/>
          <w:sz w:val="32"/>
          <w:szCs w:val="32"/>
          <w:highlight w:val="none"/>
        </w:rPr>
      </w:pPr>
    </w:p>
    <w:p w14:paraId="76FB3A30">
      <w:pPr>
        <w:kinsoku/>
        <w:wordWrap/>
        <w:overflowPunct/>
        <w:topLinePunct w:val="0"/>
        <w:bidi w:val="0"/>
        <w:jc w:val="center"/>
        <w:outlineLvl w:val="9"/>
        <w:rPr>
          <w:rFonts w:ascii="宋体" w:hAnsi="宋体" w:cs="宋体"/>
          <w:b/>
          <w:color w:val="auto"/>
          <w:kern w:val="0"/>
          <w:sz w:val="32"/>
          <w:szCs w:val="32"/>
          <w:highlight w:val="none"/>
        </w:rPr>
      </w:pPr>
    </w:p>
    <w:p w14:paraId="7AF9E995">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7F6EA4">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C29AFE">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298FC2">
      <w:pPr>
        <w:kinsoku/>
        <w:wordWrap/>
        <w:overflowPunct/>
        <w:topLinePunct w:val="0"/>
        <w:bidi w:val="0"/>
        <w:jc w:val="center"/>
        <w:outlineLvl w:val="9"/>
        <w:rPr>
          <w:rFonts w:ascii="宋体" w:hAnsi="宋体" w:cs="宋体"/>
          <w:b/>
          <w:color w:val="auto"/>
          <w:kern w:val="0"/>
          <w:sz w:val="32"/>
          <w:szCs w:val="32"/>
          <w:highlight w:val="none"/>
        </w:rPr>
      </w:pPr>
    </w:p>
    <w:p w14:paraId="0C32B1B4">
      <w:pPr>
        <w:kinsoku/>
        <w:wordWrap/>
        <w:overflowPunct/>
        <w:topLinePunct w:val="0"/>
        <w:bidi w:val="0"/>
        <w:jc w:val="center"/>
        <w:outlineLvl w:val="9"/>
        <w:rPr>
          <w:rFonts w:ascii="宋体" w:hAnsi="宋体" w:cs="宋体"/>
          <w:b/>
          <w:color w:val="auto"/>
          <w:kern w:val="0"/>
          <w:sz w:val="32"/>
          <w:szCs w:val="32"/>
          <w:highlight w:val="none"/>
        </w:rPr>
      </w:pPr>
    </w:p>
    <w:p w14:paraId="489572FF">
      <w:pPr>
        <w:kinsoku/>
        <w:wordWrap/>
        <w:overflowPunct/>
        <w:topLinePunct w:val="0"/>
        <w:bidi w:val="0"/>
        <w:jc w:val="center"/>
        <w:outlineLvl w:val="9"/>
        <w:rPr>
          <w:rFonts w:ascii="宋体" w:hAnsi="宋体" w:cs="宋体"/>
          <w:b/>
          <w:color w:val="auto"/>
          <w:kern w:val="0"/>
          <w:sz w:val="32"/>
          <w:szCs w:val="32"/>
          <w:highlight w:val="none"/>
        </w:rPr>
      </w:pPr>
    </w:p>
    <w:p w14:paraId="6D584AC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1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903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7F6B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AB6F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F5BD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054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F4F6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DCCB6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6B3053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2E583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68D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44876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CBA91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28DB2F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72E9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B6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F909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CF9D4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11E91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C2128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12EACF77">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39D2F4D3">
      <w:pPr>
        <w:kinsoku/>
        <w:wordWrap/>
        <w:overflowPunct/>
        <w:topLinePunct w:val="0"/>
        <w:bidi w:val="0"/>
        <w:jc w:val="center"/>
        <w:outlineLvl w:val="9"/>
        <w:rPr>
          <w:rFonts w:ascii="宋体" w:hAnsi="宋体" w:cs="宋体"/>
          <w:b/>
          <w:color w:val="auto"/>
          <w:kern w:val="0"/>
          <w:sz w:val="32"/>
          <w:szCs w:val="32"/>
          <w:highlight w:val="none"/>
        </w:rPr>
      </w:pPr>
    </w:p>
    <w:p w14:paraId="1AEE95D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C2082">
      <w:pPr>
        <w:kinsoku/>
        <w:wordWrap/>
        <w:overflowPunct/>
        <w:topLinePunct w:val="0"/>
        <w:bidi w:val="0"/>
        <w:ind w:firstLine="1911" w:firstLineChars="595"/>
        <w:outlineLvl w:val="9"/>
        <w:rPr>
          <w:rFonts w:ascii="宋体" w:hAnsi="宋体" w:cs="宋体"/>
          <w:b/>
          <w:bCs/>
          <w:color w:val="auto"/>
          <w:sz w:val="32"/>
          <w:szCs w:val="32"/>
          <w:highlight w:val="none"/>
        </w:rPr>
      </w:pPr>
    </w:p>
    <w:p w14:paraId="145AA7F0">
      <w:pPr>
        <w:kinsoku/>
        <w:wordWrap/>
        <w:overflowPunct/>
        <w:topLinePunct w:val="0"/>
        <w:bidi w:val="0"/>
        <w:ind w:firstLine="1911" w:firstLineChars="595"/>
        <w:outlineLvl w:val="9"/>
        <w:rPr>
          <w:rFonts w:ascii="宋体" w:hAnsi="宋体" w:cs="宋体"/>
          <w:b/>
          <w:bCs/>
          <w:color w:val="auto"/>
          <w:sz w:val="32"/>
          <w:szCs w:val="32"/>
          <w:highlight w:val="none"/>
        </w:rPr>
      </w:pPr>
    </w:p>
    <w:p w14:paraId="08A42542">
      <w:pPr>
        <w:kinsoku/>
        <w:wordWrap/>
        <w:overflowPunct/>
        <w:topLinePunct w:val="0"/>
        <w:bidi w:val="0"/>
        <w:ind w:firstLine="1911" w:firstLineChars="595"/>
        <w:outlineLvl w:val="9"/>
        <w:rPr>
          <w:rFonts w:ascii="宋体" w:hAnsi="宋体" w:cs="宋体"/>
          <w:b/>
          <w:bCs/>
          <w:color w:val="auto"/>
          <w:sz w:val="32"/>
          <w:szCs w:val="32"/>
          <w:highlight w:val="none"/>
        </w:rPr>
      </w:pPr>
    </w:p>
    <w:p w14:paraId="43DDC779">
      <w:pPr>
        <w:kinsoku/>
        <w:wordWrap/>
        <w:overflowPunct/>
        <w:topLinePunct w:val="0"/>
        <w:bidi w:val="0"/>
        <w:ind w:firstLine="1911" w:firstLineChars="595"/>
        <w:outlineLvl w:val="9"/>
        <w:rPr>
          <w:rFonts w:ascii="宋体" w:hAnsi="宋体" w:cs="宋体"/>
          <w:b/>
          <w:bCs/>
          <w:color w:val="auto"/>
          <w:sz w:val="32"/>
          <w:szCs w:val="32"/>
          <w:highlight w:val="none"/>
        </w:rPr>
      </w:pPr>
    </w:p>
    <w:p w14:paraId="171B17F2">
      <w:pPr>
        <w:kinsoku/>
        <w:wordWrap/>
        <w:overflowPunct/>
        <w:topLinePunct w:val="0"/>
        <w:bidi w:val="0"/>
        <w:ind w:firstLine="1911" w:firstLineChars="595"/>
        <w:outlineLvl w:val="9"/>
        <w:rPr>
          <w:rFonts w:ascii="宋体" w:hAnsi="宋体" w:cs="宋体"/>
          <w:b/>
          <w:bCs/>
          <w:color w:val="auto"/>
          <w:sz w:val="32"/>
          <w:szCs w:val="32"/>
          <w:highlight w:val="none"/>
        </w:rPr>
      </w:pPr>
    </w:p>
    <w:p w14:paraId="13F0848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94AE14">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612F9A">
      <w:pPr>
        <w:kinsoku/>
        <w:wordWrap/>
        <w:overflowPunct/>
        <w:topLinePunct w:val="0"/>
        <w:bidi w:val="0"/>
        <w:snapToGrid w:val="0"/>
        <w:spacing w:line="360" w:lineRule="auto"/>
        <w:outlineLvl w:val="9"/>
        <w:rPr>
          <w:rFonts w:ascii="宋体" w:hAnsi="宋体" w:cs="宋体"/>
          <w:color w:val="auto"/>
          <w:sz w:val="24"/>
          <w:highlight w:val="none"/>
        </w:rPr>
      </w:pPr>
    </w:p>
    <w:p w14:paraId="43AEFD9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EEF2F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EC5F2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62D83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69C94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DA767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3D352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0AF8BD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6E68F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BB5CC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5BB71CA">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EA8BD66">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7DDE0F3">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3754C8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2CB9D4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C0CAE9">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D5590FB">
      <w:pPr>
        <w:kinsoku/>
        <w:wordWrap/>
        <w:overflowPunct/>
        <w:topLinePunct w:val="0"/>
        <w:bidi w:val="0"/>
        <w:spacing w:line="360" w:lineRule="auto"/>
        <w:jc w:val="center"/>
        <w:outlineLvl w:val="9"/>
        <w:rPr>
          <w:rFonts w:ascii="宋体" w:hAnsi="宋体" w:cs="宋体"/>
          <w:b/>
          <w:bCs/>
          <w:color w:val="auto"/>
          <w:sz w:val="24"/>
          <w:highlight w:val="none"/>
        </w:rPr>
      </w:pPr>
    </w:p>
    <w:p w14:paraId="1945192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B96738">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50212D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BB735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24218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8A0C10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31C8C81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5DAA4CF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FFCEB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F8B17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6C57F4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92D1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4244E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22AB9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A2C930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49C4D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89088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FAA93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A7E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D02FD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5D335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D90C8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14B4E3B">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2F34AAAB">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54" w:name="_Toc26425"/>
      <w:bookmarkStart w:id="555" w:name="_Toc18859"/>
      <w:r>
        <w:rPr>
          <w:rFonts w:hint="eastAsia" w:ascii="宋体" w:hAnsi="宋体" w:eastAsia="宋体" w:cs="宋体"/>
          <w:b/>
          <w:color w:val="auto"/>
          <w:kern w:val="2"/>
          <w:sz w:val="32"/>
          <w:szCs w:val="32"/>
          <w:highlight w:val="none"/>
          <w:lang w:val="en-US" w:eastAsia="zh-CN" w:bidi="ar-SA"/>
        </w:rPr>
        <w:t>一、开标一览表（报价表）</w:t>
      </w:r>
    </w:p>
    <w:p w14:paraId="77478DC4">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39B242A">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5E9A073">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618E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61A4002F">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6E0D603">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7AF96A81">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4909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172DF366">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B690194">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3B3F4D13">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01CA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535BA41">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457149C7">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4066E080">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0E50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0AE29D61">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2807CEF7">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2CC4D263">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1E62F8D">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57B34A0">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417D01E">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25B8459">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C8CC5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0435BF44">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5"/>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431CCF9E">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7695C4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09EEECF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26D41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9F626F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672D69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3516729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7504D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590FC4F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5B180C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75C3651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163C6E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0C53B9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04436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1813E5D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3AAA486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4D67CEA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24EE4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202E5AFF">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C856F2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745843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28BA30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1E2750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706E2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35BECE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F1FECD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6459818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1E3D5E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457DB0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737DA9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466B42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FF8794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263DB5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34F492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99C5085">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9C1540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F90E78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FB021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5D8637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A89FC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C82950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D6EB9C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45A4C95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3057D9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F779D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4838FA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F9E19A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E46DF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B22D90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7E645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896BB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CFA4E3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4764C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B11017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D9206B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B5F92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A30D08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15C18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86FFE3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1F0F7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29AFB4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AB99A6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4738EE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B3CC8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114C57F">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AC56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7D5898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C3854F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7F1627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11D70E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923FAA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D2B4B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2AD045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38159D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A8E181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4C1A0A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37A9C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0C0968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7033A2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5E67F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7A7E67B">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F429B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9D325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549936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5517C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18F2BD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79505A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64F564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69CAEB2">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E1419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10A383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64D5F6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B9CADE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7D3350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FB96A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606105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DA8D8BD">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1356D4D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2B3D200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57D38D75">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0B0328F7">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08F05011">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1C2B8A70">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8A0718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2CDBE14">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61130662">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54"/>
    <w:bookmarkEnd w:id="555"/>
    <w:p w14:paraId="1FAEA1F8">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56" w:name="_Toc25773"/>
      <w:bookmarkStart w:id="557"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8" w:name="_Hlk101259491"/>
      <w:r>
        <w:rPr>
          <w:rFonts w:hint="eastAsia" w:ascii="宋体" w:hAnsi="宋体" w:eastAsia="宋体" w:cs="宋体"/>
          <w:color w:val="auto"/>
          <w:sz w:val="32"/>
          <w:szCs w:val="32"/>
          <w:highlight w:val="none"/>
        </w:rPr>
        <w:t>（如果有）</w:t>
      </w:r>
      <w:bookmarkEnd w:id="556"/>
      <w:bookmarkEnd w:id="557"/>
      <w:bookmarkEnd w:id="558"/>
    </w:p>
    <w:p w14:paraId="29D17628">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388074">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772E41A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B3C3EB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9F1062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961A3E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F57AEC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271E4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22B0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691E3B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89630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725AE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BF2C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642C9A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34E74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BFD7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2E90D2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4EB1E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99D3713">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97389B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59" w:name="OLE_LINK14"/>
      <w:bookmarkStart w:id="560" w:name="OLE_LINK13"/>
      <w:r>
        <w:rPr>
          <w:rFonts w:hint="eastAsia" w:ascii="宋体" w:hAnsi="宋体" w:cs="宋体"/>
          <w:b/>
          <w:color w:val="auto"/>
          <w:spacing w:val="6"/>
          <w:sz w:val="32"/>
          <w:szCs w:val="32"/>
          <w:highlight w:val="none"/>
        </w:rPr>
        <w:t>残疾人福利性单位声明函</w:t>
      </w:r>
    </w:p>
    <w:bookmarkEnd w:id="559"/>
    <w:bookmarkEnd w:id="560"/>
    <w:p w14:paraId="501DAA9E">
      <w:pPr>
        <w:kinsoku/>
        <w:wordWrap/>
        <w:overflowPunct/>
        <w:topLinePunct w:val="0"/>
        <w:bidi w:val="0"/>
        <w:spacing w:line="360" w:lineRule="auto"/>
        <w:outlineLvl w:val="9"/>
        <w:rPr>
          <w:rFonts w:ascii="宋体" w:hAnsi="宋体" w:cs="宋体"/>
          <w:b/>
          <w:color w:val="auto"/>
          <w:spacing w:val="6"/>
          <w:sz w:val="30"/>
          <w:szCs w:val="30"/>
          <w:highlight w:val="none"/>
        </w:rPr>
      </w:pPr>
    </w:p>
    <w:p w14:paraId="46402C2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41E75C">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FE76E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D7A9C9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CD9DA5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4EE214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65F78604">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964E321">
      <w:pPr>
        <w:kinsoku/>
        <w:wordWrap/>
        <w:overflowPunct/>
        <w:topLinePunct w:val="0"/>
        <w:bidi w:val="0"/>
        <w:spacing w:line="360" w:lineRule="auto"/>
        <w:ind w:firstLine="420" w:firstLineChars="200"/>
        <w:outlineLvl w:val="9"/>
        <w:rPr>
          <w:rFonts w:ascii="宋体" w:hAnsi="宋体" w:cs="宋体"/>
          <w:color w:val="auto"/>
          <w:highlight w:val="none"/>
        </w:rPr>
      </w:pPr>
    </w:p>
    <w:p w14:paraId="4C40BE6F">
      <w:pPr>
        <w:kinsoku/>
        <w:wordWrap/>
        <w:overflowPunct/>
        <w:topLinePunct w:val="0"/>
        <w:bidi w:val="0"/>
        <w:spacing w:line="360" w:lineRule="auto"/>
        <w:ind w:firstLine="420" w:firstLineChars="200"/>
        <w:outlineLvl w:val="9"/>
        <w:rPr>
          <w:rFonts w:ascii="宋体" w:hAnsi="宋体" w:cs="宋体"/>
          <w:color w:val="auto"/>
          <w:highlight w:val="none"/>
        </w:rPr>
      </w:pPr>
    </w:p>
    <w:p w14:paraId="3B77C789">
      <w:pPr>
        <w:kinsoku/>
        <w:wordWrap/>
        <w:overflowPunct/>
        <w:topLinePunct w:val="0"/>
        <w:bidi w:val="0"/>
        <w:spacing w:line="360" w:lineRule="auto"/>
        <w:ind w:firstLine="420" w:firstLineChars="200"/>
        <w:outlineLvl w:val="9"/>
        <w:rPr>
          <w:rFonts w:ascii="宋体" w:hAnsi="宋体" w:cs="宋体"/>
          <w:color w:val="auto"/>
          <w:highlight w:val="none"/>
        </w:rPr>
      </w:pPr>
    </w:p>
    <w:p w14:paraId="17C47869">
      <w:pPr>
        <w:kinsoku/>
        <w:wordWrap/>
        <w:overflowPunct/>
        <w:topLinePunct w:val="0"/>
        <w:bidi w:val="0"/>
        <w:spacing w:line="360" w:lineRule="auto"/>
        <w:ind w:firstLine="420" w:firstLineChars="200"/>
        <w:outlineLvl w:val="9"/>
        <w:rPr>
          <w:rFonts w:ascii="宋体" w:hAnsi="宋体" w:cs="宋体"/>
          <w:color w:val="auto"/>
          <w:highlight w:val="none"/>
        </w:rPr>
      </w:pPr>
    </w:p>
    <w:p w14:paraId="2958FFC2">
      <w:pPr>
        <w:kinsoku/>
        <w:wordWrap/>
        <w:overflowPunct/>
        <w:topLinePunct w:val="0"/>
        <w:bidi w:val="0"/>
        <w:spacing w:line="360" w:lineRule="auto"/>
        <w:outlineLvl w:val="9"/>
        <w:rPr>
          <w:rFonts w:ascii="宋体" w:hAnsi="宋体" w:cs="宋体"/>
          <w:b/>
          <w:color w:val="auto"/>
          <w:sz w:val="24"/>
          <w:highlight w:val="none"/>
        </w:rPr>
      </w:pPr>
    </w:p>
    <w:p w14:paraId="0B3D7D53">
      <w:pPr>
        <w:kinsoku/>
        <w:wordWrap/>
        <w:overflowPunct/>
        <w:topLinePunct w:val="0"/>
        <w:bidi w:val="0"/>
        <w:spacing w:line="360" w:lineRule="auto"/>
        <w:outlineLvl w:val="9"/>
        <w:rPr>
          <w:rFonts w:ascii="宋体" w:hAnsi="宋体" w:cs="宋体"/>
          <w:b/>
          <w:color w:val="auto"/>
          <w:sz w:val="24"/>
          <w:highlight w:val="none"/>
        </w:rPr>
      </w:pPr>
    </w:p>
    <w:p w14:paraId="2040115B">
      <w:pPr>
        <w:kinsoku/>
        <w:wordWrap/>
        <w:overflowPunct/>
        <w:topLinePunct w:val="0"/>
        <w:bidi w:val="0"/>
        <w:spacing w:line="360" w:lineRule="auto"/>
        <w:outlineLvl w:val="9"/>
        <w:rPr>
          <w:rFonts w:ascii="宋体" w:hAnsi="宋体" w:cs="宋体"/>
          <w:b/>
          <w:color w:val="auto"/>
          <w:sz w:val="24"/>
          <w:highlight w:val="none"/>
        </w:rPr>
      </w:pPr>
    </w:p>
    <w:p w14:paraId="143311E6">
      <w:pPr>
        <w:kinsoku/>
        <w:wordWrap/>
        <w:overflowPunct/>
        <w:topLinePunct w:val="0"/>
        <w:bidi w:val="0"/>
        <w:spacing w:line="360" w:lineRule="auto"/>
        <w:outlineLvl w:val="9"/>
        <w:rPr>
          <w:rFonts w:ascii="宋体" w:hAnsi="宋体" w:cs="宋体"/>
          <w:b/>
          <w:color w:val="auto"/>
          <w:sz w:val="24"/>
          <w:highlight w:val="none"/>
        </w:rPr>
      </w:pPr>
    </w:p>
    <w:p w14:paraId="49E20550">
      <w:pPr>
        <w:kinsoku/>
        <w:wordWrap/>
        <w:overflowPunct/>
        <w:topLinePunct w:val="0"/>
        <w:bidi w:val="0"/>
        <w:spacing w:line="360" w:lineRule="auto"/>
        <w:outlineLvl w:val="9"/>
        <w:rPr>
          <w:rFonts w:ascii="宋体" w:hAnsi="宋体" w:cs="宋体"/>
          <w:b/>
          <w:color w:val="auto"/>
          <w:sz w:val="24"/>
          <w:highlight w:val="none"/>
        </w:rPr>
      </w:pPr>
    </w:p>
    <w:p w14:paraId="01277A0F">
      <w:pPr>
        <w:kinsoku/>
        <w:wordWrap/>
        <w:overflowPunct/>
        <w:topLinePunct w:val="0"/>
        <w:bidi w:val="0"/>
        <w:spacing w:line="360" w:lineRule="auto"/>
        <w:outlineLvl w:val="9"/>
        <w:rPr>
          <w:rFonts w:ascii="宋体" w:hAnsi="宋体" w:cs="宋体"/>
          <w:b/>
          <w:color w:val="auto"/>
          <w:sz w:val="24"/>
          <w:highlight w:val="none"/>
        </w:rPr>
      </w:pPr>
    </w:p>
    <w:p w14:paraId="3FBC1964">
      <w:pPr>
        <w:kinsoku/>
        <w:wordWrap/>
        <w:overflowPunct/>
        <w:topLinePunct w:val="0"/>
        <w:bidi w:val="0"/>
        <w:spacing w:line="360" w:lineRule="auto"/>
        <w:outlineLvl w:val="9"/>
        <w:rPr>
          <w:rFonts w:ascii="宋体" w:hAnsi="宋体" w:cs="宋体"/>
          <w:b/>
          <w:color w:val="auto"/>
          <w:sz w:val="24"/>
          <w:highlight w:val="none"/>
        </w:rPr>
      </w:pPr>
    </w:p>
    <w:p w14:paraId="70D7CF2C">
      <w:pPr>
        <w:kinsoku/>
        <w:wordWrap/>
        <w:overflowPunct/>
        <w:topLinePunct w:val="0"/>
        <w:bidi w:val="0"/>
        <w:spacing w:line="360" w:lineRule="auto"/>
        <w:outlineLvl w:val="9"/>
        <w:rPr>
          <w:rFonts w:ascii="宋体" w:hAnsi="宋体" w:cs="宋体"/>
          <w:b/>
          <w:color w:val="auto"/>
          <w:sz w:val="24"/>
          <w:highlight w:val="none"/>
        </w:rPr>
      </w:pPr>
    </w:p>
    <w:p w14:paraId="011CE545">
      <w:pPr>
        <w:kinsoku/>
        <w:wordWrap/>
        <w:overflowPunct/>
        <w:topLinePunct w:val="0"/>
        <w:bidi w:val="0"/>
        <w:spacing w:line="360" w:lineRule="auto"/>
        <w:outlineLvl w:val="9"/>
        <w:rPr>
          <w:rFonts w:ascii="宋体" w:hAnsi="宋体" w:cs="宋体"/>
          <w:b/>
          <w:color w:val="auto"/>
          <w:sz w:val="24"/>
          <w:highlight w:val="none"/>
        </w:rPr>
      </w:pPr>
    </w:p>
    <w:p w14:paraId="23B03B8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9051D3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C8EC5B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C8B1C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B2CA4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8911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8207E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3BB5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CC2F0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37C56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70774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A60C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AAF69D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6535E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F49D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54C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5C88E81D">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F1975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08ED78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504FF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D011A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AE32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D828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8DC567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156A450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C9CD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420F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AF12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0C85540">
      <w:pPr>
        <w:kinsoku/>
        <w:wordWrap/>
        <w:overflowPunct/>
        <w:topLinePunct w:val="0"/>
        <w:bidi w:val="0"/>
        <w:spacing w:line="360" w:lineRule="auto"/>
        <w:jc w:val="center"/>
        <w:outlineLvl w:val="9"/>
        <w:rPr>
          <w:rFonts w:ascii="宋体" w:hAnsi="宋体" w:cs="宋体"/>
          <w:b/>
          <w:bCs/>
          <w:color w:val="auto"/>
          <w:sz w:val="24"/>
          <w:highlight w:val="none"/>
        </w:rPr>
      </w:pPr>
    </w:p>
    <w:p w14:paraId="05BDC0CA">
      <w:pPr>
        <w:kinsoku/>
        <w:wordWrap/>
        <w:overflowPunct/>
        <w:topLinePunct w:val="0"/>
        <w:bidi w:val="0"/>
        <w:spacing w:line="360" w:lineRule="auto"/>
        <w:outlineLvl w:val="9"/>
        <w:rPr>
          <w:rFonts w:ascii="宋体" w:hAnsi="宋体" w:cs="宋体"/>
          <w:b/>
          <w:color w:val="auto"/>
          <w:sz w:val="24"/>
          <w:highlight w:val="none"/>
        </w:rPr>
      </w:pPr>
    </w:p>
    <w:p w14:paraId="281EB08B">
      <w:pPr>
        <w:kinsoku/>
        <w:wordWrap/>
        <w:overflowPunct/>
        <w:topLinePunct w:val="0"/>
        <w:bidi w:val="0"/>
        <w:spacing w:line="360" w:lineRule="auto"/>
        <w:outlineLvl w:val="9"/>
        <w:rPr>
          <w:rFonts w:ascii="宋体" w:hAnsi="宋体" w:cs="宋体"/>
          <w:b/>
          <w:color w:val="auto"/>
          <w:sz w:val="24"/>
          <w:highlight w:val="none"/>
        </w:rPr>
      </w:pPr>
    </w:p>
    <w:p w14:paraId="61008267">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A0CDFC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A1A8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325141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40E86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B474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68984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73A3321A">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677A94D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0C913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10793F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EF834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35C80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5B3B3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5A68D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F8FFA8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CBE30C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81B35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28C4D6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341CA7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17CD61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EAD8A3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ECD73A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793E58">
      <w:pPr>
        <w:kinsoku/>
        <w:wordWrap/>
        <w:overflowPunct/>
        <w:topLinePunct w:val="0"/>
        <w:bidi w:val="0"/>
        <w:spacing w:line="360" w:lineRule="auto"/>
        <w:jc w:val="center"/>
        <w:outlineLvl w:val="9"/>
        <w:rPr>
          <w:rFonts w:ascii="宋体" w:hAnsi="宋体" w:cs="宋体"/>
          <w:b/>
          <w:color w:val="auto"/>
          <w:sz w:val="24"/>
          <w:highlight w:val="none"/>
        </w:rPr>
      </w:pPr>
    </w:p>
    <w:p w14:paraId="295CAE2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242CF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74590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2325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7E389">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71B8D1">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68A4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D9E3A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FA71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3D1B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4BFB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ED1E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898F03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3C9BB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0DE62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578E7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D489D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0A3BD80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CEC08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008C1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F023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4A07C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C2ED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9024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32831EF">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24D1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B3D905">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2FEEB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1843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0FA97F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B7913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40D60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93DC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EB9A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49E30CC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384C02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6816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D4114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CB52A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9C317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71D8F2E4">
      <w:pPr>
        <w:kinsoku/>
        <w:wordWrap/>
        <w:overflowPunct/>
        <w:topLinePunct w:val="0"/>
        <w:bidi w:val="0"/>
        <w:spacing w:line="360" w:lineRule="auto"/>
        <w:outlineLvl w:val="9"/>
        <w:rPr>
          <w:rFonts w:ascii="宋体" w:hAnsi="宋体" w:cs="宋体"/>
          <w:b/>
          <w:color w:val="auto"/>
          <w:sz w:val="24"/>
          <w:highlight w:val="none"/>
        </w:rPr>
      </w:pPr>
    </w:p>
    <w:p w14:paraId="1A9A3A23">
      <w:pPr>
        <w:kinsoku/>
        <w:wordWrap/>
        <w:overflowPunct/>
        <w:topLinePunct w:val="0"/>
        <w:bidi w:val="0"/>
        <w:spacing w:line="360" w:lineRule="auto"/>
        <w:outlineLvl w:val="9"/>
        <w:rPr>
          <w:rFonts w:ascii="宋体" w:hAnsi="宋体" w:cs="宋体"/>
          <w:b/>
          <w:color w:val="auto"/>
          <w:sz w:val="24"/>
          <w:highlight w:val="none"/>
        </w:rPr>
      </w:pPr>
    </w:p>
    <w:p w14:paraId="3D63693C">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3236ACB4">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143F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AEDD6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986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096537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99CC1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A04AC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3D875185">
      <w:pPr>
        <w:kinsoku/>
        <w:wordWrap/>
        <w:overflowPunct/>
        <w:topLinePunct w:val="0"/>
        <w:bidi w:val="0"/>
        <w:spacing w:line="360" w:lineRule="auto"/>
        <w:outlineLvl w:val="9"/>
        <w:rPr>
          <w:rFonts w:ascii="宋体" w:hAnsi="宋体" w:cs="宋体"/>
          <w:b/>
          <w:color w:val="auto"/>
          <w:sz w:val="24"/>
          <w:highlight w:val="none"/>
        </w:rPr>
      </w:pPr>
    </w:p>
    <w:p w14:paraId="39105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6F93C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FFA5A">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D8CCC4">
      <w:pPr>
        <w:kinsoku/>
        <w:wordWrap/>
        <w:overflowPunct/>
        <w:topLinePunct w:val="0"/>
        <w:bidi w:val="0"/>
        <w:spacing w:line="360" w:lineRule="auto"/>
        <w:outlineLvl w:val="9"/>
        <w:rPr>
          <w:rFonts w:ascii="宋体" w:hAnsi="宋体" w:cs="宋体"/>
          <w:color w:val="auto"/>
          <w:sz w:val="24"/>
          <w:highlight w:val="none"/>
          <w:u w:val="single"/>
        </w:rPr>
      </w:pPr>
    </w:p>
    <w:p w14:paraId="706ACF0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F8297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672D79">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A79BC9B">
      <w:pPr>
        <w:kinsoku/>
        <w:wordWrap/>
        <w:overflowPunct/>
        <w:topLinePunct w:val="0"/>
        <w:bidi w:val="0"/>
        <w:spacing w:line="360" w:lineRule="auto"/>
        <w:ind w:firstLine="494"/>
        <w:outlineLvl w:val="9"/>
        <w:rPr>
          <w:rFonts w:ascii="宋体" w:hAnsi="宋体" w:cs="宋体"/>
          <w:color w:val="auto"/>
          <w:sz w:val="24"/>
          <w:highlight w:val="none"/>
        </w:rPr>
      </w:pPr>
    </w:p>
    <w:p w14:paraId="4FA27E2D">
      <w:pPr>
        <w:kinsoku/>
        <w:wordWrap/>
        <w:overflowPunct/>
        <w:topLinePunct w:val="0"/>
        <w:bidi w:val="0"/>
        <w:spacing w:line="360" w:lineRule="auto"/>
        <w:ind w:firstLine="494"/>
        <w:outlineLvl w:val="9"/>
        <w:rPr>
          <w:rFonts w:ascii="宋体" w:hAnsi="宋体" w:cs="宋体"/>
          <w:color w:val="auto"/>
          <w:sz w:val="24"/>
          <w:highlight w:val="none"/>
        </w:rPr>
      </w:pPr>
    </w:p>
    <w:p w14:paraId="6E979CBB">
      <w:pPr>
        <w:kinsoku/>
        <w:wordWrap/>
        <w:overflowPunct/>
        <w:topLinePunct w:val="0"/>
        <w:bidi w:val="0"/>
        <w:spacing w:line="360" w:lineRule="auto"/>
        <w:ind w:firstLine="494"/>
        <w:outlineLvl w:val="9"/>
        <w:rPr>
          <w:rFonts w:ascii="宋体" w:hAnsi="宋体" w:cs="宋体"/>
          <w:color w:val="auto"/>
          <w:sz w:val="24"/>
          <w:highlight w:val="none"/>
        </w:rPr>
      </w:pPr>
    </w:p>
    <w:p w14:paraId="5797D067">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6E9D5F8">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4D37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E9569CD">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99F8F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99F8F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A54E4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7A54E4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09D45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B243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931FD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C0DC9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1980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5482F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4A266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1CA4F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A84784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052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1669E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9222F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75FD82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CCF88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DC602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DCE0B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20106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72AE25D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A2248B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CF093F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6ADD7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14351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B365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3B30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A3664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BC2E0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1"/>
    <w:p w14:paraId="7DF3F9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DD11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F4BD5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E220E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C76D6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B98E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9FDB7F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2E71E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5ADF6A">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C5A543">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F534B9">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0686B">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654E26">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83E2A9">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54D19870">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7973F92">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71538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373F3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6F82EE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093456">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B5EDED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392D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2A730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2"/>
    </w:p>
    <w:p w14:paraId="5B9DCF3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D7911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19EB146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AF933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77B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ADC116">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AF3A80">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A92E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1E86B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1B5FA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B7A3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EF35400">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809A6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4CB43DC">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BE47E7">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C200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2B7155">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29C3D0A">
      <w:pPr>
        <w:keepNext w:val="0"/>
        <w:keepLines w:val="0"/>
        <w:pageBreakBefore w:val="0"/>
        <w:widowControl w:val="0"/>
        <w:tabs>
          <w:tab w:val="left" w:pos="3888"/>
        </w:tabs>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ab/>
      </w:r>
    </w:p>
    <w:p w14:paraId="5926370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中小企业声明函（货物）</w:t>
      </w:r>
    </w:p>
    <w:p w14:paraId="62D31649">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879F66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其他未列明行业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行业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26A103A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0440C70">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A81AB5">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6BFB96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E86B8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015CC55">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6E55220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中明确的所属行业”依据招标文件第二部分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③中型企业、小型企业、微型企业等3种企业类型，结合以上数据，依据《中小企业划型标准规定》（工信部联企业〔2011〕300号）确定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46432C5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6504BD41">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354006">
      <w:pPr>
        <w:pStyle w:val="26"/>
        <w:rPr>
          <w:rFonts w:hint="eastAsia" w:ascii="宋体" w:hAnsi="宋体" w:eastAsia="宋体" w:cs="宋体"/>
          <w:color w:val="auto"/>
          <w:sz w:val="24"/>
          <w:highlight w:val="none"/>
          <w:lang w:val="en-US" w:eastAsia="zh-CN"/>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p>
    <w:tbl>
      <w:tblPr>
        <w:tblStyle w:val="65"/>
        <w:tblpPr w:leftFromText="180" w:rightFromText="180" w:vertAnchor="page" w:horzAnchor="margin" w:tblpXSpec="center" w:tblpY="886"/>
        <w:tblW w:w="14894" w:type="dxa"/>
        <w:tblInd w:w="0" w:type="dxa"/>
        <w:tblLayout w:type="fixed"/>
        <w:tblCellMar>
          <w:top w:w="0" w:type="dxa"/>
          <w:left w:w="108" w:type="dxa"/>
          <w:bottom w:w="0" w:type="dxa"/>
          <w:right w:w="108" w:type="dxa"/>
        </w:tblCellMar>
      </w:tblPr>
      <w:tblGrid>
        <w:gridCol w:w="2229"/>
        <w:gridCol w:w="1463"/>
        <w:gridCol w:w="1723"/>
        <w:gridCol w:w="1624"/>
        <w:gridCol w:w="1211"/>
        <w:gridCol w:w="1446"/>
        <w:gridCol w:w="1490"/>
        <w:gridCol w:w="1255"/>
        <w:gridCol w:w="1246"/>
        <w:gridCol w:w="1192"/>
        <w:gridCol w:w="15"/>
      </w:tblGrid>
      <w:tr w14:paraId="07246DA7">
        <w:tblPrEx>
          <w:tblCellMar>
            <w:top w:w="0" w:type="dxa"/>
            <w:left w:w="108" w:type="dxa"/>
            <w:bottom w:w="0" w:type="dxa"/>
            <w:right w:w="108" w:type="dxa"/>
          </w:tblCellMar>
        </w:tblPrEx>
        <w:trPr>
          <w:trHeight w:val="299" w:hRule="atLeast"/>
        </w:trPr>
        <w:tc>
          <w:tcPr>
            <w:tcW w:w="14894" w:type="dxa"/>
            <w:gridSpan w:val="11"/>
            <w:tcBorders>
              <w:top w:val="nil"/>
              <w:left w:val="nil"/>
              <w:bottom w:val="nil"/>
              <w:right w:val="nil"/>
            </w:tcBorders>
            <w:noWrap w:val="0"/>
            <w:vAlign w:val="bottom"/>
          </w:tcPr>
          <w:p w14:paraId="54F4AD80">
            <w:pPr>
              <w:keepNext w:val="0"/>
              <w:keepLines w:val="0"/>
              <w:widowControl/>
              <w:suppressLineNumbers w:val="0"/>
              <w:spacing w:before="0" w:beforeAutospacing="0" w:after="0" w:afterAutospacing="0" w:line="360" w:lineRule="auto"/>
              <w:ind w:left="0" w:right="0"/>
              <w:jc w:val="both"/>
              <w:rPr>
                <w:rFonts w:hint="default" w:cs="宋体"/>
                <w:b/>
                <w:bCs/>
                <w:color w:val="auto"/>
                <w:kern w:val="0"/>
                <w:sz w:val="24"/>
                <w:highlight w:val="none"/>
              </w:rPr>
            </w:pPr>
          </w:p>
          <w:p w14:paraId="39872EC7">
            <w:pPr>
              <w:keepNext w:val="0"/>
              <w:keepLines w:val="0"/>
              <w:widowControl/>
              <w:suppressLineNumbers w:val="0"/>
              <w:spacing w:before="0" w:beforeAutospacing="0" w:after="0" w:afterAutospacing="0" w:line="360" w:lineRule="auto"/>
              <w:ind w:left="0" w:right="0"/>
              <w:jc w:val="center"/>
              <w:rPr>
                <w:rFonts w:hint="default" w:cs="宋体"/>
                <w:b/>
                <w:bCs/>
                <w:color w:val="auto"/>
                <w:kern w:val="0"/>
                <w:sz w:val="32"/>
                <w:szCs w:val="32"/>
                <w:highlight w:val="none"/>
              </w:rPr>
            </w:pPr>
            <w:r>
              <w:rPr>
                <w:rFonts w:hint="eastAsia" w:cs="宋体"/>
                <w:b/>
                <w:bCs/>
                <w:color w:val="auto"/>
                <w:kern w:val="0"/>
                <w:sz w:val="24"/>
                <w:highlight w:val="none"/>
              </w:rPr>
              <w:t>中小微行业划型标准规定（根据工信部联企业〔2011〕300号制定）</w:t>
            </w:r>
          </w:p>
        </w:tc>
      </w:tr>
      <w:tr w14:paraId="333BB229">
        <w:tblPrEx>
          <w:tblCellMar>
            <w:top w:w="0" w:type="dxa"/>
            <w:left w:w="108" w:type="dxa"/>
            <w:bottom w:w="0" w:type="dxa"/>
            <w:right w:w="108" w:type="dxa"/>
          </w:tblCellMar>
        </w:tblPrEx>
        <w:trPr>
          <w:trHeight w:val="331" w:hRule="atLeast"/>
        </w:trPr>
        <w:tc>
          <w:tcPr>
            <w:tcW w:w="2230" w:type="dxa"/>
            <w:vMerge w:val="restart"/>
            <w:tcBorders>
              <w:top w:val="single" w:color="auto" w:sz="8" w:space="0"/>
              <w:left w:val="single" w:color="auto" w:sz="8" w:space="0"/>
              <w:bottom w:val="single" w:color="000000" w:sz="4" w:space="0"/>
              <w:right w:val="single" w:color="auto" w:sz="8" w:space="0"/>
            </w:tcBorders>
            <w:noWrap w:val="0"/>
            <w:vAlign w:val="center"/>
          </w:tcPr>
          <w:p w14:paraId="1CB9A0DB">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行业</w:t>
            </w:r>
          </w:p>
        </w:tc>
        <w:tc>
          <w:tcPr>
            <w:tcW w:w="4810" w:type="dxa"/>
            <w:gridSpan w:val="3"/>
            <w:tcBorders>
              <w:top w:val="single" w:color="auto" w:sz="8" w:space="0"/>
              <w:left w:val="nil"/>
              <w:bottom w:val="single" w:color="auto" w:sz="4" w:space="0"/>
              <w:right w:val="single" w:color="000000" w:sz="8" w:space="0"/>
            </w:tcBorders>
            <w:noWrap w:val="0"/>
            <w:vAlign w:val="bottom"/>
          </w:tcPr>
          <w:p w14:paraId="2793F424">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中型企业</w:t>
            </w:r>
          </w:p>
        </w:tc>
        <w:tc>
          <w:tcPr>
            <w:tcW w:w="4147" w:type="dxa"/>
            <w:gridSpan w:val="3"/>
            <w:tcBorders>
              <w:top w:val="single" w:color="auto" w:sz="8" w:space="0"/>
              <w:left w:val="nil"/>
              <w:bottom w:val="single" w:color="auto" w:sz="4" w:space="0"/>
              <w:right w:val="single" w:color="000000" w:sz="8" w:space="0"/>
            </w:tcBorders>
            <w:noWrap w:val="0"/>
            <w:vAlign w:val="bottom"/>
          </w:tcPr>
          <w:p w14:paraId="41CC8026">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小型企业</w:t>
            </w:r>
          </w:p>
        </w:tc>
        <w:tc>
          <w:tcPr>
            <w:tcW w:w="3706" w:type="dxa"/>
            <w:gridSpan w:val="4"/>
            <w:tcBorders>
              <w:top w:val="single" w:color="auto" w:sz="8" w:space="0"/>
              <w:left w:val="nil"/>
              <w:bottom w:val="single" w:color="auto" w:sz="4" w:space="0"/>
              <w:right w:val="single" w:color="000000" w:sz="8" w:space="0"/>
            </w:tcBorders>
            <w:noWrap w:val="0"/>
            <w:vAlign w:val="bottom"/>
          </w:tcPr>
          <w:p w14:paraId="47C12EF6">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微型企业</w:t>
            </w:r>
          </w:p>
        </w:tc>
      </w:tr>
      <w:tr w14:paraId="4300A782">
        <w:tblPrEx>
          <w:tblCellMar>
            <w:top w:w="0" w:type="dxa"/>
            <w:left w:w="108" w:type="dxa"/>
            <w:bottom w:w="0" w:type="dxa"/>
            <w:right w:w="108" w:type="dxa"/>
          </w:tblCellMar>
        </w:tblPrEx>
        <w:trPr>
          <w:gridAfter w:val="1"/>
          <w:wAfter w:w="15" w:type="dxa"/>
          <w:trHeight w:val="374" w:hRule="atLeast"/>
        </w:trPr>
        <w:tc>
          <w:tcPr>
            <w:tcW w:w="2230" w:type="dxa"/>
            <w:vMerge w:val="continue"/>
            <w:tcBorders>
              <w:top w:val="single" w:color="auto" w:sz="8" w:space="0"/>
              <w:left w:val="single" w:color="auto" w:sz="8" w:space="0"/>
              <w:bottom w:val="single" w:color="000000" w:sz="4" w:space="0"/>
              <w:right w:val="single" w:color="auto" w:sz="8" w:space="0"/>
            </w:tcBorders>
            <w:noWrap w:val="0"/>
            <w:vAlign w:val="center"/>
          </w:tcPr>
          <w:p w14:paraId="7046B2D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p>
        </w:tc>
        <w:tc>
          <w:tcPr>
            <w:tcW w:w="1463" w:type="dxa"/>
            <w:tcBorders>
              <w:top w:val="nil"/>
              <w:left w:val="nil"/>
              <w:bottom w:val="single" w:color="auto" w:sz="4" w:space="0"/>
              <w:right w:val="single" w:color="auto" w:sz="4" w:space="0"/>
            </w:tcBorders>
            <w:noWrap w:val="0"/>
            <w:vAlign w:val="bottom"/>
          </w:tcPr>
          <w:p w14:paraId="0673720D">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从业人员X（人）</w:t>
            </w:r>
          </w:p>
        </w:tc>
        <w:tc>
          <w:tcPr>
            <w:tcW w:w="1723" w:type="dxa"/>
            <w:tcBorders>
              <w:top w:val="nil"/>
              <w:left w:val="nil"/>
              <w:bottom w:val="single" w:color="auto" w:sz="4" w:space="0"/>
              <w:right w:val="single" w:color="auto" w:sz="4" w:space="0"/>
            </w:tcBorders>
            <w:noWrap w:val="0"/>
            <w:vAlign w:val="bottom"/>
          </w:tcPr>
          <w:p w14:paraId="2D50E6CB">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营业收入Y</w:t>
            </w:r>
          </w:p>
          <w:p w14:paraId="614E6ABF">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624" w:type="dxa"/>
            <w:tcBorders>
              <w:top w:val="nil"/>
              <w:left w:val="nil"/>
              <w:bottom w:val="single" w:color="auto" w:sz="4" w:space="0"/>
              <w:right w:val="single" w:color="auto" w:sz="8" w:space="0"/>
            </w:tcBorders>
            <w:noWrap w:val="0"/>
            <w:vAlign w:val="bottom"/>
          </w:tcPr>
          <w:p w14:paraId="7453B775">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资产总额Z</w:t>
            </w:r>
          </w:p>
          <w:p w14:paraId="60C1CC13">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211" w:type="dxa"/>
            <w:tcBorders>
              <w:top w:val="nil"/>
              <w:left w:val="nil"/>
              <w:bottom w:val="single" w:color="auto" w:sz="4" w:space="0"/>
              <w:right w:val="single" w:color="auto" w:sz="4" w:space="0"/>
            </w:tcBorders>
            <w:noWrap w:val="0"/>
            <w:vAlign w:val="bottom"/>
          </w:tcPr>
          <w:p w14:paraId="18D3DB9C">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从业人员X（人）</w:t>
            </w:r>
          </w:p>
        </w:tc>
        <w:tc>
          <w:tcPr>
            <w:tcW w:w="1446" w:type="dxa"/>
            <w:tcBorders>
              <w:top w:val="nil"/>
              <w:left w:val="nil"/>
              <w:bottom w:val="single" w:color="auto" w:sz="4" w:space="0"/>
              <w:right w:val="single" w:color="auto" w:sz="4" w:space="0"/>
            </w:tcBorders>
            <w:noWrap w:val="0"/>
            <w:vAlign w:val="bottom"/>
          </w:tcPr>
          <w:p w14:paraId="2DF8F153">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营业收入Y</w:t>
            </w:r>
          </w:p>
          <w:p w14:paraId="38944220">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489" w:type="dxa"/>
            <w:tcBorders>
              <w:top w:val="nil"/>
              <w:left w:val="nil"/>
              <w:bottom w:val="single" w:color="auto" w:sz="4" w:space="0"/>
              <w:right w:val="single" w:color="auto" w:sz="8" w:space="0"/>
            </w:tcBorders>
            <w:noWrap w:val="0"/>
            <w:vAlign w:val="bottom"/>
          </w:tcPr>
          <w:p w14:paraId="0D3BE7FE">
            <w:pPr>
              <w:keepNext w:val="0"/>
              <w:keepLines w:val="0"/>
              <w:widowControl/>
              <w:suppressLineNumbers w:val="0"/>
              <w:spacing w:before="0" w:beforeAutospacing="0" w:after="0" w:afterAutospacing="0" w:line="360" w:lineRule="auto"/>
              <w:ind w:left="0" w:right="0"/>
              <w:jc w:val="center"/>
              <w:rPr>
                <w:rFonts w:hint="eastAsia" w:cs="宋体"/>
                <w:b w:val="0"/>
                <w:bCs w:val="0"/>
                <w:color w:val="auto"/>
                <w:kern w:val="0"/>
                <w:sz w:val="18"/>
                <w:szCs w:val="13"/>
                <w:highlight w:val="none"/>
              </w:rPr>
            </w:pPr>
            <w:r>
              <w:rPr>
                <w:rFonts w:hint="eastAsia" w:cs="宋体"/>
                <w:b w:val="0"/>
                <w:bCs w:val="0"/>
                <w:color w:val="auto"/>
                <w:kern w:val="0"/>
                <w:sz w:val="18"/>
                <w:szCs w:val="13"/>
                <w:highlight w:val="none"/>
              </w:rPr>
              <w:t>资产总额Z</w:t>
            </w:r>
          </w:p>
          <w:p w14:paraId="1F42D504">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（万元）</w:t>
            </w:r>
          </w:p>
        </w:tc>
        <w:tc>
          <w:tcPr>
            <w:tcW w:w="1255" w:type="dxa"/>
            <w:tcBorders>
              <w:top w:val="nil"/>
              <w:left w:val="nil"/>
              <w:bottom w:val="single" w:color="auto" w:sz="4" w:space="0"/>
              <w:right w:val="single" w:color="auto" w:sz="4" w:space="0"/>
            </w:tcBorders>
            <w:noWrap w:val="0"/>
            <w:vAlign w:val="bottom"/>
          </w:tcPr>
          <w:p w14:paraId="62C531BB">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从业人员X（人）</w:t>
            </w:r>
          </w:p>
        </w:tc>
        <w:tc>
          <w:tcPr>
            <w:tcW w:w="1246" w:type="dxa"/>
            <w:tcBorders>
              <w:top w:val="nil"/>
              <w:left w:val="nil"/>
              <w:bottom w:val="single" w:color="auto" w:sz="4" w:space="0"/>
              <w:right w:val="single" w:color="auto" w:sz="4" w:space="0"/>
            </w:tcBorders>
            <w:noWrap w:val="0"/>
            <w:vAlign w:val="bottom"/>
          </w:tcPr>
          <w:p w14:paraId="3ED9F64E">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营业收入Y（万元）</w:t>
            </w:r>
          </w:p>
        </w:tc>
        <w:tc>
          <w:tcPr>
            <w:tcW w:w="1192" w:type="dxa"/>
            <w:tcBorders>
              <w:top w:val="nil"/>
              <w:left w:val="nil"/>
              <w:bottom w:val="single" w:color="auto" w:sz="4" w:space="0"/>
              <w:right w:val="single" w:color="auto" w:sz="8" w:space="0"/>
            </w:tcBorders>
            <w:noWrap w:val="0"/>
            <w:vAlign w:val="bottom"/>
          </w:tcPr>
          <w:p w14:paraId="4FAAD164">
            <w:pPr>
              <w:keepNext w:val="0"/>
              <w:keepLines w:val="0"/>
              <w:widowControl/>
              <w:suppressLineNumbers w:val="0"/>
              <w:spacing w:before="0" w:beforeAutospacing="0" w:after="0" w:afterAutospacing="0" w:line="360" w:lineRule="auto"/>
              <w:ind w:left="0" w:right="0"/>
              <w:jc w:val="center"/>
              <w:rPr>
                <w:rFonts w:hint="default" w:cs="宋体"/>
                <w:b w:val="0"/>
                <w:bCs w:val="0"/>
                <w:color w:val="auto"/>
                <w:kern w:val="0"/>
                <w:sz w:val="18"/>
                <w:szCs w:val="13"/>
                <w:highlight w:val="none"/>
              </w:rPr>
            </w:pPr>
            <w:r>
              <w:rPr>
                <w:rFonts w:hint="eastAsia" w:cs="宋体"/>
                <w:b w:val="0"/>
                <w:bCs w:val="0"/>
                <w:color w:val="auto"/>
                <w:kern w:val="0"/>
                <w:sz w:val="18"/>
                <w:szCs w:val="13"/>
                <w:highlight w:val="none"/>
              </w:rPr>
              <w:t>资产总额Z（万元）</w:t>
            </w:r>
          </w:p>
        </w:tc>
      </w:tr>
      <w:tr w14:paraId="3B909A45">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0BE61A2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1、农林牧渔业</w:t>
            </w:r>
          </w:p>
        </w:tc>
        <w:tc>
          <w:tcPr>
            <w:tcW w:w="1463" w:type="dxa"/>
            <w:tcBorders>
              <w:top w:val="nil"/>
              <w:left w:val="nil"/>
              <w:bottom w:val="single" w:color="auto" w:sz="4" w:space="0"/>
              <w:right w:val="single" w:color="auto" w:sz="4" w:space="0"/>
            </w:tcBorders>
            <w:noWrap w:val="0"/>
            <w:vAlign w:val="bottom"/>
          </w:tcPr>
          <w:p w14:paraId="06E7C6B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723" w:type="dxa"/>
            <w:tcBorders>
              <w:top w:val="nil"/>
              <w:left w:val="nil"/>
              <w:bottom w:val="single" w:color="auto" w:sz="4" w:space="0"/>
              <w:right w:val="single" w:color="auto" w:sz="4" w:space="0"/>
            </w:tcBorders>
            <w:noWrap w:val="0"/>
            <w:vAlign w:val="bottom"/>
          </w:tcPr>
          <w:p w14:paraId="657950F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500≤Y＜20000</w:t>
            </w:r>
          </w:p>
        </w:tc>
        <w:tc>
          <w:tcPr>
            <w:tcW w:w="1624" w:type="dxa"/>
            <w:tcBorders>
              <w:top w:val="nil"/>
              <w:left w:val="nil"/>
              <w:bottom w:val="single" w:color="auto" w:sz="4" w:space="0"/>
              <w:right w:val="single" w:color="auto" w:sz="8" w:space="0"/>
            </w:tcBorders>
            <w:noWrap w:val="0"/>
            <w:vAlign w:val="bottom"/>
          </w:tcPr>
          <w:p w14:paraId="4C066C5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03C5083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46" w:type="dxa"/>
            <w:tcBorders>
              <w:top w:val="nil"/>
              <w:left w:val="nil"/>
              <w:bottom w:val="single" w:color="auto" w:sz="4" w:space="0"/>
              <w:right w:val="single" w:color="auto" w:sz="4" w:space="0"/>
            </w:tcBorders>
            <w:noWrap w:val="0"/>
            <w:vAlign w:val="bottom"/>
          </w:tcPr>
          <w:p w14:paraId="0A73D5E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50≤Y＜500</w:t>
            </w:r>
          </w:p>
        </w:tc>
        <w:tc>
          <w:tcPr>
            <w:tcW w:w="1489" w:type="dxa"/>
            <w:tcBorders>
              <w:top w:val="nil"/>
              <w:left w:val="nil"/>
              <w:bottom w:val="single" w:color="auto" w:sz="4" w:space="0"/>
              <w:right w:val="single" w:color="auto" w:sz="8" w:space="0"/>
            </w:tcBorders>
            <w:noWrap w:val="0"/>
            <w:vAlign w:val="bottom"/>
          </w:tcPr>
          <w:p w14:paraId="388CBF6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04E5D8B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46" w:type="dxa"/>
            <w:tcBorders>
              <w:top w:val="nil"/>
              <w:left w:val="nil"/>
              <w:bottom w:val="single" w:color="auto" w:sz="4" w:space="0"/>
              <w:right w:val="single" w:color="auto" w:sz="4" w:space="0"/>
            </w:tcBorders>
            <w:noWrap w:val="0"/>
            <w:vAlign w:val="bottom"/>
          </w:tcPr>
          <w:p w14:paraId="024ACBA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Y＜50</w:t>
            </w:r>
          </w:p>
        </w:tc>
        <w:tc>
          <w:tcPr>
            <w:tcW w:w="1192" w:type="dxa"/>
            <w:tcBorders>
              <w:top w:val="nil"/>
              <w:left w:val="nil"/>
              <w:bottom w:val="single" w:color="auto" w:sz="4" w:space="0"/>
              <w:right w:val="single" w:color="auto" w:sz="8" w:space="0"/>
            </w:tcBorders>
            <w:noWrap w:val="0"/>
            <w:vAlign w:val="bottom"/>
          </w:tcPr>
          <w:p w14:paraId="2820DE9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1AD536C0">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0D0F12C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2、工业</w:t>
            </w:r>
          </w:p>
        </w:tc>
        <w:tc>
          <w:tcPr>
            <w:tcW w:w="1463" w:type="dxa"/>
            <w:tcBorders>
              <w:top w:val="nil"/>
              <w:left w:val="nil"/>
              <w:bottom w:val="single" w:color="auto" w:sz="4" w:space="0"/>
              <w:right w:val="single" w:color="auto" w:sz="4" w:space="0"/>
            </w:tcBorders>
            <w:noWrap w:val="0"/>
            <w:vAlign w:val="bottom"/>
          </w:tcPr>
          <w:p w14:paraId="20FF3BD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67375DD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2000≤Y＜40000</w:t>
            </w:r>
          </w:p>
        </w:tc>
        <w:tc>
          <w:tcPr>
            <w:tcW w:w="1624" w:type="dxa"/>
            <w:tcBorders>
              <w:top w:val="nil"/>
              <w:left w:val="nil"/>
              <w:bottom w:val="single" w:color="auto" w:sz="4" w:space="0"/>
              <w:right w:val="single" w:color="auto" w:sz="8" w:space="0"/>
            </w:tcBorders>
            <w:noWrap w:val="0"/>
            <w:vAlign w:val="bottom"/>
          </w:tcPr>
          <w:p w14:paraId="46D26C2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214F8E5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20≤X＜300</w:t>
            </w:r>
          </w:p>
        </w:tc>
        <w:tc>
          <w:tcPr>
            <w:tcW w:w="1446" w:type="dxa"/>
            <w:tcBorders>
              <w:top w:val="nil"/>
              <w:left w:val="nil"/>
              <w:bottom w:val="single" w:color="auto" w:sz="4" w:space="0"/>
              <w:right w:val="single" w:color="auto" w:sz="4" w:space="0"/>
            </w:tcBorders>
            <w:noWrap w:val="0"/>
            <w:vAlign w:val="bottom"/>
          </w:tcPr>
          <w:p w14:paraId="61D2152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300≤Y＜2000</w:t>
            </w:r>
          </w:p>
        </w:tc>
        <w:tc>
          <w:tcPr>
            <w:tcW w:w="1489" w:type="dxa"/>
            <w:tcBorders>
              <w:top w:val="nil"/>
              <w:left w:val="nil"/>
              <w:bottom w:val="single" w:color="auto" w:sz="4" w:space="0"/>
              <w:right w:val="single" w:color="auto" w:sz="8" w:space="0"/>
            </w:tcBorders>
            <w:noWrap w:val="0"/>
            <w:vAlign w:val="bottom"/>
          </w:tcPr>
          <w:p w14:paraId="343D8DE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76F9464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079469D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Y＜300</w:t>
            </w:r>
          </w:p>
        </w:tc>
        <w:tc>
          <w:tcPr>
            <w:tcW w:w="1192" w:type="dxa"/>
            <w:tcBorders>
              <w:top w:val="nil"/>
              <w:left w:val="nil"/>
              <w:bottom w:val="single" w:color="auto" w:sz="4" w:space="0"/>
              <w:right w:val="single" w:color="auto" w:sz="8" w:space="0"/>
            </w:tcBorders>
            <w:noWrap w:val="0"/>
            <w:vAlign w:val="bottom"/>
          </w:tcPr>
          <w:p w14:paraId="5BF3E06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3D02F20D">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5DC4414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3、建筑业</w:t>
            </w:r>
          </w:p>
        </w:tc>
        <w:tc>
          <w:tcPr>
            <w:tcW w:w="1463" w:type="dxa"/>
            <w:tcBorders>
              <w:top w:val="nil"/>
              <w:left w:val="nil"/>
              <w:bottom w:val="single" w:color="auto" w:sz="4" w:space="0"/>
              <w:right w:val="single" w:color="auto" w:sz="4" w:space="0"/>
            </w:tcBorders>
            <w:noWrap w:val="0"/>
            <w:vAlign w:val="bottom"/>
          </w:tcPr>
          <w:p w14:paraId="2F1BB45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723" w:type="dxa"/>
            <w:tcBorders>
              <w:top w:val="nil"/>
              <w:left w:val="nil"/>
              <w:bottom w:val="single" w:color="auto" w:sz="4" w:space="0"/>
              <w:right w:val="single" w:color="auto" w:sz="4" w:space="0"/>
            </w:tcBorders>
            <w:noWrap w:val="0"/>
            <w:vAlign w:val="bottom"/>
          </w:tcPr>
          <w:p w14:paraId="54F7B1C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6000≤Y＜80000</w:t>
            </w:r>
          </w:p>
        </w:tc>
        <w:tc>
          <w:tcPr>
            <w:tcW w:w="1624" w:type="dxa"/>
            <w:tcBorders>
              <w:top w:val="nil"/>
              <w:left w:val="nil"/>
              <w:bottom w:val="single" w:color="auto" w:sz="4" w:space="0"/>
              <w:right w:val="single" w:color="auto" w:sz="8" w:space="0"/>
            </w:tcBorders>
            <w:noWrap w:val="0"/>
            <w:vAlign w:val="bottom"/>
          </w:tcPr>
          <w:p w14:paraId="436100C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5000≤Z＜80000</w:t>
            </w:r>
          </w:p>
        </w:tc>
        <w:tc>
          <w:tcPr>
            <w:tcW w:w="1211" w:type="dxa"/>
            <w:tcBorders>
              <w:top w:val="nil"/>
              <w:left w:val="nil"/>
              <w:bottom w:val="single" w:color="auto" w:sz="4" w:space="0"/>
              <w:right w:val="single" w:color="auto" w:sz="4" w:space="0"/>
            </w:tcBorders>
            <w:noWrap w:val="0"/>
            <w:vAlign w:val="bottom"/>
          </w:tcPr>
          <w:p w14:paraId="407D0B5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46" w:type="dxa"/>
            <w:tcBorders>
              <w:top w:val="nil"/>
              <w:left w:val="nil"/>
              <w:bottom w:val="single" w:color="auto" w:sz="4" w:space="0"/>
              <w:right w:val="single" w:color="auto" w:sz="4" w:space="0"/>
            </w:tcBorders>
            <w:noWrap w:val="0"/>
            <w:vAlign w:val="bottom"/>
          </w:tcPr>
          <w:p w14:paraId="609399A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300≤Y＜6000</w:t>
            </w:r>
          </w:p>
        </w:tc>
        <w:tc>
          <w:tcPr>
            <w:tcW w:w="1489" w:type="dxa"/>
            <w:tcBorders>
              <w:top w:val="nil"/>
              <w:left w:val="nil"/>
              <w:bottom w:val="single" w:color="auto" w:sz="4" w:space="0"/>
              <w:right w:val="single" w:color="auto" w:sz="8" w:space="0"/>
            </w:tcBorders>
            <w:noWrap w:val="0"/>
            <w:vAlign w:val="bottom"/>
          </w:tcPr>
          <w:p w14:paraId="4244030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300≤Z＜5000</w:t>
            </w:r>
          </w:p>
        </w:tc>
        <w:tc>
          <w:tcPr>
            <w:tcW w:w="1255" w:type="dxa"/>
            <w:tcBorders>
              <w:top w:val="nil"/>
              <w:left w:val="nil"/>
              <w:bottom w:val="single" w:color="auto" w:sz="4" w:space="0"/>
              <w:right w:val="single" w:color="auto" w:sz="4" w:space="0"/>
            </w:tcBorders>
            <w:noWrap w:val="0"/>
            <w:vAlign w:val="bottom"/>
          </w:tcPr>
          <w:p w14:paraId="196A0E9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46" w:type="dxa"/>
            <w:tcBorders>
              <w:top w:val="nil"/>
              <w:left w:val="nil"/>
              <w:bottom w:val="single" w:color="auto" w:sz="4" w:space="0"/>
              <w:right w:val="single" w:color="auto" w:sz="4" w:space="0"/>
            </w:tcBorders>
            <w:noWrap w:val="0"/>
            <w:vAlign w:val="bottom"/>
          </w:tcPr>
          <w:p w14:paraId="21ED38E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Y＜300</w:t>
            </w:r>
          </w:p>
        </w:tc>
        <w:tc>
          <w:tcPr>
            <w:tcW w:w="1192" w:type="dxa"/>
            <w:tcBorders>
              <w:top w:val="nil"/>
              <w:left w:val="nil"/>
              <w:bottom w:val="single" w:color="auto" w:sz="4" w:space="0"/>
              <w:right w:val="single" w:color="auto" w:sz="8" w:space="0"/>
            </w:tcBorders>
            <w:noWrap w:val="0"/>
            <w:vAlign w:val="bottom"/>
          </w:tcPr>
          <w:p w14:paraId="48F915F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Z＜300</w:t>
            </w:r>
          </w:p>
        </w:tc>
      </w:tr>
      <w:tr w14:paraId="69F01FC0">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253B57D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4、批发业</w:t>
            </w:r>
          </w:p>
        </w:tc>
        <w:tc>
          <w:tcPr>
            <w:tcW w:w="1463" w:type="dxa"/>
            <w:tcBorders>
              <w:top w:val="nil"/>
              <w:left w:val="nil"/>
              <w:bottom w:val="single" w:color="auto" w:sz="4" w:space="0"/>
              <w:right w:val="single" w:color="auto" w:sz="4" w:space="0"/>
            </w:tcBorders>
            <w:noWrap w:val="0"/>
            <w:vAlign w:val="bottom"/>
          </w:tcPr>
          <w:p w14:paraId="50969B3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20≤X＜200</w:t>
            </w:r>
          </w:p>
        </w:tc>
        <w:tc>
          <w:tcPr>
            <w:tcW w:w="1723" w:type="dxa"/>
            <w:tcBorders>
              <w:top w:val="nil"/>
              <w:left w:val="nil"/>
              <w:bottom w:val="single" w:color="auto" w:sz="4" w:space="0"/>
              <w:right w:val="single" w:color="auto" w:sz="4" w:space="0"/>
            </w:tcBorders>
            <w:noWrap w:val="0"/>
            <w:vAlign w:val="bottom"/>
          </w:tcPr>
          <w:p w14:paraId="08AB143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5000≤Y＜40000</w:t>
            </w:r>
          </w:p>
        </w:tc>
        <w:tc>
          <w:tcPr>
            <w:tcW w:w="1624" w:type="dxa"/>
            <w:tcBorders>
              <w:top w:val="nil"/>
              <w:left w:val="nil"/>
              <w:bottom w:val="single" w:color="auto" w:sz="4" w:space="0"/>
              <w:right w:val="single" w:color="auto" w:sz="8" w:space="0"/>
            </w:tcBorders>
            <w:noWrap w:val="0"/>
            <w:vAlign w:val="bottom"/>
          </w:tcPr>
          <w:p w14:paraId="5645D53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7F2B02E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5≤X＜20</w:t>
            </w:r>
          </w:p>
        </w:tc>
        <w:tc>
          <w:tcPr>
            <w:tcW w:w="1446" w:type="dxa"/>
            <w:tcBorders>
              <w:top w:val="nil"/>
              <w:left w:val="nil"/>
              <w:bottom w:val="single" w:color="auto" w:sz="4" w:space="0"/>
              <w:right w:val="single" w:color="auto" w:sz="4" w:space="0"/>
            </w:tcBorders>
            <w:noWrap w:val="0"/>
            <w:vAlign w:val="bottom"/>
          </w:tcPr>
          <w:p w14:paraId="4DD2AD2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1000≤Y＜5000</w:t>
            </w:r>
          </w:p>
        </w:tc>
        <w:tc>
          <w:tcPr>
            <w:tcW w:w="1489" w:type="dxa"/>
            <w:tcBorders>
              <w:top w:val="nil"/>
              <w:left w:val="nil"/>
              <w:bottom w:val="single" w:color="auto" w:sz="4" w:space="0"/>
              <w:right w:val="single" w:color="auto" w:sz="8" w:space="0"/>
            </w:tcBorders>
            <w:noWrap w:val="0"/>
            <w:vAlign w:val="bottom"/>
          </w:tcPr>
          <w:p w14:paraId="0E9FFFD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0DE67F6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X＜5</w:t>
            </w:r>
          </w:p>
        </w:tc>
        <w:tc>
          <w:tcPr>
            <w:tcW w:w="1246" w:type="dxa"/>
            <w:tcBorders>
              <w:top w:val="nil"/>
              <w:left w:val="nil"/>
              <w:bottom w:val="single" w:color="auto" w:sz="4" w:space="0"/>
              <w:right w:val="single" w:color="auto" w:sz="4" w:space="0"/>
            </w:tcBorders>
            <w:noWrap w:val="0"/>
            <w:vAlign w:val="bottom"/>
          </w:tcPr>
          <w:p w14:paraId="547C53A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Y＜1000</w:t>
            </w:r>
          </w:p>
        </w:tc>
        <w:tc>
          <w:tcPr>
            <w:tcW w:w="1192" w:type="dxa"/>
            <w:tcBorders>
              <w:top w:val="nil"/>
              <w:left w:val="nil"/>
              <w:bottom w:val="single" w:color="auto" w:sz="4" w:space="0"/>
              <w:right w:val="single" w:color="auto" w:sz="8" w:space="0"/>
            </w:tcBorders>
            <w:noWrap w:val="0"/>
            <w:vAlign w:val="bottom"/>
          </w:tcPr>
          <w:p w14:paraId="17D3A4A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43975A42">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41B0DE8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5、零售业</w:t>
            </w:r>
          </w:p>
        </w:tc>
        <w:tc>
          <w:tcPr>
            <w:tcW w:w="1463" w:type="dxa"/>
            <w:tcBorders>
              <w:top w:val="nil"/>
              <w:left w:val="nil"/>
              <w:bottom w:val="single" w:color="auto" w:sz="4" w:space="0"/>
              <w:right w:val="single" w:color="auto" w:sz="4" w:space="0"/>
            </w:tcBorders>
            <w:noWrap w:val="0"/>
            <w:vAlign w:val="bottom"/>
          </w:tcPr>
          <w:p w14:paraId="2B53627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50≤X＜300</w:t>
            </w:r>
          </w:p>
        </w:tc>
        <w:tc>
          <w:tcPr>
            <w:tcW w:w="1723" w:type="dxa"/>
            <w:tcBorders>
              <w:top w:val="nil"/>
              <w:left w:val="nil"/>
              <w:bottom w:val="single" w:color="auto" w:sz="4" w:space="0"/>
              <w:right w:val="single" w:color="auto" w:sz="4" w:space="0"/>
            </w:tcBorders>
            <w:noWrap w:val="0"/>
            <w:vAlign w:val="bottom"/>
          </w:tcPr>
          <w:p w14:paraId="11577FE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500≤Y＜20000</w:t>
            </w:r>
          </w:p>
        </w:tc>
        <w:tc>
          <w:tcPr>
            <w:tcW w:w="1624" w:type="dxa"/>
            <w:tcBorders>
              <w:top w:val="nil"/>
              <w:left w:val="nil"/>
              <w:bottom w:val="single" w:color="auto" w:sz="4" w:space="0"/>
              <w:right w:val="single" w:color="auto" w:sz="8" w:space="0"/>
            </w:tcBorders>
            <w:noWrap w:val="0"/>
            <w:vAlign w:val="bottom"/>
          </w:tcPr>
          <w:p w14:paraId="14A6652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081F2B1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10≤X＜50</w:t>
            </w:r>
          </w:p>
        </w:tc>
        <w:tc>
          <w:tcPr>
            <w:tcW w:w="1446" w:type="dxa"/>
            <w:tcBorders>
              <w:top w:val="nil"/>
              <w:left w:val="nil"/>
              <w:bottom w:val="single" w:color="auto" w:sz="4" w:space="0"/>
              <w:right w:val="single" w:color="auto" w:sz="4" w:space="0"/>
            </w:tcBorders>
            <w:noWrap w:val="0"/>
            <w:vAlign w:val="bottom"/>
          </w:tcPr>
          <w:p w14:paraId="6D445D0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100≤Y＜500</w:t>
            </w:r>
          </w:p>
        </w:tc>
        <w:tc>
          <w:tcPr>
            <w:tcW w:w="1489" w:type="dxa"/>
            <w:tcBorders>
              <w:top w:val="nil"/>
              <w:left w:val="nil"/>
              <w:bottom w:val="single" w:color="auto" w:sz="4" w:space="0"/>
              <w:right w:val="single" w:color="auto" w:sz="8" w:space="0"/>
            </w:tcBorders>
            <w:noWrap w:val="0"/>
            <w:vAlign w:val="bottom"/>
          </w:tcPr>
          <w:p w14:paraId="6BEB0AF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714EBB1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78418AF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365EF07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2273573E">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5D36A79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6、交通运输业</w:t>
            </w:r>
          </w:p>
        </w:tc>
        <w:tc>
          <w:tcPr>
            <w:tcW w:w="1463" w:type="dxa"/>
            <w:tcBorders>
              <w:top w:val="nil"/>
              <w:left w:val="nil"/>
              <w:bottom w:val="single" w:color="auto" w:sz="4" w:space="0"/>
              <w:right w:val="single" w:color="auto" w:sz="4" w:space="0"/>
            </w:tcBorders>
            <w:noWrap w:val="0"/>
            <w:vAlign w:val="bottom"/>
          </w:tcPr>
          <w:p w14:paraId="7CB4F81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648DA29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3000≤Y＜30000</w:t>
            </w:r>
          </w:p>
        </w:tc>
        <w:tc>
          <w:tcPr>
            <w:tcW w:w="1624" w:type="dxa"/>
            <w:tcBorders>
              <w:top w:val="nil"/>
              <w:left w:val="nil"/>
              <w:bottom w:val="single" w:color="auto" w:sz="4" w:space="0"/>
              <w:right w:val="single" w:color="auto" w:sz="8" w:space="0"/>
            </w:tcBorders>
            <w:noWrap w:val="0"/>
            <w:vAlign w:val="bottom"/>
          </w:tcPr>
          <w:p w14:paraId="0DE2257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51DB8EFA">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20≤X＜300</w:t>
            </w:r>
          </w:p>
        </w:tc>
        <w:tc>
          <w:tcPr>
            <w:tcW w:w="1446" w:type="dxa"/>
            <w:tcBorders>
              <w:top w:val="nil"/>
              <w:left w:val="nil"/>
              <w:bottom w:val="single" w:color="auto" w:sz="4" w:space="0"/>
              <w:right w:val="single" w:color="auto" w:sz="4" w:space="0"/>
            </w:tcBorders>
            <w:noWrap w:val="0"/>
            <w:vAlign w:val="bottom"/>
          </w:tcPr>
          <w:p w14:paraId="489E5C8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200≤Y＜3000</w:t>
            </w:r>
          </w:p>
        </w:tc>
        <w:tc>
          <w:tcPr>
            <w:tcW w:w="1489" w:type="dxa"/>
            <w:tcBorders>
              <w:top w:val="nil"/>
              <w:left w:val="nil"/>
              <w:bottom w:val="single" w:color="auto" w:sz="4" w:space="0"/>
              <w:right w:val="single" w:color="auto" w:sz="8" w:space="0"/>
            </w:tcBorders>
            <w:noWrap w:val="0"/>
            <w:vAlign w:val="bottom"/>
          </w:tcPr>
          <w:p w14:paraId="335F6F2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16B00BC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1C2AA62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V＜200</w:t>
            </w:r>
          </w:p>
        </w:tc>
        <w:tc>
          <w:tcPr>
            <w:tcW w:w="1192" w:type="dxa"/>
            <w:tcBorders>
              <w:top w:val="nil"/>
              <w:left w:val="nil"/>
              <w:bottom w:val="single" w:color="auto" w:sz="4" w:space="0"/>
              <w:right w:val="single" w:color="auto" w:sz="8" w:space="0"/>
            </w:tcBorders>
            <w:noWrap w:val="0"/>
            <w:vAlign w:val="bottom"/>
          </w:tcPr>
          <w:p w14:paraId="7C99B3E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037D4A66">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5AFDDAA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7、仓储业</w:t>
            </w:r>
          </w:p>
        </w:tc>
        <w:tc>
          <w:tcPr>
            <w:tcW w:w="1463" w:type="dxa"/>
            <w:tcBorders>
              <w:top w:val="nil"/>
              <w:left w:val="nil"/>
              <w:bottom w:val="single" w:color="auto" w:sz="4" w:space="0"/>
              <w:right w:val="single" w:color="auto" w:sz="4" w:space="0"/>
            </w:tcBorders>
            <w:noWrap w:val="0"/>
            <w:vAlign w:val="bottom"/>
          </w:tcPr>
          <w:p w14:paraId="3D33D36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100≤X＜200</w:t>
            </w:r>
          </w:p>
        </w:tc>
        <w:tc>
          <w:tcPr>
            <w:tcW w:w="1723" w:type="dxa"/>
            <w:tcBorders>
              <w:top w:val="nil"/>
              <w:left w:val="nil"/>
              <w:bottom w:val="single" w:color="auto" w:sz="4" w:space="0"/>
              <w:right w:val="single" w:color="auto" w:sz="4" w:space="0"/>
            </w:tcBorders>
            <w:noWrap w:val="0"/>
            <w:vAlign w:val="bottom"/>
          </w:tcPr>
          <w:p w14:paraId="558E72A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1000≤Y＜30000</w:t>
            </w:r>
          </w:p>
        </w:tc>
        <w:tc>
          <w:tcPr>
            <w:tcW w:w="1624" w:type="dxa"/>
            <w:tcBorders>
              <w:top w:val="nil"/>
              <w:left w:val="nil"/>
              <w:bottom w:val="single" w:color="auto" w:sz="4" w:space="0"/>
              <w:right w:val="single" w:color="auto" w:sz="8" w:space="0"/>
            </w:tcBorders>
            <w:noWrap w:val="0"/>
            <w:vAlign w:val="bottom"/>
          </w:tcPr>
          <w:p w14:paraId="77BA695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707B2A9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20≤X＜100</w:t>
            </w:r>
          </w:p>
        </w:tc>
        <w:tc>
          <w:tcPr>
            <w:tcW w:w="1446" w:type="dxa"/>
            <w:tcBorders>
              <w:top w:val="nil"/>
              <w:left w:val="nil"/>
              <w:bottom w:val="single" w:color="auto" w:sz="4" w:space="0"/>
              <w:right w:val="single" w:color="auto" w:sz="4" w:space="0"/>
            </w:tcBorders>
            <w:noWrap w:val="0"/>
            <w:vAlign w:val="bottom"/>
          </w:tcPr>
          <w:p w14:paraId="564E3D5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100≤Y＜1000</w:t>
            </w:r>
          </w:p>
        </w:tc>
        <w:tc>
          <w:tcPr>
            <w:tcW w:w="1489" w:type="dxa"/>
            <w:tcBorders>
              <w:top w:val="nil"/>
              <w:left w:val="nil"/>
              <w:bottom w:val="single" w:color="auto" w:sz="4" w:space="0"/>
              <w:right w:val="single" w:color="auto" w:sz="8" w:space="0"/>
            </w:tcBorders>
            <w:noWrap w:val="0"/>
            <w:vAlign w:val="bottom"/>
          </w:tcPr>
          <w:p w14:paraId="3057C69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7832636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0655262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3524612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72421097">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1884E65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8、邮政业</w:t>
            </w:r>
          </w:p>
        </w:tc>
        <w:tc>
          <w:tcPr>
            <w:tcW w:w="1463" w:type="dxa"/>
            <w:tcBorders>
              <w:top w:val="nil"/>
              <w:left w:val="nil"/>
              <w:bottom w:val="single" w:color="auto" w:sz="4" w:space="0"/>
              <w:right w:val="single" w:color="auto" w:sz="4" w:space="0"/>
            </w:tcBorders>
            <w:noWrap w:val="0"/>
            <w:vAlign w:val="bottom"/>
          </w:tcPr>
          <w:p w14:paraId="5931540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0059526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2000≤Y＜30000</w:t>
            </w:r>
          </w:p>
        </w:tc>
        <w:tc>
          <w:tcPr>
            <w:tcW w:w="1624" w:type="dxa"/>
            <w:tcBorders>
              <w:top w:val="nil"/>
              <w:left w:val="nil"/>
              <w:bottom w:val="single" w:color="auto" w:sz="4" w:space="0"/>
              <w:right w:val="single" w:color="auto" w:sz="8" w:space="0"/>
            </w:tcBorders>
            <w:noWrap w:val="0"/>
            <w:vAlign w:val="bottom"/>
          </w:tcPr>
          <w:p w14:paraId="31E044A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356C395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20≤X＜300</w:t>
            </w:r>
          </w:p>
        </w:tc>
        <w:tc>
          <w:tcPr>
            <w:tcW w:w="1446" w:type="dxa"/>
            <w:tcBorders>
              <w:top w:val="nil"/>
              <w:left w:val="nil"/>
              <w:bottom w:val="single" w:color="auto" w:sz="4" w:space="0"/>
              <w:right w:val="single" w:color="auto" w:sz="4" w:space="0"/>
            </w:tcBorders>
            <w:noWrap w:val="0"/>
            <w:vAlign w:val="bottom"/>
          </w:tcPr>
          <w:p w14:paraId="519BA57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100≤Y＜2000</w:t>
            </w:r>
          </w:p>
        </w:tc>
        <w:tc>
          <w:tcPr>
            <w:tcW w:w="1489" w:type="dxa"/>
            <w:tcBorders>
              <w:top w:val="nil"/>
              <w:left w:val="nil"/>
              <w:bottom w:val="single" w:color="auto" w:sz="4" w:space="0"/>
              <w:right w:val="single" w:color="auto" w:sz="8" w:space="0"/>
            </w:tcBorders>
            <w:noWrap w:val="0"/>
            <w:vAlign w:val="bottom"/>
          </w:tcPr>
          <w:p w14:paraId="6B24997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1BA85BE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X＜20</w:t>
            </w:r>
          </w:p>
        </w:tc>
        <w:tc>
          <w:tcPr>
            <w:tcW w:w="1246" w:type="dxa"/>
            <w:tcBorders>
              <w:top w:val="nil"/>
              <w:left w:val="nil"/>
              <w:bottom w:val="single" w:color="auto" w:sz="4" w:space="0"/>
              <w:right w:val="single" w:color="auto" w:sz="4" w:space="0"/>
            </w:tcBorders>
            <w:noWrap w:val="0"/>
            <w:vAlign w:val="bottom"/>
          </w:tcPr>
          <w:p w14:paraId="626FDC6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0176477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2DB35294">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4CB9962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9、住宿业</w:t>
            </w:r>
          </w:p>
        </w:tc>
        <w:tc>
          <w:tcPr>
            <w:tcW w:w="1463" w:type="dxa"/>
            <w:tcBorders>
              <w:top w:val="nil"/>
              <w:left w:val="nil"/>
              <w:bottom w:val="single" w:color="auto" w:sz="4" w:space="0"/>
              <w:right w:val="single" w:color="auto" w:sz="4" w:space="0"/>
            </w:tcBorders>
            <w:noWrap w:val="0"/>
            <w:vAlign w:val="bottom"/>
          </w:tcPr>
          <w:p w14:paraId="1B498E2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050E9F8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2000≤Y＜10000</w:t>
            </w:r>
          </w:p>
        </w:tc>
        <w:tc>
          <w:tcPr>
            <w:tcW w:w="1624" w:type="dxa"/>
            <w:tcBorders>
              <w:top w:val="nil"/>
              <w:left w:val="nil"/>
              <w:bottom w:val="single" w:color="auto" w:sz="4" w:space="0"/>
              <w:right w:val="single" w:color="auto" w:sz="8" w:space="0"/>
            </w:tcBorders>
            <w:noWrap w:val="0"/>
            <w:vAlign w:val="bottom"/>
          </w:tcPr>
          <w:p w14:paraId="52EE84F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225D703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242A91F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100≤Y＜2000</w:t>
            </w:r>
          </w:p>
        </w:tc>
        <w:tc>
          <w:tcPr>
            <w:tcW w:w="1489" w:type="dxa"/>
            <w:tcBorders>
              <w:top w:val="nil"/>
              <w:left w:val="nil"/>
              <w:bottom w:val="single" w:color="auto" w:sz="4" w:space="0"/>
              <w:right w:val="single" w:color="auto" w:sz="8" w:space="0"/>
            </w:tcBorders>
            <w:noWrap w:val="0"/>
            <w:vAlign w:val="bottom"/>
          </w:tcPr>
          <w:p w14:paraId="58BA7AE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4E2729F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505FE78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13718AF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44B4E3A3">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1FAA743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10、餐饮业</w:t>
            </w:r>
          </w:p>
        </w:tc>
        <w:tc>
          <w:tcPr>
            <w:tcW w:w="1463" w:type="dxa"/>
            <w:tcBorders>
              <w:top w:val="nil"/>
              <w:left w:val="nil"/>
              <w:bottom w:val="single" w:color="auto" w:sz="4" w:space="0"/>
              <w:right w:val="single" w:color="auto" w:sz="4" w:space="0"/>
            </w:tcBorders>
            <w:noWrap w:val="0"/>
            <w:vAlign w:val="bottom"/>
          </w:tcPr>
          <w:p w14:paraId="2EBFEFA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7D0DE15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2000≤Y＜10000</w:t>
            </w:r>
          </w:p>
        </w:tc>
        <w:tc>
          <w:tcPr>
            <w:tcW w:w="1624" w:type="dxa"/>
            <w:tcBorders>
              <w:top w:val="nil"/>
              <w:left w:val="nil"/>
              <w:bottom w:val="single" w:color="auto" w:sz="4" w:space="0"/>
              <w:right w:val="single" w:color="auto" w:sz="8" w:space="0"/>
            </w:tcBorders>
            <w:noWrap w:val="0"/>
            <w:vAlign w:val="bottom"/>
          </w:tcPr>
          <w:p w14:paraId="293AAA6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5CF1D0F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5F7035E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100≤Y＜2000</w:t>
            </w:r>
          </w:p>
        </w:tc>
        <w:tc>
          <w:tcPr>
            <w:tcW w:w="1489" w:type="dxa"/>
            <w:tcBorders>
              <w:top w:val="nil"/>
              <w:left w:val="nil"/>
              <w:bottom w:val="single" w:color="auto" w:sz="4" w:space="0"/>
              <w:right w:val="single" w:color="auto" w:sz="8" w:space="0"/>
            </w:tcBorders>
            <w:noWrap w:val="0"/>
            <w:vAlign w:val="bottom"/>
          </w:tcPr>
          <w:p w14:paraId="0B238CC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49AA3DB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744A7C1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V＜100</w:t>
            </w:r>
          </w:p>
        </w:tc>
        <w:tc>
          <w:tcPr>
            <w:tcW w:w="1192" w:type="dxa"/>
            <w:tcBorders>
              <w:top w:val="nil"/>
              <w:left w:val="nil"/>
              <w:bottom w:val="single" w:color="auto" w:sz="4" w:space="0"/>
              <w:right w:val="single" w:color="auto" w:sz="8" w:space="0"/>
            </w:tcBorders>
            <w:noWrap w:val="0"/>
            <w:vAlign w:val="bottom"/>
          </w:tcPr>
          <w:p w14:paraId="6131523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69DBE339">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6120376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11、信息传输业</w:t>
            </w:r>
          </w:p>
        </w:tc>
        <w:tc>
          <w:tcPr>
            <w:tcW w:w="1463" w:type="dxa"/>
            <w:tcBorders>
              <w:top w:val="nil"/>
              <w:left w:val="nil"/>
              <w:bottom w:val="single" w:color="auto" w:sz="4" w:space="0"/>
              <w:right w:val="single" w:color="auto" w:sz="4" w:space="0"/>
            </w:tcBorders>
            <w:noWrap w:val="0"/>
            <w:vAlign w:val="bottom"/>
          </w:tcPr>
          <w:p w14:paraId="1D817E6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100≤X＜2000</w:t>
            </w:r>
          </w:p>
        </w:tc>
        <w:tc>
          <w:tcPr>
            <w:tcW w:w="1723" w:type="dxa"/>
            <w:tcBorders>
              <w:top w:val="nil"/>
              <w:left w:val="nil"/>
              <w:bottom w:val="single" w:color="auto" w:sz="4" w:space="0"/>
              <w:right w:val="single" w:color="auto" w:sz="4" w:space="0"/>
            </w:tcBorders>
            <w:noWrap w:val="0"/>
            <w:vAlign w:val="bottom"/>
          </w:tcPr>
          <w:p w14:paraId="454CD9FB">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1000≤Y＜100000</w:t>
            </w:r>
          </w:p>
        </w:tc>
        <w:tc>
          <w:tcPr>
            <w:tcW w:w="1624" w:type="dxa"/>
            <w:tcBorders>
              <w:top w:val="nil"/>
              <w:left w:val="nil"/>
              <w:bottom w:val="single" w:color="auto" w:sz="4" w:space="0"/>
              <w:right w:val="single" w:color="auto" w:sz="8" w:space="0"/>
            </w:tcBorders>
            <w:noWrap w:val="0"/>
            <w:vAlign w:val="bottom"/>
          </w:tcPr>
          <w:p w14:paraId="3EEF5B0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50BB2D6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6E43166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100≤Y＜1000</w:t>
            </w:r>
          </w:p>
        </w:tc>
        <w:tc>
          <w:tcPr>
            <w:tcW w:w="1489" w:type="dxa"/>
            <w:tcBorders>
              <w:top w:val="nil"/>
              <w:left w:val="nil"/>
              <w:bottom w:val="single" w:color="auto" w:sz="4" w:space="0"/>
              <w:right w:val="single" w:color="auto" w:sz="8" w:space="0"/>
            </w:tcBorders>
            <w:noWrap w:val="0"/>
            <w:vAlign w:val="bottom"/>
          </w:tcPr>
          <w:p w14:paraId="0EF9760A">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40C1C1E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579BFB7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6776830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7A5E56E5">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03F77E1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12、软件和信息技术服务业</w:t>
            </w:r>
          </w:p>
        </w:tc>
        <w:tc>
          <w:tcPr>
            <w:tcW w:w="1463" w:type="dxa"/>
            <w:tcBorders>
              <w:top w:val="nil"/>
              <w:left w:val="nil"/>
              <w:bottom w:val="single" w:color="auto" w:sz="4" w:space="0"/>
              <w:right w:val="single" w:color="auto" w:sz="4" w:space="0"/>
            </w:tcBorders>
            <w:noWrap w:val="0"/>
            <w:vAlign w:val="bottom"/>
          </w:tcPr>
          <w:p w14:paraId="17637E0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6695634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1000≤Y＜10000</w:t>
            </w:r>
          </w:p>
        </w:tc>
        <w:tc>
          <w:tcPr>
            <w:tcW w:w="1624" w:type="dxa"/>
            <w:tcBorders>
              <w:top w:val="nil"/>
              <w:left w:val="nil"/>
              <w:bottom w:val="single" w:color="auto" w:sz="4" w:space="0"/>
              <w:right w:val="single" w:color="auto" w:sz="8" w:space="0"/>
            </w:tcBorders>
            <w:noWrap w:val="0"/>
            <w:vAlign w:val="bottom"/>
          </w:tcPr>
          <w:p w14:paraId="744747E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4D08560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019C375A">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50≤Y＜1000</w:t>
            </w:r>
          </w:p>
        </w:tc>
        <w:tc>
          <w:tcPr>
            <w:tcW w:w="1489" w:type="dxa"/>
            <w:tcBorders>
              <w:top w:val="nil"/>
              <w:left w:val="nil"/>
              <w:bottom w:val="single" w:color="auto" w:sz="4" w:space="0"/>
              <w:right w:val="single" w:color="auto" w:sz="8" w:space="0"/>
            </w:tcBorders>
            <w:noWrap w:val="0"/>
            <w:vAlign w:val="bottom"/>
          </w:tcPr>
          <w:p w14:paraId="3391AF1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2D11FA4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1B56901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Y＜50</w:t>
            </w:r>
          </w:p>
        </w:tc>
        <w:tc>
          <w:tcPr>
            <w:tcW w:w="1192" w:type="dxa"/>
            <w:tcBorders>
              <w:top w:val="nil"/>
              <w:left w:val="nil"/>
              <w:bottom w:val="single" w:color="auto" w:sz="4" w:space="0"/>
              <w:right w:val="single" w:color="auto" w:sz="8" w:space="0"/>
            </w:tcBorders>
            <w:noWrap w:val="0"/>
            <w:vAlign w:val="bottom"/>
          </w:tcPr>
          <w:p w14:paraId="14A49AA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6242050F">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4C7A39F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13、房地产开发经营</w:t>
            </w:r>
          </w:p>
        </w:tc>
        <w:tc>
          <w:tcPr>
            <w:tcW w:w="1463" w:type="dxa"/>
            <w:tcBorders>
              <w:top w:val="nil"/>
              <w:left w:val="nil"/>
              <w:bottom w:val="single" w:color="auto" w:sz="4" w:space="0"/>
              <w:right w:val="single" w:color="auto" w:sz="4" w:space="0"/>
            </w:tcBorders>
            <w:noWrap w:val="0"/>
            <w:vAlign w:val="bottom"/>
          </w:tcPr>
          <w:p w14:paraId="2137108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723" w:type="dxa"/>
            <w:tcBorders>
              <w:top w:val="nil"/>
              <w:left w:val="nil"/>
              <w:bottom w:val="single" w:color="auto" w:sz="4" w:space="0"/>
              <w:right w:val="single" w:color="auto" w:sz="4" w:space="0"/>
            </w:tcBorders>
            <w:noWrap w:val="0"/>
            <w:vAlign w:val="bottom"/>
          </w:tcPr>
          <w:p w14:paraId="4483BC6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1000≤Y＜200000</w:t>
            </w:r>
          </w:p>
        </w:tc>
        <w:tc>
          <w:tcPr>
            <w:tcW w:w="1624" w:type="dxa"/>
            <w:tcBorders>
              <w:top w:val="nil"/>
              <w:left w:val="nil"/>
              <w:bottom w:val="single" w:color="auto" w:sz="4" w:space="0"/>
              <w:right w:val="single" w:color="auto" w:sz="8" w:space="0"/>
            </w:tcBorders>
            <w:noWrap w:val="0"/>
            <w:vAlign w:val="bottom"/>
          </w:tcPr>
          <w:p w14:paraId="3DC96C9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5000≤Z＜10000</w:t>
            </w:r>
          </w:p>
        </w:tc>
        <w:tc>
          <w:tcPr>
            <w:tcW w:w="1211" w:type="dxa"/>
            <w:tcBorders>
              <w:top w:val="nil"/>
              <w:left w:val="nil"/>
              <w:bottom w:val="single" w:color="auto" w:sz="4" w:space="0"/>
              <w:right w:val="single" w:color="auto" w:sz="4" w:space="0"/>
            </w:tcBorders>
            <w:noWrap w:val="0"/>
            <w:vAlign w:val="bottom"/>
          </w:tcPr>
          <w:p w14:paraId="5F16E8B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46" w:type="dxa"/>
            <w:tcBorders>
              <w:top w:val="nil"/>
              <w:left w:val="nil"/>
              <w:bottom w:val="single" w:color="auto" w:sz="4" w:space="0"/>
              <w:right w:val="single" w:color="auto" w:sz="4" w:space="0"/>
            </w:tcBorders>
            <w:noWrap w:val="0"/>
            <w:vAlign w:val="bottom"/>
          </w:tcPr>
          <w:p w14:paraId="71F253F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100≤Y＜1000</w:t>
            </w:r>
          </w:p>
        </w:tc>
        <w:tc>
          <w:tcPr>
            <w:tcW w:w="1489" w:type="dxa"/>
            <w:tcBorders>
              <w:top w:val="nil"/>
              <w:left w:val="nil"/>
              <w:bottom w:val="single" w:color="auto" w:sz="4" w:space="0"/>
              <w:right w:val="single" w:color="auto" w:sz="8" w:space="0"/>
            </w:tcBorders>
            <w:noWrap w:val="0"/>
            <w:vAlign w:val="bottom"/>
          </w:tcPr>
          <w:p w14:paraId="04C13F45">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2000≤Z＜5000</w:t>
            </w:r>
          </w:p>
        </w:tc>
        <w:tc>
          <w:tcPr>
            <w:tcW w:w="1255" w:type="dxa"/>
            <w:tcBorders>
              <w:top w:val="nil"/>
              <w:left w:val="nil"/>
              <w:bottom w:val="single" w:color="auto" w:sz="4" w:space="0"/>
              <w:right w:val="single" w:color="auto" w:sz="4" w:space="0"/>
            </w:tcBorders>
            <w:noWrap w:val="0"/>
            <w:vAlign w:val="bottom"/>
          </w:tcPr>
          <w:p w14:paraId="2D87BF22">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46" w:type="dxa"/>
            <w:tcBorders>
              <w:top w:val="nil"/>
              <w:left w:val="nil"/>
              <w:bottom w:val="single" w:color="auto" w:sz="4" w:space="0"/>
              <w:right w:val="single" w:color="auto" w:sz="4" w:space="0"/>
            </w:tcBorders>
            <w:noWrap w:val="0"/>
            <w:vAlign w:val="bottom"/>
          </w:tcPr>
          <w:p w14:paraId="660C173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Y＜100</w:t>
            </w:r>
          </w:p>
        </w:tc>
        <w:tc>
          <w:tcPr>
            <w:tcW w:w="1192" w:type="dxa"/>
            <w:tcBorders>
              <w:top w:val="nil"/>
              <w:left w:val="nil"/>
              <w:bottom w:val="single" w:color="auto" w:sz="4" w:space="0"/>
              <w:right w:val="single" w:color="auto" w:sz="8" w:space="0"/>
            </w:tcBorders>
            <w:noWrap w:val="0"/>
            <w:vAlign w:val="bottom"/>
          </w:tcPr>
          <w:p w14:paraId="4ECC563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Z＜2000</w:t>
            </w:r>
          </w:p>
        </w:tc>
      </w:tr>
      <w:tr w14:paraId="1D6B6422">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11A148B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14、物业管理</w:t>
            </w:r>
          </w:p>
        </w:tc>
        <w:tc>
          <w:tcPr>
            <w:tcW w:w="1463" w:type="dxa"/>
            <w:tcBorders>
              <w:top w:val="nil"/>
              <w:left w:val="nil"/>
              <w:bottom w:val="single" w:color="auto" w:sz="4" w:space="0"/>
              <w:right w:val="single" w:color="auto" w:sz="4" w:space="0"/>
            </w:tcBorders>
            <w:noWrap w:val="0"/>
            <w:vAlign w:val="bottom"/>
          </w:tcPr>
          <w:p w14:paraId="7E0CA7F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300≤X＜1000</w:t>
            </w:r>
          </w:p>
        </w:tc>
        <w:tc>
          <w:tcPr>
            <w:tcW w:w="1723" w:type="dxa"/>
            <w:tcBorders>
              <w:top w:val="nil"/>
              <w:left w:val="nil"/>
              <w:bottom w:val="single" w:color="auto" w:sz="4" w:space="0"/>
              <w:right w:val="single" w:color="auto" w:sz="4" w:space="0"/>
            </w:tcBorders>
            <w:noWrap w:val="0"/>
            <w:vAlign w:val="bottom"/>
          </w:tcPr>
          <w:p w14:paraId="4F695E8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1000≤Y＜5000</w:t>
            </w:r>
          </w:p>
        </w:tc>
        <w:tc>
          <w:tcPr>
            <w:tcW w:w="1624" w:type="dxa"/>
            <w:tcBorders>
              <w:top w:val="nil"/>
              <w:left w:val="nil"/>
              <w:bottom w:val="single" w:color="auto" w:sz="4" w:space="0"/>
              <w:right w:val="single" w:color="auto" w:sz="8" w:space="0"/>
            </w:tcBorders>
            <w:noWrap w:val="0"/>
            <w:vAlign w:val="bottom"/>
          </w:tcPr>
          <w:p w14:paraId="386BA78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4" w:space="0"/>
              <w:right w:val="single" w:color="auto" w:sz="4" w:space="0"/>
            </w:tcBorders>
            <w:noWrap w:val="0"/>
            <w:vAlign w:val="bottom"/>
          </w:tcPr>
          <w:p w14:paraId="79B900F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446" w:type="dxa"/>
            <w:tcBorders>
              <w:top w:val="nil"/>
              <w:left w:val="nil"/>
              <w:bottom w:val="single" w:color="auto" w:sz="4" w:space="0"/>
              <w:right w:val="single" w:color="auto" w:sz="4" w:space="0"/>
            </w:tcBorders>
            <w:noWrap w:val="0"/>
            <w:vAlign w:val="bottom"/>
          </w:tcPr>
          <w:p w14:paraId="794F825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500≤Y＜1000</w:t>
            </w:r>
          </w:p>
        </w:tc>
        <w:tc>
          <w:tcPr>
            <w:tcW w:w="1489" w:type="dxa"/>
            <w:tcBorders>
              <w:top w:val="nil"/>
              <w:left w:val="nil"/>
              <w:bottom w:val="single" w:color="auto" w:sz="4" w:space="0"/>
              <w:right w:val="single" w:color="auto" w:sz="8" w:space="0"/>
            </w:tcBorders>
            <w:noWrap w:val="0"/>
            <w:vAlign w:val="bottom"/>
          </w:tcPr>
          <w:p w14:paraId="2446515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4" w:space="0"/>
              <w:right w:val="single" w:color="auto" w:sz="4" w:space="0"/>
            </w:tcBorders>
            <w:noWrap w:val="0"/>
            <w:vAlign w:val="bottom"/>
          </w:tcPr>
          <w:p w14:paraId="3ADD00E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X＜100</w:t>
            </w:r>
          </w:p>
        </w:tc>
        <w:tc>
          <w:tcPr>
            <w:tcW w:w="1246" w:type="dxa"/>
            <w:tcBorders>
              <w:top w:val="nil"/>
              <w:left w:val="nil"/>
              <w:bottom w:val="single" w:color="auto" w:sz="4" w:space="0"/>
              <w:right w:val="single" w:color="auto" w:sz="4" w:space="0"/>
            </w:tcBorders>
            <w:noWrap w:val="0"/>
            <w:vAlign w:val="bottom"/>
          </w:tcPr>
          <w:p w14:paraId="56877BD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Y＜500</w:t>
            </w:r>
          </w:p>
        </w:tc>
        <w:tc>
          <w:tcPr>
            <w:tcW w:w="1192" w:type="dxa"/>
            <w:tcBorders>
              <w:top w:val="nil"/>
              <w:left w:val="nil"/>
              <w:bottom w:val="single" w:color="auto" w:sz="4" w:space="0"/>
              <w:right w:val="single" w:color="auto" w:sz="8" w:space="0"/>
            </w:tcBorders>
            <w:noWrap w:val="0"/>
            <w:vAlign w:val="bottom"/>
          </w:tcPr>
          <w:p w14:paraId="5D6D2AF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3FA5B8C2">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4" w:space="0"/>
              <w:right w:val="single" w:color="auto" w:sz="8" w:space="0"/>
            </w:tcBorders>
            <w:noWrap w:val="0"/>
            <w:vAlign w:val="bottom"/>
          </w:tcPr>
          <w:p w14:paraId="7FFE419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15、租赁和商务服务业</w:t>
            </w:r>
          </w:p>
        </w:tc>
        <w:tc>
          <w:tcPr>
            <w:tcW w:w="1463" w:type="dxa"/>
            <w:tcBorders>
              <w:top w:val="nil"/>
              <w:left w:val="nil"/>
              <w:bottom w:val="single" w:color="auto" w:sz="4" w:space="0"/>
              <w:right w:val="single" w:color="auto" w:sz="4" w:space="0"/>
            </w:tcBorders>
            <w:noWrap w:val="0"/>
            <w:vAlign w:val="bottom"/>
          </w:tcPr>
          <w:p w14:paraId="27B9E299">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4" w:space="0"/>
              <w:right w:val="single" w:color="auto" w:sz="4" w:space="0"/>
            </w:tcBorders>
            <w:noWrap w:val="0"/>
            <w:vAlign w:val="bottom"/>
          </w:tcPr>
          <w:p w14:paraId="7F41D431">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624" w:type="dxa"/>
            <w:tcBorders>
              <w:top w:val="nil"/>
              <w:left w:val="nil"/>
              <w:bottom w:val="single" w:color="auto" w:sz="4" w:space="0"/>
              <w:right w:val="single" w:color="auto" w:sz="8" w:space="0"/>
            </w:tcBorders>
            <w:noWrap w:val="0"/>
            <w:vAlign w:val="bottom"/>
          </w:tcPr>
          <w:p w14:paraId="1C72715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8000≤Z＜120000</w:t>
            </w:r>
          </w:p>
        </w:tc>
        <w:tc>
          <w:tcPr>
            <w:tcW w:w="1211" w:type="dxa"/>
            <w:tcBorders>
              <w:top w:val="nil"/>
              <w:left w:val="nil"/>
              <w:bottom w:val="single" w:color="auto" w:sz="4" w:space="0"/>
              <w:right w:val="single" w:color="auto" w:sz="4" w:space="0"/>
            </w:tcBorders>
            <w:noWrap w:val="0"/>
            <w:vAlign w:val="bottom"/>
          </w:tcPr>
          <w:p w14:paraId="2D61DCD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4" w:space="0"/>
              <w:right w:val="single" w:color="auto" w:sz="4" w:space="0"/>
            </w:tcBorders>
            <w:noWrap w:val="0"/>
            <w:vAlign w:val="bottom"/>
          </w:tcPr>
          <w:p w14:paraId="2EDF288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89" w:type="dxa"/>
            <w:tcBorders>
              <w:top w:val="nil"/>
              <w:left w:val="nil"/>
              <w:bottom w:val="single" w:color="auto" w:sz="4" w:space="0"/>
              <w:right w:val="single" w:color="auto" w:sz="8" w:space="0"/>
            </w:tcBorders>
            <w:noWrap w:val="0"/>
            <w:vAlign w:val="bottom"/>
          </w:tcPr>
          <w:p w14:paraId="6CAD30B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xml:space="preserve"> 100≤Z＜8000</w:t>
            </w:r>
          </w:p>
        </w:tc>
        <w:tc>
          <w:tcPr>
            <w:tcW w:w="1255" w:type="dxa"/>
            <w:tcBorders>
              <w:top w:val="nil"/>
              <w:left w:val="nil"/>
              <w:bottom w:val="single" w:color="auto" w:sz="4" w:space="0"/>
              <w:right w:val="single" w:color="auto" w:sz="4" w:space="0"/>
            </w:tcBorders>
            <w:noWrap w:val="0"/>
            <w:vAlign w:val="bottom"/>
          </w:tcPr>
          <w:p w14:paraId="45CE5704">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4" w:space="0"/>
              <w:right w:val="single" w:color="auto" w:sz="4" w:space="0"/>
            </w:tcBorders>
            <w:noWrap w:val="0"/>
            <w:vAlign w:val="bottom"/>
          </w:tcPr>
          <w:p w14:paraId="503D23C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192" w:type="dxa"/>
            <w:tcBorders>
              <w:top w:val="nil"/>
              <w:left w:val="nil"/>
              <w:bottom w:val="single" w:color="auto" w:sz="4" w:space="0"/>
              <w:right w:val="single" w:color="auto" w:sz="8" w:space="0"/>
            </w:tcBorders>
            <w:noWrap w:val="0"/>
            <w:vAlign w:val="bottom"/>
          </w:tcPr>
          <w:p w14:paraId="1956395C">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Z＜100</w:t>
            </w:r>
          </w:p>
        </w:tc>
      </w:tr>
      <w:tr w14:paraId="7870DE7D">
        <w:tblPrEx>
          <w:tblCellMar>
            <w:top w:w="0" w:type="dxa"/>
            <w:left w:w="108" w:type="dxa"/>
            <w:bottom w:w="0" w:type="dxa"/>
            <w:right w:w="108" w:type="dxa"/>
          </w:tblCellMar>
        </w:tblPrEx>
        <w:trPr>
          <w:gridAfter w:val="1"/>
          <w:wAfter w:w="15" w:type="dxa"/>
          <w:trHeight w:val="256" w:hRule="atLeast"/>
        </w:trPr>
        <w:tc>
          <w:tcPr>
            <w:tcW w:w="2230" w:type="dxa"/>
            <w:tcBorders>
              <w:top w:val="nil"/>
              <w:left w:val="single" w:color="auto" w:sz="8" w:space="0"/>
              <w:bottom w:val="single" w:color="auto" w:sz="8" w:space="0"/>
              <w:right w:val="single" w:color="auto" w:sz="8" w:space="0"/>
            </w:tcBorders>
            <w:noWrap w:val="0"/>
            <w:vAlign w:val="bottom"/>
          </w:tcPr>
          <w:p w14:paraId="5DD34520">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16、其他未列明行业</w:t>
            </w:r>
          </w:p>
        </w:tc>
        <w:tc>
          <w:tcPr>
            <w:tcW w:w="1463" w:type="dxa"/>
            <w:tcBorders>
              <w:top w:val="nil"/>
              <w:left w:val="nil"/>
              <w:bottom w:val="single" w:color="auto" w:sz="8" w:space="0"/>
              <w:right w:val="single" w:color="auto" w:sz="4" w:space="0"/>
            </w:tcBorders>
            <w:noWrap w:val="0"/>
            <w:vAlign w:val="bottom"/>
          </w:tcPr>
          <w:p w14:paraId="292A036D">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100≤X＜300</w:t>
            </w:r>
          </w:p>
        </w:tc>
        <w:tc>
          <w:tcPr>
            <w:tcW w:w="1723" w:type="dxa"/>
            <w:tcBorders>
              <w:top w:val="nil"/>
              <w:left w:val="nil"/>
              <w:bottom w:val="single" w:color="auto" w:sz="8" w:space="0"/>
              <w:right w:val="single" w:color="auto" w:sz="4" w:space="0"/>
            </w:tcBorders>
            <w:noWrap w:val="0"/>
            <w:vAlign w:val="bottom"/>
          </w:tcPr>
          <w:p w14:paraId="53DEA848">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624" w:type="dxa"/>
            <w:tcBorders>
              <w:top w:val="nil"/>
              <w:left w:val="nil"/>
              <w:bottom w:val="single" w:color="auto" w:sz="8" w:space="0"/>
              <w:right w:val="single" w:color="auto" w:sz="8" w:space="0"/>
            </w:tcBorders>
            <w:noWrap w:val="0"/>
            <w:vAlign w:val="bottom"/>
          </w:tcPr>
          <w:p w14:paraId="040C2CE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11" w:type="dxa"/>
            <w:tcBorders>
              <w:top w:val="nil"/>
              <w:left w:val="nil"/>
              <w:bottom w:val="single" w:color="auto" w:sz="8" w:space="0"/>
              <w:right w:val="single" w:color="auto" w:sz="4" w:space="0"/>
            </w:tcBorders>
            <w:noWrap w:val="0"/>
            <w:vAlign w:val="bottom"/>
          </w:tcPr>
          <w:p w14:paraId="4B200273">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10≤X＜100</w:t>
            </w:r>
          </w:p>
        </w:tc>
        <w:tc>
          <w:tcPr>
            <w:tcW w:w="1446" w:type="dxa"/>
            <w:tcBorders>
              <w:top w:val="nil"/>
              <w:left w:val="nil"/>
              <w:bottom w:val="single" w:color="auto" w:sz="8" w:space="0"/>
              <w:right w:val="single" w:color="auto" w:sz="4" w:space="0"/>
            </w:tcBorders>
            <w:noWrap w:val="0"/>
            <w:vAlign w:val="bottom"/>
          </w:tcPr>
          <w:p w14:paraId="3CC0FC5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489" w:type="dxa"/>
            <w:tcBorders>
              <w:top w:val="nil"/>
              <w:left w:val="nil"/>
              <w:bottom w:val="single" w:color="auto" w:sz="8" w:space="0"/>
              <w:right w:val="single" w:color="auto" w:sz="8" w:space="0"/>
            </w:tcBorders>
            <w:noWrap w:val="0"/>
            <w:vAlign w:val="bottom"/>
          </w:tcPr>
          <w:p w14:paraId="53120816">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255" w:type="dxa"/>
            <w:tcBorders>
              <w:top w:val="nil"/>
              <w:left w:val="nil"/>
              <w:bottom w:val="single" w:color="auto" w:sz="8" w:space="0"/>
              <w:right w:val="single" w:color="auto" w:sz="4" w:space="0"/>
            </w:tcBorders>
            <w:noWrap w:val="0"/>
            <w:vAlign w:val="bottom"/>
          </w:tcPr>
          <w:p w14:paraId="592E5CB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X＜10</w:t>
            </w:r>
          </w:p>
        </w:tc>
        <w:tc>
          <w:tcPr>
            <w:tcW w:w="1246" w:type="dxa"/>
            <w:tcBorders>
              <w:top w:val="nil"/>
              <w:left w:val="nil"/>
              <w:bottom w:val="single" w:color="auto" w:sz="8" w:space="0"/>
              <w:right w:val="single" w:color="auto" w:sz="4" w:space="0"/>
            </w:tcBorders>
            <w:noWrap w:val="0"/>
            <w:vAlign w:val="bottom"/>
          </w:tcPr>
          <w:p w14:paraId="38350C1E">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c>
          <w:tcPr>
            <w:tcW w:w="1192" w:type="dxa"/>
            <w:tcBorders>
              <w:top w:val="nil"/>
              <w:left w:val="nil"/>
              <w:bottom w:val="single" w:color="auto" w:sz="8" w:space="0"/>
              <w:right w:val="single" w:color="auto" w:sz="8" w:space="0"/>
            </w:tcBorders>
            <w:noWrap w:val="0"/>
            <w:vAlign w:val="bottom"/>
          </w:tcPr>
          <w:p w14:paraId="4B4D084F">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　</w:t>
            </w:r>
          </w:p>
        </w:tc>
      </w:tr>
      <w:tr w14:paraId="6F39EF49">
        <w:tblPrEx>
          <w:tblCellMar>
            <w:top w:w="0" w:type="dxa"/>
            <w:left w:w="108" w:type="dxa"/>
            <w:bottom w:w="0" w:type="dxa"/>
            <w:right w:w="108" w:type="dxa"/>
          </w:tblCellMar>
        </w:tblPrEx>
        <w:trPr>
          <w:trHeight w:val="203" w:hRule="atLeast"/>
        </w:trPr>
        <w:tc>
          <w:tcPr>
            <w:tcW w:w="14894" w:type="dxa"/>
            <w:gridSpan w:val="11"/>
            <w:tcBorders>
              <w:top w:val="nil"/>
              <w:left w:val="nil"/>
              <w:bottom w:val="nil"/>
              <w:right w:val="nil"/>
            </w:tcBorders>
            <w:noWrap w:val="0"/>
            <w:vAlign w:val="bottom"/>
          </w:tcPr>
          <w:p w14:paraId="50DEDD97">
            <w:pPr>
              <w:keepNext w:val="0"/>
              <w:keepLines w:val="0"/>
              <w:widowControl/>
              <w:suppressLineNumbers w:val="0"/>
              <w:spacing w:before="0" w:beforeAutospacing="0" w:after="0" w:afterAutospacing="0" w:line="360" w:lineRule="auto"/>
              <w:ind w:left="0" w:right="0"/>
              <w:jc w:val="left"/>
              <w:rPr>
                <w:rFonts w:hint="default" w:cs="宋体"/>
                <w:b w:val="0"/>
                <w:bCs w:val="0"/>
                <w:color w:val="auto"/>
                <w:kern w:val="0"/>
                <w:sz w:val="18"/>
                <w:szCs w:val="13"/>
                <w:highlight w:val="none"/>
              </w:rPr>
            </w:pPr>
            <w:r>
              <w:rPr>
                <w:rFonts w:hint="eastAsia" w:cs="宋体"/>
                <w:b w:val="0"/>
                <w:bCs w:val="0"/>
                <w:color w:val="auto"/>
                <w:kern w:val="0"/>
                <w:sz w:val="18"/>
                <w:szCs w:val="13"/>
                <w:highlight w:val="none"/>
              </w:rPr>
              <w:t>说明　1、企业类型的划分以统计部门的统计数据为依据。2、个体工商户和本规定以外的行业，参照本规定进行划型。3、本规定的中型企业标准上限即为大型企业标准的下限。</w:t>
            </w:r>
          </w:p>
        </w:tc>
      </w:tr>
    </w:tbl>
    <w:p w14:paraId="28CB2EB3">
      <w:pPr>
        <w:pStyle w:val="63"/>
        <w:rPr>
          <w:rFonts w:hint="eastAsia"/>
          <w:lang w:val="en-US" w:eastAsia="zh-CN"/>
        </w:rPr>
      </w:pPr>
    </w:p>
    <w:p w14:paraId="1EED28AD">
      <w:pPr>
        <w:pStyle w:val="967"/>
        <w:rPr>
          <w:rFonts w:hint="eastAsia"/>
          <w:lang w:val="en-US" w:eastAsia="zh-CN"/>
        </w:rPr>
      </w:pP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CEC">
    <w:pPr>
      <w:pStyle w:val="42"/>
      <w:framePr w:wrap="around" w:vAnchor="text" w:hAnchor="margin" w:xAlign="right" w:y="1"/>
      <w:rPr>
        <w:rStyle w:val="75"/>
      </w:rPr>
    </w:pPr>
    <w:r>
      <w:fldChar w:fldCharType="begin"/>
    </w:r>
    <w:r>
      <w:rPr>
        <w:rStyle w:val="75"/>
      </w:rPr>
      <w:instrText xml:space="preserve">PAGE  </w:instrText>
    </w:r>
    <w:r>
      <w:fldChar w:fldCharType="end"/>
    </w:r>
  </w:p>
  <w:p w14:paraId="03270EEC">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79BC">
    <w:pPr>
      <w:pStyle w:val="42"/>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849A">
                          <w:pPr>
                            <w:pStyle w:val="4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3C849A">
                    <w:pPr>
                      <w:pStyle w:val="4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6448">
    <w:pPr>
      <w:pStyle w:val="42"/>
      <w:framePr w:wrap="around" w:vAnchor="text" w:hAnchor="margin" w:xAlign="right" w:y="1"/>
      <w:rPr>
        <w:rStyle w:val="75"/>
      </w:rPr>
    </w:pPr>
    <w:r>
      <w:fldChar w:fldCharType="begin"/>
    </w:r>
    <w:r>
      <w:rPr>
        <w:rStyle w:val="75"/>
      </w:rPr>
      <w:instrText xml:space="preserve">PAGE  </w:instrText>
    </w:r>
    <w:r>
      <w:fldChar w:fldCharType="end"/>
    </w:r>
  </w:p>
  <w:p w14:paraId="6091D38C">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93">
    <w:pPr>
      <w:pStyle w:val="42"/>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0BD5">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D90BD5">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70B6">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22F1A">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22F1A">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A6B3">
    <w:pPr>
      <w:pStyle w:val="4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6970D">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66970D">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9F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E2E1">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DCE2E1">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9CC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B4110">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3B4110">
                    <w:pPr>
                      <w:pStyle w:val="4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4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636B">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A9636B">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BD6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27D11">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127D11">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60A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E41F">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80E41F">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2D0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9AF23">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9AF23">
                    <w:pPr>
                      <w:pStyle w:val="4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3571">
    <w:pPr>
      <w:pStyle w:val="43"/>
      <w:pBdr>
        <w:bottom w:val="single" w:color="auto" w:sz="6" w:space="4"/>
      </w:pBdr>
      <w:jc w:val="right"/>
    </w:pPr>
    <w:r>
      <w:t></w:t>
    </w:r>
    <w:r>
      <w:rPr>
        <w:rFonts w:hint="eastAsia"/>
      </w:rPr>
      <w:t xml:space="preserve">           </w:t>
    </w:r>
  </w:p>
  <w:p w14:paraId="0C7918B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84DC">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0A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DA7A">
    <w:pPr>
      <w:pStyle w:val="43"/>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0BF">
    <w:pPr>
      <w:pStyle w:val="43"/>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B209">
    <w:pPr>
      <w:pStyle w:val="43"/>
      <w:rPr>
        <w:rFonts w:ascii="仿宋_GB2312" w:eastAsia="仿宋_GB2312"/>
        <w:b/>
        <w:i/>
        <w:u w:val="single"/>
      </w:rPr>
    </w:pPr>
    <w:r>
      <w:t></w:t>
    </w:r>
    <w:r>
      <w:rPr>
        <w:rFonts w:hint="eastAsia"/>
      </w:rPr>
      <w:t xml:space="preserve">                                                </w:t>
    </w:r>
    <w:r>
      <w:t xml:space="preserve"> </w:t>
    </w:r>
  </w:p>
  <w:p w14:paraId="15203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CFF2">
    <w:pPr>
      <w:pStyle w:val="43"/>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029">
    <w:pPr>
      <w:pStyle w:val="43"/>
      <w:jc w:val="right"/>
      <w:rPr>
        <w:rFonts w:ascii="仿宋_GB2312" w:eastAsia="仿宋_GB2312"/>
        <w:b/>
        <w:i/>
        <w:u w:val="single"/>
      </w:rPr>
    </w:pPr>
  </w:p>
  <w:p w14:paraId="4044FF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67CB">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938D">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EBE5D"/>
    <w:multiLevelType w:val="singleLevel"/>
    <w:tmpl w:val="FEAEBE5D"/>
    <w:lvl w:ilvl="0" w:tentative="0">
      <w:start w:val="2"/>
      <w:numFmt w:val="chineseCounting"/>
      <w:suff w:val="space"/>
      <w:lvlText w:val="第%1部分"/>
      <w:lvlJc w:val="left"/>
      <w:rPr>
        <w:rFonts w:hint="eastAsia"/>
      </w:rPr>
    </w:lvl>
  </w:abstractNum>
  <w:abstractNum w:abstractNumId="1">
    <w:nsid w:val="6A90DB4D"/>
    <w:multiLevelType w:val="singleLevel"/>
    <w:tmpl w:val="6A90DB4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60"/>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B2E25"/>
    <w:rsid w:val="026E13C2"/>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C2572A"/>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9618E2"/>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921D8F"/>
    <w:rsid w:val="0DA01C73"/>
    <w:rsid w:val="0DBA7538"/>
    <w:rsid w:val="0DCE6B40"/>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8E47D8"/>
    <w:rsid w:val="0F9832DB"/>
    <w:rsid w:val="0FBF3FD2"/>
    <w:rsid w:val="0FBF7FF3"/>
    <w:rsid w:val="10376C1E"/>
    <w:rsid w:val="104447E9"/>
    <w:rsid w:val="10521CAA"/>
    <w:rsid w:val="10646583"/>
    <w:rsid w:val="107D4B15"/>
    <w:rsid w:val="108A3C80"/>
    <w:rsid w:val="10C02B10"/>
    <w:rsid w:val="10C26171"/>
    <w:rsid w:val="10F33360"/>
    <w:rsid w:val="10F7015B"/>
    <w:rsid w:val="10F82E42"/>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62074"/>
    <w:rsid w:val="12883966"/>
    <w:rsid w:val="128B3251"/>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F80BFE"/>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349C1"/>
    <w:rsid w:val="17D61933"/>
    <w:rsid w:val="17D66A1B"/>
    <w:rsid w:val="17E25AE9"/>
    <w:rsid w:val="17E94CA2"/>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2F2C4C"/>
    <w:rsid w:val="193C265E"/>
    <w:rsid w:val="193C71C6"/>
    <w:rsid w:val="19892FB3"/>
    <w:rsid w:val="19932372"/>
    <w:rsid w:val="19A20DD5"/>
    <w:rsid w:val="19AE03F1"/>
    <w:rsid w:val="19C6669B"/>
    <w:rsid w:val="19D757EB"/>
    <w:rsid w:val="19E52AA1"/>
    <w:rsid w:val="19F8741E"/>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A209CF"/>
    <w:rsid w:val="1BB4777D"/>
    <w:rsid w:val="1BD75AB8"/>
    <w:rsid w:val="1BE7774A"/>
    <w:rsid w:val="1BFB4A91"/>
    <w:rsid w:val="1BFB4FA4"/>
    <w:rsid w:val="1C0459C2"/>
    <w:rsid w:val="1C1B3B4A"/>
    <w:rsid w:val="1C320762"/>
    <w:rsid w:val="1C88086E"/>
    <w:rsid w:val="1C9A47BD"/>
    <w:rsid w:val="1CBE5BD3"/>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17144F"/>
    <w:rsid w:val="1F3D58D3"/>
    <w:rsid w:val="1F47684D"/>
    <w:rsid w:val="1F5771FF"/>
    <w:rsid w:val="1F5C7D6B"/>
    <w:rsid w:val="1F7C1719"/>
    <w:rsid w:val="1F8F25D3"/>
    <w:rsid w:val="1FD52574"/>
    <w:rsid w:val="1FE1689C"/>
    <w:rsid w:val="1FE868A9"/>
    <w:rsid w:val="1FEF5A5E"/>
    <w:rsid w:val="20034907"/>
    <w:rsid w:val="2011428E"/>
    <w:rsid w:val="20173E4B"/>
    <w:rsid w:val="204213F3"/>
    <w:rsid w:val="204E48BC"/>
    <w:rsid w:val="208921B3"/>
    <w:rsid w:val="20973DEB"/>
    <w:rsid w:val="20B26522"/>
    <w:rsid w:val="20B44310"/>
    <w:rsid w:val="210058E8"/>
    <w:rsid w:val="21035A46"/>
    <w:rsid w:val="211116EB"/>
    <w:rsid w:val="21354AB4"/>
    <w:rsid w:val="2142500E"/>
    <w:rsid w:val="216133FC"/>
    <w:rsid w:val="21786F46"/>
    <w:rsid w:val="218F107C"/>
    <w:rsid w:val="219D6918"/>
    <w:rsid w:val="21A165ED"/>
    <w:rsid w:val="21C8463F"/>
    <w:rsid w:val="21D56769"/>
    <w:rsid w:val="21E52EF3"/>
    <w:rsid w:val="21EB241E"/>
    <w:rsid w:val="21F13559"/>
    <w:rsid w:val="21F42677"/>
    <w:rsid w:val="21FB5D7B"/>
    <w:rsid w:val="22015E94"/>
    <w:rsid w:val="220B1C3D"/>
    <w:rsid w:val="221D1D20"/>
    <w:rsid w:val="222D7E81"/>
    <w:rsid w:val="22334A87"/>
    <w:rsid w:val="223F4A8D"/>
    <w:rsid w:val="226042AB"/>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17C14"/>
    <w:rsid w:val="244514B2"/>
    <w:rsid w:val="245375B0"/>
    <w:rsid w:val="245B6DB7"/>
    <w:rsid w:val="24642C0A"/>
    <w:rsid w:val="2466767A"/>
    <w:rsid w:val="246E4CC0"/>
    <w:rsid w:val="249259A1"/>
    <w:rsid w:val="24B22173"/>
    <w:rsid w:val="24B95AD9"/>
    <w:rsid w:val="24BE24DA"/>
    <w:rsid w:val="24C525F3"/>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600779A"/>
    <w:rsid w:val="26233510"/>
    <w:rsid w:val="2628662C"/>
    <w:rsid w:val="262D45DE"/>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45377"/>
    <w:rsid w:val="2D872B3B"/>
    <w:rsid w:val="2D8A43D9"/>
    <w:rsid w:val="2DAC5EA2"/>
    <w:rsid w:val="2DB9395B"/>
    <w:rsid w:val="2DD15014"/>
    <w:rsid w:val="2DDD45F4"/>
    <w:rsid w:val="2DEC04BA"/>
    <w:rsid w:val="2DF72DE4"/>
    <w:rsid w:val="2E0220AF"/>
    <w:rsid w:val="2E262354"/>
    <w:rsid w:val="2E32483A"/>
    <w:rsid w:val="2E3C2CF9"/>
    <w:rsid w:val="2E4B082A"/>
    <w:rsid w:val="2E5D4E86"/>
    <w:rsid w:val="2E5D790B"/>
    <w:rsid w:val="2E6B09B2"/>
    <w:rsid w:val="2E9A3C18"/>
    <w:rsid w:val="2EBB0FEE"/>
    <w:rsid w:val="2EC63002"/>
    <w:rsid w:val="2EE55AE5"/>
    <w:rsid w:val="2F051E27"/>
    <w:rsid w:val="2F0A6B38"/>
    <w:rsid w:val="2F594063"/>
    <w:rsid w:val="2F6D5310"/>
    <w:rsid w:val="2F7760A6"/>
    <w:rsid w:val="2F827A5E"/>
    <w:rsid w:val="2F8B12A7"/>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C586F"/>
    <w:rsid w:val="312672A5"/>
    <w:rsid w:val="31586144"/>
    <w:rsid w:val="319C6071"/>
    <w:rsid w:val="31A92384"/>
    <w:rsid w:val="31AC537E"/>
    <w:rsid w:val="31AE2A82"/>
    <w:rsid w:val="31C17314"/>
    <w:rsid w:val="31C2059E"/>
    <w:rsid w:val="31E3679B"/>
    <w:rsid w:val="31E732FD"/>
    <w:rsid w:val="32517576"/>
    <w:rsid w:val="32BE5C2C"/>
    <w:rsid w:val="32D03654"/>
    <w:rsid w:val="32E71A40"/>
    <w:rsid w:val="32FB6478"/>
    <w:rsid w:val="33263B3F"/>
    <w:rsid w:val="336963EB"/>
    <w:rsid w:val="33727D69"/>
    <w:rsid w:val="337C3B78"/>
    <w:rsid w:val="33816EEB"/>
    <w:rsid w:val="33900270"/>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F67558"/>
    <w:rsid w:val="34FA6E12"/>
    <w:rsid w:val="35045912"/>
    <w:rsid w:val="35054858"/>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6F5416"/>
    <w:rsid w:val="367B6A5C"/>
    <w:rsid w:val="368F0CB2"/>
    <w:rsid w:val="36A74ADA"/>
    <w:rsid w:val="36AD60D5"/>
    <w:rsid w:val="36B224F9"/>
    <w:rsid w:val="36EC0CC9"/>
    <w:rsid w:val="36FB5E78"/>
    <w:rsid w:val="373F410B"/>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DFD5238"/>
    <w:rsid w:val="3E0D48F6"/>
    <w:rsid w:val="3E1868B4"/>
    <w:rsid w:val="3E21409C"/>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E871B2"/>
    <w:rsid w:val="3EF26282"/>
    <w:rsid w:val="3EF9316D"/>
    <w:rsid w:val="3EFB0D9E"/>
    <w:rsid w:val="3F060E16"/>
    <w:rsid w:val="3F067638"/>
    <w:rsid w:val="3F087854"/>
    <w:rsid w:val="3F1D1096"/>
    <w:rsid w:val="3F203316"/>
    <w:rsid w:val="3F2F0234"/>
    <w:rsid w:val="3F6363FE"/>
    <w:rsid w:val="3F650802"/>
    <w:rsid w:val="3F756B8F"/>
    <w:rsid w:val="3F7A7EE0"/>
    <w:rsid w:val="3F850EA5"/>
    <w:rsid w:val="3F95482B"/>
    <w:rsid w:val="3F9D1D4A"/>
    <w:rsid w:val="3FB86B84"/>
    <w:rsid w:val="3FC51A9C"/>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3174B3D"/>
    <w:rsid w:val="433F0CA0"/>
    <w:rsid w:val="434B790E"/>
    <w:rsid w:val="43601A0D"/>
    <w:rsid w:val="4360274F"/>
    <w:rsid w:val="43977AB6"/>
    <w:rsid w:val="43994596"/>
    <w:rsid w:val="439D4A0F"/>
    <w:rsid w:val="43A3342B"/>
    <w:rsid w:val="43BE1240"/>
    <w:rsid w:val="43C77C27"/>
    <w:rsid w:val="43DE09EE"/>
    <w:rsid w:val="44002FAD"/>
    <w:rsid w:val="44105EE2"/>
    <w:rsid w:val="444123A0"/>
    <w:rsid w:val="449007B6"/>
    <w:rsid w:val="449101DD"/>
    <w:rsid w:val="4497145E"/>
    <w:rsid w:val="44C95366"/>
    <w:rsid w:val="44DE1391"/>
    <w:rsid w:val="44E548AE"/>
    <w:rsid w:val="451B225C"/>
    <w:rsid w:val="452151CC"/>
    <w:rsid w:val="452410C9"/>
    <w:rsid w:val="45317DFB"/>
    <w:rsid w:val="4541117C"/>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CA5BDD"/>
    <w:rsid w:val="46E2098A"/>
    <w:rsid w:val="46E6681C"/>
    <w:rsid w:val="46EE10DD"/>
    <w:rsid w:val="46F24DE9"/>
    <w:rsid w:val="473514CC"/>
    <w:rsid w:val="4739661E"/>
    <w:rsid w:val="47397975"/>
    <w:rsid w:val="475F71FF"/>
    <w:rsid w:val="477B778F"/>
    <w:rsid w:val="478203EC"/>
    <w:rsid w:val="478A1A03"/>
    <w:rsid w:val="47B025FA"/>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1055FE"/>
    <w:rsid w:val="49267254"/>
    <w:rsid w:val="492B486B"/>
    <w:rsid w:val="495F5B3E"/>
    <w:rsid w:val="496F77D7"/>
    <w:rsid w:val="497654FD"/>
    <w:rsid w:val="49B64211"/>
    <w:rsid w:val="49E009B1"/>
    <w:rsid w:val="49F6167F"/>
    <w:rsid w:val="4A064FA0"/>
    <w:rsid w:val="4A16615C"/>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1A1D1A"/>
    <w:rsid w:val="4D203FBB"/>
    <w:rsid w:val="4D21213D"/>
    <w:rsid w:val="4D215B05"/>
    <w:rsid w:val="4D2A3B31"/>
    <w:rsid w:val="4D312C52"/>
    <w:rsid w:val="4D3161C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418D9"/>
    <w:rsid w:val="4E793892"/>
    <w:rsid w:val="4E800872"/>
    <w:rsid w:val="4E930FA3"/>
    <w:rsid w:val="4E936C9C"/>
    <w:rsid w:val="4EBC1E7C"/>
    <w:rsid w:val="4EC37380"/>
    <w:rsid w:val="4EC569ED"/>
    <w:rsid w:val="4ED50EA1"/>
    <w:rsid w:val="4EEC050C"/>
    <w:rsid w:val="4F104EC3"/>
    <w:rsid w:val="4F22401A"/>
    <w:rsid w:val="4F47354A"/>
    <w:rsid w:val="4F911C54"/>
    <w:rsid w:val="4FC5018F"/>
    <w:rsid w:val="4FD317B8"/>
    <w:rsid w:val="4FE625E0"/>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5C0EB5"/>
    <w:rsid w:val="52615633"/>
    <w:rsid w:val="526C3372"/>
    <w:rsid w:val="526E5242"/>
    <w:rsid w:val="526F4DE4"/>
    <w:rsid w:val="52721B97"/>
    <w:rsid w:val="52977FD4"/>
    <w:rsid w:val="52A25790"/>
    <w:rsid w:val="52A96B6F"/>
    <w:rsid w:val="52B45975"/>
    <w:rsid w:val="52D94AA4"/>
    <w:rsid w:val="52E023E7"/>
    <w:rsid w:val="52EA3A62"/>
    <w:rsid w:val="52ED34E5"/>
    <w:rsid w:val="52F201A7"/>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C067D0"/>
    <w:rsid w:val="5FCC5339"/>
    <w:rsid w:val="5FCE540F"/>
    <w:rsid w:val="5FE01C28"/>
    <w:rsid w:val="5FE34A5B"/>
    <w:rsid w:val="5FFE1E36"/>
    <w:rsid w:val="600B6B96"/>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C7476E"/>
    <w:rsid w:val="62DA1D5D"/>
    <w:rsid w:val="62F12229"/>
    <w:rsid w:val="62F17359"/>
    <w:rsid w:val="62F31C3F"/>
    <w:rsid w:val="62F40B65"/>
    <w:rsid w:val="62FC2CFE"/>
    <w:rsid w:val="63024505"/>
    <w:rsid w:val="633B16F7"/>
    <w:rsid w:val="634A17BF"/>
    <w:rsid w:val="635600A5"/>
    <w:rsid w:val="635B1DB5"/>
    <w:rsid w:val="635C3B47"/>
    <w:rsid w:val="63711FED"/>
    <w:rsid w:val="63880DDC"/>
    <w:rsid w:val="638D750D"/>
    <w:rsid w:val="63AC6CC0"/>
    <w:rsid w:val="63C050F5"/>
    <w:rsid w:val="63FE69AC"/>
    <w:rsid w:val="64055776"/>
    <w:rsid w:val="64240056"/>
    <w:rsid w:val="643E143A"/>
    <w:rsid w:val="64460353"/>
    <w:rsid w:val="64491666"/>
    <w:rsid w:val="645816F0"/>
    <w:rsid w:val="646A0640"/>
    <w:rsid w:val="64727A97"/>
    <w:rsid w:val="64752EFE"/>
    <w:rsid w:val="648B6EEF"/>
    <w:rsid w:val="64921AB7"/>
    <w:rsid w:val="64C158BF"/>
    <w:rsid w:val="64CE2EAA"/>
    <w:rsid w:val="65031DA0"/>
    <w:rsid w:val="651971E4"/>
    <w:rsid w:val="65294F03"/>
    <w:rsid w:val="653C3090"/>
    <w:rsid w:val="657F0153"/>
    <w:rsid w:val="65854376"/>
    <w:rsid w:val="658767BE"/>
    <w:rsid w:val="65892531"/>
    <w:rsid w:val="659C489C"/>
    <w:rsid w:val="65BD2D53"/>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2F3F24"/>
    <w:rsid w:val="673E055F"/>
    <w:rsid w:val="6751439C"/>
    <w:rsid w:val="67551CE3"/>
    <w:rsid w:val="67687CA6"/>
    <w:rsid w:val="676A4358"/>
    <w:rsid w:val="67A22552"/>
    <w:rsid w:val="67B22DCC"/>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DD735F"/>
    <w:rsid w:val="6ADE0BD1"/>
    <w:rsid w:val="6AE96859"/>
    <w:rsid w:val="6B147746"/>
    <w:rsid w:val="6B24787C"/>
    <w:rsid w:val="6B2B0B08"/>
    <w:rsid w:val="6B326A8C"/>
    <w:rsid w:val="6B4649F7"/>
    <w:rsid w:val="6B573233"/>
    <w:rsid w:val="6B5B6274"/>
    <w:rsid w:val="6B615D5C"/>
    <w:rsid w:val="6B847F5E"/>
    <w:rsid w:val="6B935D53"/>
    <w:rsid w:val="6BC02799"/>
    <w:rsid w:val="6BD13C23"/>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323EF"/>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8331F1"/>
    <w:rsid w:val="6FA31ECE"/>
    <w:rsid w:val="6FAE1A09"/>
    <w:rsid w:val="6FD75BF8"/>
    <w:rsid w:val="6FF64CD5"/>
    <w:rsid w:val="6FF922DA"/>
    <w:rsid w:val="700D583A"/>
    <w:rsid w:val="702A164A"/>
    <w:rsid w:val="703E5095"/>
    <w:rsid w:val="7060279C"/>
    <w:rsid w:val="706E6C67"/>
    <w:rsid w:val="707723D0"/>
    <w:rsid w:val="70934920"/>
    <w:rsid w:val="70985552"/>
    <w:rsid w:val="709A7A5C"/>
    <w:rsid w:val="709D12FB"/>
    <w:rsid w:val="70AE62DA"/>
    <w:rsid w:val="70B4699F"/>
    <w:rsid w:val="70DA7947"/>
    <w:rsid w:val="70F4178D"/>
    <w:rsid w:val="70F5661B"/>
    <w:rsid w:val="712B4B58"/>
    <w:rsid w:val="71360107"/>
    <w:rsid w:val="713A2FED"/>
    <w:rsid w:val="713B688E"/>
    <w:rsid w:val="71461992"/>
    <w:rsid w:val="71757AAF"/>
    <w:rsid w:val="718B3849"/>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0DB0"/>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0E4D00"/>
    <w:rsid w:val="77136511"/>
    <w:rsid w:val="77340A39"/>
    <w:rsid w:val="77351FD0"/>
    <w:rsid w:val="77472422"/>
    <w:rsid w:val="77550B81"/>
    <w:rsid w:val="776E2692"/>
    <w:rsid w:val="777F31F2"/>
    <w:rsid w:val="77AB3955"/>
    <w:rsid w:val="77D1700D"/>
    <w:rsid w:val="77EC04CC"/>
    <w:rsid w:val="77F4102D"/>
    <w:rsid w:val="780954C8"/>
    <w:rsid w:val="78294F56"/>
    <w:rsid w:val="782D0D9A"/>
    <w:rsid w:val="784A620C"/>
    <w:rsid w:val="78520C1D"/>
    <w:rsid w:val="78775729"/>
    <w:rsid w:val="78A42DB0"/>
    <w:rsid w:val="78A656AB"/>
    <w:rsid w:val="78B2245C"/>
    <w:rsid w:val="78B81351"/>
    <w:rsid w:val="78D24798"/>
    <w:rsid w:val="78E172CC"/>
    <w:rsid w:val="78EA1D1F"/>
    <w:rsid w:val="78F527D1"/>
    <w:rsid w:val="7904172F"/>
    <w:rsid w:val="790F7E27"/>
    <w:rsid w:val="79295E21"/>
    <w:rsid w:val="792A231A"/>
    <w:rsid w:val="792C76C0"/>
    <w:rsid w:val="79316829"/>
    <w:rsid w:val="79420C91"/>
    <w:rsid w:val="795639FD"/>
    <w:rsid w:val="797E66A9"/>
    <w:rsid w:val="798518A4"/>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首行缩进 21"/>
    <w:basedOn w:val="3"/>
    <w:autoRedefine/>
    <w:qFormat/>
    <w:uiPriority w:val="99"/>
    <w:pPr>
      <w:spacing w:line="200" w:lineRule="atLeast"/>
      <w:ind w:firstLine="420"/>
    </w:pPr>
    <w:rPr>
      <w:rFonts w:ascii="宋体" w:hAnsi="Courier New"/>
      <w:spacing w:val="-4"/>
      <w:sz w:val="18"/>
    </w:rPr>
  </w:style>
  <w:style w:type="paragraph" w:customStyle="1" w:styleId="3">
    <w:name w:val="Body Text Indent1"/>
    <w:basedOn w:val="1"/>
    <w:next w:val="1"/>
    <w:autoRedefine/>
    <w:qFormat/>
    <w:uiPriority w:val="0"/>
    <w:pPr>
      <w:spacing w:after="120"/>
      <w:ind w:left="420" w:leftChars="200"/>
    </w:pPr>
    <w:rPr>
      <w:rFonts w:ascii="Times New Roman" w:hAnsi="Times New Roman" w:eastAsia="宋体" w:cs="Times New Roman"/>
      <w:color w:val="000000"/>
      <w:szCs w:val="21"/>
    </w:rPr>
  </w:style>
  <w:style w:type="paragraph" w:styleId="7">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0"/>
    <w:qFormat/>
    <w:uiPriority w:val="0"/>
    <w:rPr>
      <w:b/>
      <w:bCs/>
    </w:rPr>
  </w:style>
  <w:style w:type="paragraph" w:styleId="63">
    <w:name w:val="Body Text First Indent"/>
    <w:basedOn w:val="26"/>
    <w:next w:val="53"/>
    <w:link w:val="324"/>
    <w:qFormat/>
    <w:uiPriority w:val="0"/>
    <w:pPr>
      <w:ind w:firstLine="420"/>
    </w:pPr>
    <w:rPr>
      <w:rFonts w:hAnsi="Calibri" w:cs="Times New Roman"/>
      <w:snapToGrid/>
      <w:szCs w:val="20"/>
    </w:rPr>
  </w:style>
  <w:style w:type="paragraph" w:styleId="64">
    <w:name w:val="Body Text First Indent 2"/>
    <w:basedOn w:val="27"/>
    <w:next w:val="1"/>
    <w:link w:val="125"/>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3">
    <w:name w:val="样式3"/>
    <w:basedOn w:val="35"/>
    <w:qFormat/>
    <w:uiPriority w:val="0"/>
    <w:pPr>
      <w:tabs>
        <w:tab w:val="left" w:pos="2790"/>
        <w:tab w:val="left" w:pos="4230"/>
      </w:tabs>
      <w:spacing w:before="312" w:beforeLines="100"/>
      <w:jc w:val="left"/>
    </w:pPr>
  </w:style>
  <w:style w:type="paragraph" w:customStyle="1" w:styleId="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5"/>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5"/>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character" w:customStyle="1" w:styleId="969">
    <w:name w:val="标题 1 Char1"/>
    <w:qFormat/>
    <w:uiPriority w:val="0"/>
    <w:rPr>
      <w:rFonts w:ascii="Times New Roman" w:hAnsi="Times New Roman" w:eastAsia="宋体" w:cs="Times New Roman"/>
      <w:b/>
      <w:bCs/>
      <w:kern w:val="44"/>
      <w:sz w:val="32"/>
      <w:szCs w:val="44"/>
    </w:rPr>
  </w:style>
  <w:style w:type="character" w:customStyle="1" w:styleId="970">
    <w:name w:val="NormalCharacter"/>
    <w:qFormat/>
    <w:uiPriority w:val="0"/>
    <w:rPr>
      <w:rFonts w:ascii="Times New Roman" w:hAnsi="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19609</Words>
  <Characters>21888</Characters>
  <Lines>1</Lines>
  <Paragraphs>1</Paragraphs>
  <TotalTime>39</TotalTime>
  <ScaleCrop>false</ScaleCrop>
  <LinksUpToDate>false</LinksUpToDate>
  <CharactersWithSpaces>22212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2025-04-24T01:29:00Z</cp:lastPrinted>
  <dcterms:modified xsi:type="dcterms:W3CDTF">2025-06-26T08:25:07Z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3F1A2CABF0A04EC29C618A03BD72DD0E_13</vt:lpwstr>
  </property>
  <property fmtid="{D5CDD505-2E9C-101B-9397-08002B2CF9AE}" pid="5" name="KSOTemplateDocerSaveRecord">
    <vt:lpwstr>eyJoZGlkIjoiMDY3NGUzYzg1YmRmM2QwMTg2ZmFmZTdlMDQzMzdjNDgiLCJ1c2VySWQiOiIxNDU5OTc4MTIwIn0=</vt:lpwstr>
  </property>
</Properties>
</file>