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ascii="宋体"/>
          <w:b/>
          <w:color w:val="auto"/>
          <w:sz w:val="72"/>
        </w:rPr>
      </w:pPr>
    </w:p>
    <w:p>
      <w:pPr>
        <w:spacing w:after="120"/>
        <w:jc w:val="center"/>
        <w:rPr>
          <w:rFonts w:ascii="宋体" w:cs="宋体"/>
          <w:b/>
          <w:color w:val="auto"/>
          <w:sz w:val="72"/>
        </w:rPr>
      </w:pPr>
    </w:p>
    <w:p>
      <w:pPr>
        <w:spacing w:after="120"/>
        <w:jc w:val="center"/>
        <w:rPr>
          <w:rFonts w:ascii="宋体" w:cs="宋体"/>
          <w:b/>
          <w:color w:val="auto"/>
          <w:sz w:val="72"/>
        </w:rPr>
      </w:pPr>
      <w:r>
        <w:rPr>
          <w:rFonts w:hint="eastAsia" w:ascii="宋体" w:hAnsi="宋体" w:cs="宋体"/>
          <w:b/>
          <w:color w:val="auto"/>
          <w:sz w:val="72"/>
        </w:rPr>
        <w:t>国内公开招标文件</w:t>
      </w:r>
      <w:bookmarkStart w:id="86" w:name="_GoBack"/>
      <w:bookmarkEnd w:id="86"/>
    </w:p>
    <w:p>
      <w:pPr>
        <w:rPr>
          <w:rFonts w:ascii="宋体" w:cs="宋体"/>
          <w:b/>
          <w:color w:val="auto"/>
          <w:sz w:val="44"/>
        </w:rPr>
      </w:pPr>
    </w:p>
    <w:p>
      <w:pPr>
        <w:rPr>
          <w:rFonts w:ascii="宋体" w:cs="宋体"/>
          <w:b/>
          <w:color w:val="auto"/>
          <w:sz w:val="44"/>
        </w:rPr>
      </w:pPr>
    </w:p>
    <w:p>
      <w:pPr>
        <w:rPr>
          <w:rFonts w:ascii="宋体" w:cs="宋体"/>
          <w:b/>
          <w:color w:val="auto"/>
          <w:sz w:val="44"/>
        </w:rPr>
      </w:pPr>
    </w:p>
    <w:p>
      <w:pPr>
        <w:rPr>
          <w:rFonts w:ascii="宋体" w:cs="宋体"/>
          <w:b/>
          <w:color w:val="auto"/>
          <w:sz w:val="44"/>
        </w:rPr>
      </w:pPr>
    </w:p>
    <w:p>
      <w:pPr>
        <w:rPr>
          <w:rFonts w:ascii="宋体" w:cs="宋体"/>
          <w:b/>
          <w:color w:val="auto"/>
          <w:sz w:val="44"/>
        </w:rPr>
      </w:pPr>
    </w:p>
    <w:p>
      <w:pPr>
        <w:pStyle w:val="37"/>
        <w:rPr>
          <w:rFonts w:hAnsi="宋体" w:cs="宋体"/>
          <w:b/>
          <w:color w:val="auto"/>
          <w:sz w:val="44"/>
        </w:rPr>
      </w:pPr>
    </w:p>
    <w:p>
      <w:pPr>
        <w:pStyle w:val="37"/>
        <w:ind w:left="0" w:firstLine="0"/>
        <w:rPr>
          <w:color w:val="auto"/>
        </w:rPr>
      </w:pPr>
    </w:p>
    <w:p>
      <w:pPr>
        <w:rPr>
          <w:rFonts w:ascii="宋体" w:cs="宋体"/>
          <w:b/>
          <w:color w:val="auto"/>
          <w:sz w:val="44"/>
        </w:rPr>
      </w:pPr>
    </w:p>
    <w:p>
      <w:pPr>
        <w:pStyle w:val="37"/>
        <w:rPr>
          <w:rFonts w:ascii="宋体" w:cs="宋体"/>
          <w:b/>
          <w:color w:val="auto"/>
          <w:sz w:val="44"/>
        </w:rPr>
      </w:pPr>
    </w:p>
    <w:p>
      <w:pPr>
        <w:snapToGrid w:val="0"/>
        <w:spacing w:line="360" w:lineRule="auto"/>
        <w:ind w:firstLine="1084" w:firstLineChars="300"/>
        <w:jc w:val="left"/>
        <w:rPr>
          <w:rFonts w:hint="default" w:ascii="宋体" w:eastAsia="宋体" w:cs="宋体"/>
          <w:b/>
          <w:bCs/>
          <w:color w:val="auto"/>
          <w:sz w:val="36"/>
          <w:szCs w:val="36"/>
          <w:lang w:val="en-US" w:eastAsia="zh-CN"/>
        </w:rPr>
      </w:pPr>
      <w:r>
        <w:rPr>
          <w:rFonts w:hint="eastAsia" w:ascii="宋体" w:hAnsi="宋体" w:cs="宋体"/>
          <w:b/>
          <w:bCs/>
          <w:color w:val="auto"/>
          <w:sz w:val="36"/>
          <w:szCs w:val="36"/>
          <w:lang w:val="zh-CN"/>
        </w:rPr>
        <w:t>采购编号：NBZY202</w:t>
      </w:r>
      <w:r>
        <w:rPr>
          <w:rFonts w:hint="eastAsia" w:ascii="宋体" w:hAnsi="宋体" w:cs="宋体"/>
          <w:b/>
          <w:bCs/>
          <w:color w:val="auto"/>
          <w:sz w:val="36"/>
          <w:szCs w:val="36"/>
          <w:lang w:val="en-US" w:eastAsia="zh-CN"/>
        </w:rPr>
        <w:t>3</w:t>
      </w:r>
      <w:r>
        <w:rPr>
          <w:rFonts w:hint="eastAsia" w:ascii="宋体" w:hAnsi="宋体" w:cs="宋体"/>
          <w:b/>
          <w:bCs/>
          <w:color w:val="auto"/>
          <w:sz w:val="36"/>
          <w:szCs w:val="36"/>
          <w:lang w:val="zh-CN"/>
        </w:rPr>
        <w:t>-CG0</w:t>
      </w:r>
      <w:r>
        <w:rPr>
          <w:rFonts w:hint="eastAsia" w:ascii="宋体" w:hAnsi="宋体" w:cs="宋体"/>
          <w:b/>
          <w:bCs/>
          <w:color w:val="auto"/>
          <w:sz w:val="36"/>
          <w:szCs w:val="36"/>
          <w:lang w:val="en-US" w:eastAsia="zh-CN"/>
        </w:rPr>
        <w:t>04</w:t>
      </w:r>
    </w:p>
    <w:p>
      <w:pPr>
        <w:spacing w:line="360" w:lineRule="auto"/>
        <w:ind w:firstLine="1084" w:firstLineChars="300"/>
        <w:rPr>
          <w:rFonts w:hint="eastAsia" w:ascii="宋体" w:hAnsi="宋体" w:cs="宋体"/>
          <w:b/>
          <w:bCs/>
          <w:color w:val="auto"/>
          <w:sz w:val="36"/>
          <w:szCs w:val="36"/>
          <w:lang w:val="en-US" w:eastAsia="zh-CN"/>
        </w:rPr>
      </w:pPr>
      <w:r>
        <w:rPr>
          <w:rFonts w:hint="eastAsia" w:ascii="宋体" w:hAnsi="宋体" w:cs="宋体"/>
          <w:b/>
          <w:bCs/>
          <w:color w:val="auto"/>
          <w:sz w:val="36"/>
          <w:szCs w:val="36"/>
          <w:lang w:val="zh-CN"/>
        </w:rPr>
        <w:t>项目名称：</w:t>
      </w:r>
      <w:r>
        <w:rPr>
          <w:rFonts w:hint="eastAsia" w:ascii="宋体" w:hAnsi="宋体" w:cs="宋体"/>
          <w:b/>
          <w:bCs/>
          <w:color w:val="auto"/>
          <w:sz w:val="36"/>
          <w:szCs w:val="36"/>
          <w:lang w:val="en-US" w:eastAsia="zh-CN"/>
        </w:rPr>
        <w:t>宁海县公路与运输管理中心2023年</w:t>
      </w:r>
    </w:p>
    <w:p>
      <w:pPr>
        <w:spacing w:line="360" w:lineRule="auto"/>
        <w:ind w:firstLine="2891" w:firstLineChars="800"/>
        <w:rPr>
          <w:rFonts w:hint="eastAsia" w:ascii="宋体" w:hAnsi="宋体" w:cs="宋体"/>
          <w:b/>
          <w:bCs/>
          <w:color w:val="auto"/>
          <w:sz w:val="36"/>
          <w:szCs w:val="36"/>
          <w:lang w:val="en-US" w:eastAsia="zh-CN"/>
        </w:rPr>
      </w:pPr>
      <w:r>
        <w:rPr>
          <w:rFonts w:hint="eastAsia" w:ascii="宋体" w:hAnsi="宋体" w:cs="宋体"/>
          <w:b/>
          <w:bCs/>
          <w:color w:val="auto"/>
          <w:sz w:val="36"/>
          <w:szCs w:val="36"/>
          <w:lang w:val="en-US" w:eastAsia="zh-CN"/>
        </w:rPr>
        <w:t>公路绿化养护服务采购</w:t>
      </w:r>
    </w:p>
    <w:p>
      <w:pPr>
        <w:spacing w:line="360" w:lineRule="auto"/>
        <w:ind w:firstLine="1084" w:firstLineChars="300"/>
        <w:rPr>
          <w:rFonts w:ascii="宋体" w:cs="宋体"/>
          <w:b/>
          <w:bCs/>
          <w:color w:val="auto"/>
          <w:sz w:val="36"/>
          <w:szCs w:val="36"/>
        </w:rPr>
      </w:pPr>
      <w:r>
        <w:rPr>
          <w:rFonts w:hint="eastAsia" w:ascii="宋体" w:hAnsi="宋体" w:cs="宋体"/>
          <w:b/>
          <w:bCs/>
          <w:color w:val="auto"/>
          <w:sz w:val="36"/>
          <w:szCs w:val="36"/>
          <w:lang w:val="zh-CN"/>
        </w:rPr>
        <w:t>采购单位：宁海县公路与运输管理中心</w:t>
      </w:r>
    </w:p>
    <w:p>
      <w:pPr>
        <w:spacing w:line="360" w:lineRule="auto"/>
        <w:ind w:firstLine="1084" w:firstLineChars="300"/>
        <w:rPr>
          <w:rFonts w:ascii="宋体" w:cs="宋体"/>
          <w:b/>
          <w:color w:val="auto"/>
          <w:sz w:val="36"/>
          <w:szCs w:val="36"/>
        </w:rPr>
      </w:pPr>
      <w:r>
        <w:rPr>
          <w:rFonts w:hint="eastAsia" w:ascii="宋体" w:hAnsi="宋体" w:cs="宋体"/>
          <w:b/>
          <w:bCs/>
          <w:color w:val="auto"/>
          <w:sz w:val="36"/>
          <w:szCs w:val="36"/>
          <w:lang w:val="zh-CN"/>
        </w:rPr>
        <w:t>代理机构：宁波中屹工程管理咨询有限公司</w:t>
      </w:r>
    </w:p>
    <w:p>
      <w:pPr>
        <w:jc w:val="center"/>
        <w:rPr>
          <w:rFonts w:ascii="宋体" w:cs="宋体"/>
          <w:b/>
          <w:color w:val="auto"/>
          <w:sz w:val="34"/>
        </w:rPr>
      </w:pPr>
    </w:p>
    <w:p>
      <w:pPr>
        <w:pStyle w:val="10"/>
        <w:rPr>
          <w:color w:val="auto"/>
        </w:rPr>
      </w:pPr>
    </w:p>
    <w:p>
      <w:pPr>
        <w:jc w:val="center"/>
        <w:rPr>
          <w:rFonts w:hint="default" w:hAnsi="宋体" w:eastAsia="宋体" w:cs="宋体"/>
          <w:color w:val="auto"/>
          <w:sz w:val="36"/>
          <w:szCs w:val="36"/>
          <w:lang w:val="en-US" w:eastAsia="zh-CN"/>
        </w:rPr>
        <w:sectPr>
          <w:headerReference r:id="rId5" w:type="first"/>
          <w:headerReference r:id="rId3" w:type="default"/>
          <w:footerReference r:id="rId6" w:type="default"/>
          <w:headerReference r:id="rId4" w:type="even"/>
          <w:footerReference r:id="rId7" w:type="even"/>
          <w:pgSz w:w="11906" w:h="16838"/>
          <w:pgMar w:top="1474" w:right="1134" w:bottom="1247" w:left="1134" w:header="851" w:footer="851" w:gutter="0"/>
          <w:pgBorders>
            <w:top w:val="none" w:sz="0" w:space="0"/>
            <w:left w:val="none" w:sz="0" w:space="0"/>
            <w:bottom w:val="none" w:sz="0" w:space="0"/>
            <w:right w:val="none" w:sz="0" w:space="0"/>
          </w:pgBorders>
          <w:cols w:space="720" w:num="1"/>
          <w:titlePg/>
          <w:docGrid w:linePitch="312" w:charSpace="0"/>
        </w:sectPr>
      </w:pPr>
      <w:r>
        <w:rPr>
          <w:rFonts w:ascii="宋体" w:hAnsi="宋体" w:cs="宋体"/>
          <w:b/>
          <w:color w:val="auto"/>
          <w:sz w:val="36"/>
          <w:szCs w:val="36"/>
        </w:rPr>
        <w:t>20</w:t>
      </w:r>
      <w:r>
        <w:rPr>
          <w:rFonts w:hint="eastAsia" w:ascii="宋体" w:hAnsi="宋体" w:cs="宋体"/>
          <w:b/>
          <w:color w:val="auto"/>
          <w:sz w:val="36"/>
          <w:szCs w:val="36"/>
        </w:rPr>
        <w:t>2</w:t>
      </w:r>
      <w:r>
        <w:rPr>
          <w:rFonts w:hint="eastAsia" w:ascii="宋体" w:hAnsi="宋体" w:cs="宋体"/>
          <w:b/>
          <w:color w:val="auto"/>
          <w:sz w:val="36"/>
          <w:szCs w:val="36"/>
          <w:lang w:val="en-US" w:eastAsia="zh-CN"/>
        </w:rPr>
        <w:t>3</w:t>
      </w:r>
      <w:r>
        <w:rPr>
          <w:rFonts w:hint="eastAsia" w:ascii="宋体" w:hAnsi="宋体" w:cs="宋体"/>
          <w:b/>
          <w:color w:val="auto"/>
          <w:sz w:val="36"/>
          <w:szCs w:val="36"/>
        </w:rPr>
        <w:t>年</w:t>
      </w:r>
      <w:r>
        <w:rPr>
          <w:rFonts w:hint="eastAsia" w:ascii="宋体" w:hAnsi="宋体" w:cs="宋体"/>
          <w:b/>
          <w:color w:val="auto"/>
          <w:sz w:val="36"/>
          <w:szCs w:val="36"/>
          <w:lang w:val="en-US" w:eastAsia="zh-CN"/>
        </w:rPr>
        <w:t>2</w:t>
      </w:r>
      <w:r>
        <w:rPr>
          <w:rFonts w:hint="eastAsia" w:ascii="宋体" w:hAnsi="宋体" w:cs="宋体"/>
          <w:b/>
          <w:color w:val="auto"/>
          <w:sz w:val="36"/>
          <w:szCs w:val="36"/>
        </w:rPr>
        <w:t>月</w:t>
      </w:r>
    </w:p>
    <w:p>
      <w:pPr>
        <w:pStyle w:val="14"/>
        <w:spacing w:beforeLines="0" w:after="120" w:line="360" w:lineRule="auto"/>
        <w:jc w:val="center"/>
        <w:rPr>
          <w:rFonts w:hAnsi="宋体" w:cs="宋体"/>
          <w:b/>
          <w:bCs/>
          <w:color w:val="auto"/>
          <w:sz w:val="52"/>
          <w:szCs w:val="52"/>
        </w:rPr>
      </w:pPr>
      <w:r>
        <w:rPr>
          <w:rFonts w:hint="eastAsia" w:hAnsi="宋体" w:cs="宋体"/>
          <w:b/>
          <w:bCs/>
          <w:color w:val="auto"/>
          <w:sz w:val="48"/>
          <w:szCs w:val="48"/>
        </w:rPr>
        <w:t>目</w:t>
      </w:r>
      <w:r>
        <w:rPr>
          <w:rFonts w:hint="eastAsia" w:hAnsi="宋体" w:cs="宋体"/>
          <w:b/>
          <w:bCs/>
          <w:color w:val="auto"/>
          <w:sz w:val="48"/>
          <w:szCs w:val="48"/>
          <w:lang w:val="en-US" w:eastAsia="zh-CN"/>
        </w:rPr>
        <w:t xml:space="preserve"> </w:t>
      </w:r>
      <w:r>
        <w:rPr>
          <w:rFonts w:hint="eastAsia" w:hAnsi="宋体" w:cs="宋体"/>
          <w:b/>
          <w:bCs/>
          <w:color w:val="auto"/>
          <w:sz w:val="48"/>
          <w:szCs w:val="48"/>
        </w:rPr>
        <w:t>录</w:t>
      </w:r>
    </w:p>
    <w:p>
      <w:pPr>
        <w:pStyle w:val="20"/>
        <w:tabs>
          <w:tab w:val="right" w:leader="dot" w:pos="8959"/>
        </w:tabs>
        <w:snapToGrid w:val="0"/>
        <w:rPr>
          <w:rFonts w:hint="eastAsia" w:ascii="宋体" w:eastAsia="宋体" w:cs="宋体"/>
          <w:b/>
          <w:bCs/>
          <w:color w:val="auto"/>
          <w:sz w:val="32"/>
          <w:szCs w:val="32"/>
          <w:lang w:val="en-US" w:eastAsia="zh-CN"/>
        </w:rPr>
      </w:pPr>
      <w:r>
        <w:rPr>
          <w:rFonts w:ascii="宋体" w:hAnsi="宋体" w:cs="宋体"/>
          <w:b/>
          <w:bCs/>
          <w:color w:val="auto"/>
          <w:sz w:val="32"/>
          <w:szCs w:val="32"/>
        </w:rPr>
        <w:fldChar w:fldCharType="begin"/>
      </w:r>
      <w:r>
        <w:rPr>
          <w:rFonts w:ascii="宋体" w:hAnsi="宋体" w:cs="宋体"/>
          <w:b/>
          <w:bCs/>
          <w:color w:val="auto"/>
          <w:sz w:val="32"/>
          <w:szCs w:val="32"/>
        </w:rPr>
        <w:instrText xml:space="preserve">TOC \o "1-3" \h \u </w:instrText>
      </w:r>
      <w:r>
        <w:rPr>
          <w:rFonts w:ascii="宋体" w:hAnsi="宋体" w:cs="宋体"/>
          <w:b/>
          <w:bCs/>
          <w:color w:val="auto"/>
          <w:sz w:val="32"/>
          <w:szCs w:val="32"/>
        </w:rPr>
        <w:fldChar w:fldCharType="separate"/>
      </w:r>
      <w:r>
        <w:rPr>
          <w:color w:val="auto"/>
        </w:rPr>
        <w:fldChar w:fldCharType="begin"/>
      </w:r>
      <w:r>
        <w:rPr>
          <w:color w:val="auto"/>
        </w:rPr>
        <w:instrText xml:space="preserve"> HYPERLINK \l "_Toc9329" </w:instrText>
      </w:r>
      <w:r>
        <w:rPr>
          <w:color w:val="auto"/>
        </w:rPr>
        <w:fldChar w:fldCharType="separate"/>
      </w:r>
      <w:r>
        <w:rPr>
          <w:rFonts w:hint="eastAsia" w:ascii="宋体" w:hAnsi="宋体" w:cs="宋体"/>
          <w:b/>
          <w:bCs/>
          <w:color w:val="auto"/>
          <w:sz w:val="32"/>
          <w:szCs w:val="32"/>
        </w:rPr>
        <w:t>第一章</w:t>
      </w:r>
      <w:r>
        <w:rPr>
          <w:rFonts w:hint="eastAsia" w:ascii="宋体" w:hAnsi="宋体" w:cs="宋体"/>
          <w:b/>
          <w:bCs/>
          <w:color w:val="auto"/>
          <w:sz w:val="32"/>
          <w:szCs w:val="32"/>
          <w:lang w:val="en-US" w:eastAsia="zh-CN"/>
        </w:rPr>
        <w:t xml:space="preserve"> </w:t>
      </w:r>
      <w:r>
        <w:rPr>
          <w:rFonts w:hint="eastAsia" w:ascii="宋体" w:hAnsi="宋体" w:cs="宋体"/>
          <w:b/>
          <w:bCs/>
          <w:color w:val="auto"/>
          <w:sz w:val="32"/>
          <w:szCs w:val="32"/>
        </w:rPr>
        <w:t>公开招标公告</w:t>
      </w:r>
      <w:r>
        <w:rPr>
          <w:rFonts w:ascii="宋体" w:cs="宋体"/>
          <w:b/>
          <w:bCs/>
          <w:color w:val="auto"/>
          <w:sz w:val="32"/>
          <w:szCs w:val="32"/>
        </w:rPr>
        <w:tab/>
      </w:r>
      <w:r>
        <w:rPr>
          <w:rFonts w:ascii="宋体" w:cs="宋体"/>
          <w:b/>
          <w:bCs/>
          <w:color w:val="auto"/>
          <w:sz w:val="32"/>
          <w:szCs w:val="32"/>
        </w:rPr>
        <w:fldChar w:fldCharType="end"/>
      </w:r>
      <w:r>
        <w:rPr>
          <w:rFonts w:hint="eastAsia" w:ascii="宋体" w:cs="宋体"/>
          <w:b/>
          <w:bCs/>
          <w:color w:val="auto"/>
          <w:sz w:val="32"/>
          <w:szCs w:val="32"/>
          <w:lang w:val="en-US" w:eastAsia="zh-CN"/>
        </w:rPr>
        <w:t>1</w:t>
      </w:r>
    </w:p>
    <w:p>
      <w:pPr>
        <w:pStyle w:val="24"/>
        <w:tabs>
          <w:tab w:val="right" w:leader="dot" w:pos="8959"/>
        </w:tabs>
        <w:snapToGrid w:val="0"/>
        <w:ind w:left="0" w:leftChars="0"/>
        <w:rPr>
          <w:rFonts w:ascii="宋体" w:cs="宋体"/>
          <w:b/>
          <w:bCs/>
          <w:color w:val="auto"/>
          <w:sz w:val="32"/>
          <w:szCs w:val="32"/>
        </w:rPr>
      </w:pPr>
    </w:p>
    <w:p>
      <w:pPr>
        <w:pStyle w:val="24"/>
        <w:tabs>
          <w:tab w:val="right" w:leader="dot" w:pos="8959"/>
        </w:tabs>
        <w:snapToGrid w:val="0"/>
        <w:ind w:left="0" w:leftChars="0"/>
        <w:rPr>
          <w:rFonts w:hint="eastAsia" w:ascii="宋体" w:eastAsia="宋体" w:cs="宋体"/>
          <w:b/>
          <w:bCs/>
          <w:color w:val="auto"/>
          <w:sz w:val="32"/>
          <w:szCs w:val="32"/>
          <w:lang w:val="en-US" w:eastAsia="zh-CN"/>
        </w:rPr>
      </w:pPr>
      <w:r>
        <w:rPr>
          <w:rFonts w:hint="eastAsia" w:ascii="宋体" w:hAnsi="宋体" w:cs="宋体"/>
          <w:b/>
          <w:bCs/>
          <w:color w:val="auto"/>
          <w:sz w:val="32"/>
          <w:szCs w:val="32"/>
        </w:rPr>
        <w:t>第二章</w:t>
      </w:r>
      <w:r>
        <w:rPr>
          <w:rFonts w:hint="eastAsia" w:ascii="宋体" w:hAnsi="宋体" w:cs="宋体"/>
          <w:b/>
          <w:bCs/>
          <w:color w:val="auto"/>
          <w:sz w:val="32"/>
          <w:szCs w:val="32"/>
          <w:lang w:val="en-US" w:eastAsia="zh-CN"/>
        </w:rPr>
        <w:t xml:space="preserve"> </w:t>
      </w:r>
      <w:r>
        <w:rPr>
          <w:color w:val="auto"/>
        </w:rPr>
        <w:fldChar w:fldCharType="begin"/>
      </w:r>
      <w:r>
        <w:rPr>
          <w:color w:val="auto"/>
        </w:rPr>
        <w:instrText xml:space="preserve"> HYPERLINK \l "_Toc28564" </w:instrText>
      </w:r>
      <w:r>
        <w:rPr>
          <w:color w:val="auto"/>
        </w:rPr>
        <w:fldChar w:fldCharType="separate"/>
      </w:r>
      <w:r>
        <w:rPr>
          <w:rFonts w:hint="eastAsia" w:ascii="宋体" w:hAnsi="宋体" w:cs="宋体"/>
          <w:b/>
          <w:bCs/>
          <w:color w:val="auto"/>
          <w:sz w:val="32"/>
          <w:szCs w:val="32"/>
        </w:rPr>
        <w:t>招标需求</w:t>
      </w:r>
      <w:r>
        <w:rPr>
          <w:rFonts w:ascii="宋体" w:cs="宋体"/>
          <w:b/>
          <w:bCs/>
          <w:color w:val="auto"/>
          <w:sz w:val="32"/>
          <w:szCs w:val="32"/>
        </w:rPr>
        <w:tab/>
      </w:r>
      <w:r>
        <w:rPr>
          <w:rFonts w:ascii="宋体" w:cs="宋体"/>
          <w:b/>
          <w:bCs/>
          <w:color w:val="auto"/>
          <w:sz w:val="32"/>
          <w:szCs w:val="32"/>
        </w:rPr>
        <w:fldChar w:fldCharType="end"/>
      </w:r>
      <w:r>
        <w:rPr>
          <w:rFonts w:hint="eastAsia" w:ascii="宋体" w:cs="宋体"/>
          <w:b/>
          <w:bCs/>
          <w:color w:val="auto"/>
          <w:sz w:val="32"/>
          <w:szCs w:val="32"/>
          <w:lang w:val="en-US" w:eastAsia="zh-CN"/>
        </w:rPr>
        <w:t>7</w:t>
      </w:r>
    </w:p>
    <w:p>
      <w:pPr>
        <w:pStyle w:val="24"/>
        <w:tabs>
          <w:tab w:val="right" w:leader="dot" w:pos="8959"/>
        </w:tabs>
        <w:snapToGrid w:val="0"/>
        <w:ind w:left="0" w:leftChars="0"/>
        <w:rPr>
          <w:rFonts w:ascii="宋体" w:cs="宋体"/>
          <w:b/>
          <w:bCs/>
          <w:color w:val="auto"/>
          <w:sz w:val="32"/>
          <w:szCs w:val="32"/>
        </w:rPr>
      </w:pPr>
    </w:p>
    <w:p>
      <w:pPr>
        <w:pStyle w:val="24"/>
        <w:tabs>
          <w:tab w:val="right" w:leader="dot" w:pos="8959"/>
        </w:tabs>
        <w:snapToGrid w:val="0"/>
        <w:ind w:left="0" w:leftChars="0"/>
        <w:rPr>
          <w:rFonts w:hint="default" w:ascii="宋体" w:eastAsia="宋体" w:cs="宋体"/>
          <w:b/>
          <w:bCs/>
          <w:color w:val="auto"/>
          <w:sz w:val="32"/>
          <w:szCs w:val="32"/>
          <w:lang w:val="en-US" w:eastAsia="zh-CN"/>
        </w:rPr>
      </w:pPr>
      <w:r>
        <w:rPr>
          <w:color w:val="auto"/>
        </w:rPr>
        <w:fldChar w:fldCharType="begin"/>
      </w:r>
      <w:r>
        <w:rPr>
          <w:color w:val="auto"/>
        </w:rPr>
        <w:instrText xml:space="preserve"> HYPERLINK \l "_Toc8089" </w:instrText>
      </w:r>
      <w:r>
        <w:rPr>
          <w:color w:val="auto"/>
        </w:rPr>
        <w:fldChar w:fldCharType="separate"/>
      </w:r>
      <w:r>
        <w:rPr>
          <w:rFonts w:hint="eastAsia" w:ascii="宋体" w:hAnsi="宋体" w:cs="宋体"/>
          <w:b/>
          <w:bCs/>
          <w:color w:val="auto"/>
          <w:sz w:val="32"/>
          <w:szCs w:val="32"/>
        </w:rPr>
        <w:t>第三章</w:t>
      </w:r>
      <w:r>
        <w:rPr>
          <w:rFonts w:hint="eastAsia" w:ascii="宋体" w:hAnsi="宋体" w:cs="宋体"/>
          <w:b/>
          <w:bCs/>
          <w:color w:val="auto"/>
          <w:sz w:val="32"/>
          <w:szCs w:val="32"/>
          <w:lang w:val="en-US" w:eastAsia="zh-CN"/>
        </w:rPr>
        <w:t xml:space="preserve"> </w:t>
      </w:r>
      <w:r>
        <w:rPr>
          <w:rFonts w:hint="eastAsia" w:ascii="宋体" w:hAnsi="宋体" w:cs="宋体"/>
          <w:b/>
          <w:bCs/>
          <w:color w:val="auto"/>
          <w:sz w:val="32"/>
          <w:szCs w:val="32"/>
        </w:rPr>
        <w:t>投标人须知</w:t>
      </w:r>
      <w:r>
        <w:rPr>
          <w:rFonts w:ascii="宋体" w:cs="宋体"/>
          <w:b/>
          <w:bCs/>
          <w:color w:val="auto"/>
          <w:sz w:val="32"/>
          <w:szCs w:val="32"/>
        </w:rPr>
        <w:tab/>
      </w:r>
      <w:r>
        <w:rPr>
          <w:rFonts w:ascii="宋体" w:cs="宋体"/>
          <w:b/>
          <w:bCs/>
          <w:color w:val="auto"/>
          <w:sz w:val="32"/>
          <w:szCs w:val="32"/>
        </w:rPr>
        <w:fldChar w:fldCharType="end"/>
      </w:r>
      <w:r>
        <w:rPr>
          <w:rFonts w:hint="eastAsia" w:ascii="宋体" w:cs="宋体"/>
          <w:b/>
          <w:bCs/>
          <w:color w:val="auto"/>
          <w:sz w:val="32"/>
          <w:szCs w:val="32"/>
          <w:lang w:val="en-US" w:eastAsia="zh-CN"/>
        </w:rPr>
        <w:t>21</w:t>
      </w:r>
    </w:p>
    <w:p>
      <w:pPr>
        <w:pStyle w:val="24"/>
        <w:tabs>
          <w:tab w:val="right" w:leader="dot" w:pos="8959"/>
        </w:tabs>
        <w:snapToGrid w:val="0"/>
        <w:ind w:left="0" w:leftChars="0"/>
        <w:rPr>
          <w:rFonts w:ascii="宋体" w:cs="宋体"/>
          <w:b/>
          <w:bCs/>
          <w:color w:val="auto"/>
          <w:sz w:val="32"/>
          <w:szCs w:val="32"/>
        </w:rPr>
      </w:pPr>
    </w:p>
    <w:p>
      <w:pPr>
        <w:pStyle w:val="24"/>
        <w:tabs>
          <w:tab w:val="right" w:leader="dot" w:pos="8959"/>
        </w:tabs>
        <w:snapToGrid w:val="0"/>
        <w:ind w:left="0" w:leftChars="0"/>
        <w:rPr>
          <w:rFonts w:hint="default" w:ascii="宋体" w:eastAsia="宋体" w:cs="宋体"/>
          <w:b/>
          <w:bCs/>
          <w:color w:val="auto"/>
          <w:sz w:val="32"/>
          <w:szCs w:val="32"/>
          <w:lang w:val="en-US" w:eastAsia="zh-CN"/>
        </w:rPr>
      </w:pPr>
      <w:r>
        <w:rPr>
          <w:color w:val="auto"/>
        </w:rPr>
        <w:fldChar w:fldCharType="begin"/>
      </w:r>
      <w:r>
        <w:rPr>
          <w:color w:val="auto"/>
        </w:rPr>
        <w:instrText xml:space="preserve"> HYPERLINK \l "_Toc11628" </w:instrText>
      </w:r>
      <w:r>
        <w:rPr>
          <w:color w:val="auto"/>
        </w:rPr>
        <w:fldChar w:fldCharType="separate"/>
      </w:r>
      <w:r>
        <w:rPr>
          <w:rFonts w:hint="eastAsia" w:ascii="宋体" w:hAnsi="宋体" w:cs="宋体"/>
          <w:b/>
          <w:bCs/>
          <w:color w:val="auto"/>
          <w:sz w:val="32"/>
          <w:szCs w:val="32"/>
        </w:rPr>
        <w:t>第四章</w:t>
      </w:r>
      <w:r>
        <w:rPr>
          <w:rFonts w:hint="eastAsia" w:ascii="宋体" w:hAnsi="宋体" w:cs="宋体"/>
          <w:b/>
          <w:bCs/>
          <w:color w:val="auto"/>
          <w:sz w:val="32"/>
          <w:szCs w:val="32"/>
          <w:lang w:val="en-US" w:eastAsia="zh-CN"/>
        </w:rPr>
        <w:t xml:space="preserve"> </w:t>
      </w:r>
      <w:r>
        <w:rPr>
          <w:rFonts w:hint="eastAsia" w:ascii="宋体" w:hAnsi="宋体" w:cs="宋体"/>
          <w:b/>
          <w:bCs/>
          <w:color w:val="auto"/>
          <w:sz w:val="32"/>
          <w:szCs w:val="32"/>
        </w:rPr>
        <w:t>评标办法及评分标准</w:t>
      </w:r>
      <w:r>
        <w:rPr>
          <w:rFonts w:ascii="宋体" w:cs="宋体"/>
          <w:b/>
          <w:bCs/>
          <w:color w:val="auto"/>
          <w:sz w:val="32"/>
          <w:szCs w:val="32"/>
        </w:rPr>
        <w:tab/>
      </w:r>
      <w:r>
        <w:rPr>
          <w:rFonts w:ascii="宋体" w:cs="宋体"/>
          <w:b/>
          <w:bCs/>
          <w:color w:val="auto"/>
          <w:sz w:val="32"/>
          <w:szCs w:val="32"/>
        </w:rPr>
        <w:fldChar w:fldCharType="end"/>
      </w:r>
      <w:r>
        <w:rPr>
          <w:rFonts w:hint="eastAsia" w:ascii="宋体" w:cs="宋体"/>
          <w:b/>
          <w:bCs/>
          <w:color w:val="auto"/>
          <w:sz w:val="32"/>
          <w:szCs w:val="32"/>
          <w:lang w:val="en-US" w:eastAsia="zh-CN"/>
        </w:rPr>
        <w:t>35</w:t>
      </w:r>
    </w:p>
    <w:p>
      <w:pPr>
        <w:pStyle w:val="24"/>
        <w:tabs>
          <w:tab w:val="right" w:leader="dot" w:pos="8959"/>
        </w:tabs>
        <w:snapToGrid w:val="0"/>
        <w:ind w:left="0" w:leftChars="0"/>
        <w:rPr>
          <w:rFonts w:ascii="宋体" w:cs="宋体"/>
          <w:b/>
          <w:bCs/>
          <w:color w:val="auto"/>
          <w:sz w:val="32"/>
          <w:szCs w:val="32"/>
        </w:rPr>
      </w:pPr>
    </w:p>
    <w:p>
      <w:pPr>
        <w:pStyle w:val="24"/>
        <w:tabs>
          <w:tab w:val="right" w:leader="dot" w:pos="8959"/>
        </w:tabs>
        <w:snapToGrid w:val="0"/>
        <w:ind w:left="0" w:leftChars="0"/>
        <w:rPr>
          <w:rFonts w:hint="default" w:ascii="宋体" w:eastAsia="宋体" w:cs="宋体"/>
          <w:b/>
          <w:bCs/>
          <w:color w:val="auto"/>
          <w:sz w:val="32"/>
          <w:szCs w:val="32"/>
          <w:lang w:val="en-US" w:eastAsia="zh-CN"/>
        </w:rPr>
      </w:pPr>
      <w:r>
        <w:rPr>
          <w:color w:val="auto"/>
        </w:rPr>
        <w:fldChar w:fldCharType="begin"/>
      </w:r>
      <w:r>
        <w:rPr>
          <w:color w:val="auto"/>
        </w:rPr>
        <w:instrText xml:space="preserve"> HYPERLINK \l "_Toc13620" </w:instrText>
      </w:r>
      <w:r>
        <w:rPr>
          <w:color w:val="auto"/>
        </w:rPr>
        <w:fldChar w:fldCharType="separate"/>
      </w:r>
      <w:r>
        <w:rPr>
          <w:rFonts w:hint="eastAsia" w:ascii="宋体" w:hAnsi="宋体" w:cs="宋体"/>
          <w:b/>
          <w:bCs/>
          <w:color w:val="auto"/>
          <w:sz w:val="32"/>
          <w:szCs w:val="32"/>
        </w:rPr>
        <w:t>第五章</w:t>
      </w:r>
      <w:r>
        <w:rPr>
          <w:rFonts w:hint="eastAsia" w:ascii="宋体" w:hAnsi="宋体" w:cs="宋体"/>
          <w:b/>
          <w:bCs/>
          <w:color w:val="auto"/>
          <w:sz w:val="32"/>
          <w:szCs w:val="32"/>
          <w:lang w:val="en-US" w:eastAsia="zh-CN"/>
        </w:rPr>
        <w:t xml:space="preserve"> </w:t>
      </w:r>
      <w:r>
        <w:rPr>
          <w:rFonts w:hint="eastAsia" w:ascii="宋体" w:hAnsi="宋体" w:cs="宋体"/>
          <w:b/>
          <w:bCs/>
          <w:color w:val="auto"/>
          <w:sz w:val="32"/>
          <w:szCs w:val="32"/>
        </w:rPr>
        <w:t>投标文件格式</w:t>
      </w:r>
      <w:r>
        <w:rPr>
          <w:rFonts w:ascii="宋体" w:cs="宋体"/>
          <w:b/>
          <w:bCs/>
          <w:color w:val="auto"/>
          <w:sz w:val="32"/>
          <w:szCs w:val="32"/>
        </w:rPr>
        <w:tab/>
      </w:r>
      <w:r>
        <w:rPr>
          <w:rFonts w:ascii="宋体" w:cs="宋体"/>
          <w:b/>
          <w:bCs/>
          <w:color w:val="auto"/>
          <w:sz w:val="32"/>
          <w:szCs w:val="32"/>
        </w:rPr>
        <w:fldChar w:fldCharType="end"/>
      </w:r>
      <w:r>
        <w:rPr>
          <w:rFonts w:hint="eastAsia" w:ascii="宋体" w:cs="宋体"/>
          <w:b/>
          <w:bCs/>
          <w:color w:val="auto"/>
          <w:sz w:val="32"/>
          <w:szCs w:val="32"/>
          <w:lang w:val="en-US" w:eastAsia="zh-CN"/>
        </w:rPr>
        <w:t>39</w:t>
      </w:r>
    </w:p>
    <w:p>
      <w:pPr>
        <w:pStyle w:val="24"/>
        <w:tabs>
          <w:tab w:val="right" w:leader="dot" w:pos="8959"/>
        </w:tabs>
        <w:snapToGrid w:val="0"/>
        <w:ind w:left="0" w:leftChars="0"/>
        <w:rPr>
          <w:rFonts w:ascii="宋体" w:cs="宋体"/>
          <w:b/>
          <w:bCs/>
          <w:color w:val="auto"/>
          <w:sz w:val="32"/>
          <w:szCs w:val="32"/>
        </w:rPr>
      </w:pPr>
    </w:p>
    <w:p>
      <w:pPr>
        <w:pStyle w:val="24"/>
        <w:tabs>
          <w:tab w:val="right" w:leader="dot" w:pos="8959"/>
        </w:tabs>
        <w:snapToGrid w:val="0"/>
        <w:ind w:left="0" w:leftChars="0"/>
        <w:rPr>
          <w:rFonts w:hint="default" w:ascii="宋体" w:eastAsia="宋体" w:cs="宋体"/>
          <w:b/>
          <w:bCs/>
          <w:color w:val="auto"/>
          <w:sz w:val="32"/>
          <w:szCs w:val="32"/>
          <w:lang w:val="en-US" w:eastAsia="zh-CN"/>
        </w:rPr>
      </w:pPr>
      <w:r>
        <w:rPr>
          <w:color w:val="auto"/>
        </w:rPr>
        <w:fldChar w:fldCharType="begin"/>
      </w:r>
      <w:r>
        <w:rPr>
          <w:color w:val="auto"/>
        </w:rPr>
        <w:instrText xml:space="preserve"> HYPERLINK \l "_Toc13620" </w:instrText>
      </w:r>
      <w:r>
        <w:rPr>
          <w:color w:val="auto"/>
        </w:rPr>
        <w:fldChar w:fldCharType="separate"/>
      </w:r>
      <w:r>
        <w:rPr>
          <w:rFonts w:hint="eastAsia" w:ascii="宋体" w:hAnsi="宋体" w:cs="宋体"/>
          <w:b/>
          <w:bCs/>
          <w:color w:val="auto"/>
          <w:sz w:val="32"/>
          <w:szCs w:val="32"/>
        </w:rPr>
        <w:t>第六章</w:t>
      </w:r>
      <w:r>
        <w:rPr>
          <w:rFonts w:hint="eastAsia" w:ascii="宋体" w:hAnsi="宋体" w:cs="宋体"/>
          <w:b/>
          <w:bCs/>
          <w:color w:val="auto"/>
          <w:sz w:val="32"/>
          <w:szCs w:val="32"/>
          <w:lang w:val="en-US" w:eastAsia="zh-CN"/>
        </w:rPr>
        <w:t xml:space="preserve"> </w:t>
      </w:r>
      <w:r>
        <w:rPr>
          <w:rFonts w:hint="eastAsia" w:ascii="宋体" w:hAnsi="宋体" w:cs="宋体"/>
          <w:b/>
          <w:bCs/>
          <w:color w:val="auto"/>
          <w:sz w:val="32"/>
          <w:szCs w:val="32"/>
        </w:rPr>
        <w:t>合同样本</w:t>
      </w:r>
      <w:r>
        <w:rPr>
          <w:rFonts w:ascii="宋体" w:cs="宋体"/>
          <w:b/>
          <w:bCs/>
          <w:color w:val="auto"/>
          <w:sz w:val="32"/>
          <w:szCs w:val="32"/>
        </w:rPr>
        <w:tab/>
      </w:r>
      <w:r>
        <w:rPr>
          <w:rFonts w:ascii="宋体" w:cs="宋体"/>
          <w:b/>
          <w:bCs/>
          <w:color w:val="auto"/>
          <w:sz w:val="32"/>
          <w:szCs w:val="32"/>
        </w:rPr>
        <w:fldChar w:fldCharType="end"/>
      </w:r>
      <w:r>
        <w:rPr>
          <w:rFonts w:hint="eastAsia" w:ascii="宋体" w:cs="宋体"/>
          <w:b/>
          <w:bCs/>
          <w:color w:val="auto"/>
          <w:sz w:val="32"/>
          <w:szCs w:val="32"/>
          <w:lang w:val="en-US" w:eastAsia="zh-CN"/>
        </w:rPr>
        <w:t>61</w:t>
      </w:r>
    </w:p>
    <w:p>
      <w:pPr>
        <w:pStyle w:val="24"/>
        <w:tabs>
          <w:tab w:val="right" w:leader="dot" w:pos="8959"/>
        </w:tabs>
        <w:snapToGrid w:val="0"/>
        <w:ind w:left="0" w:leftChars="0"/>
        <w:rPr>
          <w:rFonts w:ascii="宋体" w:cs="宋体"/>
          <w:b/>
          <w:bCs/>
          <w:color w:val="auto"/>
          <w:sz w:val="32"/>
          <w:szCs w:val="32"/>
        </w:rPr>
      </w:pPr>
    </w:p>
    <w:p>
      <w:pPr>
        <w:pStyle w:val="24"/>
        <w:tabs>
          <w:tab w:val="right" w:leader="dot" w:pos="8959"/>
        </w:tabs>
        <w:snapToGrid w:val="0"/>
        <w:ind w:left="0" w:leftChars="0"/>
        <w:rPr>
          <w:rFonts w:ascii="宋体" w:cs="宋体"/>
          <w:b/>
          <w:bCs/>
          <w:color w:val="auto"/>
          <w:sz w:val="32"/>
          <w:szCs w:val="32"/>
        </w:rPr>
      </w:pPr>
    </w:p>
    <w:p>
      <w:pPr>
        <w:pStyle w:val="20"/>
        <w:tabs>
          <w:tab w:val="right" w:leader="dot" w:pos="8959"/>
        </w:tabs>
        <w:snapToGrid w:val="0"/>
        <w:rPr>
          <w:rFonts w:ascii="宋体" w:cs="宋体"/>
          <w:color w:val="auto"/>
          <w:sz w:val="44"/>
          <w:szCs w:val="44"/>
        </w:rPr>
      </w:pPr>
      <w:r>
        <w:rPr>
          <w:rFonts w:ascii="宋体" w:hAnsi="宋体" w:cs="宋体"/>
          <w:b/>
          <w:bCs/>
          <w:color w:val="auto"/>
          <w:sz w:val="32"/>
          <w:szCs w:val="32"/>
        </w:rPr>
        <w:fldChar w:fldCharType="end"/>
      </w:r>
    </w:p>
    <w:p>
      <w:pPr>
        <w:pStyle w:val="14"/>
        <w:tabs>
          <w:tab w:val="left" w:pos="795"/>
          <w:tab w:val="center" w:pos="4539"/>
        </w:tabs>
        <w:snapToGrid w:val="0"/>
        <w:spacing w:beforeLines="0" w:after="120"/>
        <w:jc w:val="left"/>
        <w:rPr>
          <w:rFonts w:hAnsi="宋体" w:cs="宋体"/>
          <w:color w:val="auto"/>
        </w:rPr>
      </w:pPr>
      <w:bookmarkStart w:id="0" w:name="_Toc9329"/>
    </w:p>
    <w:p>
      <w:pPr>
        <w:pStyle w:val="14"/>
        <w:tabs>
          <w:tab w:val="left" w:pos="795"/>
          <w:tab w:val="center" w:pos="4539"/>
        </w:tabs>
        <w:snapToGrid w:val="0"/>
        <w:spacing w:beforeLines="0" w:after="120"/>
        <w:jc w:val="left"/>
        <w:rPr>
          <w:rFonts w:hAnsi="宋体" w:cs="宋体"/>
          <w:color w:val="auto"/>
        </w:rPr>
      </w:pPr>
    </w:p>
    <w:p>
      <w:pPr>
        <w:pStyle w:val="14"/>
        <w:tabs>
          <w:tab w:val="left" w:pos="795"/>
          <w:tab w:val="center" w:pos="4539"/>
        </w:tabs>
        <w:snapToGrid w:val="0"/>
        <w:spacing w:beforeLines="0" w:after="120"/>
        <w:jc w:val="left"/>
        <w:rPr>
          <w:rFonts w:hAnsi="宋体" w:cs="宋体"/>
          <w:color w:val="auto"/>
        </w:rPr>
      </w:pPr>
    </w:p>
    <w:p>
      <w:pPr>
        <w:pStyle w:val="14"/>
        <w:tabs>
          <w:tab w:val="left" w:pos="795"/>
          <w:tab w:val="center" w:pos="4539"/>
        </w:tabs>
        <w:snapToGrid w:val="0"/>
        <w:spacing w:beforeLines="0" w:after="120"/>
        <w:jc w:val="left"/>
        <w:rPr>
          <w:rFonts w:hAnsi="宋体" w:cs="宋体"/>
          <w:color w:val="auto"/>
        </w:rPr>
      </w:pPr>
    </w:p>
    <w:p>
      <w:pPr>
        <w:pStyle w:val="14"/>
        <w:tabs>
          <w:tab w:val="left" w:pos="795"/>
          <w:tab w:val="center" w:pos="4539"/>
        </w:tabs>
        <w:snapToGrid w:val="0"/>
        <w:spacing w:beforeLines="0" w:after="120"/>
        <w:jc w:val="left"/>
        <w:rPr>
          <w:rFonts w:hAnsi="宋体" w:cs="宋体"/>
          <w:color w:val="auto"/>
        </w:rPr>
      </w:pPr>
    </w:p>
    <w:p>
      <w:pPr>
        <w:pStyle w:val="14"/>
        <w:tabs>
          <w:tab w:val="left" w:pos="795"/>
          <w:tab w:val="center" w:pos="4539"/>
        </w:tabs>
        <w:snapToGrid w:val="0"/>
        <w:spacing w:beforeLines="0" w:after="120"/>
        <w:jc w:val="left"/>
        <w:rPr>
          <w:rFonts w:hAnsi="宋体" w:cs="宋体"/>
          <w:color w:val="auto"/>
        </w:rPr>
      </w:pPr>
    </w:p>
    <w:p>
      <w:pPr>
        <w:pStyle w:val="14"/>
        <w:tabs>
          <w:tab w:val="left" w:pos="795"/>
          <w:tab w:val="center" w:pos="4539"/>
        </w:tabs>
        <w:snapToGrid w:val="0"/>
        <w:spacing w:beforeLines="0" w:after="120"/>
        <w:jc w:val="left"/>
        <w:rPr>
          <w:rFonts w:hAnsi="宋体" w:cs="宋体"/>
          <w:color w:val="auto"/>
        </w:rPr>
      </w:pPr>
    </w:p>
    <w:p>
      <w:pPr>
        <w:pStyle w:val="14"/>
        <w:tabs>
          <w:tab w:val="left" w:pos="795"/>
          <w:tab w:val="center" w:pos="4539"/>
        </w:tabs>
        <w:snapToGrid w:val="0"/>
        <w:spacing w:beforeLines="0" w:after="120"/>
        <w:jc w:val="left"/>
        <w:rPr>
          <w:rFonts w:hAnsi="宋体" w:cs="宋体"/>
          <w:color w:val="auto"/>
        </w:rPr>
      </w:pPr>
    </w:p>
    <w:p>
      <w:pPr>
        <w:pStyle w:val="14"/>
        <w:tabs>
          <w:tab w:val="left" w:pos="795"/>
          <w:tab w:val="center" w:pos="4539"/>
        </w:tabs>
        <w:snapToGrid w:val="0"/>
        <w:spacing w:beforeLines="0" w:after="120"/>
        <w:jc w:val="left"/>
        <w:rPr>
          <w:rFonts w:hAnsi="宋体" w:cs="宋体"/>
          <w:color w:val="auto"/>
        </w:rPr>
      </w:pPr>
    </w:p>
    <w:p>
      <w:pPr>
        <w:pStyle w:val="14"/>
        <w:tabs>
          <w:tab w:val="left" w:pos="795"/>
          <w:tab w:val="center" w:pos="4539"/>
        </w:tabs>
        <w:snapToGrid w:val="0"/>
        <w:spacing w:beforeLines="0" w:after="120"/>
        <w:jc w:val="left"/>
        <w:rPr>
          <w:rFonts w:hAnsi="宋体" w:cs="宋体"/>
          <w:color w:val="auto"/>
        </w:rPr>
      </w:pPr>
    </w:p>
    <w:p>
      <w:pPr>
        <w:pStyle w:val="14"/>
        <w:tabs>
          <w:tab w:val="left" w:pos="795"/>
          <w:tab w:val="center" w:pos="4539"/>
        </w:tabs>
        <w:snapToGrid w:val="0"/>
        <w:spacing w:beforeLines="0" w:after="120"/>
        <w:jc w:val="left"/>
        <w:rPr>
          <w:rFonts w:hAnsi="宋体" w:cs="宋体"/>
          <w:color w:val="auto"/>
        </w:rPr>
      </w:pPr>
    </w:p>
    <w:p>
      <w:pPr>
        <w:pStyle w:val="14"/>
        <w:tabs>
          <w:tab w:val="left" w:pos="795"/>
          <w:tab w:val="center" w:pos="4539"/>
        </w:tabs>
        <w:snapToGrid w:val="0"/>
        <w:spacing w:beforeLines="0" w:after="120"/>
        <w:jc w:val="left"/>
        <w:outlineLvl w:val="0"/>
        <w:rPr>
          <w:rFonts w:hAnsi="宋体" w:cs="宋体"/>
          <w:color w:val="auto"/>
        </w:rPr>
        <w:sectPr>
          <w:footerReference r:id="rId9" w:type="first"/>
          <w:footerReference r:id="rId8" w:type="default"/>
          <w:pgSz w:w="11907" w:h="16840"/>
          <w:pgMar w:top="1701" w:right="1474" w:bottom="1701" w:left="1474" w:header="851" w:footer="992" w:gutter="0"/>
          <w:pgBorders>
            <w:top w:val="none" w:sz="0" w:space="0"/>
            <w:left w:val="none" w:sz="0" w:space="0"/>
            <w:bottom w:val="none" w:sz="0" w:space="0"/>
            <w:right w:val="none" w:sz="0" w:space="0"/>
          </w:pgBorders>
          <w:cols w:space="720" w:num="1"/>
          <w:titlePg/>
          <w:docGrid w:linePitch="312" w:charSpace="0"/>
        </w:sectPr>
      </w:pPr>
    </w:p>
    <w:p>
      <w:pPr>
        <w:pStyle w:val="14"/>
        <w:snapToGrid w:val="0"/>
        <w:spacing w:beforeLines="0" w:after="120"/>
        <w:jc w:val="center"/>
        <w:outlineLvl w:val="0"/>
        <w:rPr>
          <w:rFonts w:hAnsi="宋体" w:cs="宋体"/>
          <w:b/>
          <w:color w:val="auto"/>
          <w:sz w:val="30"/>
          <w:szCs w:val="30"/>
        </w:rPr>
      </w:pPr>
      <w:r>
        <w:rPr>
          <w:rFonts w:hint="eastAsia" w:hAnsi="宋体" w:cs="宋体"/>
          <w:b/>
          <w:color w:val="auto"/>
          <w:sz w:val="30"/>
          <w:szCs w:val="30"/>
        </w:rPr>
        <w:t>第一章</w:t>
      </w:r>
      <w:r>
        <w:rPr>
          <w:rFonts w:hint="eastAsia" w:hAnsi="宋体" w:cs="宋体"/>
          <w:b/>
          <w:color w:val="auto"/>
          <w:sz w:val="30"/>
          <w:szCs w:val="30"/>
          <w:lang w:val="en-US" w:eastAsia="zh-CN"/>
        </w:rPr>
        <w:t xml:space="preserve"> </w:t>
      </w:r>
      <w:r>
        <w:rPr>
          <w:rFonts w:hint="eastAsia" w:hAnsi="宋体" w:cs="宋体"/>
          <w:b/>
          <w:color w:val="auto"/>
          <w:sz w:val="30"/>
          <w:szCs w:val="30"/>
        </w:rPr>
        <w:t>公开招标公告</w:t>
      </w:r>
      <w:bookmarkEnd w:id="0"/>
    </w:p>
    <w:tbl>
      <w:tblPr>
        <w:tblStyle w:val="30"/>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5" w:type="dxa"/>
            <w:noWrap w:val="0"/>
            <w:vAlign w:val="top"/>
          </w:tcPr>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i w:val="0"/>
                <w:iCs w:val="0"/>
                <w:color w:val="auto"/>
                <w:sz w:val="21"/>
                <w:szCs w:val="21"/>
                <w:highlight w:val="none"/>
                <w:vertAlign w:val="baseline"/>
              </w:rPr>
            </w:pPr>
            <w:r>
              <w:rPr>
                <w:rFonts w:hint="eastAsia" w:ascii="宋体" w:hAnsi="宋体" w:cs="宋体"/>
                <w:b/>
                <w:bCs/>
                <w:color w:val="auto"/>
                <w:szCs w:val="21"/>
                <w:u w:val="single"/>
                <w:lang w:val="zh-CN"/>
              </w:rPr>
              <w:t>宁海县公路与运输管理中心2023年公路绿化养护服务采购</w:t>
            </w:r>
            <w:r>
              <w:rPr>
                <w:rFonts w:hint="eastAsia" w:ascii="宋体" w:hAnsi="宋体" w:eastAsia="宋体" w:cs="宋体"/>
                <w:i w:val="0"/>
                <w:iCs w:val="0"/>
                <w:color w:val="auto"/>
                <w:sz w:val="21"/>
                <w:szCs w:val="21"/>
                <w:highlight w:val="none"/>
              </w:rPr>
              <w:t>招标项目的潜在投标人应在政府采购云平台（www.zcygov.cn）获取（下载）招标文件，并于</w:t>
            </w:r>
            <w:r>
              <w:rPr>
                <w:rFonts w:hint="eastAsia" w:ascii="宋体" w:hAnsi="宋体" w:eastAsia="宋体" w:cs="宋体"/>
                <w:i w:val="0"/>
                <w:iCs w:val="0"/>
                <w:color w:val="auto"/>
                <w:sz w:val="21"/>
                <w:szCs w:val="21"/>
                <w:highlight w:val="none"/>
                <w:u w:val="single"/>
                <w:lang w:val="en-US" w:eastAsia="zh-CN"/>
              </w:rPr>
              <w:t>202</w:t>
            </w:r>
            <w:r>
              <w:rPr>
                <w:rFonts w:hint="eastAsia" w:ascii="宋体" w:hAnsi="宋体" w:cs="宋体"/>
                <w:i w:val="0"/>
                <w:iCs w:val="0"/>
                <w:color w:val="auto"/>
                <w:sz w:val="21"/>
                <w:szCs w:val="21"/>
                <w:highlight w:val="none"/>
                <w:u w:val="single"/>
                <w:lang w:val="en-US" w:eastAsia="zh-CN"/>
              </w:rPr>
              <w:t>3</w:t>
            </w:r>
            <w:r>
              <w:rPr>
                <w:rFonts w:hint="eastAsia" w:ascii="宋体" w:hAnsi="宋体" w:eastAsia="宋体" w:cs="宋体"/>
                <w:bCs/>
                <w:i w:val="0"/>
                <w:iCs w:val="0"/>
                <w:color w:val="auto"/>
                <w:sz w:val="21"/>
                <w:szCs w:val="21"/>
                <w:highlight w:val="none"/>
                <w:u w:val="single"/>
              </w:rPr>
              <w:t>年</w:t>
            </w:r>
            <w:r>
              <w:rPr>
                <w:rFonts w:hint="eastAsia" w:ascii="宋体" w:hAnsi="宋体" w:cs="宋体"/>
                <w:bCs/>
                <w:i w:val="0"/>
                <w:iCs w:val="0"/>
                <w:color w:val="auto"/>
                <w:sz w:val="21"/>
                <w:szCs w:val="21"/>
                <w:highlight w:val="none"/>
                <w:u w:val="single"/>
                <w:lang w:val="en-US" w:eastAsia="zh-CN"/>
              </w:rPr>
              <w:t>03</w:t>
            </w:r>
            <w:r>
              <w:rPr>
                <w:rFonts w:hint="eastAsia" w:ascii="宋体" w:hAnsi="宋体" w:eastAsia="宋体" w:cs="宋体"/>
                <w:bCs/>
                <w:i w:val="0"/>
                <w:iCs w:val="0"/>
                <w:color w:val="auto"/>
                <w:sz w:val="21"/>
                <w:szCs w:val="21"/>
                <w:highlight w:val="none"/>
                <w:u w:val="single"/>
              </w:rPr>
              <w:t>月</w:t>
            </w:r>
            <w:r>
              <w:rPr>
                <w:rFonts w:hint="eastAsia" w:ascii="宋体" w:hAnsi="宋体" w:cs="宋体"/>
                <w:bCs/>
                <w:i w:val="0"/>
                <w:iCs w:val="0"/>
                <w:color w:val="auto"/>
                <w:sz w:val="21"/>
                <w:szCs w:val="21"/>
                <w:highlight w:val="none"/>
                <w:u w:val="single"/>
                <w:lang w:val="en-US" w:eastAsia="zh-CN"/>
              </w:rPr>
              <w:t>17</w:t>
            </w:r>
            <w:r>
              <w:rPr>
                <w:rFonts w:hint="eastAsia" w:ascii="宋体" w:hAnsi="宋体" w:eastAsia="宋体" w:cs="宋体"/>
                <w:bCs/>
                <w:i w:val="0"/>
                <w:iCs w:val="0"/>
                <w:color w:val="auto"/>
                <w:sz w:val="21"/>
                <w:szCs w:val="21"/>
                <w:highlight w:val="none"/>
                <w:u w:val="single"/>
              </w:rPr>
              <w:t>日</w:t>
            </w:r>
            <w:r>
              <w:rPr>
                <w:rFonts w:hint="eastAsia" w:ascii="宋体" w:hAnsi="宋体" w:cs="宋体"/>
                <w:bCs/>
                <w:i w:val="0"/>
                <w:iCs w:val="0"/>
                <w:color w:val="auto"/>
                <w:sz w:val="21"/>
                <w:szCs w:val="21"/>
                <w:highlight w:val="none"/>
                <w:u w:val="single"/>
                <w:lang w:val="en-US" w:eastAsia="zh-CN"/>
              </w:rPr>
              <w:t>13:30</w:t>
            </w:r>
            <w:r>
              <w:rPr>
                <w:rFonts w:hint="eastAsia" w:ascii="宋体" w:hAnsi="宋体" w:eastAsia="宋体" w:cs="宋体"/>
                <w:bCs/>
                <w:i w:val="0"/>
                <w:iCs w:val="0"/>
                <w:color w:val="auto"/>
                <w:sz w:val="21"/>
                <w:szCs w:val="21"/>
                <w:highlight w:val="none"/>
                <w:u w:val="single"/>
                <w:lang w:val="en-US" w:eastAsia="zh-CN"/>
              </w:rPr>
              <w:t>时</w:t>
            </w:r>
            <w:r>
              <w:rPr>
                <w:rFonts w:hint="eastAsia" w:ascii="宋体" w:hAnsi="宋体" w:eastAsia="宋体" w:cs="宋体"/>
                <w:bCs/>
                <w:i w:val="0"/>
                <w:iCs w:val="0"/>
                <w:color w:val="auto"/>
                <w:sz w:val="21"/>
                <w:szCs w:val="21"/>
                <w:highlight w:val="none"/>
                <w:u w:val="single"/>
              </w:rPr>
              <w:t>（北京时间）</w:t>
            </w:r>
            <w:r>
              <w:rPr>
                <w:rFonts w:hint="eastAsia" w:ascii="宋体" w:hAnsi="宋体" w:eastAsia="宋体" w:cs="宋体"/>
                <w:bCs/>
                <w:i w:val="0"/>
                <w:iCs w:val="0"/>
                <w:color w:val="auto"/>
                <w:sz w:val="21"/>
                <w:szCs w:val="21"/>
                <w:highlight w:val="none"/>
              </w:rPr>
              <w:t>前递交</w:t>
            </w:r>
            <w:r>
              <w:rPr>
                <w:rFonts w:hint="eastAsia" w:ascii="宋体" w:hAnsi="宋体" w:eastAsia="宋体" w:cs="宋体"/>
                <w:bCs/>
                <w:i w:val="0"/>
                <w:iCs w:val="0"/>
                <w:color w:val="auto"/>
                <w:sz w:val="21"/>
                <w:szCs w:val="21"/>
                <w:highlight w:val="none"/>
                <w:lang w:eastAsia="zh-CN"/>
              </w:rPr>
              <w:t>（上传）</w:t>
            </w:r>
            <w:r>
              <w:rPr>
                <w:rFonts w:hint="eastAsia" w:ascii="宋体" w:hAnsi="宋体" w:eastAsia="宋体" w:cs="宋体"/>
                <w:bCs/>
                <w:i w:val="0"/>
                <w:iCs w:val="0"/>
                <w:color w:val="auto"/>
                <w:sz w:val="21"/>
                <w:szCs w:val="21"/>
                <w:highlight w:val="none"/>
              </w:rPr>
              <w:t>投标文件</w:t>
            </w:r>
            <w:r>
              <w:rPr>
                <w:rFonts w:hint="eastAsia" w:ascii="宋体" w:hAnsi="宋体" w:eastAsia="宋体" w:cs="宋体"/>
                <w:i w:val="0"/>
                <w:iCs w:val="0"/>
                <w:color w:val="auto"/>
                <w:sz w:val="21"/>
                <w:szCs w:val="21"/>
                <w:highlight w:val="none"/>
              </w:rPr>
              <w:t>。</w:t>
            </w:r>
          </w:p>
        </w:tc>
      </w:tr>
    </w:tbl>
    <w:p>
      <w:pPr>
        <w:pStyle w:val="4"/>
        <w:pageBreakBefore w:val="0"/>
        <w:kinsoku/>
        <w:wordWrap/>
        <w:overflowPunct/>
        <w:topLinePunct w:val="0"/>
        <w:autoSpaceDE/>
        <w:autoSpaceDN/>
        <w:bidi w:val="0"/>
        <w:adjustRightInd/>
        <w:snapToGrid/>
        <w:spacing w:before="0" w:beforeLines="0" w:after="0" w:afterLines="0" w:line="360" w:lineRule="auto"/>
        <w:ind w:left="452" w:leftChars="100" w:hanging="242" w:hangingChars="115"/>
        <w:textAlignment w:val="auto"/>
        <w:rPr>
          <w:rFonts w:hint="eastAsia" w:ascii="宋体" w:hAnsi="宋体" w:eastAsia="宋体" w:cs="宋体"/>
          <w:b/>
          <w:bCs w:val="0"/>
          <w:i w:val="0"/>
          <w:iCs w:val="0"/>
          <w:color w:val="auto"/>
          <w:sz w:val="21"/>
          <w:szCs w:val="21"/>
          <w:highlight w:val="none"/>
        </w:rPr>
      </w:pPr>
      <w:bookmarkStart w:id="1" w:name="_Toc35393790"/>
      <w:bookmarkStart w:id="2" w:name="_Toc35393621"/>
      <w:bookmarkStart w:id="3" w:name="_Toc28359079"/>
      <w:bookmarkStart w:id="4" w:name="_Toc28359002"/>
      <w:bookmarkStart w:id="5" w:name="_Hlk24379207"/>
      <w:r>
        <w:rPr>
          <w:rFonts w:hint="eastAsia" w:ascii="宋体" w:hAnsi="宋体" w:eastAsia="宋体" w:cs="宋体"/>
          <w:b/>
          <w:bCs w:val="0"/>
          <w:i w:val="0"/>
          <w:iCs w:val="0"/>
          <w:color w:val="auto"/>
          <w:sz w:val="21"/>
          <w:szCs w:val="21"/>
          <w:highlight w:val="none"/>
        </w:rPr>
        <w:t>一、项目基本情况</w:t>
      </w:r>
      <w:bookmarkEnd w:id="1"/>
      <w:bookmarkEnd w:id="2"/>
      <w:bookmarkEnd w:id="3"/>
      <w:bookmarkEnd w:id="4"/>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项目编号</w:t>
      </w:r>
      <w:r>
        <w:rPr>
          <w:rFonts w:hint="eastAsia" w:ascii="宋体" w:hAnsi="宋体" w:eastAsia="宋体" w:cs="宋体"/>
          <w:i w:val="0"/>
          <w:iCs w:val="0"/>
          <w:color w:val="auto"/>
          <w:sz w:val="21"/>
          <w:szCs w:val="21"/>
          <w:highlight w:val="none"/>
          <w:lang w:eastAsia="zh-CN"/>
        </w:rPr>
        <w:t>：</w:t>
      </w:r>
      <w:r>
        <w:rPr>
          <w:rFonts w:hint="eastAsia" w:ascii="宋体" w:hAnsi="宋体" w:cs="宋体"/>
          <w:i w:val="0"/>
          <w:iCs w:val="0"/>
          <w:color w:val="auto"/>
          <w:sz w:val="21"/>
          <w:szCs w:val="21"/>
          <w:highlight w:val="none"/>
          <w:lang w:val="zh-CN" w:eastAsia="zh-CN"/>
        </w:rPr>
        <w:t>NBZY202</w:t>
      </w:r>
      <w:r>
        <w:rPr>
          <w:rFonts w:hint="eastAsia" w:ascii="宋体" w:hAnsi="宋体" w:cs="宋体"/>
          <w:i w:val="0"/>
          <w:iCs w:val="0"/>
          <w:color w:val="auto"/>
          <w:sz w:val="21"/>
          <w:szCs w:val="21"/>
          <w:highlight w:val="none"/>
          <w:lang w:val="en-US" w:eastAsia="zh-CN"/>
        </w:rPr>
        <w:t>3</w:t>
      </w:r>
      <w:r>
        <w:rPr>
          <w:rFonts w:hint="eastAsia" w:ascii="宋体" w:hAnsi="宋体" w:cs="宋体"/>
          <w:i w:val="0"/>
          <w:iCs w:val="0"/>
          <w:color w:val="auto"/>
          <w:sz w:val="21"/>
          <w:szCs w:val="21"/>
          <w:highlight w:val="none"/>
          <w:lang w:val="zh-CN" w:eastAsia="zh-CN"/>
        </w:rPr>
        <w:t>-CG0</w:t>
      </w:r>
      <w:r>
        <w:rPr>
          <w:rFonts w:hint="eastAsia" w:ascii="宋体" w:hAnsi="宋体" w:cs="宋体"/>
          <w:i w:val="0"/>
          <w:iCs w:val="0"/>
          <w:color w:val="auto"/>
          <w:sz w:val="21"/>
          <w:szCs w:val="21"/>
          <w:highlight w:val="none"/>
          <w:lang w:val="en-US" w:eastAsia="zh-CN"/>
        </w:rPr>
        <w:t>04</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项目名称：</w:t>
      </w:r>
      <w:r>
        <w:rPr>
          <w:rFonts w:hint="eastAsia" w:ascii="宋体" w:hAnsi="宋体" w:cs="宋体"/>
          <w:i w:val="0"/>
          <w:iCs w:val="0"/>
          <w:color w:val="auto"/>
          <w:sz w:val="21"/>
          <w:szCs w:val="21"/>
          <w:highlight w:val="none"/>
          <w:lang w:val="zh-CN"/>
        </w:rPr>
        <w:t>宁海县公路与运输管理中心2023年公路绿化养护服务采购</w:t>
      </w:r>
    </w:p>
    <w:bookmarkEnd w:id="5"/>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预算金额（元）：</w:t>
      </w:r>
      <w:r>
        <w:rPr>
          <w:rFonts w:hint="eastAsia" w:asciiTheme="minorEastAsia" w:hAnsiTheme="minorEastAsia" w:eastAsiaTheme="minorEastAsia" w:cstheme="minorEastAsia"/>
          <w:color w:val="auto"/>
          <w:szCs w:val="21"/>
          <w:highlight w:val="none"/>
          <w:lang w:val="en-US" w:eastAsia="zh-CN"/>
        </w:rPr>
        <w:t>4273418元/年；8546836元/2年</w:t>
      </w:r>
      <w:r>
        <w:rPr>
          <w:rFonts w:hint="eastAsia" w:asciiTheme="minorEastAsia" w:hAnsiTheme="minorEastAsia" w:eastAsiaTheme="minorEastAsia" w:cstheme="minorEastAsia"/>
          <w:color w:val="auto"/>
          <w:szCs w:val="21"/>
          <w:lang w:val="en-US" w:eastAsia="zh-CN"/>
        </w:rPr>
        <w:t>。</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最高限价（元）：</w:t>
      </w:r>
      <w:r>
        <w:rPr>
          <w:rFonts w:hint="eastAsia" w:asciiTheme="minorEastAsia" w:hAnsiTheme="minorEastAsia" w:eastAsiaTheme="minorEastAsia" w:cstheme="minorEastAsia"/>
          <w:color w:val="auto"/>
          <w:szCs w:val="21"/>
          <w:highlight w:val="none"/>
          <w:lang w:val="en-US" w:eastAsia="zh-CN"/>
        </w:rPr>
        <w:t>4273418元/年；8546836元/2年</w:t>
      </w:r>
      <w:r>
        <w:rPr>
          <w:rFonts w:hint="eastAsia" w:asciiTheme="minorEastAsia" w:hAnsiTheme="minorEastAsia" w:eastAsiaTheme="minorEastAsia" w:cstheme="minorEastAsia"/>
          <w:color w:val="auto"/>
          <w:szCs w:val="21"/>
          <w:lang w:val="en-US" w:eastAsia="zh-CN"/>
        </w:rPr>
        <w:t>。</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rPr>
        <w:t>采购需求：</w:t>
      </w:r>
    </w:p>
    <w:tbl>
      <w:tblPr>
        <w:tblStyle w:val="29"/>
        <w:tblW w:w="10609" w:type="dxa"/>
        <w:jc w:val="center"/>
        <w:tblLayout w:type="fixed"/>
        <w:tblCellMar>
          <w:top w:w="0" w:type="dxa"/>
          <w:left w:w="108" w:type="dxa"/>
          <w:bottom w:w="0" w:type="dxa"/>
          <w:right w:w="108" w:type="dxa"/>
        </w:tblCellMar>
      </w:tblPr>
      <w:tblGrid>
        <w:gridCol w:w="639"/>
        <w:gridCol w:w="642"/>
        <w:gridCol w:w="1785"/>
        <w:gridCol w:w="1125"/>
        <w:gridCol w:w="1183"/>
        <w:gridCol w:w="885"/>
        <w:gridCol w:w="1322"/>
        <w:gridCol w:w="975"/>
        <w:gridCol w:w="1108"/>
        <w:gridCol w:w="945"/>
      </w:tblGrid>
      <w:tr>
        <w:tblPrEx>
          <w:tblCellMar>
            <w:top w:w="0" w:type="dxa"/>
            <w:left w:w="108" w:type="dxa"/>
            <w:bottom w:w="0" w:type="dxa"/>
            <w:right w:w="108" w:type="dxa"/>
          </w:tblCellMar>
        </w:tblPrEx>
        <w:trPr>
          <w:trHeight w:val="1500" w:hRule="atLeast"/>
          <w:tblHeader/>
          <w:jc w:val="center"/>
        </w:trPr>
        <w:tc>
          <w:tcPr>
            <w:tcW w:w="639" w:type="dxa"/>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标段</w:t>
            </w:r>
          </w:p>
        </w:tc>
        <w:tc>
          <w:tcPr>
            <w:tcW w:w="642" w:type="dxa"/>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序号</w:t>
            </w:r>
          </w:p>
        </w:tc>
        <w:tc>
          <w:tcPr>
            <w:tcW w:w="1785" w:type="dxa"/>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服务范围</w:t>
            </w:r>
          </w:p>
        </w:tc>
        <w:tc>
          <w:tcPr>
            <w:tcW w:w="1125" w:type="dxa"/>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分类</w:t>
            </w:r>
          </w:p>
        </w:tc>
        <w:tc>
          <w:tcPr>
            <w:tcW w:w="1183" w:type="dxa"/>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面积（㎡）</w:t>
            </w:r>
          </w:p>
        </w:tc>
        <w:tc>
          <w:tcPr>
            <w:tcW w:w="885" w:type="dxa"/>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预算单价（元/㎡•年）</w:t>
            </w:r>
          </w:p>
        </w:tc>
        <w:tc>
          <w:tcPr>
            <w:tcW w:w="1322"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预算总价（元/年）</w:t>
            </w:r>
          </w:p>
        </w:tc>
        <w:tc>
          <w:tcPr>
            <w:tcW w:w="975"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合计</w:t>
            </w:r>
          </w:p>
          <w:p>
            <w:pPr>
              <w:widowControl/>
              <w:jc w:val="center"/>
              <w:rPr>
                <w:rFonts w:ascii="宋体" w:hAnsi="宋体" w:cs="宋体"/>
                <w:color w:val="auto"/>
                <w:kern w:val="0"/>
                <w:szCs w:val="21"/>
              </w:rPr>
            </w:pPr>
            <w:r>
              <w:rPr>
                <w:rFonts w:hint="eastAsia" w:ascii="宋体" w:hAnsi="宋体" w:cs="宋体"/>
                <w:color w:val="auto"/>
                <w:kern w:val="0"/>
                <w:szCs w:val="21"/>
              </w:rPr>
              <w:t>（元/年）</w:t>
            </w:r>
          </w:p>
        </w:tc>
        <w:tc>
          <w:tcPr>
            <w:tcW w:w="1108"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合同签订日期</w:t>
            </w:r>
          </w:p>
        </w:tc>
        <w:tc>
          <w:tcPr>
            <w:tcW w:w="945"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备注</w:t>
            </w:r>
          </w:p>
        </w:tc>
      </w:tr>
      <w:tr>
        <w:tblPrEx>
          <w:tblCellMar>
            <w:top w:w="0" w:type="dxa"/>
            <w:left w:w="108" w:type="dxa"/>
            <w:bottom w:w="0" w:type="dxa"/>
            <w:right w:w="108" w:type="dxa"/>
          </w:tblCellMar>
        </w:tblPrEx>
        <w:trPr>
          <w:trHeight w:val="1035" w:hRule="atLeast"/>
          <w:tblHeader/>
          <w:jc w:val="center"/>
        </w:trPr>
        <w:tc>
          <w:tcPr>
            <w:tcW w:w="639" w:type="dxa"/>
            <w:vMerge w:val="restart"/>
            <w:tcBorders>
              <w:top w:val="nil"/>
              <w:left w:val="single" w:color="auto" w:sz="8" w:space="0"/>
              <w:right w:val="single" w:color="auto" w:sz="8"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一</w:t>
            </w:r>
          </w:p>
        </w:tc>
        <w:tc>
          <w:tcPr>
            <w:tcW w:w="642"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w:t>
            </w:r>
          </w:p>
        </w:tc>
        <w:tc>
          <w:tcPr>
            <w:tcW w:w="1785"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G527象义线（K56+814-K73+908）、S311象西线（K45+360-K49+536）</w:t>
            </w:r>
          </w:p>
        </w:tc>
        <w:tc>
          <w:tcPr>
            <w:tcW w:w="112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绿地</w:t>
            </w:r>
          </w:p>
        </w:tc>
        <w:tc>
          <w:tcPr>
            <w:tcW w:w="1183"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303859</w:t>
            </w:r>
          </w:p>
        </w:tc>
        <w:tc>
          <w:tcPr>
            <w:tcW w:w="885"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lang w:val="en-US" w:eastAsia="zh-CN"/>
              </w:rPr>
              <w:t>3.24</w:t>
            </w:r>
            <w:r>
              <w:rPr>
                <w:rFonts w:hint="eastAsia" w:ascii="宋体" w:hAnsi="宋体" w:cs="宋体"/>
                <w:color w:val="auto"/>
                <w:kern w:val="0"/>
                <w:szCs w:val="21"/>
              </w:rPr>
              <w:t xml:space="preserve"> </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984503.16</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1275985</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中标后30天内</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rPr>
            </w:pPr>
            <w:r>
              <w:rPr>
                <w:rFonts w:hint="eastAsia"/>
                <w:color w:val="auto"/>
                <w:szCs w:val="24"/>
              </w:rPr>
              <w:t>面积为暂定面积，结算时按单价结算。日常工作内容包含养护和保洁，具体详见招标文件第</w:t>
            </w:r>
            <w:r>
              <w:rPr>
                <w:rFonts w:hint="eastAsia"/>
                <w:color w:val="auto"/>
                <w:szCs w:val="24"/>
                <w:lang w:val="en-US" w:eastAsia="zh-CN"/>
              </w:rPr>
              <w:t>二</w:t>
            </w:r>
            <w:r>
              <w:rPr>
                <w:rFonts w:hint="eastAsia"/>
                <w:color w:val="auto"/>
                <w:szCs w:val="24"/>
              </w:rPr>
              <w:t>章“</w:t>
            </w:r>
            <w:r>
              <w:rPr>
                <w:rFonts w:hint="eastAsia"/>
                <w:color w:val="auto"/>
                <w:szCs w:val="24"/>
                <w:lang w:val="en-US" w:eastAsia="zh-CN"/>
              </w:rPr>
              <w:t>招标需求</w:t>
            </w:r>
            <w:r>
              <w:rPr>
                <w:rFonts w:hint="eastAsia"/>
                <w:color w:val="auto"/>
                <w:szCs w:val="24"/>
              </w:rPr>
              <w:t>”。</w:t>
            </w:r>
          </w:p>
        </w:tc>
      </w:tr>
      <w:tr>
        <w:tblPrEx>
          <w:tblCellMar>
            <w:top w:w="0" w:type="dxa"/>
            <w:left w:w="108" w:type="dxa"/>
            <w:bottom w:w="0" w:type="dxa"/>
            <w:right w:w="108" w:type="dxa"/>
          </w:tblCellMar>
        </w:tblPrEx>
        <w:trPr>
          <w:trHeight w:val="725" w:hRule="atLeast"/>
          <w:tblHeader/>
          <w:jc w:val="center"/>
        </w:trPr>
        <w:tc>
          <w:tcPr>
            <w:tcW w:w="639" w:type="dxa"/>
            <w:vMerge w:val="continue"/>
            <w:tcBorders>
              <w:left w:val="single" w:color="auto" w:sz="8" w:space="0"/>
              <w:right w:val="single" w:color="auto" w:sz="8" w:space="0"/>
            </w:tcBorders>
            <w:vAlign w:val="center"/>
          </w:tcPr>
          <w:p>
            <w:pPr>
              <w:widowControl/>
              <w:jc w:val="left"/>
              <w:rPr>
                <w:rFonts w:ascii="宋体" w:hAnsi="宋体" w:cs="宋体"/>
                <w:color w:val="auto"/>
                <w:kern w:val="0"/>
                <w:szCs w:val="21"/>
              </w:rPr>
            </w:pPr>
          </w:p>
        </w:tc>
        <w:tc>
          <w:tcPr>
            <w:tcW w:w="642" w:type="dxa"/>
            <w:vMerge w:val="restart"/>
            <w:tcBorders>
              <w:top w:val="nil"/>
              <w:left w:val="single" w:color="auto" w:sz="8" w:space="0"/>
              <w:right w:val="single" w:color="auto" w:sz="8" w:space="0"/>
            </w:tcBorders>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2</w:t>
            </w:r>
          </w:p>
        </w:tc>
        <w:tc>
          <w:tcPr>
            <w:tcW w:w="1785" w:type="dxa"/>
            <w:vMerge w:val="restart"/>
            <w:tcBorders>
              <w:top w:val="nil"/>
              <w:left w:val="single" w:color="auto" w:sz="8" w:space="0"/>
              <w:right w:val="single" w:color="auto" w:sz="8" w:space="0"/>
            </w:tcBorders>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老象西线S311（K54+200-K90+800）</w:t>
            </w:r>
          </w:p>
        </w:tc>
        <w:tc>
          <w:tcPr>
            <w:tcW w:w="112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绿地</w:t>
            </w:r>
          </w:p>
        </w:tc>
        <w:tc>
          <w:tcPr>
            <w:tcW w:w="1183"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55397.9</w:t>
            </w:r>
          </w:p>
        </w:tc>
        <w:tc>
          <w:tcPr>
            <w:tcW w:w="885" w:type="dxa"/>
            <w:tcBorders>
              <w:top w:val="nil"/>
              <w:left w:val="nil"/>
              <w:bottom w:val="single" w:color="auto" w:sz="8"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3.24</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179489.2</w:t>
            </w: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2023年6月10日</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610" w:hRule="atLeast"/>
          <w:tblHeader/>
          <w:jc w:val="center"/>
        </w:trPr>
        <w:tc>
          <w:tcPr>
            <w:tcW w:w="639" w:type="dxa"/>
            <w:vMerge w:val="continue"/>
            <w:tcBorders>
              <w:left w:val="single" w:color="auto" w:sz="8" w:space="0"/>
              <w:right w:val="single" w:color="auto" w:sz="8" w:space="0"/>
            </w:tcBorders>
            <w:vAlign w:val="center"/>
          </w:tcPr>
          <w:p>
            <w:pPr>
              <w:widowControl/>
              <w:jc w:val="left"/>
              <w:rPr>
                <w:rFonts w:ascii="宋体" w:hAnsi="宋体" w:cs="宋体"/>
                <w:color w:val="auto"/>
                <w:kern w:val="0"/>
                <w:szCs w:val="21"/>
              </w:rPr>
            </w:pPr>
          </w:p>
        </w:tc>
        <w:tc>
          <w:tcPr>
            <w:tcW w:w="642" w:type="dxa"/>
            <w:vMerge w:val="continue"/>
            <w:tcBorders>
              <w:left w:val="single" w:color="auto" w:sz="8" w:space="0"/>
              <w:bottom w:val="single" w:color="000000" w:sz="8" w:space="0"/>
              <w:right w:val="single" w:color="auto" w:sz="8" w:space="0"/>
            </w:tcBorders>
            <w:vAlign w:val="center"/>
          </w:tcPr>
          <w:p>
            <w:pPr>
              <w:widowControl/>
              <w:jc w:val="center"/>
              <w:rPr>
                <w:rFonts w:hint="default" w:ascii="宋体" w:hAnsi="宋体" w:cs="宋体"/>
                <w:color w:val="auto"/>
                <w:kern w:val="0"/>
                <w:szCs w:val="21"/>
                <w:lang w:val="en-US" w:eastAsia="zh-CN"/>
              </w:rPr>
            </w:pPr>
          </w:p>
        </w:tc>
        <w:tc>
          <w:tcPr>
            <w:tcW w:w="1785" w:type="dxa"/>
            <w:vMerge w:val="continue"/>
            <w:tcBorders>
              <w:left w:val="single" w:color="auto" w:sz="8" w:space="0"/>
              <w:bottom w:val="single" w:color="000000" w:sz="8" w:space="0"/>
              <w:right w:val="single" w:color="auto" w:sz="8" w:space="0"/>
            </w:tcBorders>
            <w:vAlign w:val="center"/>
          </w:tcPr>
          <w:p>
            <w:pPr>
              <w:widowControl/>
              <w:jc w:val="center"/>
              <w:rPr>
                <w:rFonts w:hint="eastAsia" w:ascii="宋体" w:hAnsi="宋体" w:cs="宋体"/>
                <w:color w:val="auto"/>
                <w:kern w:val="0"/>
                <w:szCs w:val="21"/>
                <w:lang w:val="en-US" w:eastAsia="zh-CN"/>
              </w:rPr>
            </w:pPr>
          </w:p>
        </w:tc>
        <w:tc>
          <w:tcPr>
            <w:tcW w:w="112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林带</w:t>
            </w:r>
          </w:p>
        </w:tc>
        <w:tc>
          <w:tcPr>
            <w:tcW w:w="1183"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110136.2</w:t>
            </w:r>
          </w:p>
        </w:tc>
        <w:tc>
          <w:tcPr>
            <w:tcW w:w="885" w:type="dxa"/>
            <w:tcBorders>
              <w:top w:val="nil"/>
              <w:left w:val="nil"/>
              <w:bottom w:val="single" w:color="auto" w:sz="8"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0.48</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52865.38</w:t>
            </w: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lang w:val="en-US" w:eastAsia="zh-CN"/>
              </w:rPr>
              <w:t>2023年6月10日</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700" w:hRule="atLeast"/>
          <w:tblHeader/>
          <w:jc w:val="center"/>
        </w:trPr>
        <w:tc>
          <w:tcPr>
            <w:tcW w:w="639" w:type="dxa"/>
            <w:vMerge w:val="continue"/>
            <w:tcBorders>
              <w:left w:val="single" w:color="auto" w:sz="8" w:space="0"/>
              <w:bottom w:val="single" w:color="auto" w:sz="4" w:space="0"/>
              <w:right w:val="single" w:color="auto" w:sz="8" w:space="0"/>
            </w:tcBorders>
            <w:vAlign w:val="center"/>
          </w:tcPr>
          <w:p>
            <w:pPr>
              <w:widowControl/>
              <w:jc w:val="left"/>
              <w:rPr>
                <w:rFonts w:ascii="宋体" w:hAnsi="宋体" w:cs="宋体"/>
                <w:color w:val="auto"/>
                <w:kern w:val="0"/>
                <w:szCs w:val="21"/>
              </w:rPr>
            </w:pPr>
          </w:p>
        </w:tc>
        <w:tc>
          <w:tcPr>
            <w:tcW w:w="642" w:type="dxa"/>
            <w:tcBorders>
              <w:left w:val="single" w:color="auto" w:sz="8" w:space="0"/>
              <w:bottom w:val="single" w:color="auto" w:sz="4" w:space="0"/>
              <w:right w:val="single" w:color="auto" w:sz="8" w:space="0"/>
            </w:tcBorders>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w:t>
            </w:r>
          </w:p>
        </w:tc>
        <w:tc>
          <w:tcPr>
            <w:tcW w:w="1785" w:type="dxa"/>
            <w:tcBorders>
              <w:left w:val="single" w:color="auto" w:sz="8" w:space="0"/>
              <w:bottom w:val="single" w:color="auto" w:sz="4" w:space="0"/>
              <w:right w:val="single" w:color="auto" w:sz="8" w:space="0"/>
            </w:tcBorders>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西山线（K17+500-K20+270）</w:t>
            </w:r>
          </w:p>
        </w:tc>
        <w:tc>
          <w:tcPr>
            <w:tcW w:w="112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绿地</w:t>
            </w:r>
          </w:p>
        </w:tc>
        <w:tc>
          <w:tcPr>
            <w:tcW w:w="1183"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18249.2</w:t>
            </w:r>
          </w:p>
        </w:tc>
        <w:tc>
          <w:tcPr>
            <w:tcW w:w="885" w:type="dxa"/>
            <w:tcBorders>
              <w:top w:val="nil"/>
              <w:left w:val="nil"/>
              <w:bottom w:val="single" w:color="auto" w:sz="8"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3.24</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59127.41</w:t>
            </w: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2023年6月10日</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977" w:hRule="atLeast"/>
          <w:tblHeader/>
          <w:jc w:val="center"/>
        </w:trPr>
        <w:tc>
          <w:tcPr>
            <w:tcW w:w="6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二</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西环线（K0+000+K5+100，K6+200-K9+800）</w:t>
            </w:r>
          </w:p>
        </w:tc>
        <w:tc>
          <w:tcPr>
            <w:tcW w:w="1125"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精品路线</w:t>
            </w:r>
          </w:p>
        </w:tc>
        <w:tc>
          <w:tcPr>
            <w:tcW w:w="118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lang w:val="en-US" w:eastAsia="zh-CN"/>
              </w:rPr>
              <w:t>193072.33</w:t>
            </w:r>
            <w:r>
              <w:rPr>
                <w:rFonts w:hint="eastAsia" w:ascii="宋体" w:hAnsi="宋体" w:cs="宋体"/>
                <w:color w:val="auto"/>
                <w:kern w:val="0"/>
                <w:szCs w:val="21"/>
              </w:rPr>
              <w:t xml:space="preserve"> </w:t>
            </w:r>
          </w:p>
        </w:tc>
        <w:tc>
          <w:tcPr>
            <w:tcW w:w="885"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lang w:val="en-US" w:eastAsia="zh-CN"/>
              </w:rPr>
              <w:t>3.3</w:t>
            </w:r>
            <w:r>
              <w:rPr>
                <w:rFonts w:hint="eastAsia" w:ascii="宋体" w:hAnsi="宋体" w:cs="宋体"/>
                <w:color w:val="auto"/>
                <w:kern w:val="0"/>
                <w:szCs w:val="21"/>
              </w:rPr>
              <w:t xml:space="preserve"> </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637138.69</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1373798</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中标后30天内</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887" w:hRule="atLeast"/>
          <w:tblHeader/>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rPr>
            </w:pP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2</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西环线K5+100-K6+200</w:t>
            </w:r>
          </w:p>
        </w:tc>
        <w:tc>
          <w:tcPr>
            <w:tcW w:w="1125"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精品路线</w:t>
            </w:r>
          </w:p>
        </w:tc>
        <w:tc>
          <w:tcPr>
            <w:tcW w:w="1183"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7877</w:t>
            </w:r>
          </w:p>
        </w:tc>
        <w:tc>
          <w:tcPr>
            <w:tcW w:w="885" w:type="dxa"/>
            <w:tcBorders>
              <w:top w:val="nil"/>
              <w:left w:val="nil"/>
              <w:bottom w:val="single" w:color="auto" w:sz="8"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3.3</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25994.1</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2023年6月10日</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1302" w:hRule="atLeast"/>
          <w:tblHeader/>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642"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w:t>
            </w:r>
          </w:p>
        </w:tc>
        <w:tc>
          <w:tcPr>
            <w:tcW w:w="1785"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乌岩山隧道口上方、狮子岩隧道口上方</w:t>
            </w:r>
          </w:p>
        </w:tc>
        <w:tc>
          <w:tcPr>
            <w:tcW w:w="1125"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lang w:val="en-US" w:eastAsia="zh-CN"/>
              </w:rPr>
              <w:t>精品路线</w:t>
            </w:r>
          </w:p>
        </w:tc>
        <w:tc>
          <w:tcPr>
            <w:tcW w:w="1183"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2500</w:t>
            </w:r>
          </w:p>
        </w:tc>
        <w:tc>
          <w:tcPr>
            <w:tcW w:w="885" w:type="dxa"/>
            <w:tcBorders>
              <w:top w:val="nil"/>
              <w:left w:val="nil"/>
              <w:bottom w:val="single" w:color="auto" w:sz="8"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3.3</w:t>
            </w:r>
          </w:p>
        </w:tc>
        <w:tc>
          <w:tcPr>
            <w:tcW w:w="1322"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8250</w:t>
            </w:r>
          </w:p>
        </w:tc>
        <w:tc>
          <w:tcPr>
            <w:tcW w:w="975" w:type="dxa"/>
            <w:vMerge w:val="continue"/>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1108" w:type="dxa"/>
            <w:tcBorders>
              <w:top w:val="single" w:color="auto" w:sz="4" w:space="0"/>
              <w:left w:val="single" w:color="auto" w:sz="4" w:space="0"/>
              <w:bottom w:val="single" w:color="auto" w:sz="8"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中标后30天内</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1007" w:hRule="atLeast"/>
          <w:tblHeader/>
          <w:jc w:val="center"/>
        </w:trPr>
        <w:tc>
          <w:tcPr>
            <w:tcW w:w="639"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ascii="宋体" w:hAnsi="宋体" w:cs="宋体"/>
                <w:color w:val="auto"/>
                <w:kern w:val="0"/>
                <w:szCs w:val="21"/>
              </w:rPr>
            </w:pPr>
          </w:p>
        </w:tc>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4</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公铁立交-马鞍岭隧道口</w:t>
            </w:r>
          </w:p>
        </w:tc>
        <w:tc>
          <w:tcPr>
            <w:tcW w:w="11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精品路线</w:t>
            </w:r>
          </w:p>
        </w:tc>
        <w:tc>
          <w:tcPr>
            <w:tcW w:w="1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109260</w:t>
            </w:r>
          </w:p>
        </w:tc>
        <w:tc>
          <w:tcPr>
            <w:tcW w:w="8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3.3</w:t>
            </w:r>
          </w:p>
        </w:tc>
        <w:tc>
          <w:tcPr>
            <w:tcW w:w="132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360558</w:t>
            </w:r>
          </w:p>
        </w:tc>
        <w:tc>
          <w:tcPr>
            <w:tcW w:w="97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Cs w:val="21"/>
              </w:rPr>
            </w:pPr>
          </w:p>
        </w:tc>
        <w:tc>
          <w:tcPr>
            <w:tcW w:w="1108"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中标后30天内</w:t>
            </w:r>
          </w:p>
        </w:tc>
        <w:tc>
          <w:tcPr>
            <w:tcW w:w="945"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1007" w:hRule="atLeast"/>
          <w:tblHeader/>
          <w:jc w:val="center"/>
        </w:trPr>
        <w:tc>
          <w:tcPr>
            <w:tcW w:w="639" w:type="dxa"/>
            <w:vMerge w:val="continue"/>
            <w:tcBorders>
              <w:left w:val="single" w:color="auto" w:sz="4" w:space="0"/>
              <w:bottom w:val="single" w:color="auto" w:sz="4" w:space="0"/>
              <w:right w:val="single" w:color="auto" w:sz="8" w:space="0"/>
            </w:tcBorders>
            <w:shd w:val="clear" w:color="auto" w:fill="auto"/>
            <w:vAlign w:val="center"/>
          </w:tcPr>
          <w:p>
            <w:pPr>
              <w:widowControl/>
              <w:jc w:val="center"/>
              <w:rPr>
                <w:rFonts w:ascii="宋体" w:hAnsi="宋体" w:cs="宋体"/>
                <w:color w:val="auto"/>
                <w:kern w:val="0"/>
                <w:szCs w:val="21"/>
              </w:rPr>
            </w:pPr>
          </w:p>
        </w:tc>
        <w:tc>
          <w:tcPr>
            <w:tcW w:w="642"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5</w:t>
            </w:r>
          </w:p>
        </w:tc>
        <w:tc>
          <w:tcPr>
            <w:tcW w:w="1785"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甬临复线K74+950-K76+900</w:t>
            </w:r>
          </w:p>
        </w:tc>
        <w:tc>
          <w:tcPr>
            <w:tcW w:w="1125"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精品路线（中带）</w:t>
            </w:r>
          </w:p>
        </w:tc>
        <w:tc>
          <w:tcPr>
            <w:tcW w:w="1183"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32283.1</w:t>
            </w:r>
          </w:p>
        </w:tc>
        <w:tc>
          <w:tcPr>
            <w:tcW w:w="885"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3.3</w:t>
            </w:r>
          </w:p>
        </w:tc>
        <w:tc>
          <w:tcPr>
            <w:tcW w:w="1322"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106534.23</w:t>
            </w:r>
          </w:p>
        </w:tc>
        <w:tc>
          <w:tcPr>
            <w:tcW w:w="975" w:type="dxa"/>
            <w:vMerge w:val="continue"/>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center"/>
              <w:rPr>
                <w:rFonts w:ascii="宋体" w:hAnsi="宋体" w:cs="宋体"/>
                <w:color w:val="auto"/>
                <w:kern w:val="0"/>
                <w:szCs w:val="21"/>
              </w:rPr>
            </w:pPr>
          </w:p>
        </w:tc>
        <w:tc>
          <w:tcPr>
            <w:tcW w:w="1108" w:type="dxa"/>
            <w:tcBorders>
              <w:top w:val="single" w:color="auto" w:sz="8" w:space="0"/>
              <w:left w:val="single" w:color="auto" w:sz="8" w:space="0"/>
              <w:bottom w:val="single" w:color="auto" w:sz="4" w:space="0"/>
              <w:right w:val="single" w:color="auto" w:sz="8" w:space="0"/>
            </w:tcBorders>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2023年6月10日</w:t>
            </w:r>
          </w:p>
        </w:tc>
        <w:tc>
          <w:tcPr>
            <w:tcW w:w="945" w:type="dxa"/>
            <w:vMerge w:val="continue"/>
            <w:tcBorders>
              <w:left w:val="single" w:color="auto" w:sz="8"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1372" w:hRule="atLeast"/>
          <w:tblHeader/>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6</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沈海高速（K1564+500-K1570+200）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林带</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191996.1</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0.48</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92158.13</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2023年6月10日</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842" w:hRule="atLeast"/>
          <w:tblHeader/>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7</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城松线（K1+900-K2+500，K3+400-K6+700）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绿地</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13836.1</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3.24</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44828.96</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2023年6月10日</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842" w:hRule="atLeast"/>
          <w:tblHeader/>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642"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8</w:t>
            </w:r>
          </w:p>
        </w:tc>
        <w:tc>
          <w:tcPr>
            <w:tcW w:w="17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甬临线（K73+200-K80+600）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绿地</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28542</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3.24</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92476.08</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11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2023年6月10日</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842" w:hRule="atLeast"/>
          <w:tblHeader/>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642"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p>
        </w:tc>
        <w:tc>
          <w:tcPr>
            <w:tcW w:w="1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林带</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12207.9</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0.48</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5859.79</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842" w:hRule="atLeast"/>
          <w:tblHeader/>
          <w:jc w:val="center"/>
        </w:trPr>
        <w:tc>
          <w:tcPr>
            <w:tcW w:w="6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三</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甬临复线两侧（K77+900-K89+100）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精品路线</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232715</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3.3</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767959.5</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1623635</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中标后30天内</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842" w:hRule="atLeast"/>
          <w:tblHeader/>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2</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甬临复线（K77+900-K89+100）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绿地</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129485.7</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3.24</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419533.67</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2023年6月10日</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842" w:hRule="atLeast"/>
          <w:tblHeader/>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梁书线（K0+000-K2+850）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绿地</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14884.6</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3.24</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48226.1</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2023年6月10日</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842" w:hRule="atLeast"/>
          <w:tblHeader/>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城岭线（K20+300-K24+000）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林带</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22545.8</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0.48</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10821.98</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2023年6月10日</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842" w:hRule="atLeast"/>
          <w:tblHeader/>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642"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5</w:t>
            </w:r>
          </w:p>
        </w:tc>
        <w:tc>
          <w:tcPr>
            <w:tcW w:w="178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甬临线（K80+600-K100+640）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绿地</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24033.4</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3.24</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77868.22</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1108"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2023年6月10日</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842" w:hRule="atLeast"/>
          <w:tblHeader/>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642"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林带</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150747.7</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0.48</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72358.9</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1108"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lang w:val="en-US" w:eastAsia="zh-CN"/>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842" w:hRule="atLeast"/>
          <w:tblHeader/>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6</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沈海高速（K1570+200-K1588+830）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林带</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472638.8</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0.48</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226866.62</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2023年6月10日</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bl>
    <w:p>
      <w:pPr>
        <w:pStyle w:val="36"/>
        <w:ind w:left="0" w:leftChars="0" w:firstLine="0" w:firstLineChars="0"/>
        <w:rPr>
          <w:rFonts w:hint="eastAsia" w:ascii="宋体" w:hAnsi="宋体" w:eastAsia="宋体" w:cs="宋体"/>
          <w:i w:val="0"/>
          <w:iCs w:val="0"/>
          <w:color w:val="auto"/>
          <w:sz w:val="21"/>
          <w:szCs w:val="21"/>
          <w:highlight w:val="none"/>
        </w:rPr>
      </w:pP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olor w:val="auto"/>
          <w:sz w:val="21"/>
          <w:szCs w:val="21"/>
          <w:highlight w:val="red"/>
          <w:lang w:val="zh-CN"/>
        </w:rPr>
      </w:pPr>
      <w:r>
        <w:rPr>
          <w:rFonts w:hint="eastAsia" w:ascii="宋体" w:hAnsi="宋体" w:cs="宋体"/>
          <w:color w:val="auto"/>
          <w:szCs w:val="21"/>
        </w:rPr>
        <w:t>★</w:t>
      </w:r>
      <w:r>
        <w:rPr>
          <w:rFonts w:hint="eastAsia" w:ascii="宋体" w:hAnsi="宋体" w:cs="宋体"/>
          <w:i w:val="0"/>
          <w:iCs w:val="0"/>
          <w:color w:val="auto"/>
          <w:sz w:val="21"/>
          <w:szCs w:val="21"/>
          <w:highlight w:val="none"/>
          <w:lang w:val="en-US" w:eastAsia="zh-CN"/>
        </w:rPr>
        <w:t>服务期限</w:t>
      </w:r>
      <w:r>
        <w:rPr>
          <w:rFonts w:hint="eastAsia" w:ascii="宋体" w:hAnsi="宋体" w:eastAsia="宋体" w:cs="宋体"/>
          <w:i w:val="0"/>
          <w:iCs w:val="0"/>
          <w:color w:val="auto"/>
          <w:sz w:val="21"/>
          <w:szCs w:val="21"/>
          <w:highlight w:val="none"/>
        </w:rPr>
        <w:t>:</w:t>
      </w:r>
      <w:r>
        <w:rPr>
          <w:rFonts w:hint="eastAsia" w:ascii="宋体" w:hAnsi="宋体" w:cs="宋体"/>
          <w:i w:val="0"/>
          <w:iCs w:val="0"/>
          <w:color w:val="auto"/>
          <w:sz w:val="21"/>
          <w:szCs w:val="21"/>
          <w:highlight w:val="none"/>
          <w:lang w:val="en-US" w:eastAsia="zh-CN"/>
        </w:rPr>
        <w:t xml:space="preserve"> </w:t>
      </w:r>
      <w:r>
        <w:rPr>
          <w:rFonts w:hint="eastAsia"/>
          <w:color w:val="auto"/>
          <w:szCs w:val="24"/>
        </w:rPr>
        <w:t>起始时间以合同签订为准，本项目一招暂定2年，协议一年一签。由采购人及行业主管部门根据中标人的合同履约情况决定是否续签，并在符合县级年度预算安排要求下，方可续签下一年度合同。除不可抗力外，精品苗木在养护期内出现死亡，中标人须按原规格赔偿，否则死一赔二。</w:t>
      </w:r>
    </w:p>
    <w:p>
      <w:pPr>
        <w:pStyle w:val="36"/>
        <w:spacing w:line="360" w:lineRule="auto"/>
        <w:rPr>
          <w:rFonts w:hint="default"/>
          <w:color w:val="auto"/>
          <w:lang w:val="en-US" w:eastAsia="zh-CN"/>
        </w:rPr>
      </w:pPr>
      <w:r>
        <w:rPr>
          <w:rFonts w:hint="eastAsia" w:ascii="宋体" w:hAnsi="宋体" w:cs="宋体"/>
          <w:color w:val="auto"/>
          <w:szCs w:val="21"/>
        </w:rPr>
        <w:t>★</w:t>
      </w:r>
      <w:r>
        <w:rPr>
          <w:rFonts w:hint="eastAsia"/>
          <w:color w:val="auto"/>
          <w:lang w:val="en-US" w:eastAsia="zh-CN"/>
        </w:rPr>
        <w:t>项目安全费：本项目发生的所有安全文明施工费、安全生产费均已包括在综合单价中。</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数量:</w:t>
      </w:r>
      <w:r>
        <w:rPr>
          <w:rFonts w:hint="eastAsia" w:ascii="宋体" w:hAnsi="宋体" w:cs="宋体"/>
          <w:i w:val="0"/>
          <w:iCs w:val="0"/>
          <w:color w:val="auto"/>
          <w:sz w:val="21"/>
          <w:szCs w:val="21"/>
          <w:highlight w:val="none"/>
          <w:lang w:val="en-US" w:eastAsia="zh-CN"/>
        </w:rPr>
        <w:t>3个标段</w:t>
      </w:r>
    </w:p>
    <w:p>
      <w:pPr>
        <w:pStyle w:val="2"/>
        <w:spacing w:line="360" w:lineRule="auto"/>
        <w:rPr>
          <w:rFonts w:hint="default"/>
          <w:lang w:val="en-US" w:eastAsia="zh-CN"/>
        </w:rPr>
      </w:pPr>
      <w:r>
        <w:rPr>
          <w:rFonts w:hint="eastAsia" w:ascii="宋体" w:hAnsi="宋体" w:cs="宋体"/>
          <w:i w:val="0"/>
          <w:iCs w:val="0"/>
          <w:color w:val="auto"/>
          <w:sz w:val="21"/>
          <w:szCs w:val="21"/>
          <w:highlight w:val="none"/>
          <w:lang w:val="en-US" w:eastAsia="zh-CN"/>
        </w:rPr>
        <w:t xml:space="preserve">   </w:t>
      </w:r>
      <w:r>
        <w:rPr>
          <w:rFonts w:hint="eastAsia" w:ascii="宋体" w:hAnsi="宋体" w:eastAsia="宋体" w:cs="宋体"/>
          <w:i w:val="0"/>
          <w:iCs w:val="0"/>
          <w:color w:val="auto"/>
          <w:kern w:val="2"/>
          <w:sz w:val="21"/>
          <w:szCs w:val="21"/>
          <w:highlight w:val="none"/>
          <w:lang w:val="en-US" w:eastAsia="zh-CN" w:bidi="ar-SA"/>
        </w:rPr>
        <w:t xml:space="preserve"> </w:t>
      </w:r>
      <w:r>
        <w:rPr>
          <w:rFonts w:hint="eastAsia" w:ascii="宋体" w:hAnsi="宋体" w:eastAsia="宋体" w:cs="宋体"/>
          <w:b/>
          <w:bCs/>
          <w:i w:val="0"/>
          <w:iCs w:val="0"/>
          <w:color w:val="auto"/>
          <w:kern w:val="2"/>
          <w:sz w:val="21"/>
          <w:szCs w:val="21"/>
          <w:highlight w:val="none"/>
          <w:lang w:val="en-US" w:eastAsia="zh-CN" w:bidi="ar-SA"/>
        </w:rPr>
        <w:t>备注：（适用所有标段）。投标人可就其中1个标段参加投标或同时参加几个标段的投标，但1个投标人仅能中标1个标段。</w:t>
      </w:r>
    </w:p>
    <w:p>
      <w:pPr>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olor w:val="auto"/>
          <w:sz w:val="21"/>
          <w:szCs w:val="21"/>
          <w:highlight w:val="none"/>
          <w:lang w:val="en-US"/>
        </w:rPr>
      </w:pPr>
      <w:r>
        <w:rPr>
          <w:rFonts w:hint="eastAsia" w:ascii="宋体" w:hAnsi="宋体" w:eastAsia="宋体" w:cs="宋体"/>
          <w:i w:val="0"/>
          <w:iCs w:val="0"/>
          <w:color w:val="auto"/>
          <w:sz w:val="21"/>
          <w:szCs w:val="21"/>
          <w:highlight w:val="none"/>
        </w:rPr>
        <w:t>预算金额（元）:</w:t>
      </w:r>
      <w:r>
        <w:rPr>
          <w:rFonts w:hint="eastAsia" w:ascii="宋体" w:hAnsi="宋体" w:cs="宋体"/>
          <w:i w:val="0"/>
          <w:iCs w:val="0"/>
          <w:color w:val="auto"/>
          <w:sz w:val="21"/>
          <w:szCs w:val="21"/>
          <w:highlight w:val="none"/>
          <w:lang w:val="en-US" w:eastAsia="zh-CN"/>
        </w:rPr>
        <w:t xml:space="preserve"> </w:t>
      </w:r>
      <w:r>
        <w:rPr>
          <w:rFonts w:hint="eastAsia" w:asciiTheme="minorEastAsia" w:hAnsiTheme="minorEastAsia" w:eastAsiaTheme="minorEastAsia" w:cstheme="minorEastAsia"/>
          <w:color w:val="auto"/>
          <w:szCs w:val="21"/>
          <w:highlight w:val="none"/>
          <w:lang w:val="en-US" w:eastAsia="zh-CN"/>
        </w:rPr>
        <w:t>4273418元/年；8546836元/2年</w:t>
      </w:r>
      <w:r>
        <w:rPr>
          <w:rFonts w:hint="eastAsia" w:asciiTheme="minorEastAsia" w:hAnsiTheme="minorEastAsia" w:eastAsiaTheme="minorEastAsia" w:cstheme="minorEastAsia"/>
          <w:color w:val="auto"/>
          <w:szCs w:val="21"/>
          <w:lang w:val="en-US" w:eastAsia="zh-CN"/>
        </w:rPr>
        <w:t>。</w:t>
      </w:r>
    </w:p>
    <w:p>
      <w:pPr>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简要规格描述或项目基本概况介绍、用途：</w:t>
      </w:r>
      <w:r>
        <w:rPr>
          <w:rFonts w:hint="eastAsia"/>
          <w:color w:val="auto"/>
          <w:highlight w:val="none"/>
          <w:lang w:val="en-US" w:eastAsia="zh-CN"/>
        </w:rPr>
        <w:t>具体详见第二章 采购需求。</w:t>
      </w:r>
    </w:p>
    <w:p>
      <w:pPr>
        <w:pStyle w:val="4"/>
        <w:pageBreakBefore w:val="0"/>
        <w:kinsoku/>
        <w:wordWrap/>
        <w:overflowPunct/>
        <w:topLinePunct w:val="0"/>
        <w:autoSpaceDE/>
        <w:autoSpaceDN/>
        <w:bidi w:val="0"/>
        <w:adjustRightInd/>
        <w:snapToGrid/>
        <w:spacing w:before="0" w:beforeLines="0" w:after="0" w:afterLines="0" w:line="360" w:lineRule="auto"/>
        <w:ind w:left="452" w:leftChars="100" w:hanging="242" w:hangingChars="115"/>
        <w:textAlignment w:val="auto"/>
        <w:rPr>
          <w:rFonts w:hint="eastAsia" w:ascii="宋体" w:hAnsi="宋体" w:eastAsia="宋体" w:cs="宋体"/>
          <w:b/>
          <w:bCs w:val="0"/>
          <w:i w:val="0"/>
          <w:iCs w:val="0"/>
          <w:color w:val="auto"/>
          <w:sz w:val="21"/>
          <w:szCs w:val="21"/>
          <w:highlight w:val="none"/>
        </w:rPr>
      </w:pPr>
      <w:bookmarkStart w:id="6" w:name="_Toc28359003"/>
      <w:bookmarkStart w:id="7" w:name="_Toc28359080"/>
      <w:bookmarkStart w:id="8" w:name="_Toc35393791"/>
      <w:bookmarkStart w:id="9" w:name="_Toc35393622"/>
      <w:r>
        <w:rPr>
          <w:rFonts w:hint="eastAsia" w:ascii="宋体" w:hAnsi="宋体" w:eastAsia="宋体" w:cs="宋体"/>
          <w:b/>
          <w:bCs w:val="0"/>
          <w:i w:val="0"/>
          <w:iCs w:val="0"/>
          <w:color w:val="auto"/>
          <w:sz w:val="21"/>
          <w:szCs w:val="21"/>
          <w:highlight w:val="none"/>
        </w:rPr>
        <w:t>二、申请人的资格要求：</w:t>
      </w:r>
      <w:bookmarkEnd w:id="6"/>
      <w:bookmarkEnd w:id="7"/>
      <w:bookmarkEnd w:id="8"/>
      <w:bookmarkEnd w:id="9"/>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szCs w:val="21"/>
          <w:highlight w:val="none"/>
          <w:lang w:val="en-US" w:eastAsia="zh-CN"/>
        </w:rPr>
      </w:pPr>
      <w:bookmarkStart w:id="10" w:name="_Toc28359004"/>
      <w:bookmarkStart w:id="11" w:name="_Toc28359081"/>
      <w:r>
        <w:rPr>
          <w:rFonts w:hint="eastAsia" w:ascii="宋体" w:hAnsi="宋体" w:cs="宋体"/>
          <w:color w:val="auto"/>
          <w:szCs w:val="21"/>
          <w:highlight w:val="none"/>
          <w:lang w:val="en-US" w:eastAsia="zh-CN"/>
        </w:rPr>
        <w:t>2.</w:t>
      </w:r>
      <w:r>
        <w:rPr>
          <w:rFonts w:hint="eastAsia" w:ascii="宋体" w:hAnsi="宋体" w:cs="宋体"/>
          <w:color w:val="auto"/>
          <w:szCs w:val="21"/>
        </w:rPr>
        <w:t>项目负责人资格要求：</w:t>
      </w:r>
      <w:r>
        <w:rPr>
          <w:rFonts w:hint="eastAsia" w:ascii="宋体" w:hAnsi="宋体" w:cs="宋体"/>
          <w:i w:val="0"/>
          <w:iCs w:val="0"/>
          <w:color w:val="auto"/>
          <w:sz w:val="21"/>
          <w:szCs w:val="21"/>
          <w:highlight w:val="none"/>
          <w:lang w:eastAsia="zh-CN"/>
        </w:rPr>
        <w:t>供应商为本项目配备的项目负责人须具有</w:t>
      </w:r>
      <w:r>
        <w:rPr>
          <w:rFonts w:hint="eastAsia"/>
          <w:color w:val="auto"/>
        </w:rPr>
        <w:t>园林绿化专业</w:t>
      </w:r>
      <w:r>
        <w:rPr>
          <w:color w:val="auto"/>
        </w:rPr>
        <w:t>中级及以上职称</w:t>
      </w:r>
      <w:r>
        <w:rPr>
          <w:rFonts w:hint="eastAsia" w:ascii="宋体" w:hAnsi="宋体" w:cs="宋体"/>
          <w:i w:val="0"/>
          <w:iCs w:val="0"/>
          <w:color w:val="auto"/>
          <w:sz w:val="21"/>
          <w:szCs w:val="21"/>
          <w:highlight w:val="none"/>
          <w:lang w:eastAsia="zh-CN"/>
        </w:rPr>
        <w:t>（项目负责人必须为本单位在职职工，并缴纳社会养老保险，投标人须提供拟派的项目负责人在202</w:t>
      </w:r>
      <w:r>
        <w:rPr>
          <w:rFonts w:hint="eastAsia" w:ascii="宋体" w:hAnsi="宋体" w:cs="宋体"/>
          <w:i w:val="0"/>
          <w:iCs w:val="0"/>
          <w:color w:val="auto"/>
          <w:sz w:val="21"/>
          <w:szCs w:val="21"/>
          <w:highlight w:val="none"/>
          <w:lang w:val="en-US" w:eastAsia="zh-CN"/>
        </w:rPr>
        <w:t>2</w:t>
      </w:r>
      <w:r>
        <w:rPr>
          <w:rFonts w:hint="eastAsia" w:ascii="宋体" w:hAnsi="宋体" w:cs="宋体"/>
          <w:i w:val="0"/>
          <w:iCs w:val="0"/>
          <w:color w:val="auto"/>
          <w:sz w:val="21"/>
          <w:szCs w:val="21"/>
          <w:highlight w:val="none"/>
          <w:lang w:eastAsia="zh-CN"/>
        </w:rPr>
        <w:t>年</w:t>
      </w:r>
      <w:r>
        <w:rPr>
          <w:rFonts w:hint="eastAsia" w:ascii="宋体" w:hAnsi="宋体" w:cs="宋体"/>
          <w:i w:val="0"/>
          <w:iCs w:val="0"/>
          <w:color w:val="auto"/>
          <w:sz w:val="21"/>
          <w:szCs w:val="21"/>
          <w:highlight w:val="none"/>
          <w:lang w:val="en-US" w:eastAsia="zh-CN"/>
        </w:rPr>
        <w:t>10</w:t>
      </w:r>
      <w:r>
        <w:rPr>
          <w:rFonts w:hint="eastAsia" w:ascii="宋体" w:hAnsi="宋体" w:cs="宋体"/>
          <w:i w:val="0"/>
          <w:iCs w:val="0"/>
          <w:color w:val="auto"/>
          <w:sz w:val="21"/>
          <w:szCs w:val="21"/>
          <w:highlight w:val="none"/>
          <w:lang w:eastAsia="zh-CN"/>
        </w:rPr>
        <w:t>月以后（含3月）连续三个月的社保证明，如投标人未提供，资格审查不予通过）</w:t>
      </w:r>
      <w:r>
        <w:rPr>
          <w:rFonts w:hint="eastAsia" w:ascii="宋体" w:hAnsi="宋体" w:cs="宋体"/>
          <w:color w:val="auto"/>
          <w:szCs w:val="21"/>
          <w:highlight w:val="none"/>
          <w:lang w:val="en-US" w:eastAsia="zh-CN"/>
        </w:rPr>
        <w:t>。</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.落实政府采购政策需满足的资格要求：</w:t>
      </w:r>
      <w:r>
        <w:rPr>
          <w:rFonts w:hint="eastAsia" w:ascii="宋体" w:hAnsi="宋体" w:cs="宋体"/>
          <w:i w:val="0"/>
          <w:iCs w:val="0"/>
          <w:color w:val="auto"/>
          <w:sz w:val="21"/>
          <w:szCs w:val="21"/>
          <w:highlight w:val="none"/>
          <w:lang w:eastAsia="zh-CN"/>
        </w:rPr>
        <w:t>无。</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.本项目的特定资格要求：</w:t>
      </w:r>
      <w:r>
        <w:rPr>
          <w:rFonts w:hint="eastAsia" w:ascii="宋体" w:hAnsi="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lang w:val="en-US" w:eastAsia="zh-CN"/>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i w:val="0"/>
          <w:iCs w:val="0"/>
          <w:color w:val="auto"/>
          <w:sz w:val="21"/>
          <w:szCs w:val="21"/>
          <w:highlight w:val="none"/>
          <w:lang w:val="en-US" w:eastAsia="zh-CN"/>
        </w:rPr>
        <w:t>4</w:t>
      </w:r>
      <w:r>
        <w:rPr>
          <w:rFonts w:hint="eastAsia" w:ascii="宋体" w:hAnsi="宋体" w:cs="宋体"/>
          <w:color w:val="auto"/>
          <w:szCs w:val="21"/>
          <w:highlight w:val="none"/>
        </w:rPr>
        <w:t>.2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将依法取消其中标资格）。</w:t>
      </w:r>
    </w:p>
    <w:p>
      <w:pPr>
        <w:pStyle w:val="4"/>
        <w:pageBreakBefore w:val="0"/>
        <w:kinsoku/>
        <w:wordWrap/>
        <w:overflowPunct/>
        <w:topLinePunct w:val="0"/>
        <w:autoSpaceDE/>
        <w:autoSpaceDN/>
        <w:bidi w:val="0"/>
        <w:adjustRightInd/>
        <w:snapToGrid/>
        <w:spacing w:before="0" w:beforeLines="0" w:after="0" w:afterLines="0" w:line="360" w:lineRule="auto"/>
        <w:ind w:left="452" w:leftChars="100" w:hanging="242" w:hangingChars="115"/>
        <w:textAlignment w:val="auto"/>
        <w:rPr>
          <w:rFonts w:hint="eastAsia" w:ascii="宋体" w:hAnsi="宋体" w:eastAsia="宋体" w:cs="宋体"/>
          <w:b/>
          <w:bCs w:val="0"/>
          <w:i w:val="0"/>
          <w:iCs w:val="0"/>
          <w:color w:val="auto"/>
          <w:sz w:val="21"/>
          <w:szCs w:val="21"/>
          <w:highlight w:val="none"/>
        </w:rPr>
      </w:pPr>
      <w:bookmarkStart w:id="12" w:name="_Toc35393792"/>
      <w:bookmarkStart w:id="13" w:name="_Toc35393623"/>
      <w:r>
        <w:rPr>
          <w:rFonts w:hint="eastAsia" w:ascii="宋体" w:hAnsi="宋体" w:eastAsia="宋体" w:cs="宋体"/>
          <w:b/>
          <w:bCs w:val="0"/>
          <w:i w:val="0"/>
          <w:iCs w:val="0"/>
          <w:color w:val="auto"/>
          <w:sz w:val="21"/>
          <w:szCs w:val="21"/>
          <w:highlight w:val="none"/>
        </w:rPr>
        <w:t>三、获取招标文件</w:t>
      </w:r>
      <w:bookmarkEnd w:id="10"/>
      <w:bookmarkEnd w:id="11"/>
      <w:bookmarkEnd w:id="12"/>
      <w:bookmarkEnd w:id="13"/>
    </w:p>
    <w:p>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时间：</w:t>
      </w:r>
      <w:r>
        <w:rPr>
          <w:rFonts w:hint="eastAsia" w:ascii="宋体" w:hAnsi="宋体" w:eastAsia="宋体" w:cs="宋体"/>
          <w:i w:val="0"/>
          <w:iCs w:val="0"/>
          <w:color w:val="auto"/>
          <w:sz w:val="21"/>
          <w:szCs w:val="21"/>
          <w:highlight w:val="none"/>
          <w:u w:val="single"/>
          <w:lang w:val="en-US" w:eastAsia="zh-CN"/>
        </w:rPr>
        <w:t>202</w:t>
      </w:r>
      <w:r>
        <w:rPr>
          <w:rFonts w:hint="eastAsia" w:ascii="宋体" w:hAnsi="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rPr>
        <w:t>年</w:t>
      </w:r>
      <w:r>
        <w:rPr>
          <w:rFonts w:hint="eastAsia" w:ascii="宋体" w:hAnsi="宋体" w:cs="宋体"/>
          <w:i w:val="0"/>
          <w:iCs w:val="0"/>
          <w:color w:val="auto"/>
          <w:sz w:val="21"/>
          <w:szCs w:val="21"/>
          <w:highlight w:val="none"/>
          <w:u w:val="single"/>
          <w:lang w:val="en-US" w:eastAsia="zh-CN"/>
        </w:rPr>
        <w:t>02</w:t>
      </w:r>
      <w:r>
        <w:rPr>
          <w:rFonts w:hint="eastAsia" w:ascii="宋体" w:hAnsi="宋体" w:eastAsia="宋体" w:cs="宋体"/>
          <w:i w:val="0"/>
          <w:iCs w:val="0"/>
          <w:color w:val="auto"/>
          <w:sz w:val="21"/>
          <w:szCs w:val="21"/>
          <w:highlight w:val="none"/>
          <w:u w:val="single"/>
        </w:rPr>
        <w:t>月</w:t>
      </w:r>
      <w:r>
        <w:rPr>
          <w:rFonts w:hint="eastAsia" w:ascii="宋体" w:hAnsi="宋体" w:cs="宋体"/>
          <w:i w:val="0"/>
          <w:iCs w:val="0"/>
          <w:color w:val="auto"/>
          <w:sz w:val="21"/>
          <w:szCs w:val="21"/>
          <w:highlight w:val="none"/>
          <w:u w:val="single"/>
          <w:lang w:val="en-US" w:eastAsia="zh-CN"/>
        </w:rPr>
        <w:t>24</w:t>
      </w:r>
      <w:r>
        <w:rPr>
          <w:rFonts w:hint="eastAsia" w:ascii="宋体" w:hAnsi="宋体" w:eastAsia="宋体" w:cs="宋体"/>
          <w:i w:val="0"/>
          <w:iCs w:val="0"/>
          <w:color w:val="auto"/>
          <w:sz w:val="21"/>
          <w:szCs w:val="21"/>
          <w:highlight w:val="none"/>
          <w:u w:val="single"/>
        </w:rPr>
        <w:t>日</w:t>
      </w:r>
      <w:r>
        <w:rPr>
          <w:rFonts w:hint="eastAsia" w:ascii="宋体" w:hAnsi="宋体" w:eastAsia="宋体" w:cs="宋体"/>
          <w:i w:val="0"/>
          <w:iCs w:val="0"/>
          <w:color w:val="auto"/>
          <w:sz w:val="21"/>
          <w:szCs w:val="21"/>
          <w:highlight w:val="none"/>
        </w:rPr>
        <w:t>至</w:t>
      </w:r>
      <w:r>
        <w:rPr>
          <w:rFonts w:hint="eastAsia" w:ascii="宋体" w:hAnsi="宋体" w:eastAsia="宋体" w:cs="宋体"/>
          <w:i w:val="0"/>
          <w:iCs w:val="0"/>
          <w:color w:val="auto"/>
          <w:sz w:val="21"/>
          <w:szCs w:val="21"/>
          <w:highlight w:val="none"/>
          <w:u w:val="single"/>
        </w:rPr>
        <w:t>20</w:t>
      </w:r>
      <w:r>
        <w:rPr>
          <w:rFonts w:hint="eastAsia" w:ascii="宋体" w:hAnsi="宋体" w:eastAsia="宋体" w:cs="宋体"/>
          <w:i w:val="0"/>
          <w:iCs w:val="0"/>
          <w:color w:val="auto"/>
          <w:sz w:val="21"/>
          <w:szCs w:val="21"/>
          <w:highlight w:val="none"/>
          <w:u w:val="single"/>
          <w:lang w:val="en-US" w:eastAsia="zh-CN"/>
        </w:rPr>
        <w:t>2</w:t>
      </w:r>
      <w:r>
        <w:rPr>
          <w:rFonts w:hint="eastAsia" w:ascii="宋体" w:hAnsi="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rPr>
        <w:t>年</w:t>
      </w:r>
      <w:r>
        <w:rPr>
          <w:rFonts w:hint="eastAsia" w:ascii="宋体" w:hAnsi="宋体" w:cs="宋体"/>
          <w:i w:val="0"/>
          <w:iCs w:val="0"/>
          <w:color w:val="auto"/>
          <w:sz w:val="21"/>
          <w:szCs w:val="21"/>
          <w:highlight w:val="none"/>
          <w:u w:val="single"/>
          <w:lang w:val="en-US" w:eastAsia="zh-CN"/>
        </w:rPr>
        <w:t>03</w:t>
      </w:r>
      <w:r>
        <w:rPr>
          <w:rFonts w:hint="eastAsia" w:ascii="宋体" w:hAnsi="宋体" w:eastAsia="宋体" w:cs="宋体"/>
          <w:i w:val="0"/>
          <w:iCs w:val="0"/>
          <w:color w:val="auto"/>
          <w:sz w:val="21"/>
          <w:szCs w:val="21"/>
          <w:highlight w:val="none"/>
          <w:u w:val="single"/>
        </w:rPr>
        <w:t>月</w:t>
      </w:r>
      <w:r>
        <w:rPr>
          <w:rFonts w:hint="eastAsia" w:ascii="宋体" w:hAnsi="宋体" w:cs="宋体"/>
          <w:i w:val="0"/>
          <w:iCs w:val="0"/>
          <w:color w:val="auto"/>
          <w:sz w:val="21"/>
          <w:szCs w:val="21"/>
          <w:highlight w:val="none"/>
          <w:u w:val="single"/>
          <w:lang w:val="en-US" w:eastAsia="zh-CN"/>
        </w:rPr>
        <w:t>03</w:t>
      </w:r>
      <w:r>
        <w:rPr>
          <w:rFonts w:hint="eastAsia" w:ascii="宋体" w:hAnsi="宋体" w:eastAsia="宋体" w:cs="宋体"/>
          <w:i w:val="0"/>
          <w:iCs w:val="0"/>
          <w:color w:val="auto"/>
          <w:sz w:val="21"/>
          <w:szCs w:val="21"/>
          <w:highlight w:val="none"/>
          <w:u w:val="single"/>
        </w:rPr>
        <w:t>日</w:t>
      </w:r>
      <w:r>
        <w:rPr>
          <w:rFonts w:hint="eastAsia" w:ascii="宋体" w:hAnsi="宋体" w:eastAsia="宋体" w:cs="宋体"/>
          <w:i w:val="0"/>
          <w:iCs w:val="0"/>
          <w:color w:val="auto"/>
          <w:sz w:val="21"/>
          <w:szCs w:val="21"/>
          <w:highlight w:val="none"/>
        </w:rPr>
        <w:t>，每天上午</w:t>
      </w:r>
      <w:r>
        <w:rPr>
          <w:rFonts w:hint="eastAsia" w:ascii="宋体" w:hAnsi="宋体" w:eastAsia="宋体" w:cs="宋体"/>
          <w:i w:val="0"/>
          <w:iCs w:val="0"/>
          <w:color w:val="auto"/>
          <w:sz w:val="21"/>
          <w:szCs w:val="21"/>
          <w:highlight w:val="none"/>
          <w:u w:val="single"/>
        </w:rPr>
        <w:t>00:00</w:t>
      </w:r>
      <w:r>
        <w:rPr>
          <w:rFonts w:hint="eastAsia" w:ascii="宋体" w:hAnsi="宋体" w:eastAsia="宋体" w:cs="宋体"/>
          <w:i w:val="0"/>
          <w:iCs w:val="0"/>
          <w:color w:val="auto"/>
          <w:sz w:val="21"/>
          <w:szCs w:val="21"/>
          <w:highlight w:val="none"/>
        </w:rPr>
        <w:t>至</w:t>
      </w:r>
      <w:r>
        <w:rPr>
          <w:rFonts w:hint="eastAsia" w:ascii="宋体" w:hAnsi="宋体" w:eastAsia="宋体" w:cs="宋体"/>
          <w:i w:val="0"/>
          <w:iCs w:val="0"/>
          <w:color w:val="auto"/>
          <w:sz w:val="21"/>
          <w:szCs w:val="21"/>
          <w:highlight w:val="none"/>
          <w:u w:val="single"/>
        </w:rPr>
        <w:t>12:00</w:t>
      </w:r>
      <w:r>
        <w:rPr>
          <w:rFonts w:hint="eastAsia" w:ascii="宋体" w:hAnsi="宋体" w:eastAsia="宋体" w:cs="宋体"/>
          <w:i w:val="0"/>
          <w:iCs w:val="0"/>
          <w:color w:val="auto"/>
          <w:sz w:val="21"/>
          <w:szCs w:val="21"/>
          <w:highlight w:val="none"/>
        </w:rPr>
        <w:t>，下午</w:t>
      </w:r>
      <w:r>
        <w:rPr>
          <w:rFonts w:hint="eastAsia" w:ascii="宋体" w:hAnsi="宋体" w:eastAsia="宋体" w:cs="宋体"/>
          <w:i w:val="0"/>
          <w:iCs w:val="0"/>
          <w:color w:val="auto"/>
          <w:sz w:val="21"/>
          <w:szCs w:val="21"/>
          <w:highlight w:val="none"/>
          <w:u w:val="single"/>
        </w:rPr>
        <w:t>12:00</w:t>
      </w:r>
      <w:r>
        <w:rPr>
          <w:rFonts w:hint="eastAsia" w:ascii="宋体" w:hAnsi="宋体" w:eastAsia="宋体" w:cs="宋体"/>
          <w:i w:val="0"/>
          <w:iCs w:val="0"/>
          <w:color w:val="auto"/>
          <w:sz w:val="21"/>
          <w:szCs w:val="21"/>
          <w:highlight w:val="none"/>
          <w:u w:val="none"/>
        </w:rPr>
        <w:t>至</w:t>
      </w:r>
      <w:r>
        <w:rPr>
          <w:rFonts w:hint="eastAsia" w:ascii="宋体" w:hAnsi="宋体" w:eastAsia="宋体" w:cs="宋体"/>
          <w:i w:val="0"/>
          <w:iCs w:val="0"/>
          <w:color w:val="auto"/>
          <w:sz w:val="21"/>
          <w:szCs w:val="21"/>
          <w:highlight w:val="none"/>
          <w:u w:val="single"/>
        </w:rPr>
        <w:t>23:59</w:t>
      </w:r>
      <w:r>
        <w:rPr>
          <w:rFonts w:hint="eastAsia" w:ascii="宋体" w:hAnsi="宋体" w:eastAsia="宋体" w:cs="宋体"/>
          <w:i w:val="0"/>
          <w:iCs w:val="0"/>
          <w:color w:val="auto"/>
          <w:sz w:val="21"/>
          <w:szCs w:val="21"/>
          <w:highlight w:val="none"/>
        </w:rPr>
        <w:t>（北京时间，线上获取法定节假日均可，线下获取文件法定节假日除外）</w:t>
      </w:r>
      <w:r>
        <w:rPr>
          <w:rFonts w:hint="eastAsia" w:ascii="宋体" w:hAnsi="宋体" w:eastAsia="宋体" w:cs="宋体"/>
          <w:i w:val="0"/>
          <w:iCs w:val="0"/>
          <w:color w:val="auto"/>
          <w:sz w:val="21"/>
          <w:szCs w:val="21"/>
          <w:highlight w:val="none"/>
          <w:lang w:eastAsia="zh-CN"/>
        </w:rPr>
        <w:t>。</w:t>
      </w:r>
    </w:p>
    <w:p>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lang w:val="en-US" w:eastAsia="zh-CN"/>
        </w:rPr>
        <w:t>2.地点（网址）</w:t>
      </w:r>
      <w:r>
        <w:rPr>
          <w:rFonts w:hint="eastAsia" w:ascii="宋体" w:hAnsi="宋体" w:eastAsia="宋体" w:cs="宋体"/>
          <w:i w:val="0"/>
          <w:iCs w:val="0"/>
          <w:color w:val="auto"/>
          <w:sz w:val="21"/>
          <w:szCs w:val="21"/>
          <w:highlight w:val="none"/>
        </w:rPr>
        <w:t>：政府采购云平台（www.zcygov.cn）。</w:t>
      </w:r>
    </w:p>
    <w:p>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方式：供应商注册后直接</w:t>
      </w:r>
      <w:r>
        <w:rPr>
          <w:rFonts w:hint="eastAsia" w:ascii="宋体" w:hAnsi="宋体" w:eastAsia="宋体" w:cs="宋体"/>
          <w:i w:val="0"/>
          <w:iCs w:val="0"/>
          <w:color w:val="auto"/>
          <w:sz w:val="21"/>
          <w:szCs w:val="21"/>
          <w:highlight w:val="none"/>
          <w:lang w:eastAsia="zh-CN"/>
        </w:rPr>
        <w:t>登录</w:t>
      </w:r>
      <w:r>
        <w:rPr>
          <w:rFonts w:hint="eastAsia" w:ascii="宋体" w:hAnsi="宋体" w:eastAsia="宋体" w:cs="宋体"/>
          <w:i w:val="0"/>
          <w:iCs w:val="0"/>
          <w:color w:val="auto"/>
          <w:sz w:val="21"/>
          <w:szCs w:val="21"/>
          <w:highlight w:val="none"/>
        </w:rPr>
        <w:t>“政府采购云平台”（www.zcygov.cn）下载电子招标文件。供应商未在规定时间内或未按上述方式获取招标文件的，其投标无效。</w:t>
      </w:r>
    </w:p>
    <w:p>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售价</w:t>
      </w:r>
      <w:r>
        <w:rPr>
          <w:rFonts w:hint="eastAsia" w:ascii="宋体" w:hAnsi="宋体" w:eastAsia="宋体" w:cs="宋体"/>
          <w:i w:val="0"/>
          <w:iCs w:val="0"/>
          <w:color w:val="auto"/>
          <w:sz w:val="21"/>
          <w:szCs w:val="21"/>
          <w:highlight w:val="none"/>
          <w:lang w:eastAsia="zh-CN"/>
        </w:rPr>
        <w:t>（元）</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0</w:t>
      </w:r>
    </w:p>
    <w:p>
      <w:pPr>
        <w:pStyle w:val="4"/>
        <w:pageBreakBefore w:val="0"/>
        <w:kinsoku/>
        <w:wordWrap/>
        <w:overflowPunct/>
        <w:topLinePunct w:val="0"/>
        <w:autoSpaceDE/>
        <w:autoSpaceDN/>
        <w:bidi w:val="0"/>
        <w:adjustRightInd/>
        <w:snapToGrid/>
        <w:spacing w:before="0" w:beforeLines="0" w:after="0" w:afterLines="0" w:line="360" w:lineRule="auto"/>
        <w:ind w:left="452" w:leftChars="100" w:hanging="242" w:hangingChars="115"/>
        <w:textAlignment w:val="auto"/>
        <w:rPr>
          <w:rFonts w:hint="eastAsia" w:ascii="宋体" w:hAnsi="宋体" w:eastAsia="宋体" w:cs="宋体"/>
          <w:b/>
          <w:bCs w:val="0"/>
          <w:i w:val="0"/>
          <w:iCs w:val="0"/>
          <w:color w:val="auto"/>
          <w:sz w:val="21"/>
          <w:szCs w:val="21"/>
          <w:highlight w:val="none"/>
        </w:rPr>
      </w:pPr>
      <w:bookmarkStart w:id="14" w:name="_Toc28359005"/>
      <w:bookmarkStart w:id="15" w:name="_Toc28359082"/>
      <w:bookmarkStart w:id="16" w:name="_Toc35393793"/>
      <w:bookmarkStart w:id="17" w:name="_Toc35393624"/>
      <w:r>
        <w:rPr>
          <w:rFonts w:hint="eastAsia" w:ascii="宋体" w:hAnsi="宋体" w:eastAsia="宋体" w:cs="宋体"/>
          <w:b/>
          <w:bCs w:val="0"/>
          <w:i w:val="0"/>
          <w:iCs w:val="0"/>
          <w:color w:val="auto"/>
          <w:sz w:val="21"/>
          <w:szCs w:val="21"/>
          <w:highlight w:val="none"/>
        </w:rPr>
        <w:t>四、提交投标文件</w:t>
      </w:r>
      <w:bookmarkEnd w:id="14"/>
      <w:bookmarkEnd w:id="15"/>
      <w:r>
        <w:rPr>
          <w:rFonts w:hint="eastAsia" w:ascii="宋体" w:hAnsi="宋体" w:eastAsia="宋体" w:cs="宋体"/>
          <w:b/>
          <w:bCs w:val="0"/>
          <w:i w:val="0"/>
          <w:iCs w:val="0"/>
          <w:color w:val="auto"/>
          <w:sz w:val="21"/>
          <w:szCs w:val="21"/>
          <w:highlight w:val="none"/>
        </w:rPr>
        <w:t>截止时间、开标时间和地点</w:t>
      </w:r>
      <w:bookmarkEnd w:id="16"/>
      <w:bookmarkEnd w:id="17"/>
    </w:p>
    <w:p>
      <w:pPr>
        <w:pageBreakBefore w:val="0"/>
        <w:kinsoku/>
        <w:wordWrap/>
        <w:overflowPunct/>
        <w:topLinePunct w:val="0"/>
        <w:autoSpaceDE/>
        <w:autoSpaceDN/>
        <w:bidi w:val="0"/>
        <w:adjustRightInd/>
        <w:snapToGrid/>
        <w:spacing w:line="336" w:lineRule="auto"/>
        <w:ind w:left="0" w:leftChars="0" w:firstLine="54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提交投标文件截止时间：20</w:t>
      </w:r>
      <w:r>
        <w:rPr>
          <w:rFonts w:hint="eastAsia" w:ascii="宋体" w:hAnsi="宋体" w:eastAsia="宋体" w:cs="宋体"/>
          <w:i w:val="0"/>
          <w:iCs w:val="0"/>
          <w:color w:val="auto"/>
          <w:sz w:val="21"/>
          <w:szCs w:val="21"/>
          <w:highlight w:val="none"/>
          <w:lang w:val="en-US" w:eastAsia="zh-CN"/>
        </w:rPr>
        <w:t>2</w:t>
      </w:r>
      <w:r>
        <w:rPr>
          <w:rFonts w:hint="eastAsia" w:ascii="宋体" w:hAnsi="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w:t>
      </w:r>
      <w:r>
        <w:rPr>
          <w:rFonts w:hint="eastAsia" w:ascii="宋体" w:hAnsi="宋体" w:cs="宋体"/>
          <w:i w:val="0"/>
          <w:iCs w:val="0"/>
          <w:color w:val="auto"/>
          <w:sz w:val="21"/>
          <w:szCs w:val="21"/>
          <w:highlight w:val="none"/>
          <w:lang w:val="en-US" w:eastAsia="zh-CN"/>
        </w:rPr>
        <w:t>03</w:t>
      </w:r>
      <w:r>
        <w:rPr>
          <w:rFonts w:hint="eastAsia" w:ascii="宋体" w:hAnsi="宋体" w:eastAsia="宋体" w:cs="宋体"/>
          <w:i w:val="0"/>
          <w:iCs w:val="0"/>
          <w:color w:val="auto"/>
          <w:sz w:val="21"/>
          <w:szCs w:val="21"/>
          <w:highlight w:val="none"/>
        </w:rPr>
        <w:t>月</w:t>
      </w:r>
      <w:r>
        <w:rPr>
          <w:rFonts w:hint="eastAsia" w:ascii="宋体" w:hAnsi="宋体" w:cs="宋体"/>
          <w:i w:val="0"/>
          <w:iCs w:val="0"/>
          <w:color w:val="auto"/>
          <w:sz w:val="21"/>
          <w:szCs w:val="21"/>
          <w:highlight w:val="none"/>
          <w:lang w:val="en-US" w:eastAsia="zh-CN"/>
        </w:rPr>
        <w:t>17</w:t>
      </w:r>
      <w:r>
        <w:rPr>
          <w:rFonts w:hint="eastAsia" w:ascii="宋体" w:hAnsi="宋体" w:eastAsia="宋体" w:cs="宋体"/>
          <w:i w:val="0"/>
          <w:iCs w:val="0"/>
          <w:color w:val="auto"/>
          <w:sz w:val="21"/>
          <w:szCs w:val="21"/>
          <w:highlight w:val="none"/>
        </w:rPr>
        <w:t>日</w:t>
      </w:r>
      <w:r>
        <w:rPr>
          <w:rFonts w:hint="eastAsia" w:ascii="宋体" w:hAnsi="宋体" w:cs="宋体"/>
          <w:i w:val="0"/>
          <w:iCs w:val="0"/>
          <w:color w:val="auto"/>
          <w:sz w:val="21"/>
          <w:szCs w:val="21"/>
          <w:highlight w:val="none"/>
          <w:lang w:val="en-US" w:eastAsia="zh-CN"/>
        </w:rPr>
        <w:t>13:30</w:t>
      </w:r>
      <w:r>
        <w:rPr>
          <w:rFonts w:hint="eastAsia" w:ascii="宋体" w:hAnsi="宋体" w:eastAsia="宋体" w:cs="宋体"/>
          <w:i w:val="0"/>
          <w:iCs w:val="0"/>
          <w:color w:val="auto"/>
          <w:sz w:val="21"/>
          <w:szCs w:val="21"/>
          <w:highlight w:val="none"/>
          <w:lang w:val="en-US" w:eastAsia="zh-CN"/>
        </w:rPr>
        <w:t>时（</w:t>
      </w:r>
      <w:r>
        <w:rPr>
          <w:rFonts w:hint="eastAsia" w:ascii="宋体" w:hAnsi="宋体" w:eastAsia="宋体" w:cs="宋体"/>
          <w:i w:val="0"/>
          <w:iCs w:val="0"/>
          <w:color w:val="auto"/>
          <w:sz w:val="21"/>
          <w:szCs w:val="21"/>
          <w:highlight w:val="none"/>
        </w:rPr>
        <w:t>北京时间）</w:t>
      </w:r>
      <w:r>
        <w:rPr>
          <w:rFonts w:hint="eastAsia" w:ascii="宋体" w:hAnsi="宋体" w:eastAsia="宋体" w:cs="宋体"/>
          <w:i w:val="0"/>
          <w:iCs w:val="0"/>
          <w:color w:val="auto"/>
          <w:sz w:val="21"/>
          <w:szCs w:val="21"/>
          <w:highlight w:val="none"/>
          <w:lang w:eastAsia="zh-CN"/>
        </w:rPr>
        <w:t>。</w:t>
      </w:r>
    </w:p>
    <w:p>
      <w:pPr>
        <w:pageBreakBefore w:val="0"/>
        <w:kinsoku/>
        <w:wordWrap/>
        <w:overflowPunct/>
        <w:topLinePunct w:val="0"/>
        <w:autoSpaceDE/>
        <w:autoSpaceDN/>
        <w:bidi w:val="0"/>
        <w:adjustRightInd/>
        <w:snapToGrid/>
        <w:spacing w:line="336" w:lineRule="auto"/>
        <w:ind w:left="0" w:leftChars="0" w:firstLine="54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2.投标地点（网址）：</w:t>
      </w:r>
      <w:r>
        <w:rPr>
          <w:rFonts w:hint="eastAsia" w:ascii="宋体" w:hAnsi="宋体" w:eastAsia="宋体" w:cs="宋体"/>
          <w:color w:val="auto"/>
          <w:szCs w:val="21"/>
          <w:highlight w:val="none"/>
          <w:u w:val="single"/>
          <w:lang w:eastAsia="zh-CN"/>
        </w:rPr>
        <w:t>政府采购云平台（www.zcygov.cn）</w:t>
      </w:r>
      <w:r>
        <w:rPr>
          <w:rFonts w:hint="eastAsia" w:ascii="宋体" w:hAnsi="宋体" w:eastAsia="宋体" w:cs="宋体"/>
          <w:i w:val="0"/>
          <w:iCs w:val="0"/>
          <w:color w:val="auto"/>
          <w:sz w:val="21"/>
          <w:szCs w:val="21"/>
          <w:highlight w:val="none"/>
          <w:lang w:eastAsia="zh-CN"/>
        </w:rPr>
        <w:t>。</w:t>
      </w:r>
    </w:p>
    <w:p>
      <w:pPr>
        <w:pageBreakBefore w:val="0"/>
        <w:kinsoku/>
        <w:wordWrap/>
        <w:overflowPunct/>
        <w:topLinePunct w:val="0"/>
        <w:autoSpaceDE/>
        <w:autoSpaceDN/>
        <w:bidi w:val="0"/>
        <w:adjustRightInd/>
        <w:snapToGrid/>
        <w:spacing w:line="336" w:lineRule="auto"/>
        <w:ind w:left="0" w:leftChars="0" w:firstLine="54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3.开标时间：</w:t>
      </w:r>
      <w:r>
        <w:rPr>
          <w:rFonts w:hint="eastAsia" w:ascii="宋体" w:hAnsi="宋体" w:eastAsia="宋体" w:cs="宋体"/>
          <w:i w:val="0"/>
          <w:iCs w:val="0"/>
          <w:color w:val="auto"/>
          <w:sz w:val="21"/>
          <w:szCs w:val="21"/>
          <w:highlight w:val="none"/>
        </w:rPr>
        <w:t>20</w:t>
      </w:r>
      <w:r>
        <w:rPr>
          <w:rFonts w:hint="eastAsia" w:ascii="宋体" w:hAnsi="宋体" w:eastAsia="宋体" w:cs="宋体"/>
          <w:i w:val="0"/>
          <w:iCs w:val="0"/>
          <w:color w:val="auto"/>
          <w:sz w:val="21"/>
          <w:szCs w:val="21"/>
          <w:highlight w:val="none"/>
          <w:lang w:val="en-US" w:eastAsia="zh-CN"/>
        </w:rPr>
        <w:t>2</w:t>
      </w:r>
      <w:r>
        <w:rPr>
          <w:rFonts w:hint="eastAsia" w:ascii="宋体" w:hAnsi="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w:t>
      </w:r>
      <w:r>
        <w:rPr>
          <w:rFonts w:hint="eastAsia" w:ascii="宋体" w:hAnsi="宋体" w:cs="宋体"/>
          <w:i w:val="0"/>
          <w:iCs w:val="0"/>
          <w:color w:val="auto"/>
          <w:sz w:val="21"/>
          <w:szCs w:val="21"/>
          <w:highlight w:val="none"/>
          <w:lang w:val="en-US" w:eastAsia="zh-CN"/>
        </w:rPr>
        <w:t>03</w:t>
      </w:r>
      <w:r>
        <w:rPr>
          <w:rFonts w:hint="eastAsia" w:ascii="宋体" w:hAnsi="宋体" w:eastAsia="宋体" w:cs="宋体"/>
          <w:i w:val="0"/>
          <w:iCs w:val="0"/>
          <w:color w:val="auto"/>
          <w:sz w:val="21"/>
          <w:szCs w:val="21"/>
          <w:highlight w:val="none"/>
        </w:rPr>
        <w:t>月</w:t>
      </w:r>
      <w:r>
        <w:rPr>
          <w:rFonts w:hint="eastAsia" w:ascii="宋体" w:hAnsi="宋体" w:cs="宋体"/>
          <w:i w:val="0"/>
          <w:iCs w:val="0"/>
          <w:color w:val="auto"/>
          <w:sz w:val="21"/>
          <w:szCs w:val="21"/>
          <w:highlight w:val="none"/>
          <w:lang w:val="en-US" w:eastAsia="zh-CN"/>
        </w:rPr>
        <w:t>17</w:t>
      </w:r>
      <w:r>
        <w:rPr>
          <w:rFonts w:hint="eastAsia" w:ascii="宋体" w:hAnsi="宋体" w:eastAsia="宋体" w:cs="宋体"/>
          <w:i w:val="0"/>
          <w:iCs w:val="0"/>
          <w:color w:val="auto"/>
          <w:sz w:val="21"/>
          <w:szCs w:val="21"/>
          <w:highlight w:val="none"/>
        </w:rPr>
        <w:t>日</w:t>
      </w:r>
      <w:r>
        <w:rPr>
          <w:rFonts w:hint="eastAsia" w:ascii="宋体" w:hAnsi="宋体" w:cs="宋体"/>
          <w:i w:val="0"/>
          <w:iCs w:val="0"/>
          <w:color w:val="auto"/>
          <w:sz w:val="21"/>
          <w:szCs w:val="21"/>
          <w:highlight w:val="none"/>
          <w:lang w:val="en-US" w:eastAsia="zh-CN"/>
        </w:rPr>
        <w:t>13:30</w:t>
      </w:r>
      <w:r>
        <w:rPr>
          <w:rFonts w:hint="eastAsia" w:ascii="宋体" w:hAnsi="宋体" w:eastAsia="宋体" w:cs="宋体"/>
          <w:i w:val="0"/>
          <w:iCs w:val="0"/>
          <w:color w:val="auto"/>
          <w:sz w:val="21"/>
          <w:szCs w:val="21"/>
          <w:highlight w:val="none"/>
          <w:lang w:val="en-US" w:eastAsia="zh-CN"/>
        </w:rPr>
        <w:t>时（</w:t>
      </w:r>
      <w:r>
        <w:rPr>
          <w:rFonts w:hint="eastAsia" w:ascii="宋体" w:hAnsi="宋体" w:eastAsia="宋体" w:cs="宋体"/>
          <w:i w:val="0"/>
          <w:iCs w:val="0"/>
          <w:color w:val="auto"/>
          <w:sz w:val="21"/>
          <w:szCs w:val="21"/>
          <w:highlight w:val="none"/>
        </w:rPr>
        <w:t>北京时间）</w:t>
      </w:r>
      <w:r>
        <w:rPr>
          <w:rFonts w:hint="eastAsia" w:ascii="宋体" w:hAnsi="宋体" w:eastAsia="宋体" w:cs="宋体"/>
          <w:i w:val="0"/>
          <w:iCs w:val="0"/>
          <w:color w:val="auto"/>
          <w:sz w:val="21"/>
          <w:szCs w:val="21"/>
          <w:highlight w:val="none"/>
          <w:lang w:eastAsia="zh-CN"/>
        </w:rPr>
        <w:t>。</w:t>
      </w:r>
    </w:p>
    <w:p>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4.开标地点（网址）：</w:t>
      </w:r>
      <w:r>
        <w:rPr>
          <w:rFonts w:hint="eastAsia" w:ascii="宋体" w:hAnsi="宋体" w:eastAsia="宋体" w:cs="宋体"/>
          <w:color w:val="auto"/>
          <w:szCs w:val="21"/>
          <w:highlight w:val="none"/>
          <w:u w:val="single"/>
          <w:lang w:eastAsia="zh-CN"/>
        </w:rPr>
        <w:t>政府采购云平台（www.zcygov.cn）</w:t>
      </w:r>
      <w:r>
        <w:rPr>
          <w:rFonts w:hint="eastAsia" w:ascii="宋体" w:hAnsi="宋体" w:eastAsia="宋体" w:cs="宋体"/>
          <w:i w:val="0"/>
          <w:iCs w:val="0"/>
          <w:color w:val="auto"/>
          <w:sz w:val="21"/>
          <w:szCs w:val="21"/>
          <w:highlight w:val="none"/>
          <w:lang w:eastAsia="zh-CN"/>
        </w:rPr>
        <w:t>。</w:t>
      </w:r>
    </w:p>
    <w:p>
      <w:pPr>
        <w:pStyle w:val="4"/>
        <w:pageBreakBefore w:val="0"/>
        <w:kinsoku/>
        <w:wordWrap/>
        <w:overflowPunct/>
        <w:topLinePunct w:val="0"/>
        <w:autoSpaceDE/>
        <w:autoSpaceDN/>
        <w:bidi w:val="0"/>
        <w:adjustRightInd/>
        <w:snapToGrid/>
        <w:spacing w:before="0" w:beforeLines="0" w:after="0" w:afterLines="0" w:line="360" w:lineRule="auto"/>
        <w:ind w:left="452" w:leftChars="100" w:hanging="242" w:hangingChars="115"/>
        <w:textAlignment w:val="auto"/>
        <w:rPr>
          <w:rFonts w:hint="eastAsia" w:ascii="宋体" w:hAnsi="宋体" w:eastAsia="宋体" w:cs="宋体"/>
          <w:b/>
          <w:bCs w:val="0"/>
          <w:i w:val="0"/>
          <w:iCs w:val="0"/>
          <w:color w:val="auto"/>
          <w:sz w:val="21"/>
          <w:szCs w:val="21"/>
          <w:highlight w:val="none"/>
        </w:rPr>
      </w:pPr>
      <w:bookmarkStart w:id="18" w:name="_Toc35393794"/>
      <w:bookmarkStart w:id="19" w:name="_Toc35393625"/>
      <w:bookmarkStart w:id="20" w:name="_Toc28359007"/>
      <w:bookmarkStart w:id="21" w:name="_Toc28359084"/>
      <w:r>
        <w:rPr>
          <w:rFonts w:hint="eastAsia" w:ascii="宋体" w:hAnsi="宋体" w:eastAsia="宋体" w:cs="宋体"/>
          <w:b/>
          <w:bCs w:val="0"/>
          <w:i w:val="0"/>
          <w:iCs w:val="0"/>
          <w:color w:val="auto"/>
          <w:sz w:val="21"/>
          <w:szCs w:val="21"/>
          <w:highlight w:val="none"/>
        </w:rPr>
        <w:t>五、公告期限</w:t>
      </w:r>
      <w:bookmarkEnd w:id="18"/>
      <w:bookmarkEnd w:id="19"/>
      <w:bookmarkEnd w:id="20"/>
      <w:bookmarkEnd w:id="21"/>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自本公告发布之日起5个工作日。</w:t>
      </w:r>
    </w:p>
    <w:p>
      <w:pPr>
        <w:pStyle w:val="4"/>
        <w:pageBreakBefore w:val="0"/>
        <w:kinsoku/>
        <w:wordWrap/>
        <w:overflowPunct/>
        <w:topLinePunct w:val="0"/>
        <w:autoSpaceDE/>
        <w:autoSpaceDN/>
        <w:bidi w:val="0"/>
        <w:adjustRightInd/>
        <w:snapToGrid/>
        <w:spacing w:before="0" w:beforeLines="0" w:after="0" w:afterLines="0" w:line="360" w:lineRule="auto"/>
        <w:ind w:left="452" w:leftChars="100" w:hanging="242" w:hangingChars="115"/>
        <w:textAlignment w:val="auto"/>
        <w:rPr>
          <w:rFonts w:hint="eastAsia" w:ascii="宋体" w:hAnsi="宋体" w:eastAsia="宋体" w:cs="宋体"/>
          <w:b/>
          <w:bCs w:val="0"/>
          <w:i w:val="0"/>
          <w:iCs w:val="0"/>
          <w:color w:val="auto"/>
          <w:sz w:val="21"/>
          <w:szCs w:val="21"/>
          <w:highlight w:val="none"/>
          <w:lang w:eastAsia="zh-CN"/>
        </w:rPr>
      </w:pPr>
      <w:bookmarkStart w:id="22" w:name="_Toc35393795"/>
      <w:bookmarkStart w:id="23" w:name="_Toc35393626"/>
      <w:r>
        <w:rPr>
          <w:rFonts w:hint="eastAsia" w:ascii="宋体" w:hAnsi="宋体" w:eastAsia="宋体" w:cs="宋体"/>
          <w:b/>
          <w:bCs w:val="0"/>
          <w:i w:val="0"/>
          <w:iCs w:val="0"/>
          <w:color w:val="auto"/>
          <w:sz w:val="21"/>
          <w:szCs w:val="21"/>
          <w:highlight w:val="none"/>
        </w:rPr>
        <w:t>六、其他补充事宜</w:t>
      </w:r>
      <w:bookmarkEnd w:id="22"/>
      <w:bookmarkEnd w:id="23"/>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lang w:eastAsia="zh-CN"/>
        </w:rPr>
        <w:t>2.其他事项：</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lang w:val="en-US" w:eastAsia="zh-CN"/>
        </w:rPr>
        <w:t>2.1</w:t>
      </w:r>
      <w:r>
        <w:rPr>
          <w:rFonts w:hint="eastAsia" w:ascii="宋体" w:hAnsi="宋体" w:eastAsia="宋体" w:cs="宋体"/>
          <w:i w:val="0"/>
          <w:iCs w:val="0"/>
          <w:color w:val="auto"/>
          <w:kern w:val="0"/>
          <w:sz w:val="21"/>
          <w:szCs w:val="21"/>
          <w:highlight w:val="none"/>
          <w:lang w:eastAsia="zh-CN"/>
        </w:rPr>
        <w:t>落实的政策：</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lang w:val="en-US" w:eastAsia="zh-CN"/>
        </w:rPr>
        <w:t>2.1.1</w:t>
      </w:r>
      <w:r>
        <w:rPr>
          <w:rFonts w:hint="eastAsia" w:ascii="宋体" w:hAnsi="宋体" w:eastAsia="宋体" w:cs="宋体"/>
          <w:i w:val="0"/>
          <w:iCs w:val="0"/>
          <w:color w:val="auto"/>
          <w:kern w:val="0"/>
          <w:sz w:val="21"/>
          <w:szCs w:val="21"/>
          <w:highlight w:val="none"/>
          <w:lang w:eastAsia="zh-CN"/>
        </w:rPr>
        <w:t>对小微企业的产品给予价格优惠（监狱企业、残疾人福利性单位视同小微企业；残疾人福利性单位属于小型、微型企业的，不重复享受政策）；</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2.1.2扶持不发达地区和少数民族地区；</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cs="宋体"/>
          <w:i w:val="0"/>
          <w:iCs w:val="0"/>
          <w:color w:val="auto"/>
          <w:kern w:val="0"/>
          <w:sz w:val="21"/>
          <w:szCs w:val="21"/>
          <w:highlight w:val="none"/>
          <w:lang w:val="en-US" w:eastAsia="zh-CN"/>
        </w:rPr>
        <w:t>2.2</w:t>
      </w:r>
      <w:r>
        <w:rPr>
          <w:rFonts w:hint="eastAsia" w:ascii="宋体" w:hAnsi="宋体" w:cs="宋体"/>
          <w:i w:val="0"/>
          <w:iCs w:val="0"/>
          <w:color w:val="auto"/>
          <w:kern w:val="0"/>
          <w:sz w:val="21"/>
          <w:szCs w:val="21"/>
          <w:highlight w:val="none"/>
          <w:lang w:eastAsia="zh-CN"/>
        </w:rPr>
        <w:t>供应商需按照《浙江省政府采购供应商注册及诚信管理暂行办法》的规定在“浙江政府采购网”政采云平台注册登记的，成为浙江省政府采购注册供应商。如未注册的供应商，请注意注册所需时间。</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lang w:val="en-US" w:eastAsia="zh-CN"/>
        </w:rPr>
        <w:t>2.3</w:t>
      </w:r>
      <w:r>
        <w:rPr>
          <w:rFonts w:hint="eastAsia" w:ascii="宋体" w:hAnsi="宋体" w:eastAsia="宋体" w:cs="宋体"/>
          <w:i w:val="0"/>
          <w:iCs w:val="0"/>
          <w:color w:val="auto"/>
          <w:kern w:val="0"/>
          <w:sz w:val="21"/>
          <w:szCs w:val="21"/>
          <w:highlight w:val="none"/>
          <w:lang w:eastAsia="zh-CN"/>
        </w:rPr>
        <w:t>投标与开标注意事项</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lang w:val="en-US" w:eastAsia="zh-CN"/>
        </w:rPr>
        <w:t>2.3.1</w:t>
      </w:r>
      <w:r>
        <w:rPr>
          <w:rFonts w:hint="eastAsia" w:ascii="宋体" w:hAnsi="宋体" w:eastAsia="宋体" w:cs="宋体"/>
          <w:i w:val="0"/>
          <w:iCs w:val="0"/>
          <w:color w:val="auto"/>
          <w:kern w:val="0"/>
          <w:sz w:val="21"/>
          <w:szCs w:val="21"/>
          <w:highlight w:val="none"/>
        </w:rPr>
        <w:t>本项目实行网上投标，采用电子投标文件。若供应商参与投标，自行承担投标一切费用。</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lang w:val="en-US" w:eastAsia="zh-CN"/>
        </w:rPr>
        <w:t>2.3.2</w:t>
      </w:r>
      <w:r>
        <w:rPr>
          <w:rFonts w:hint="eastAsia" w:ascii="宋体" w:hAnsi="宋体" w:eastAsia="宋体" w:cs="宋体"/>
          <w:i w:val="0"/>
          <w:iCs w:val="0"/>
          <w:color w:val="auto"/>
          <w:kern w:val="0"/>
          <w:sz w:val="21"/>
          <w:szCs w:val="21"/>
          <w:highlight w:val="none"/>
        </w:rPr>
        <w:t>标前准备：各供应商应在开标前确保成为浙江政府采购网正式注册入库供应商，并完成CA数字证书办理。因未注册入库、未办理CA数字证书等原因造成无法投标或投标失败等后果由供应商自行承担。</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lang w:val="en-US" w:eastAsia="zh-CN"/>
        </w:rPr>
        <w:t>2.3.3</w:t>
      </w:r>
      <w:r>
        <w:rPr>
          <w:rFonts w:hint="eastAsia" w:ascii="宋体" w:hAnsi="宋体" w:eastAsia="宋体" w:cs="宋体"/>
          <w:i w:val="0"/>
          <w:iCs w:val="0"/>
          <w:color w:val="auto"/>
          <w:kern w:val="0"/>
          <w:sz w:val="21"/>
          <w:szCs w:val="21"/>
          <w:highlight w:val="none"/>
        </w:rPr>
        <w:t>投标文件制作：</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b w:val="0"/>
          <w:bCs w:val="0"/>
          <w:i w:val="0"/>
          <w:iCs w:val="0"/>
          <w:color w:val="auto"/>
          <w:kern w:val="0"/>
          <w:sz w:val="21"/>
          <w:szCs w:val="21"/>
          <w:highlight w:val="none"/>
        </w:rPr>
      </w:pPr>
      <w:r>
        <w:rPr>
          <w:rFonts w:hint="eastAsia" w:ascii="宋体" w:hAnsi="宋体" w:cs="宋体"/>
          <w:b w:val="0"/>
          <w:bCs w:val="0"/>
          <w:i w:val="0"/>
          <w:iCs w:val="0"/>
          <w:color w:val="auto"/>
          <w:kern w:val="0"/>
          <w:sz w:val="21"/>
          <w:szCs w:val="21"/>
          <w:highlight w:val="none"/>
          <w:lang w:val="en-US" w:eastAsia="zh-CN"/>
        </w:rPr>
        <w:t>2.3.3.1</w:t>
      </w:r>
      <w:r>
        <w:rPr>
          <w:rFonts w:hint="eastAsia" w:ascii="宋体" w:hAnsi="宋体" w:eastAsia="宋体" w:cs="宋体"/>
          <w:b w:val="0"/>
          <w:bCs w:val="0"/>
          <w:i w:val="0"/>
          <w:iCs w:val="0"/>
          <w:color w:val="auto"/>
          <w:kern w:val="0"/>
          <w:sz w:val="21"/>
          <w:szCs w:val="21"/>
          <w:highlight w:val="none"/>
        </w:rPr>
        <w:t>应按照本项目招标文件和政府采购云平台的要求编制、加密并递交投标文件。供应商在使用系统进行投标的过程中遇到涉及平台使用的任何问题，可致电政府采购云平台技术支持热线咨询，联系方式：400</w:t>
      </w:r>
      <w:r>
        <w:rPr>
          <w:rFonts w:hint="eastAsia" w:ascii="宋体" w:hAnsi="宋体" w:eastAsia="宋体" w:cs="宋体"/>
          <w:b w:val="0"/>
          <w:bCs w:val="0"/>
          <w:i w:val="0"/>
          <w:iCs w:val="0"/>
          <w:color w:val="auto"/>
          <w:kern w:val="0"/>
          <w:sz w:val="21"/>
          <w:szCs w:val="21"/>
          <w:highlight w:val="none"/>
          <w:lang w:val="en-US" w:eastAsia="zh-CN"/>
        </w:rPr>
        <w:t>-</w:t>
      </w:r>
      <w:r>
        <w:rPr>
          <w:rFonts w:hint="eastAsia" w:ascii="宋体" w:hAnsi="宋体" w:eastAsia="宋体" w:cs="宋体"/>
          <w:b w:val="0"/>
          <w:bCs w:val="0"/>
          <w:i w:val="0"/>
          <w:iCs w:val="0"/>
          <w:color w:val="auto"/>
          <w:kern w:val="0"/>
          <w:sz w:val="21"/>
          <w:szCs w:val="21"/>
          <w:highlight w:val="none"/>
        </w:rPr>
        <w:t>8817190。</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cs="宋体"/>
          <w:i w:val="0"/>
          <w:iCs w:val="0"/>
          <w:color w:val="auto"/>
          <w:kern w:val="0"/>
          <w:sz w:val="21"/>
          <w:szCs w:val="21"/>
          <w:highlight w:val="none"/>
          <w:lang w:val="en-US" w:eastAsia="zh-CN"/>
        </w:rPr>
        <w:t>2.3.3.2</w:t>
      </w:r>
      <w:r>
        <w:rPr>
          <w:rFonts w:hint="eastAsia" w:ascii="宋体" w:hAnsi="宋体" w:eastAsia="宋体" w:cs="宋体"/>
          <w:i w:val="0"/>
          <w:iCs w:val="0"/>
          <w:color w:val="auto"/>
          <w:kern w:val="0"/>
          <w:sz w:val="21"/>
          <w:szCs w:val="21"/>
          <w:highlight w:val="none"/>
        </w:rPr>
        <w:t>供应商通过政府采购云平台电子投标工具制作投标文件，电子投标工具请供应商自行前往浙江政府采购网下载并安装，投标文件制作具体流程详见政府采购云平台。</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cs="宋体"/>
          <w:i w:val="0"/>
          <w:iCs w:val="0"/>
          <w:color w:val="auto"/>
          <w:kern w:val="0"/>
          <w:sz w:val="21"/>
          <w:szCs w:val="21"/>
          <w:highlight w:val="none"/>
          <w:lang w:val="en-US" w:eastAsia="zh-CN"/>
        </w:rPr>
        <w:t>2.3.3.3</w:t>
      </w:r>
      <w:r>
        <w:rPr>
          <w:rFonts w:hint="eastAsia" w:ascii="宋体" w:hAnsi="宋体" w:eastAsia="宋体" w:cs="宋体"/>
          <w:i w:val="0"/>
          <w:iCs w:val="0"/>
          <w:color w:val="auto"/>
          <w:kern w:val="0"/>
          <w:sz w:val="21"/>
          <w:szCs w:val="21"/>
          <w:highlight w:val="none"/>
        </w:rPr>
        <w:t>以U盘存储的电子备份投标文件1份，按政府采购云平台</w:t>
      </w:r>
      <w:r>
        <w:rPr>
          <w:rFonts w:hint="eastAsia" w:ascii="宋体" w:hAnsi="宋体" w:eastAsia="宋体" w:cs="宋体"/>
          <w:i w:val="0"/>
          <w:iCs w:val="0"/>
          <w:color w:val="auto"/>
          <w:kern w:val="0"/>
          <w:sz w:val="21"/>
          <w:szCs w:val="21"/>
          <w:highlight w:val="none"/>
          <w:lang w:val="en-US" w:eastAsia="zh-CN"/>
        </w:rPr>
        <w:t>要求</w:t>
      </w:r>
      <w:r>
        <w:rPr>
          <w:rFonts w:hint="eastAsia" w:ascii="宋体" w:hAnsi="宋体" w:eastAsia="宋体" w:cs="宋体"/>
          <w:i w:val="0"/>
          <w:iCs w:val="0"/>
          <w:color w:val="auto"/>
          <w:sz w:val="21"/>
          <w:szCs w:val="21"/>
          <w:highlight w:val="none"/>
        </w:rPr>
        <w:t>制作的电子备份文件</w:t>
      </w:r>
      <w:r>
        <w:rPr>
          <w:rFonts w:hint="eastAsia" w:ascii="宋体" w:hAnsi="宋体" w:eastAsia="宋体" w:cs="宋体"/>
          <w:i w:val="0"/>
          <w:iCs w:val="0"/>
          <w:color w:val="auto"/>
          <w:kern w:val="0"/>
          <w:sz w:val="21"/>
          <w:szCs w:val="21"/>
          <w:highlight w:val="none"/>
        </w:rPr>
        <w:t>，以用于异常情况处理。</w:t>
      </w:r>
    </w:p>
    <w:p>
      <w:pPr>
        <w:snapToGrid w:val="0"/>
        <w:spacing w:line="360" w:lineRule="auto"/>
        <w:ind w:firstLine="420"/>
        <w:rPr>
          <w:rFonts w:hint="eastAsia" w:ascii="宋体" w:hAnsi="宋体" w:cs="宋体"/>
          <w:bCs/>
          <w:color w:val="auto"/>
          <w:szCs w:val="21"/>
          <w:highlight w:val="none"/>
        </w:rPr>
      </w:pPr>
      <w:r>
        <w:rPr>
          <w:rFonts w:hint="eastAsia" w:ascii="宋体" w:hAnsi="宋体" w:eastAsia="宋体" w:cs="宋体"/>
          <w:i w:val="0"/>
          <w:iCs w:val="0"/>
          <w:color w:val="auto"/>
          <w:kern w:val="0"/>
          <w:sz w:val="21"/>
          <w:szCs w:val="21"/>
          <w:highlight w:val="none"/>
          <w:lang w:val="en-US" w:eastAsia="zh-CN"/>
        </w:rPr>
        <w:t>2.4本招标公告附件中的招标文件仅供阅览使用，供应商应在规定的招标文件获取期限内在政采云平台登录供应商注册的账号后获取招标文件，未按上述方式获取招标文件的，不得对招标文件提起质疑投诉。</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2.5供应商应于投标截止时间前将电子投标文件上传到政府采购云平台www.zcygov.cn，未上传电子投标文件，视为供应商放弃投标。</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2.6供应商如提供备份投标文件的，应于提交投标文件截止时间前，将以U盘存储的电子备份投标文件密封，递交至</w:t>
      </w:r>
      <w:r>
        <w:rPr>
          <w:rFonts w:hint="eastAsia" w:ascii="宋体" w:hAnsi="宋体" w:cs="宋体"/>
          <w:color w:val="auto"/>
          <w:szCs w:val="21"/>
          <w:highlight w:val="none"/>
          <w:u w:val="single"/>
          <w:lang w:eastAsia="zh-CN"/>
        </w:rPr>
        <w:t>宁海县桃源街道气象北路295号环球中心15层15-1</w:t>
      </w:r>
      <w:r>
        <w:rPr>
          <w:rFonts w:hint="eastAsia" w:ascii="宋体" w:hAnsi="宋体" w:eastAsia="宋体" w:cs="宋体"/>
          <w:i w:val="0"/>
          <w:iCs w:val="0"/>
          <w:color w:val="auto"/>
          <w:kern w:val="0"/>
          <w:sz w:val="21"/>
          <w:szCs w:val="21"/>
          <w:highlight w:val="none"/>
          <w:lang w:val="en-US" w:eastAsia="zh-CN"/>
        </w:rPr>
        <w:t>，逾期送达或未密封将予以拒收。供应商仅提供以U盘存储的电子备份投标文件的，投标无效。</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2.7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若供应商在开标时间后30分钟内无法解密或解密失败，可使用备份电子投标文件进行。</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2.8供应商可采用邮寄（含快递）方式或现场方式递交备份投标文件。</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2.8.1采用邮寄方式递交备份投标文件，需按以下要求递交：</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各供应商在投标截止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邮寄须在202</w:t>
      </w:r>
      <w:r>
        <w:rPr>
          <w:rFonts w:hint="eastAsia" w:ascii="宋体" w:hAnsi="宋体" w:cs="宋体"/>
          <w:i w:val="0"/>
          <w:iCs w:val="0"/>
          <w:color w:val="auto"/>
          <w:kern w:val="0"/>
          <w:sz w:val="21"/>
          <w:szCs w:val="21"/>
          <w:highlight w:val="none"/>
          <w:lang w:val="en-US" w:eastAsia="zh-CN"/>
        </w:rPr>
        <w:t>3</w:t>
      </w:r>
      <w:r>
        <w:rPr>
          <w:rFonts w:hint="eastAsia" w:ascii="宋体" w:hAnsi="宋体" w:eastAsia="宋体" w:cs="宋体"/>
          <w:i w:val="0"/>
          <w:iCs w:val="0"/>
          <w:color w:val="auto"/>
          <w:kern w:val="0"/>
          <w:sz w:val="21"/>
          <w:szCs w:val="21"/>
          <w:highlight w:val="none"/>
          <w:lang w:val="en-US" w:eastAsia="zh-CN"/>
        </w:rPr>
        <w:t>年</w:t>
      </w:r>
      <w:r>
        <w:rPr>
          <w:rFonts w:hint="eastAsia" w:ascii="宋体" w:hAnsi="宋体" w:cs="宋体"/>
          <w:i w:val="0"/>
          <w:iCs w:val="0"/>
          <w:color w:val="auto"/>
          <w:kern w:val="0"/>
          <w:sz w:val="21"/>
          <w:szCs w:val="21"/>
          <w:highlight w:val="none"/>
          <w:lang w:val="en-US" w:eastAsia="zh-CN"/>
        </w:rPr>
        <w:t>03</w:t>
      </w:r>
      <w:r>
        <w:rPr>
          <w:rFonts w:hint="eastAsia" w:ascii="宋体" w:hAnsi="宋体" w:eastAsia="宋体" w:cs="宋体"/>
          <w:i w:val="0"/>
          <w:iCs w:val="0"/>
          <w:color w:val="auto"/>
          <w:kern w:val="0"/>
          <w:sz w:val="21"/>
          <w:szCs w:val="21"/>
          <w:highlight w:val="none"/>
          <w:lang w:val="en-US" w:eastAsia="zh-CN"/>
        </w:rPr>
        <w:t>月</w:t>
      </w:r>
      <w:r>
        <w:rPr>
          <w:rFonts w:hint="eastAsia" w:ascii="宋体" w:hAnsi="宋体" w:cs="宋体"/>
          <w:i w:val="0"/>
          <w:iCs w:val="0"/>
          <w:color w:val="auto"/>
          <w:kern w:val="0"/>
          <w:sz w:val="21"/>
          <w:szCs w:val="21"/>
          <w:highlight w:val="none"/>
          <w:lang w:val="en-US" w:eastAsia="zh-CN"/>
        </w:rPr>
        <w:t>16</w:t>
      </w:r>
      <w:r>
        <w:rPr>
          <w:rFonts w:hint="eastAsia" w:ascii="宋体" w:hAnsi="宋体" w:eastAsia="宋体" w:cs="宋体"/>
          <w:i w:val="0"/>
          <w:iCs w:val="0"/>
          <w:color w:val="auto"/>
          <w:kern w:val="0"/>
          <w:sz w:val="21"/>
          <w:szCs w:val="21"/>
          <w:highlight w:val="none"/>
          <w:lang w:val="en-US" w:eastAsia="zh-CN"/>
        </w:rPr>
        <w:t>日（含）17:00前到件</w:t>
      </w:r>
      <w:r>
        <w:rPr>
          <w:rFonts w:hint="eastAsia" w:ascii="宋体" w:hAnsi="宋体" w:cs="宋体"/>
          <w:i w:val="0"/>
          <w:iCs w:val="0"/>
          <w:color w:val="auto"/>
          <w:kern w:val="0"/>
          <w:sz w:val="21"/>
          <w:szCs w:val="21"/>
          <w:highlight w:val="none"/>
          <w:lang w:val="en-US" w:eastAsia="zh-CN"/>
        </w:rPr>
        <w:t>，</w:t>
      </w:r>
      <w:r>
        <w:rPr>
          <w:rFonts w:hint="eastAsia" w:ascii="宋体" w:hAnsi="宋体" w:eastAsia="宋体" w:cs="宋体"/>
          <w:i w:val="0"/>
          <w:iCs w:val="0"/>
          <w:color w:val="auto"/>
          <w:kern w:val="0"/>
          <w:sz w:val="21"/>
          <w:szCs w:val="21"/>
          <w:highlight w:val="none"/>
          <w:lang w:val="en-US" w:eastAsia="zh-CN"/>
        </w:rPr>
        <w:t>邮寄地址为：</w:t>
      </w:r>
      <w:r>
        <w:rPr>
          <w:rFonts w:hint="eastAsia" w:ascii="宋体" w:hAnsi="宋体" w:cs="宋体"/>
          <w:i w:val="0"/>
          <w:iCs w:val="0"/>
          <w:color w:val="auto"/>
          <w:kern w:val="0"/>
          <w:sz w:val="21"/>
          <w:szCs w:val="21"/>
          <w:highlight w:val="none"/>
          <w:lang w:val="en-US" w:eastAsia="zh-CN"/>
        </w:rPr>
        <w:t>宁海县桃源街道气象北路295号环球中心15层15-1宁波中屹工程管理咨询有限公司</w:t>
      </w:r>
      <w:r>
        <w:rPr>
          <w:rFonts w:hint="eastAsia" w:ascii="宋体" w:hAnsi="宋体" w:eastAsia="宋体" w:cs="宋体"/>
          <w:i w:val="0"/>
          <w:iCs w:val="0"/>
          <w:color w:val="auto"/>
          <w:kern w:val="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请各供应商确保密封包装在邮寄过程密封包装完好，因邮寄过程的密封破损造成不符合开标要求的，本采购代理及采购人概不负责。</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2.9开标过程全程视频监控记录。</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cs="宋体"/>
          <w:i w:val="0"/>
          <w:iCs w:val="0"/>
          <w:color w:val="auto"/>
          <w:kern w:val="0"/>
          <w:sz w:val="21"/>
          <w:szCs w:val="21"/>
          <w:highlight w:val="none"/>
          <w:lang w:val="en-US" w:eastAsia="zh-CN"/>
        </w:rPr>
        <w:t>2.10</w:t>
      </w:r>
      <w:r>
        <w:rPr>
          <w:rFonts w:hint="eastAsia" w:ascii="宋体" w:hAnsi="宋体" w:eastAsia="宋体" w:cs="宋体"/>
          <w:i w:val="0"/>
          <w:iCs w:val="0"/>
          <w:color w:val="auto"/>
          <w:kern w:val="0"/>
          <w:sz w:val="21"/>
          <w:szCs w:val="21"/>
          <w:highlight w:val="none"/>
          <w:lang w:val="en-US" w:eastAsia="zh-CN"/>
        </w:rPr>
        <w:t>投标人员须做好佩戴口罩、手套等防护措施，自觉接受体温检测、接受防疫询问，并如实报告相关情况。</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cs="宋体"/>
          <w:i w:val="0"/>
          <w:iCs w:val="0"/>
          <w:color w:val="auto"/>
          <w:kern w:val="0"/>
          <w:sz w:val="21"/>
          <w:szCs w:val="21"/>
          <w:highlight w:val="none"/>
          <w:lang w:val="en-US" w:eastAsia="zh-CN"/>
        </w:rPr>
        <w:t>2.11</w:t>
      </w:r>
      <w:r>
        <w:rPr>
          <w:rFonts w:hint="eastAsia" w:ascii="宋体" w:hAnsi="宋体" w:eastAsia="宋体" w:cs="宋体"/>
          <w:i w:val="0"/>
          <w:iCs w:val="0"/>
          <w:color w:val="auto"/>
          <w:kern w:val="0"/>
          <w:sz w:val="21"/>
          <w:szCs w:val="21"/>
          <w:highlight w:val="none"/>
          <w:lang w:val="en-US" w:eastAsia="zh-CN"/>
        </w:rPr>
        <w:t>投标人员还需配合做好疫情防控“五个一律”：一律全面消毒、一律体温检测、一律承诺登记、一律按序办事、一律服从管理。</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lang w:val="en-US" w:eastAsia="zh-CN"/>
        </w:rPr>
        <w:t>2.12</w:t>
      </w:r>
      <w:r>
        <w:rPr>
          <w:rFonts w:hint="eastAsia" w:ascii="宋体" w:hAnsi="宋体" w:cs="宋体"/>
          <w:bCs/>
          <w:color w:val="auto"/>
          <w:szCs w:val="21"/>
          <w:highlight w:val="none"/>
        </w:rPr>
        <w:t>如投标截止时间前疫情解除，上述第</w:t>
      </w:r>
      <w:r>
        <w:rPr>
          <w:rFonts w:hint="eastAsia" w:ascii="宋体" w:hAnsi="宋体" w:cs="宋体"/>
          <w:bCs/>
          <w:color w:val="auto"/>
          <w:szCs w:val="21"/>
          <w:highlight w:val="none"/>
          <w:lang w:val="en-US" w:eastAsia="zh-CN"/>
        </w:rPr>
        <w:t>2.8-2.10</w:t>
      </w:r>
      <w:r>
        <w:rPr>
          <w:rFonts w:hint="eastAsia" w:ascii="宋体" w:hAnsi="宋体" w:cs="宋体"/>
          <w:bCs/>
          <w:color w:val="auto"/>
          <w:szCs w:val="21"/>
          <w:highlight w:val="none"/>
        </w:rPr>
        <w:t>条内容废止。</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eastAsia="zh-CN"/>
        </w:rPr>
      </w:pPr>
      <w:r>
        <w:rPr>
          <w:rFonts w:hint="eastAsia" w:ascii="宋体" w:hAnsi="宋体" w:cs="宋体"/>
          <w:bCs/>
          <w:color w:val="auto"/>
          <w:szCs w:val="21"/>
          <w:highlight w:val="none"/>
          <w:lang w:val="en-US" w:eastAsia="zh-CN"/>
        </w:rPr>
        <w:t>2.13</w:t>
      </w:r>
      <w:r>
        <w:rPr>
          <w:rFonts w:hint="eastAsia" w:ascii="宋体" w:hAnsi="宋体" w:cs="宋体"/>
          <w:bCs/>
          <w:color w:val="auto"/>
          <w:szCs w:val="21"/>
          <w:highlight w:val="none"/>
        </w:rPr>
        <w:t>肺炎防疫期间，请各供应商遵守</w:t>
      </w:r>
      <w:r>
        <w:rPr>
          <w:rFonts w:hint="eastAsia" w:ascii="宋体" w:hAnsi="宋体" w:eastAsia="宋体" w:cs="宋体"/>
          <w:i w:val="0"/>
          <w:iCs w:val="0"/>
          <w:color w:val="auto"/>
          <w:kern w:val="0"/>
          <w:sz w:val="21"/>
          <w:szCs w:val="21"/>
          <w:highlight w:val="none"/>
          <w:lang w:val="en-US" w:eastAsia="zh-CN"/>
        </w:rPr>
        <w:t>宁波市宁海县公共资源交易中心</w:t>
      </w:r>
      <w:r>
        <w:rPr>
          <w:rFonts w:hint="eastAsia" w:ascii="宋体" w:hAnsi="宋体" w:cs="宋体"/>
          <w:bCs/>
          <w:color w:val="auto"/>
          <w:szCs w:val="21"/>
          <w:highlight w:val="none"/>
        </w:rPr>
        <w:t>各项防疫措施规定。</w:t>
      </w:r>
    </w:p>
    <w:p>
      <w:pPr>
        <w:pStyle w:val="4"/>
        <w:pageBreakBefore w:val="0"/>
        <w:kinsoku/>
        <w:wordWrap/>
        <w:overflowPunct/>
        <w:topLinePunct w:val="0"/>
        <w:autoSpaceDE/>
        <w:autoSpaceDN/>
        <w:bidi w:val="0"/>
        <w:adjustRightInd/>
        <w:snapToGrid/>
        <w:spacing w:before="0" w:beforeLines="0" w:after="0" w:afterLines="0" w:line="360" w:lineRule="auto"/>
        <w:ind w:left="452" w:leftChars="100" w:hanging="242" w:hangingChars="115"/>
        <w:textAlignment w:val="auto"/>
        <w:rPr>
          <w:rFonts w:hint="eastAsia" w:ascii="宋体" w:hAnsi="宋体" w:eastAsia="宋体" w:cs="宋体"/>
          <w:b/>
          <w:bCs w:val="0"/>
          <w:i w:val="0"/>
          <w:iCs w:val="0"/>
          <w:color w:val="auto"/>
          <w:sz w:val="21"/>
          <w:szCs w:val="21"/>
          <w:highlight w:val="none"/>
        </w:rPr>
      </w:pPr>
      <w:bookmarkStart w:id="24" w:name="_Toc28359008"/>
      <w:bookmarkStart w:id="25" w:name="_Toc35393796"/>
      <w:bookmarkStart w:id="26" w:name="_Toc35393627"/>
      <w:bookmarkStart w:id="27" w:name="_Toc28359085"/>
      <w:r>
        <w:rPr>
          <w:rFonts w:hint="eastAsia" w:ascii="宋体" w:hAnsi="宋体" w:eastAsia="宋体" w:cs="宋体"/>
          <w:b/>
          <w:bCs w:val="0"/>
          <w:i w:val="0"/>
          <w:iCs w:val="0"/>
          <w:color w:val="auto"/>
          <w:sz w:val="21"/>
          <w:szCs w:val="21"/>
          <w:highlight w:val="none"/>
        </w:rPr>
        <w:t>七、对本次</w:t>
      </w:r>
      <w:r>
        <w:rPr>
          <w:rFonts w:hint="eastAsia" w:ascii="宋体" w:hAnsi="宋体" w:eastAsia="宋体" w:cs="宋体"/>
          <w:b/>
          <w:bCs w:val="0"/>
          <w:i w:val="0"/>
          <w:iCs w:val="0"/>
          <w:color w:val="auto"/>
          <w:sz w:val="21"/>
          <w:szCs w:val="21"/>
          <w:highlight w:val="none"/>
          <w:lang w:eastAsia="zh-CN"/>
        </w:rPr>
        <w:t>采购</w:t>
      </w:r>
      <w:r>
        <w:rPr>
          <w:rFonts w:hint="eastAsia" w:ascii="宋体" w:hAnsi="宋体" w:eastAsia="宋体" w:cs="宋体"/>
          <w:b/>
          <w:bCs w:val="0"/>
          <w:i w:val="0"/>
          <w:iCs w:val="0"/>
          <w:color w:val="auto"/>
          <w:sz w:val="21"/>
          <w:szCs w:val="21"/>
          <w:highlight w:val="none"/>
        </w:rPr>
        <w:t>提出询问</w:t>
      </w:r>
      <w:r>
        <w:rPr>
          <w:rFonts w:hint="eastAsia" w:ascii="宋体" w:hAnsi="宋体" w:eastAsia="宋体" w:cs="宋体"/>
          <w:b/>
          <w:bCs w:val="0"/>
          <w:i w:val="0"/>
          <w:iCs w:val="0"/>
          <w:color w:val="auto"/>
          <w:sz w:val="21"/>
          <w:szCs w:val="21"/>
          <w:highlight w:val="none"/>
          <w:lang w:eastAsia="zh-CN"/>
        </w:rPr>
        <w:t>、质疑、投诉</w:t>
      </w:r>
      <w:r>
        <w:rPr>
          <w:rFonts w:hint="eastAsia" w:ascii="宋体" w:hAnsi="宋体" w:eastAsia="宋体" w:cs="宋体"/>
          <w:b/>
          <w:bCs w:val="0"/>
          <w:i w:val="0"/>
          <w:iCs w:val="0"/>
          <w:color w:val="auto"/>
          <w:sz w:val="21"/>
          <w:szCs w:val="21"/>
          <w:highlight w:val="none"/>
        </w:rPr>
        <w:t>，请按以下方式联系。</w:t>
      </w:r>
      <w:bookmarkEnd w:id="24"/>
      <w:bookmarkEnd w:id="25"/>
      <w:bookmarkEnd w:id="26"/>
      <w:bookmarkEnd w:id="27"/>
    </w:p>
    <w:p>
      <w:pPr>
        <w:widowControl/>
        <w:spacing w:line="360" w:lineRule="auto"/>
        <w:ind w:firstLine="420" w:firstLineChars="200"/>
        <w:jc w:val="left"/>
        <w:rPr>
          <w:rFonts w:hint="eastAsia" w:ascii="宋体" w:hAnsi="宋体" w:eastAsia="宋体" w:cs="宋体"/>
          <w:color w:val="auto"/>
        </w:rPr>
      </w:pPr>
      <w:r>
        <w:rPr>
          <w:rFonts w:hint="eastAsia" w:ascii="宋体" w:hAnsi="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采购人：</w:t>
      </w:r>
      <w:r>
        <w:rPr>
          <w:rFonts w:hint="eastAsia" w:ascii="宋体" w:hAnsi="宋体" w:eastAsia="宋体" w:cs="宋体"/>
          <w:color w:val="auto"/>
          <w:lang w:eastAsia="zh-CN"/>
        </w:rPr>
        <w:t>宁海县公路与运输管理中心</w:t>
      </w:r>
      <w:r>
        <w:rPr>
          <w:rFonts w:hint="eastAsia" w:ascii="宋体" w:hAnsi="宋体" w:eastAsia="宋体" w:cs="宋体"/>
          <w:color w:val="auto"/>
          <w:lang w:val="en-US" w:eastAsia="zh-CN"/>
        </w:rPr>
        <w:t xml:space="preserve">  </w:t>
      </w:r>
    </w:p>
    <w:p>
      <w:pPr>
        <w:widowControl/>
        <w:spacing w:line="360" w:lineRule="auto"/>
        <w:ind w:firstLine="420" w:firstLineChars="200"/>
        <w:jc w:val="left"/>
        <w:rPr>
          <w:rFonts w:hint="eastAsia" w:ascii="宋体" w:hAnsi="宋体" w:eastAsia="宋体" w:cs="宋体"/>
          <w:color w:val="auto"/>
          <w:lang w:val="en-US" w:eastAsia="zh-CN"/>
        </w:rPr>
      </w:pP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联系人：</w:t>
      </w:r>
      <w:r>
        <w:rPr>
          <w:rFonts w:hint="eastAsia" w:ascii="宋体" w:hAnsi="宋体" w:eastAsia="宋体" w:cs="宋体"/>
          <w:color w:val="auto"/>
          <w:lang w:eastAsia="zh-CN"/>
        </w:rPr>
        <w:t>叶</w:t>
      </w:r>
      <w:r>
        <w:rPr>
          <w:rFonts w:hint="eastAsia" w:ascii="宋体" w:hAnsi="宋体" w:eastAsia="宋体" w:cs="宋体"/>
          <w:color w:val="auto"/>
          <w:lang w:val="en-US" w:eastAsia="zh-CN"/>
        </w:rPr>
        <w:t xml:space="preserve">先生   </w:t>
      </w:r>
    </w:p>
    <w:p>
      <w:pPr>
        <w:widowControl/>
        <w:spacing w:line="360" w:lineRule="auto"/>
        <w:ind w:firstLine="630" w:firstLineChars="300"/>
        <w:jc w:val="left"/>
        <w:rPr>
          <w:rFonts w:hint="eastAsia" w:ascii="宋体" w:hAnsi="宋体" w:eastAsia="宋体" w:cs="宋体"/>
          <w:color w:val="auto"/>
        </w:rPr>
      </w:pPr>
      <w:r>
        <w:rPr>
          <w:rFonts w:hint="eastAsia" w:ascii="宋体" w:hAnsi="宋体" w:eastAsia="宋体" w:cs="宋体"/>
          <w:color w:val="auto"/>
        </w:rPr>
        <w:t>地    址：宁海县桃源街道兴海北路99号</w:t>
      </w:r>
    </w:p>
    <w:p>
      <w:pPr>
        <w:pStyle w:val="26"/>
        <w:keepNext w:val="0"/>
        <w:keepLines w:val="0"/>
        <w:widowControl/>
        <w:suppressLineNumbers w:val="0"/>
        <w:spacing w:before="75" w:beforeAutospacing="0" w:after="75" w:afterAutospacing="0" w:line="360" w:lineRule="auto"/>
        <w:ind w:left="0" w:right="0" w:firstLine="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 xml:space="preserve"> </w:t>
      </w:r>
      <w:r>
        <w:rPr>
          <w:rFonts w:hint="eastAsia" w:ascii="宋体" w:hAnsi="宋体" w:eastAsia="宋体" w:cs="宋体"/>
          <w:color w:val="auto"/>
          <w:kern w:val="2"/>
          <w:sz w:val="21"/>
          <w:szCs w:val="24"/>
          <w:lang w:val="en-US" w:eastAsia="zh-CN" w:bidi="ar-SA"/>
        </w:rPr>
        <w:t xml:space="preserve">     联系电话：0574-83522171</w:t>
      </w:r>
    </w:p>
    <w:p>
      <w:pPr>
        <w:pStyle w:val="26"/>
        <w:keepNext w:val="0"/>
        <w:keepLines w:val="0"/>
        <w:widowControl/>
        <w:suppressLineNumbers w:val="0"/>
        <w:spacing w:before="75" w:beforeAutospacing="0" w:after="75" w:afterAutospacing="0" w:line="360" w:lineRule="auto"/>
        <w:ind w:right="0" w:firstLine="630" w:firstLineChars="3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质疑联系人：叶先生    </w:t>
      </w:r>
    </w:p>
    <w:p>
      <w:pPr>
        <w:pStyle w:val="26"/>
        <w:keepNext w:val="0"/>
        <w:keepLines w:val="0"/>
        <w:widowControl/>
        <w:suppressLineNumbers w:val="0"/>
        <w:spacing w:before="75" w:beforeAutospacing="0" w:after="75" w:afterAutospacing="0" w:line="360" w:lineRule="auto"/>
        <w:ind w:left="0" w:right="0" w:firstLine="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     质疑联系方式：0574-83522171</w:t>
      </w:r>
    </w:p>
    <w:p>
      <w:pPr>
        <w:widowControl/>
        <w:spacing w:line="440" w:lineRule="exact"/>
        <w:jc w:val="left"/>
        <w:rPr>
          <w:rFonts w:hint="eastAsia" w:ascii="宋体" w:hAnsi="宋体" w:cs="宋体"/>
          <w:color w:val="auto"/>
          <w:lang w:val="en-US" w:eastAsia="zh-CN"/>
        </w:rPr>
      </w:pPr>
    </w:p>
    <w:p>
      <w:pPr>
        <w:widowControl/>
        <w:spacing w:line="440" w:lineRule="exact"/>
        <w:ind w:firstLine="630" w:firstLineChars="300"/>
        <w:jc w:val="left"/>
        <w:rPr>
          <w:rFonts w:hint="eastAsia" w:ascii="宋体" w:hAnsi="宋体" w:eastAsia="宋体" w:cs="宋体"/>
          <w:color w:val="auto"/>
          <w:lang w:eastAsia="zh-CN"/>
        </w:rPr>
      </w:pPr>
      <w:r>
        <w:rPr>
          <w:rFonts w:hint="eastAsia" w:ascii="宋体" w:hAnsi="宋体" w:cs="宋体"/>
          <w:color w:val="auto"/>
        </w:rPr>
        <w:t>代理机构：</w:t>
      </w:r>
      <w:r>
        <w:rPr>
          <w:rFonts w:hint="eastAsia" w:ascii="宋体" w:hAnsi="宋体" w:cs="宋体"/>
          <w:color w:val="auto"/>
          <w:lang w:eastAsia="zh-CN"/>
        </w:rPr>
        <w:t>宁波中屹工程管理咨询有限公司</w:t>
      </w:r>
    </w:p>
    <w:p>
      <w:pPr>
        <w:widowControl/>
        <w:spacing w:line="440" w:lineRule="exact"/>
        <w:ind w:firstLine="420" w:firstLineChars="200"/>
        <w:jc w:val="left"/>
        <w:rPr>
          <w:rFonts w:hint="eastAsia" w:ascii="宋体" w:hAnsi="宋体" w:eastAsia="宋体" w:cs="宋体"/>
          <w:color w:val="auto"/>
          <w:lang w:eastAsia="zh-CN"/>
        </w:rPr>
      </w:pP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地    址：</w:t>
      </w:r>
      <w:r>
        <w:rPr>
          <w:rFonts w:hint="eastAsia" w:ascii="宋体" w:hAnsi="宋体"/>
          <w:color w:val="auto"/>
          <w:szCs w:val="21"/>
          <w:lang w:eastAsia="zh-CN"/>
        </w:rPr>
        <w:t>宁海县桃源街道气象北路295号环球中心15层15-1</w:t>
      </w:r>
    </w:p>
    <w:p>
      <w:pPr>
        <w:widowControl/>
        <w:spacing w:line="440" w:lineRule="exact"/>
        <w:ind w:firstLine="420" w:firstLineChars="200"/>
        <w:jc w:val="left"/>
        <w:rPr>
          <w:rFonts w:hint="eastAsia" w:ascii="宋体" w:hAnsi="宋体" w:cs="宋体"/>
          <w:color w:val="auto"/>
        </w:rPr>
      </w:pP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联 系 人：</w:t>
      </w:r>
      <w:r>
        <w:rPr>
          <w:rFonts w:hint="eastAsia" w:ascii="宋体" w:hAnsi="宋体" w:cs="宋体"/>
          <w:color w:val="auto"/>
          <w:lang w:eastAsia="zh-CN"/>
        </w:rPr>
        <w:t>林虹艳</w:t>
      </w:r>
      <w:r>
        <w:rPr>
          <w:rFonts w:hint="eastAsia" w:ascii="宋体" w:hAnsi="宋体" w:cs="宋体"/>
          <w:color w:val="auto"/>
        </w:rPr>
        <w:t xml:space="preserve">        </w:t>
      </w:r>
    </w:p>
    <w:p>
      <w:pPr>
        <w:widowControl/>
        <w:spacing w:line="440" w:lineRule="exact"/>
        <w:ind w:firstLine="420" w:firstLineChars="200"/>
        <w:jc w:val="left"/>
        <w:rPr>
          <w:rFonts w:hint="eastAsia" w:ascii="宋体" w:hAnsi="宋体"/>
          <w:color w:val="auto"/>
          <w:szCs w:val="21"/>
          <w:lang w:eastAsia="zh-CN"/>
        </w:rPr>
      </w:pP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联系电话（传真）：</w:t>
      </w:r>
      <w:r>
        <w:rPr>
          <w:rFonts w:hint="eastAsia" w:ascii="宋体" w:hAnsi="宋体"/>
          <w:color w:val="auto"/>
          <w:szCs w:val="21"/>
          <w:lang w:eastAsia="zh-CN"/>
        </w:rPr>
        <w:t>0574-65250082</w:t>
      </w:r>
    </w:p>
    <w:p>
      <w:pPr>
        <w:widowControl/>
        <w:spacing w:line="440" w:lineRule="exact"/>
        <w:ind w:firstLine="630" w:firstLineChars="300"/>
        <w:jc w:val="left"/>
        <w:rPr>
          <w:rFonts w:hint="eastAsia" w:ascii="宋体" w:hAnsi="宋体"/>
          <w:color w:val="auto"/>
          <w:szCs w:val="21"/>
          <w:lang w:eastAsia="zh-CN"/>
        </w:rPr>
      </w:pPr>
      <w:r>
        <w:rPr>
          <w:rFonts w:hint="eastAsia" w:ascii="宋体" w:hAnsi="宋体"/>
          <w:color w:val="auto"/>
          <w:szCs w:val="21"/>
          <w:lang w:eastAsia="zh-CN"/>
        </w:rPr>
        <w:t>质疑联系人：</w:t>
      </w:r>
      <w:r>
        <w:rPr>
          <w:rFonts w:hint="eastAsia" w:ascii="宋体" w:hAnsi="宋体"/>
          <w:color w:val="auto"/>
          <w:szCs w:val="21"/>
          <w:lang w:val="en-US" w:eastAsia="zh-CN"/>
        </w:rPr>
        <w:t>郭耀</w:t>
      </w:r>
      <w:r>
        <w:rPr>
          <w:rFonts w:hint="eastAsia" w:ascii="宋体" w:hAnsi="宋体"/>
          <w:color w:val="auto"/>
          <w:szCs w:val="21"/>
          <w:lang w:eastAsia="zh-CN"/>
        </w:rPr>
        <w:t>    </w:t>
      </w:r>
    </w:p>
    <w:p>
      <w:pPr>
        <w:widowControl/>
        <w:spacing w:line="440" w:lineRule="exact"/>
        <w:ind w:firstLine="630" w:firstLineChars="300"/>
        <w:jc w:val="left"/>
        <w:rPr>
          <w:rFonts w:hint="eastAsia" w:ascii="宋体" w:hAnsi="宋体" w:eastAsia="宋体" w:cs="宋体"/>
          <w:color w:val="auto"/>
          <w:lang w:eastAsia="zh-CN"/>
        </w:rPr>
      </w:pPr>
      <w:r>
        <w:rPr>
          <w:rFonts w:hint="eastAsia" w:ascii="宋体" w:hAnsi="宋体"/>
          <w:color w:val="auto"/>
          <w:szCs w:val="21"/>
          <w:lang w:eastAsia="zh-CN"/>
        </w:rPr>
        <w:t>质疑联系方式：0574-65250082</w:t>
      </w:r>
    </w:p>
    <w:p>
      <w:pPr>
        <w:widowControl/>
        <w:spacing w:line="440" w:lineRule="exact"/>
        <w:ind w:firstLine="420" w:firstLineChars="200"/>
        <w:jc w:val="left"/>
        <w:rPr>
          <w:rFonts w:hint="eastAsia" w:ascii="宋体" w:hAnsi="宋体" w:cs="宋体"/>
          <w:color w:val="auto"/>
        </w:rPr>
      </w:pPr>
    </w:p>
    <w:p>
      <w:pPr>
        <w:widowControl/>
        <w:spacing w:line="440" w:lineRule="exact"/>
        <w:ind w:firstLine="630" w:firstLineChars="300"/>
        <w:jc w:val="left"/>
        <w:rPr>
          <w:rFonts w:hint="eastAsia" w:ascii="宋体" w:hAnsi="宋体" w:cs="宋体"/>
          <w:color w:val="auto"/>
        </w:rPr>
      </w:pPr>
      <w:r>
        <w:rPr>
          <w:rFonts w:hint="eastAsia" w:ascii="宋体" w:hAnsi="宋体" w:cs="宋体"/>
          <w:color w:val="auto"/>
        </w:rPr>
        <w:t>财政部门：宁海县政府采购管理办公室</w:t>
      </w:r>
    </w:p>
    <w:p>
      <w:pPr>
        <w:widowControl/>
        <w:spacing w:line="440" w:lineRule="exact"/>
        <w:ind w:firstLine="420" w:firstLineChars="200"/>
        <w:jc w:val="left"/>
        <w:rPr>
          <w:rFonts w:hint="eastAsia" w:ascii="宋体" w:hAnsi="宋体" w:cs="宋体"/>
          <w:color w:val="auto"/>
        </w:rPr>
      </w:pPr>
      <w:r>
        <w:rPr>
          <w:rFonts w:hint="eastAsia" w:ascii="宋体" w:hAnsi="宋体" w:cs="宋体"/>
          <w:color w:val="auto"/>
        </w:rPr>
        <w:t> 地</w:t>
      </w:r>
      <w:r>
        <w:rPr>
          <w:rFonts w:hint="eastAsia" w:ascii="宋体" w:hAnsi="宋体" w:cs="宋体"/>
          <w:color w:val="auto"/>
          <w:lang w:val="en-US" w:eastAsia="zh-CN"/>
        </w:rPr>
        <w:t xml:space="preserve">    </w:t>
      </w:r>
      <w:r>
        <w:rPr>
          <w:rFonts w:hint="eastAsia" w:ascii="宋体" w:hAnsi="宋体" w:cs="宋体"/>
          <w:color w:val="auto"/>
        </w:rPr>
        <w:t>址：宁海县桃源中路218号</w:t>
      </w:r>
    </w:p>
    <w:p>
      <w:pPr>
        <w:widowControl/>
        <w:spacing w:line="440" w:lineRule="exact"/>
        <w:ind w:firstLine="420" w:firstLineChars="200"/>
        <w:jc w:val="left"/>
        <w:rPr>
          <w:rFonts w:hint="eastAsia" w:ascii="宋体" w:hAnsi="宋体" w:eastAsia="宋体" w:cs="宋体"/>
          <w:color w:val="auto"/>
          <w:lang w:eastAsia="zh-CN"/>
        </w:rPr>
      </w:pPr>
      <w:r>
        <w:rPr>
          <w:rFonts w:hint="eastAsia" w:ascii="宋体" w:hAnsi="宋体" w:cs="宋体"/>
          <w:color w:val="auto"/>
        </w:rPr>
        <w:t> 联系人</w:t>
      </w:r>
      <w:r>
        <w:rPr>
          <w:rFonts w:hint="eastAsia" w:ascii="宋体" w:hAnsi="宋体" w:cs="宋体"/>
          <w:color w:val="auto"/>
          <w:lang w:eastAsia="zh-CN"/>
        </w:rPr>
        <w:t>：</w:t>
      </w:r>
      <w:r>
        <w:rPr>
          <w:rFonts w:hint="eastAsia" w:ascii="宋体" w:hAnsi="宋体" w:cs="宋体"/>
          <w:color w:val="auto"/>
        </w:rPr>
        <w:t>王老师</w:t>
      </w:r>
    </w:p>
    <w:p>
      <w:pPr>
        <w:widowControl/>
        <w:spacing w:line="440" w:lineRule="exact"/>
        <w:ind w:firstLine="630" w:firstLineChars="300"/>
        <w:jc w:val="left"/>
        <w:rPr>
          <w:rFonts w:hint="eastAsia" w:ascii="宋体" w:hAnsi="宋体" w:cs="宋体"/>
          <w:color w:val="auto"/>
        </w:rPr>
      </w:pPr>
      <w:r>
        <w:rPr>
          <w:rFonts w:hint="eastAsia" w:ascii="宋体" w:hAnsi="宋体" w:cs="宋体"/>
          <w:color w:val="auto"/>
          <w:lang w:eastAsia="zh-CN"/>
        </w:rPr>
        <w:t>联系</w:t>
      </w:r>
      <w:r>
        <w:rPr>
          <w:rFonts w:hint="eastAsia" w:ascii="宋体" w:hAnsi="宋体" w:cs="宋体"/>
          <w:color w:val="auto"/>
        </w:rPr>
        <w:t>电话</w:t>
      </w:r>
      <w:r>
        <w:rPr>
          <w:rFonts w:hint="eastAsia" w:ascii="宋体" w:hAnsi="宋体" w:cs="宋体"/>
          <w:color w:val="auto"/>
          <w:lang w:eastAsia="zh-CN"/>
        </w:rPr>
        <w:t>：</w:t>
      </w:r>
      <w:r>
        <w:rPr>
          <w:rFonts w:hint="eastAsia" w:ascii="宋体" w:hAnsi="宋体" w:cs="宋体"/>
          <w:color w:val="auto"/>
        </w:rPr>
        <w:t>0574-65265668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若对项目采购电子交易系统操作有疑问，可登录政采云（https://www.zcygov.cn/），点击右侧咨询小采，获取采小蜜智能服务管家帮助，或拨打政采云服务热线400-881-7190获取热线服务帮助。</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CA问题联系电话（人工）：汇信CA 400-888-4636；天谷CA 400-087-8198。</w:t>
      </w:r>
    </w:p>
    <w:p>
      <w:pPr>
        <w:snapToGrid w:val="0"/>
        <w:spacing w:line="360" w:lineRule="auto"/>
        <w:ind w:firstLine="420" w:firstLineChars="200"/>
        <w:rPr>
          <w:rFonts w:hint="eastAsia" w:ascii="宋体" w:hAnsi="宋体" w:eastAsia="宋体" w:cs="宋体"/>
          <w:color w:val="auto"/>
          <w:highlight w:val="none"/>
        </w:rPr>
      </w:pPr>
    </w:p>
    <w:p>
      <w:pPr>
        <w:snapToGrid w:val="0"/>
        <w:spacing w:line="360" w:lineRule="auto"/>
        <w:ind w:firstLine="420" w:firstLineChars="200"/>
        <w:rPr>
          <w:rFonts w:hint="eastAsia" w:ascii="宋体" w:hAnsi="宋体" w:eastAsia="宋体" w:cs="宋体"/>
          <w:color w:val="auto"/>
          <w:highlight w:val="none"/>
        </w:rPr>
      </w:pPr>
    </w:p>
    <w:p>
      <w:pPr>
        <w:snapToGrid w:val="0"/>
        <w:spacing w:line="360" w:lineRule="auto"/>
        <w:ind w:firstLine="420" w:firstLineChars="200"/>
        <w:rPr>
          <w:rFonts w:hint="eastAsia" w:ascii="宋体" w:hAnsi="宋体" w:eastAsia="宋体" w:cs="宋体"/>
          <w:color w:val="auto"/>
          <w:highlight w:val="none"/>
        </w:rPr>
      </w:pPr>
    </w:p>
    <w:p>
      <w:pPr>
        <w:snapToGrid w:val="0"/>
        <w:spacing w:line="360" w:lineRule="auto"/>
        <w:ind w:firstLine="420" w:firstLineChars="200"/>
        <w:rPr>
          <w:rFonts w:hint="eastAsia" w:ascii="宋体" w:hAnsi="宋体" w:eastAsia="宋体" w:cs="宋体"/>
          <w:color w:val="auto"/>
          <w:highlight w:val="none"/>
        </w:rPr>
      </w:pPr>
    </w:p>
    <w:p>
      <w:pPr>
        <w:snapToGrid w:val="0"/>
        <w:spacing w:line="360" w:lineRule="auto"/>
        <w:ind w:firstLine="420" w:firstLineChars="200"/>
        <w:rPr>
          <w:rFonts w:hint="eastAsia" w:ascii="宋体" w:hAnsi="宋体" w:eastAsia="宋体" w:cs="宋体"/>
          <w:color w:val="auto"/>
          <w:highlight w:val="none"/>
        </w:rPr>
      </w:pPr>
    </w:p>
    <w:p>
      <w:pPr>
        <w:snapToGrid w:val="0"/>
        <w:spacing w:line="360" w:lineRule="auto"/>
        <w:ind w:firstLine="420" w:firstLineChars="200"/>
        <w:rPr>
          <w:rFonts w:hint="eastAsia" w:ascii="宋体" w:hAnsi="宋体" w:eastAsia="宋体" w:cs="宋体"/>
          <w:color w:val="auto"/>
          <w:highlight w:val="none"/>
        </w:rPr>
      </w:pPr>
    </w:p>
    <w:p>
      <w:pPr>
        <w:snapToGrid w:val="0"/>
        <w:spacing w:line="360" w:lineRule="auto"/>
        <w:ind w:firstLine="420" w:firstLineChars="200"/>
        <w:rPr>
          <w:rFonts w:hint="eastAsia" w:ascii="宋体" w:hAnsi="宋体" w:eastAsia="宋体" w:cs="宋体"/>
          <w:color w:val="auto"/>
          <w:highlight w:val="none"/>
        </w:rPr>
      </w:pPr>
    </w:p>
    <w:p>
      <w:pPr>
        <w:snapToGrid w:val="0"/>
        <w:spacing w:line="360" w:lineRule="auto"/>
        <w:ind w:firstLine="420" w:firstLineChars="20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1"/>
        <w:rPr>
          <w:rFonts w:hint="eastAsia"/>
          <w:color w:val="auto"/>
        </w:rPr>
      </w:pPr>
    </w:p>
    <w:p>
      <w:pPr>
        <w:pStyle w:val="14"/>
        <w:numPr>
          <w:ilvl w:val="0"/>
          <w:numId w:val="3"/>
        </w:numPr>
        <w:snapToGrid w:val="0"/>
        <w:spacing w:beforeLines="0" w:after="120"/>
        <w:jc w:val="center"/>
        <w:outlineLvl w:val="0"/>
        <w:rPr>
          <w:rFonts w:hint="eastAsia" w:hAnsi="宋体" w:cs="宋体"/>
          <w:b/>
          <w:color w:val="auto"/>
          <w:sz w:val="30"/>
          <w:szCs w:val="30"/>
        </w:rPr>
      </w:pPr>
      <w:r>
        <w:rPr>
          <w:rFonts w:hint="eastAsia" w:hAnsi="宋体" w:cs="宋体"/>
          <w:b/>
          <w:color w:val="auto"/>
          <w:sz w:val="30"/>
          <w:szCs w:val="30"/>
        </w:rPr>
        <w:t>招标需求</w:t>
      </w:r>
    </w:p>
    <w:p>
      <w:pPr>
        <w:tabs>
          <w:tab w:val="left" w:pos="0"/>
        </w:tabs>
        <w:spacing w:line="440" w:lineRule="exact"/>
        <w:contextualSpacing/>
        <w:rPr>
          <w:rFonts w:hint="eastAsia" w:ascii="宋体" w:hAnsi="宋体" w:cs="宋体"/>
          <w:b/>
          <w:color w:val="000000"/>
          <w:szCs w:val="21"/>
        </w:rPr>
      </w:pPr>
      <w:bookmarkStart w:id="28" w:name="_Toc372870929"/>
      <w:bookmarkStart w:id="29" w:name="_Toc281485984"/>
      <w:r>
        <w:rPr>
          <w:rFonts w:hint="eastAsia" w:ascii="宋体" w:hAnsi="宋体" w:cs="宋体"/>
          <w:b/>
          <w:color w:val="000000"/>
          <w:szCs w:val="21"/>
        </w:rPr>
        <w:t>一、养护管理内容</w:t>
      </w:r>
    </w:p>
    <w:p>
      <w:pPr>
        <w:pStyle w:val="5"/>
        <w:spacing w:before="0" w:after="0" w:line="480" w:lineRule="exact"/>
        <w:ind w:left="425"/>
        <w:rPr>
          <w:b w:val="0"/>
          <w:bCs w:val="0"/>
          <w:color w:val="auto"/>
          <w:sz w:val="21"/>
          <w:szCs w:val="24"/>
        </w:rPr>
      </w:pPr>
      <w:r>
        <w:rPr>
          <w:b w:val="0"/>
          <w:bCs w:val="0"/>
          <w:color w:val="auto"/>
          <w:sz w:val="21"/>
          <w:szCs w:val="24"/>
        </w:rPr>
        <w:t>1.1项目名称</w:t>
      </w:r>
      <w:bookmarkEnd w:id="28"/>
      <w:bookmarkEnd w:id="29"/>
      <w:bookmarkStart w:id="30" w:name="_Toc281485985"/>
      <w:bookmarkStart w:id="31" w:name="_Toc372870930"/>
      <w:r>
        <w:rPr>
          <w:rFonts w:hint="eastAsia"/>
          <w:b w:val="0"/>
          <w:bCs w:val="0"/>
          <w:color w:val="auto"/>
          <w:sz w:val="21"/>
          <w:szCs w:val="24"/>
        </w:rPr>
        <w:t>：</w:t>
      </w:r>
    </w:p>
    <w:p>
      <w:pPr>
        <w:pStyle w:val="5"/>
        <w:spacing w:before="0" w:after="0" w:line="480" w:lineRule="exact"/>
        <w:ind w:firstLine="420" w:firstLineChars="200"/>
        <w:rPr>
          <w:rFonts w:hint="eastAsia" w:eastAsia="宋体"/>
          <w:b w:val="0"/>
          <w:bCs w:val="0"/>
          <w:color w:val="auto"/>
          <w:sz w:val="21"/>
          <w:szCs w:val="24"/>
          <w:lang w:eastAsia="zh-CN"/>
        </w:rPr>
      </w:pPr>
      <w:r>
        <w:rPr>
          <w:rFonts w:hint="eastAsia"/>
          <w:b w:val="0"/>
          <w:bCs w:val="0"/>
          <w:color w:val="auto"/>
          <w:sz w:val="21"/>
          <w:szCs w:val="24"/>
          <w:lang w:eastAsia="zh-CN"/>
        </w:rPr>
        <w:t>宁海县公路与运输管理中心2023年公路绿化养护服务采购</w:t>
      </w:r>
    </w:p>
    <w:p>
      <w:pPr>
        <w:pStyle w:val="5"/>
        <w:spacing w:before="0" w:after="0" w:line="480" w:lineRule="exact"/>
        <w:ind w:left="1778" w:leftChars="201" w:hanging="1356" w:hangingChars="646"/>
        <w:rPr>
          <w:b w:val="0"/>
          <w:bCs w:val="0"/>
          <w:color w:val="auto"/>
          <w:sz w:val="21"/>
          <w:szCs w:val="24"/>
        </w:rPr>
      </w:pPr>
      <w:r>
        <w:rPr>
          <w:b w:val="0"/>
          <w:bCs w:val="0"/>
          <w:color w:val="auto"/>
          <w:sz w:val="21"/>
          <w:szCs w:val="24"/>
        </w:rPr>
        <w:t>1.2服务期限</w:t>
      </w:r>
      <w:bookmarkEnd w:id="30"/>
      <w:r>
        <w:rPr>
          <w:b w:val="0"/>
          <w:bCs w:val="0"/>
          <w:color w:val="auto"/>
          <w:sz w:val="21"/>
          <w:szCs w:val="24"/>
        </w:rPr>
        <w:t>：</w:t>
      </w:r>
      <w:bookmarkEnd w:id="31"/>
    </w:p>
    <w:p>
      <w:pPr>
        <w:pStyle w:val="5"/>
        <w:spacing w:before="0" w:after="0" w:line="480" w:lineRule="exact"/>
        <w:ind w:firstLine="525" w:firstLineChars="250"/>
        <w:rPr>
          <w:rFonts w:asciiTheme="minorEastAsia" w:hAnsiTheme="minorEastAsia" w:cstheme="minorEastAsia"/>
          <w:b w:val="0"/>
          <w:bCs w:val="0"/>
          <w:color w:val="auto"/>
          <w:sz w:val="21"/>
          <w:szCs w:val="21"/>
        </w:rPr>
      </w:pPr>
      <w:bookmarkStart w:id="32" w:name="_Toc281485986"/>
      <w:bookmarkStart w:id="33" w:name="_Toc372870931"/>
      <w:r>
        <w:rPr>
          <w:rFonts w:hint="eastAsia" w:asciiTheme="minorEastAsia" w:hAnsiTheme="minorEastAsia" w:cstheme="minorEastAsia"/>
          <w:b w:val="0"/>
          <w:bCs w:val="0"/>
          <w:color w:val="auto"/>
          <w:sz w:val="21"/>
          <w:szCs w:val="21"/>
        </w:rPr>
        <w:t>起始时间以合同签订为准，本项目一招暂定2年，协议一年一签。由采购人及行业主管部门根据中标人的合同履约情况决定是否续签，并在符合县级年度预算安排要求下，方可续签下一年度合同。除不可抗力外，精品苗木在养护期内出现死亡，中标人须按原规格赔偿，否则死一赔二。</w:t>
      </w:r>
    </w:p>
    <w:p>
      <w:pPr>
        <w:pStyle w:val="5"/>
        <w:spacing w:before="0" w:after="0" w:line="480" w:lineRule="exact"/>
        <w:ind w:left="425"/>
        <w:rPr>
          <w:b w:val="0"/>
          <w:bCs w:val="0"/>
          <w:color w:val="auto"/>
          <w:sz w:val="21"/>
          <w:szCs w:val="24"/>
        </w:rPr>
      </w:pPr>
      <w:r>
        <w:rPr>
          <w:b w:val="0"/>
          <w:bCs w:val="0"/>
          <w:color w:val="auto"/>
          <w:sz w:val="21"/>
          <w:szCs w:val="24"/>
        </w:rPr>
        <w:t>1.3服务内容</w:t>
      </w:r>
      <w:bookmarkEnd w:id="32"/>
      <w:bookmarkEnd w:id="33"/>
      <w:r>
        <w:rPr>
          <w:rFonts w:hint="eastAsia"/>
          <w:b w:val="0"/>
          <w:bCs w:val="0"/>
          <w:color w:val="auto"/>
          <w:sz w:val="21"/>
          <w:szCs w:val="24"/>
        </w:rPr>
        <w:t>：</w:t>
      </w:r>
    </w:p>
    <w:p>
      <w:pPr>
        <w:tabs>
          <w:tab w:val="left" w:pos="0"/>
        </w:tabs>
        <w:spacing w:line="440" w:lineRule="exact"/>
        <w:ind w:firstLine="420" w:firstLineChars="200"/>
        <w:contextualSpacing/>
        <w:rPr>
          <w:bCs/>
          <w:color w:val="auto"/>
          <w:szCs w:val="21"/>
        </w:rPr>
      </w:pPr>
      <w:bookmarkStart w:id="34" w:name="_Toc6253"/>
      <w:r>
        <w:rPr>
          <w:rFonts w:hint="eastAsia"/>
          <w:bCs/>
          <w:color w:val="auto"/>
          <w:szCs w:val="21"/>
        </w:rPr>
        <w:t>养护管理内容：绿化养护范围内的日常巡查管理、绿化养护（整</w:t>
      </w:r>
      <w:r>
        <w:rPr>
          <w:rFonts w:hint="eastAsia" w:asciiTheme="minorEastAsia" w:hAnsiTheme="minorEastAsia" w:cstheme="minorEastAsia"/>
          <w:color w:val="auto"/>
          <w:szCs w:val="21"/>
        </w:rPr>
        <w:t>形修剪、病虫害防治、割草、除草、浇水、扶正、补植、松土切边、施肥、涂白、看护、鲜花日常养护</w:t>
      </w:r>
      <w:r>
        <w:rPr>
          <w:rFonts w:hint="eastAsia" w:asciiTheme="minorEastAsia" w:hAnsiTheme="minorEastAsia" w:cstheme="minorEastAsia"/>
          <w:color w:val="auto"/>
          <w:szCs w:val="21"/>
          <w:lang w:val="en-US" w:eastAsia="zh-CN"/>
        </w:rPr>
        <w:t>等</w:t>
      </w:r>
      <w:r>
        <w:rPr>
          <w:rFonts w:hint="eastAsia"/>
          <w:bCs/>
          <w:color w:val="auto"/>
          <w:szCs w:val="21"/>
        </w:rPr>
        <w:t>）、绿地巡查、</w:t>
      </w:r>
      <w:r>
        <w:rPr>
          <w:rFonts w:hint="eastAsia"/>
          <w:bCs/>
          <w:color w:val="auto"/>
          <w:szCs w:val="21"/>
          <w:lang w:val="en-US" w:eastAsia="zh-CN"/>
        </w:rPr>
        <w:t>绿地保洁（包括两侧林带、中央绿化带、侧分带）</w:t>
      </w:r>
      <w:r>
        <w:rPr>
          <w:rFonts w:hint="eastAsia"/>
          <w:bCs/>
          <w:color w:val="auto"/>
          <w:szCs w:val="21"/>
        </w:rPr>
        <w:t>、配套设施维护、应急或突发事件处理、抗台防汛、冰冻雪灾、暴雨、重大活动保障等涉及绿化养护、绿地管理</w:t>
      </w:r>
      <w:r>
        <w:rPr>
          <w:rFonts w:hint="eastAsia"/>
          <w:bCs/>
          <w:color w:val="auto"/>
          <w:szCs w:val="21"/>
          <w:lang w:val="en-US" w:eastAsia="zh-CN"/>
        </w:rPr>
        <w:t>的</w:t>
      </w:r>
      <w:r>
        <w:rPr>
          <w:rFonts w:hint="eastAsia"/>
          <w:bCs/>
          <w:color w:val="auto"/>
          <w:szCs w:val="21"/>
        </w:rPr>
        <w:t>一系列工作。</w:t>
      </w:r>
      <w:bookmarkEnd w:id="34"/>
    </w:p>
    <w:p>
      <w:pPr>
        <w:pStyle w:val="5"/>
        <w:spacing w:before="0" w:after="0" w:line="480" w:lineRule="exact"/>
        <w:ind w:left="425"/>
        <w:rPr>
          <w:b w:val="0"/>
          <w:bCs w:val="0"/>
          <w:color w:val="auto"/>
          <w:sz w:val="21"/>
          <w:szCs w:val="24"/>
        </w:rPr>
      </w:pPr>
      <w:r>
        <w:rPr>
          <w:rFonts w:hint="eastAsia"/>
          <w:b w:val="0"/>
          <w:bCs w:val="0"/>
          <w:color w:val="auto"/>
          <w:sz w:val="21"/>
          <w:szCs w:val="24"/>
        </w:rPr>
        <w:t>1.4</w:t>
      </w:r>
      <w:bookmarkStart w:id="35" w:name="_Toc18535"/>
      <w:r>
        <w:rPr>
          <w:rFonts w:hint="eastAsia"/>
          <w:b w:val="0"/>
          <w:bCs w:val="0"/>
          <w:color w:val="auto"/>
          <w:sz w:val="21"/>
          <w:szCs w:val="24"/>
        </w:rPr>
        <w:t>养护作业人员配备要求：</w:t>
      </w:r>
    </w:p>
    <w:p>
      <w:pPr>
        <w:pStyle w:val="5"/>
        <w:spacing w:before="0" w:after="0" w:line="480" w:lineRule="exact"/>
        <w:ind w:firstLine="420" w:firstLineChars="200"/>
        <w:rPr>
          <w:b w:val="0"/>
          <w:bCs w:val="0"/>
          <w:color w:val="auto"/>
          <w:sz w:val="21"/>
          <w:szCs w:val="24"/>
        </w:rPr>
      </w:pPr>
      <w:r>
        <w:rPr>
          <w:rFonts w:hint="eastAsia"/>
          <w:b w:val="0"/>
          <w:bCs w:val="0"/>
          <w:color w:val="auto"/>
          <w:sz w:val="21"/>
          <w:szCs w:val="24"/>
        </w:rPr>
        <w:t>根据项目情况自行配备必要的养护工作人员，投标文件中须列清所有人员清单、资质、工作经验等相关资料。</w:t>
      </w:r>
      <w:bookmarkEnd w:id="35"/>
    </w:p>
    <w:p>
      <w:pPr>
        <w:pStyle w:val="5"/>
        <w:spacing w:before="0" w:after="0" w:line="480" w:lineRule="exact"/>
        <w:ind w:left="425"/>
        <w:rPr>
          <w:b w:val="0"/>
          <w:bCs w:val="0"/>
          <w:color w:val="auto"/>
          <w:sz w:val="21"/>
          <w:szCs w:val="24"/>
        </w:rPr>
      </w:pPr>
      <w:r>
        <w:rPr>
          <w:rFonts w:hint="eastAsia"/>
          <w:b w:val="0"/>
          <w:bCs w:val="0"/>
          <w:color w:val="auto"/>
          <w:sz w:val="21"/>
          <w:szCs w:val="24"/>
        </w:rPr>
        <w:t>1.</w:t>
      </w:r>
      <w:r>
        <w:rPr>
          <w:rFonts w:hint="eastAsia" w:ascii="Calibri" w:hAnsi="Calibri" w:eastAsia="宋体" w:cs="黑体"/>
          <w:b w:val="0"/>
          <w:bCs/>
          <w:color w:val="auto"/>
          <w:kern w:val="2"/>
          <w:sz w:val="21"/>
          <w:szCs w:val="21"/>
          <w:lang w:val="en-US" w:eastAsia="zh-CN" w:bidi="ar-SA"/>
        </w:rPr>
        <w:t>5</w:t>
      </w:r>
      <w:r>
        <w:rPr>
          <w:rFonts w:hint="eastAsia"/>
          <w:b w:val="0"/>
          <w:bCs w:val="0"/>
          <w:color w:val="auto"/>
          <w:sz w:val="21"/>
          <w:szCs w:val="24"/>
          <w:lang w:val="en-US" w:eastAsia="zh-CN"/>
        </w:rPr>
        <w:t>根据养护设施量、养护质量标准及考核标准等，由投标人按要求自行购置（优先考虑自行购置）或巡查、作业所需的车辆、机械和设备。投标人应在投标文件中明确拟投入的车辆和设备种类、数量及费用。</w:t>
      </w:r>
    </w:p>
    <w:p>
      <w:pPr>
        <w:pStyle w:val="5"/>
        <w:spacing w:before="0" w:after="0" w:line="480" w:lineRule="exact"/>
        <w:ind w:firstLine="420" w:firstLineChars="200"/>
        <w:rPr>
          <w:b w:val="0"/>
          <w:bCs w:val="0"/>
          <w:color w:val="auto"/>
          <w:sz w:val="21"/>
          <w:szCs w:val="24"/>
        </w:rPr>
      </w:pPr>
      <w:r>
        <w:rPr>
          <w:rFonts w:hint="eastAsia"/>
          <w:b w:val="0"/>
          <w:bCs w:val="0"/>
          <w:color w:val="auto"/>
          <w:sz w:val="21"/>
          <w:szCs w:val="24"/>
        </w:rPr>
        <w:t>1.6投标人须考虑因城市建设等因素而导致的工程数量及养护区域变更或合同无法继续履行等情况，在投标时充分考虑该风险并自行承担因此而造成的一切损失和责任，并服从政策和招标人针对本项目内容的调整方式及管理规定，且不得向招标人提出索赔。</w:t>
      </w:r>
    </w:p>
    <w:p>
      <w:pPr>
        <w:pStyle w:val="5"/>
        <w:spacing w:before="0" w:after="0" w:line="480" w:lineRule="exact"/>
        <w:ind w:firstLine="420" w:firstLineChars="200"/>
        <w:rPr>
          <w:color w:val="auto"/>
        </w:rPr>
      </w:pPr>
      <w:r>
        <w:rPr>
          <w:rFonts w:hint="eastAsia"/>
          <w:b w:val="0"/>
          <w:bCs w:val="0"/>
          <w:color w:val="auto"/>
          <w:sz w:val="21"/>
          <w:szCs w:val="24"/>
          <w:lang w:val="en-US" w:eastAsia="zh-CN"/>
        </w:rPr>
        <w:t>*</w:t>
      </w:r>
      <w:r>
        <w:rPr>
          <w:rFonts w:hint="eastAsia"/>
          <w:b w:val="0"/>
          <w:bCs w:val="0"/>
          <w:color w:val="auto"/>
          <w:sz w:val="21"/>
          <w:szCs w:val="24"/>
        </w:rPr>
        <w:t>注：如因道路建设等原因，造成合同执行期内养护内容、面积、设施数量的增加或减少，则以实际工作量按中标单价按实结算，投标人不得有异议。</w:t>
      </w:r>
    </w:p>
    <w:p>
      <w:pPr>
        <w:tabs>
          <w:tab w:val="left" w:pos="0"/>
        </w:tabs>
        <w:spacing w:line="440" w:lineRule="exact"/>
        <w:ind w:firstLine="420" w:firstLineChars="200"/>
        <w:contextualSpacing/>
        <w:rPr>
          <w:rFonts w:hint="eastAsia"/>
          <w:color w:val="auto"/>
          <w:szCs w:val="24"/>
        </w:rPr>
      </w:pPr>
    </w:p>
    <w:p>
      <w:pPr>
        <w:tabs>
          <w:tab w:val="left" w:pos="0"/>
        </w:tabs>
        <w:spacing w:line="440" w:lineRule="exact"/>
        <w:ind w:firstLine="420" w:firstLineChars="200"/>
        <w:contextualSpacing/>
        <w:rPr>
          <w:rFonts w:hint="eastAsia"/>
          <w:color w:val="auto"/>
          <w:szCs w:val="24"/>
        </w:rPr>
      </w:pPr>
    </w:p>
    <w:p>
      <w:pPr>
        <w:tabs>
          <w:tab w:val="left" w:pos="0"/>
        </w:tabs>
        <w:spacing w:line="440" w:lineRule="exact"/>
        <w:ind w:firstLine="420" w:firstLineChars="200"/>
        <w:contextualSpacing/>
        <w:rPr>
          <w:rFonts w:hint="eastAsia"/>
          <w:color w:val="auto"/>
          <w:szCs w:val="24"/>
        </w:rPr>
      </w:pPr>
    </w:p>
    <w:p>
      <w:pPr>
        <w:pStyle w:val="2"/>
        <w:rPr>
          <w:rFonts w:hint="eastAsia"/>
          <w:color w:val="auto"/>
          <w:szCs w:val="24"/>
        </w:rPr>
      </w:pPr>
    </w:p>
    <w:p>
      <w:pPr>
        <w:pStyle w:val="2"/>
        <w:rPr>
          <w:rFonts w:hint="eastAsia"/>
          <w:color w:val="auto"/>
          <w:szCs w:val="24"/>
        </w:rPr>
      </w:pPr>
    </w:p>
    <w:p>
      <w:pPr>
        <w:pStyle w:val="2"/>
        <w:rPr>
          <w:rFonts w:hint="eastAsia"/>
          <w:color w:val="auto"/>
          <w:szCs w:val="24"/>
        </w:rPr>
      </w:pPr>
    </w:p>
    <w:p>
      <w:pPr>
        <w:tabs>
          <w:tab w:val="left" w:pos="0"/>
        </w:tabs>
        <w:spacing w:line="440" w:lineRule="exact"/>
        <w:contextualSpacing/>
        <w:rPr>
          <w:rFonts w:hint="eastAsia"/>
          <w:color w:val="auto"/>
          <w:szCs w:val="24"/>
          <w:highlight w:val="none"/>
        </w:rPr>
      </w:pPr>
      <w:r>
        <w:rPr>
          <w:rFonts w:hint="eastAsia" w:ascii="宋体" w:hAnsi="宋体" w:cs="宋体"/>
          <w:b/>
          <w:color w:val="000000"/>
          <w:szCs w:val="21"/>
          <w:lang w:val="en-US" w:eastAsia="zh-CN"/>
        </w:rPr>
        <w:t>二、实施路段划分</w:t>
      </w:r>
      <w:bookmarkStart w:id="36" w:name="_Toc281485988"/>
      <w:bookmarkStart w:id="37" w:name="_Toc372870933"/>
    </w:p>
    <w:tbl>
      <w:tblPr>
        <w:tblStyle w:val="29"/>
        <w:tblW w:w="10609" w:type="dxa"/>
        <w:jc w:val="center"/>
        <w:tblLayout w:type="fixed"/>
        <w:tblCellMar>
          <w:top w:w="0" w:type="dxa"/>
          <w:left w:w="108" w:type="dxa"/>
          <w:bottom w:w="0" w:type="dxa"/>
          <w:right w:w="108" w:type="dxa"/>
        </w:tblCellMar>
      </w:tblPr>
      <w:tblGrid>
        <w:gridCol w:w="639"/>
        <w:gridCol w:w="642"/>
        <w:gridCol w:w="1785"/>
        <w:gridCol w:w="1125"/>
        <w:gridCol w:w="1183"/>
        <w:gridCol w:w="885"/>
        <w:gridCol w:w="1322"/>
        <w:gridCol w:w="975"/>
        <w:gridCol w:w="1108"/>
        <w:gridCol w:w="945"/>
      </w:tblGrid>
      <w:tr>
        <w:tblPrEx>
          <w:tblCellMar>
            <w:top w:w="0" w:type="dxa"/>
            <w:left w:w="108" w:type="dxa"/>
            <w:bottom w:w="0" w:type="dxa"/>
            <w:right w:w="108" w:type="dxa"/>
          </w:tblCellMar>
        </w:tblPrEx>
        <w:trPr>
          <w:trHeight w:val="1500" w:hRule="atLeast"/>
          <w:tblHeader/>
          <w:jc w:val="center"/>
        </w:trPr>
        <w:tc>
          <w:tcPr>
            <w:tcW w:w="639" w:type="dxa"/>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标段</w:t>
            </w:r>
          </w:p>
        </w:tc>
        <w:tc>
          <w:tcPr>
            <w:tcW w:w="642" w:type="dxa"/>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序号</w:t>
            </w:r>
          </w:p>
        </w:tc>
        <w:tc>
          <w:tcPr>
            <w:tcW w:w="1785" w:type="dxa"/>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服务范围</w:t>
            </w:r>
          </w:p>
        </w:tc>
        <w:tc>
          <w:tcPr>
            <w:tcW w:w="1125" w:type="dxa"/>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分类</w:t>
            </w:r>
          </w:p>
        </w:tc>
        <w:tc>
          <w:tcPr>
            <w:tcW w:w="1183" w:type="dxa"/>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面积（㎡）</w:t>
            </w:r>
          </w:p>
        </w:tc>
        <w:tc>
          <w:tcPr>
            <w:tcW w:w="885" w:type="dxa"/>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预算单价（元/㎡•年）</w:t>
            </w:r>
          </w:p>
        </w:tc>
        <w:tc>
          <w:tcPr>
            <w:tcW w:w="1322"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预算总价（元/年）</w:t>
            </w:r>
          </w:p>
        </w:tc>
        <w:tc>
          <w:tcPr>
            <w:tcW w:w="975"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合计</w:t>
            </w:r>
          </w:p>
          <w:p>
            <w:pPr>
              <w:widowControl/>
              <w:jc w:val="center"/>
              <w:rPr>
                <w:rFonts w:ascii="宋体" w:hAnsi="宋体" w:cs="宋体"/>
                <w:color w:val="auto"/>
                <w:kern w:val="0"/>
                <w:szCs w:val="21"/>
              </w:rPr>
            </w:pPr>
            <w:r>
              <w:rPr>
                <w:rFonts w:hint="eastAsia" w:ascii="宋体" w:hAnsi="宋体" w:cs="宋体"/>
                <w:color w:val="auto"/>
                <w:kern w:val="0"/>
                <w:szCs w:val="21"/>
              </w:rPr>
              <w:t>（元/年）</w:t>
            </w:r>
          </w:p>
        </w:tc>
        <w:tc>
          <w:tcPr>
            <w:tcW w:w="1108"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合同签订日期</w:t>
            </w:r>
          </w:p>
        </w:tc>
        <w:tc>
          <w:tcPr>
            <w:tcW w:w="945"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备注</w:t>
            </w:r>
          </w:p>
        </w:tc>
      </w:tr>
      <w:tr>
        <w:tblPrEx>
          <w:tblCellMar>
            <w:top w:w="0" w:type="dxa"/>
            <w:left w:w="108" w:type="dxa"/>
            <w:bottom w:w="0" w:type="dxa"/>
            <w:right w:w="108" w:type="dxa"/>
          </w:tblCellMar>
        </w:tblPrEx>
        <w:trPr>
          <w:trHeight w:val="1035" w:hRule="atLeast"/>
          <w:tblHeader/>
          <w:jc w:val="center"/>
        </w:trPr>
        <w:tc>
          <w:tcPr>
            <w:tcW w:w="639" w:type="dxa"/>
            <w:vMerge w:val="restart"/>
            <w:tcBorders>
              <w:top w:val="nil"/>
              <w:left w:val="single" w:color="auto" w:sz="8" w:space="0"/>
              <w:right w:val="single" w:color="auto" w:sz="8"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一</w:t>
            </w:r>
          </w:p>
        </w:tc>
        <w:tc>
          <w:tcPr>
            <w:tcW w:w="642"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w:t>
            </w:r>
          </w:p>
        </w:tc>
        <w:tc>
          <w:tcPr>
            <w:tcW w:w="1785"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G527象义线（K56+814-K73+908）、S311象西线（K45+360-K49+536）</w:t>
            </w:r>
          </w:p>
        </w:tc>
        <w:tc>
          <w:tcPr>
            <w:tcW w:w="112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绿地</w:t>
            </w:r>
          </w:p>
        </w:tc>
        <w:tc>
          <w:tcPr>
            <w:tcW w:w="1183"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303859</w:t>
            </w:r>
          </w:p>
        </w:tc>
        <w:tc>
          <w:tcPr>
            <w:tcW w:w="885"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lang w:val="en-US" w:eastAsia="zh-CN"/>
              </w:rPr>
              <w:t>3.24</w:t>
            </w:r>
            <w:r>
              <w:rPr>
                <w:rFonts w:hint="eastAsia" w:ascii="宋体" w:hAnsi="宋体" w:cs="宋体"/>
                <w:color w:val="auto"/>
                <w:kern w:val="0"/>
                <w:szCs w:val="21"/>
              </w:rPr>
              <w:t xml:space="preserve"> </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984503.16</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1275985</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中标后30天内</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rPr>
            </w:pPr>
            <w:r>
              <w:rPr>
                <w:rFonts w:hint="eastAsia"/>
                <w:color w:val="auto"/>
                <w:szCs w:val="24"/>
              </w:rPr>
              <w:t>面积为暂定面积，结算时按单价结算。日常工作内容包含养护和保洁，具体详见招标文件第</w:t>
            </w:r>
            <w:r>
              <w:rPr>
                <w:rFonts w:hint="eastAsia"/>
                <w:color w:val="auto"/>
                <w:szCs w:val="24"/>
                <w:lang w:val="en-US" w:eastAsia="zh-CN"/>
              </w:rPr>
              <w:t>二</w:t>
            </w:r>
            <w:r>
              <w:rPr>
                <w:rFonts w:hint="eastAsia"/>
                <w:color w:val="auto"/>
                <w:szCs w:val="24"/>
              </w:rPr>
              <w:t>章“</w:t>
            </w:r>
            <w:r>
              <w:rPr>
                <w:rFonts w:hint="eastAsia"/>
                <w:color w:val="auto"/>
                <w:szCs w:val="24"/>
                <w:lang w:val="en-US" w:eastAsia="zh-CN"/>
              </w:rPr>
              <w:t>招标需求</w:t>
            </w:r>
            <w:r>
              <w:rPr>
                <w:rFonts w:hint="eastAsia"/>
                <w:color w:val="auto"/>
                <w:szCs w:val="24"/>
              </w:rPr>
              <w:t>”。</w:t>
            </w:r>
          </w:p>
        </w:tc>
      </w:tr>
      <w:tr>
        <w:tblPrEx>
          <w:tblCellMar>
            <w:top w:w="0" w:type="dxa"/>
            <w:left w:w="108" w:type="dxa"/>
            <w:bottom w:w="0" w:type="dxa"/>
            <w:right w:w="108" w:type="dxa"/>
          </w:tblCellMar>
        </w:tblPrEx>
        <w:trPr>
          <w:trHeight w:val="725" w:hRule="atLeast"/>
          <w:tblHeader/>
          <w:jc w:val="center"/>
        </w:trPr>
        <w:tc>
          <w:tcPr>
            <w:tcW w:w="639" w:type="dxa"/>
            <w:vMerge w:val="continue"/>
            <w:tcBorders>
              <w:left w:val="single" w:color="auto" w:sz="8" w:space="0"/>
              <w:right w:val="single" w:color="auto" w:sz="8" w:space="0"/>
            </w:tcBorders>
            <w:vAlign w:val="center"/>
          </w:tcPr>
          <w:p>
            <w:pPr>
              <w:widowControl/>
              <w:jc w:val="left"/>
              <w:rPr>
                <w:rFonts w:ascii="宋体" w:hAnsi="宋体" w:cs="宋体"/>
                <w:color w:val="auto"/>
                <w:kern w:val="0"/>
                <w:szCs w:val="21"/>
              </w:rPr>
            </w:pPr>
          </w:p>
        </w:tc>
        <w:tc>
          <w:tcPr>
            <w:tcW w:w="642" w:type="dxa"/>
            <w:vMerge w:val="restart"/>
            <w:tcBorders>
              <w:top w:val="nil"/>
              <w:left w:val="single" w:color="auto" w:sz="8" w:space="0"/>
              <w:right w:val="single" w:color="auto" w:sz="8" w:space="0"/>
            </w:tcBorders>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2</w:t>
            </w:r>
          </w:p>
        </w:tc>
        <w:tc>
          <w:tcPr>
            <w:tcW w:w="1785" w:type="dxa"/>
            <w:vMerge w:val="restart"/>
            <w:tcBorders>
              <w:top w:val="nil"/>
              <w:left w:val="single" w:color="auto" w:sz="8" w:space="0"/>
              <w:right w:val="single" w:color="auto" w:sz="8" w:space="0"/>
            </w:tcBorders>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老象西线S311（K54+200-K90+800）</w:t>
            </w:r>
          </w:p>
        </w:tc>
        <w:tc>
          <w:tcPr>
            <w:tcW w:w="112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绿地</w:t>
            </w:r>
          </w:p>
        </w:tc>
        <w:tc>
          <w:tcPr>
            <w:tcW w:w="1183"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55397.9</w:t>
            </w:r>
          </w:p>
        </w:tc>
        <w:tc>
          <w:tcPr>
            <w:tcW w:w="885" w:type="dxa"/>
            <w:tcBorders>
              <w:top w:val="nil"/>
              <w:left w:val="nil"/>
              <w:bottom w:val="single" w:color="auto" w:sz="8"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3.24</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179489.2</w:t>
            </w: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2023年6月10日</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610" w:hRule="atLeast"/>
          <w:tblHeader/>
          <w:jc w:val="center"/>
        </w:trPr>
        <w:tc>
          <w:tcPr>
            <w:tcW w:w="639" w:type="dxa"/>
            <w:vMerge w:val="continue"/>
            <w:tcBorders>
              <w:left w:val="single" w:color="auto" w:sz="8" w:space="0"/>
              <w:right w:val="single" w:color="auto" w:sz="8" w:space="0"/>
            </w:tcBorders>
            <w:vAlign w:val="center"/>
          </w:tcPr>
          <w:p>
            <w:pPr>
              <w:widowControl/>
              <w:jc w:val="left"/>
              <w:rPr>
                <w:rFonts w:ascii="宋体" w:hAnsi="宋体" w:cs="宋体"/>
                <w:color w:val="auto"/>
                <w:kern w:val="0"/>
                <w:szCs w:val="21"/>
              </w:rPr>
            </w:pPr>
          </w:p>
        </w:tc>
        <w:tc>
          <w:tcPr>
            <w:tcW w:w="642" w:type="dxa"/>
            <w:vMerge w:val="continue"/>
            <w:tcBorders>
              <w:left w:val="single" w:color="auto" w:sz="8" w:space="0"/>
              <w:bottom w:val="single" w:color="000000" w:sz="8" w:space="0"/>
              <w:right w:val="single" w:color="auto" w:sz="8" w:space="0"/>
            </w:tcBorders>
            <w:vAlign w:val="center"/>
          </w:tcPr>
          <w:p>
            <w:pPr>
              <w:widowControl/>
              <w:jc w:val="center"/>
              <w:rPr>
                <w:rFonts w:hint="default" w:ascii="宋体" w:hAnsi="宋体" w:cs="宋体"/>
                <w:color w:val="auto"/>
                <w:kern w:val="0"/>
                <w:szCs w:val="21"/>
                <w:lang w:val="en-US" w:eastAsia="zh-CN"/>
              </w:rPr>
            </w:pPr>
          </w:p>
        </w:tc>
        <w:tc>
          <w:tcPr>
            <w:tcW w:w="1785" w:type="dxa"/>
            <w:vMerge w:val="continue"/>
            <w:tcBorders>
              <w:left w:val="single" w:color="auto" w:sz="8" w:space="0"/>
              <w:bottom w:val="single" w:color="000000" w:sz="8" w:space="0"/>
              <w:right w:val="single" w:color="auto" w:sz="8" w:space="0"/>
            </w:tcBorders>
            <w:vAlign w:val="center"/>
          </w:tcPr>
          <w:p>
            <w:pPr>
              <w:widowControl/>
              <w:jc w:val="center"/>
              <w:rPr>
                <w:rFonts w:hint="eastAsia" w:ascii="宋体" w:hAnsi="宋体" w:cs="宋体"/>
                <w:color w:val="auto"/>
                <w:kern w:val="0"/>
                <w:szCs w:val="21"/>
                <w:lang w:val="en-US" w:eastAsia="zh-CN"/>
              </w:rPr>
            </w:pPr>
          </w:p>
        </w:tc>
        <w:tc>
          <w:tcPr>
            <w:tcW w:w="112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林带</w:t>
            </w:r>
          </w:p>
        </w:tc>
        <w:tc>
          <w:tcPr>
            <w:tcW w:w="1183"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110136.2</w:t>
            </w:r>
          </w:p>
        </w:tc>
        <w:tc>
          <w:tcPr>
            <w:tcW w:w="885" w:type="dxa"/>
            <w:tcBorders>
              <w:top w:val="nil"/>
              <w:left w:val="nil"/>
              <w:bottom w:val="single" w:color="auto" w:sz="8"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0.48</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52865.38</w:t>
            </w: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lang w:val="en-US" w:eastAsia="zh-CN"/>
              </w:rPr>
              <w:t>2023年6月10日</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700" w:hRule="atLeast"/>
          <w:tblHeader/>
          <w:jc w:val="center"/>
        </w:trPr>
        <w:tc>
          <w:tcPr>
            <w:tcW w:w="639" w:type="dxa"/>
            <w:vMerge w:val="continue"/>
            <w:tcBorders>
              <w:left w:val="single" w:color="auto" w:sz="8" w:space="0"/>
              <w:bottom w:val="single" w:color="auto" w:sz="4" w:space="0"/>
              <w:right w:val="single" w:color="auto" w:sz="8" w:space="0"/>
            </w:tcBorders>
            <w:vAlign w:val="center"/>
          </w:tcPr>
          <w:p>
            <w:pPr>
              <w:widowControl/>
              <w:jc w:val="left"/>
              <w:rPr>
                <w:rFonts w:ascii="宋体" w:hAnsi="宋体" w:cs="宋体"/>
                <w:color w:val="auto"/>
                <w:kern w:val="0"/>
                <w:szCs w:val="21"/>
              </w:rPr>
            </w:pPr>
          </w:p>
        </w:tc>
        <w:tc>
          <w:tcPr>
            <w:tcW w:w="642" w:type="dxa"/>
            <w:tcBorders>
              <w:left w:val="single" w:color="auto" w:sz="8" w:space="0"/>
              <w:bottom w:val="single" w:color="auto" w:sz="4" w:space="0"/>
              <w:right w:val="single" w:color="auto" w:sz="8" w:space="0"/>
            </w:tcBorders>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w:t>
            </w:r>
          </w:p>
        </w:tc>
        <w:tc>
          <w:tcPr>
            <w:tcW w:w="1785" w:type="dxa"/>
            <w:tcBorders>
              <w:left w:val="single" w:color="auto" w:sz="8" w:space="0"/>
              <w:bottom w:val="single" w:color="auto" w:sz="4" w:space="0"/>
              <w:right w:val="single" w:color="auto" w:sz="8" w:space="0"/>
            </w:tcBorders>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西山线（K17+500-K20+270）</w:t>
            </w:r>
          </w:p>
        </w:tc>
        <w:tc>
          <w:tcPr>
            <w:tcW w:w="112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绿地</w:t>
            </w:r>
          </w:p>
        </w:tc>
        <w:tc>
          <w:tcPr>
            <w:tcW w:w="1183"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18249.2</w:t>
            </w:r>
          </w:p>
        </w:tc>
        <w:tc>
          <w:tcPr>
            <w:tcW w:w="885" w:type="dxa"/>
            <w:tcBorders>
              <w:top w:val="nil"/>
              <w:left w:val="nil"/>
              <w:bottom w:val="single" w:color="auto" w:sz="8"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3.24</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59127.41</w:t>
            </w: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2023年6月10日</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977" w:hRule="atLeast"/>
          <w:tblHeader/>
          <w:jc w:val="center"/>
        </w:trPr>
        <w:tc>
          <w:tcPr>
            <w:tcW w:w="6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二</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西环线（K0+000+K5+100，K6+200-K9+800）</w:t>
            </w:r>
          </w:p>
        </w:tc>
        <w:tc>
          <w:tcPr>
            <w:tcW w:w="1125"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精品路线</w:t>
            </w:r>
          </w:p>
        </w:tc>
        <w:tc>
          <w:tcPr>
            <w:tcW w:w="118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lang w:val="en-US" w:eastAsia="zh-CN"/>
              </w:rPr>
              <w:t>193072.33</w:t>
            </w:r>
            <w:r>
              <w:rPr>
                <w:rFonts w:hint="eastAsia" w:ascii="宋体" w:hAnsi="宋体" w:cs="宋体"/>
                <w:color w:val="auto"/>
                <w:kern w:val="0"/>
                <w:szCs w:val="21"/>
              </w:rPr>
              <w:t xml:space="preserve"> </w:t>
            </w:r>
          </w:p>
        </w:tc>
        <w:tc>
          <w:tcPr>
            <w:tcW w:w="885"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lang w:val="en-US" w:eastAsia="zh-CN"/>
              </w:rPr>
              <w:t>3.3</w:t>
            </w:r>
            <w:r>
              <w:rPr>
                <w:rFonts w:hint="eastAsia" w:ascii="宋体" w:hAnsi="宋体" w:cs="宋体"/>
                <w:color w:val="auto"/>
                <w:kern w:val="0"/>
                <w:szCs w:val="21"/>
              </w:rPr>
              <w:t xml:space="preserve"> </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637138.69</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1373798</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中标后30天内</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887" w:hRule="atLeast"/>
          <w:tblHeader/>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rPr>
            </w:pP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2</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西环线K5+100-K6+200</w:t>
            </w:r>
          </w:p>
        </w:tc>
        <w:tc>
          <w:tcPr>
            <w:tcW w:w="1125"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精品路线</w:t>
            </w:r>
          </w:p>
        </w:tc>
        <w:tc>
          <w:tcPr>
            <w:tcW w:w="1183"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7877</w:t>
            </w:r>
          </w:p>
        </w:tc>
        <w:tc>
          <w:tcPr>
            <w:tcW w:w="885" w:type="dxa"/>
            <w:tcBorders>
              <w:top w:val="nil"/>
              <w:left w:val="nil"/>
              <w:bottom w:val="single" w:color="auto" w:sz="8"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3.3</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25994.1</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2023年6月10日</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1302" w:hRule="atLeast"/>
          <w:tblHeader/>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642"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w:t>
            </w:r>
          </w:p>
        </w:tc>
        <w:tc>
          <w:tcPr>
            <w:tcW w:w="1785"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乌岩山隧道口上方、狮子岩隧道口上方</w:t>
            </w:r>
          </w:p>
        </w:tc>
        <w:tc>
          <w:tcPr>
            <w:tcW w:w="1125"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lang w:val="en-US" w:eastAsia="zh-CN"/>
              </w:rPr>
              <w:t>精品路线</w:t>
            </w:r>
          </w:p>
        </w:tc>
        <w:tc>
          <w:tcPr>
            <w:tcW w:w="1183"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2500</w:t>
            </w:r>
          </w:p>
        </w:tc>
        <w:tc>
          <w:tcPr>
            <w:tcW w:w="885" w:type="dxa"/>
            <w:tcBorders>
              <w:top w:val="nil"/>
              <w:left w:val="nil"/>
              <w:bottom w:val="single" w:color="auto" w:sz="8"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3.3</w:t>
            </w:r>
          </w:p>
        </w:tc>
        <w:tc>
          <w:tcPr>
            <w:tcW w:w="1322"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8250</w:t>
            </w:r>
          </w:p>
        </w:tc>
        <w:tc>
          <w:tcPr>
            <w:tcW w:w="975" w:type="dxa"/>
            <w:vMerge w:val="continue"/>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1108" w:type="dxa"/>
            <w:tcBorders>
              <w:top w:val="single" w:color="auto" w:sz="4" w:space="0"/>
              <w:left w:val="single" w:color="auto" w:sz="4" w:space="0"/>
              <w:bottom w:val="single" w:color="auto" w:sz="8"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中标后30天内</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1007" w:hRule="atLeast"/>
          <w:tblHeader/>
          <w:jc w:val="center"/>
        </w:trPr>
        <w:tc>
          <w:tcPr>
            <w:tcW w:w="639"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ascii="宋体" w:hAnsi="宋体" w:cs="宋体"/>
                <w:color w:val="auto"/>
                <w:kern w:val="0"/>
                <w:szCs w:val="21"/>
              </w:rPr>
            </w:pPr>
          </w:p>
        </w:tc>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4</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公铁立交-马鞍岭隧道口</w:t>
            </w:r>
          </w:p>
        </w:tc>
        <w:tc>
          <w:tcPr>
            <w:tcW w:w="11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精品路线</w:t>
            </w:r>
          </w:p>
        </w:tc>
        <w:tc>
          <w:tcPr>
            <w:tcW w:w="1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109260</w:t>
            </w:r>
          </w:p>
        </w:tc>
        <w:tc>
          <w:tcPr>
            <w:tcW w:w="8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3.3</w:t>
            </w:r>
          </w:p>
        </w:tc>
        <w:tc>
          <w:tcPr>
            <w:tcW w:w="132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360558</w:t>
            </w:r>
          </w:p>
        </w:tc>
        <w:tc>
          <w:tcPr>
            <w:tcW w:w="97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Cs w:val="21"/>
              </w:rPr>
            </w:pPr>
          </w:p>
        </w:tc>
        <w:tc>
          <w:tcPr>
            <w:tcW w:w="1108"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中标后30天内</w:t>
            </w:r>
          </w:p>
        </w:tc>
        <w:tc>
          <w:tcPr>
            <w:tcW w:w="945"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1007" w:hRule="atLeast"/>
          <w:tblHeader/>
          <w:jc w:val="center"/>
        </w:trPr>
        <w:tc>
          <w:tcPr>
            <w:tcW w:w="639" w:type="dxa"/>
            <w:vMerge w:val="continue"/>
            <w:tcBorders>
              <w:left w:val="single" w:color="auto" w:sz="4" w:space="0"/>
              <w:bottom w:val="single" w:color="auto" w:sz="4" w:space="0"/>
              <w:right w:val="single" w:color="auto" w:sz="8" w:space="0"/>
            </w:tcBorders>
            <w:shd w:val="clear" w:color="auto" w:fill="auto"/>
            <w:vAlign w:val="center"/>
          </w:tcPr>
          <w:p>
            <w:pPr>
              <w:widowControl/>
              <w:jc w:val="center"/>
              <w:rPr>
                <w:rFonts w:ascii="宋体" w:hAnsi="宋体" w:cs="宋体"/>
                <w:color w:val="auto"/>
                <w:kern w:val="0"/>
                <w:szCs w:val="21"/>
              </w:rPr>
            </w:pPr>
          </w:p>
        </w:tc>
        <w:tc>
          <w:tcPr>
            <w:tcW w:w="642"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5</w:t>
            </w:r>
          </w:p>
        </w:tc>
        <w:tc>
          <w:tcPr>
            <w:tcW w:w="1785"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甬临复线K74+950-K76+900</w:t>
            </w:r>
          </w:p>
        </w:tc>
        <w:tc>
          <w:tcPr>
            <w:tcW w:w="1125"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精品路线（中带）</w:t>
            </w:r>
          </w:p>
        </w:tc>
        <w:tc>
          <w:tcPr>
            <w:tcW w:w="1183"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32283.1</w:t>
            </w:r>
          </w:p>
        </w:tc>
        <w:tc>
          <w:tcPr>
            <w:tcW w:w="885"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3.3</w:t>
            </w:r>
          </w:p>
        </w:tc>
        <w:tc>
          <w:tcPr>
            <w:tcW w:w="1322"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106534.23</w:t>
            </w:r>
          </w:p>
        </w:tc>
        <w:tc>
          <w:tcPr>
            <w:tcW w:w="975" w:type="dxa"/>
            <w:vMerge w:val="continue"/>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center"/>
              <w:rPr>
                <w:rFonts w:ascii="宋体" w:hAnsi="宋体" w:cs="宋体"/>
                <w:color w:val="auto"/>
                <w:kern w:val="0"/>
                <w:szCs w:val="21"/>
              </w:rPr>
            </w:pPr>
          </w:p>
        </w:tc>
        <w:tc>
          <w:tcPr>
            <w:tcW w:w="1108" w:type="dxa"/>
            <w:tcBorders>
              <w:top w:val="single" w:color="auto" w:sz="8" w:space="0"/>
              <w:left w:val="single" w:color="auto" w:sz="8" w:space="0"/>
              <w:bottom w:val="single" w:color="auto" w:sz="4" w:space="0"/>
              <w:right w:val="single" w:color="auto" w:sz="8" w:space="0"/>
            </w:tcBorders>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2023年6月10日</w:t>
            </w:r>
          </w:p>
        </w:tc>
        <w:tc>
          <w:tcPr>
            <w:tcW w:w="945" w:type="dxa"/>
            <w:vMerge w:val="continue"/>
            <w:tcBorders>
              <w:left w:val="single" w:color="auto" w:sz="8"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1372" w:hRule="atLeast"/>
          <w:tblHeader/>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6</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沈海高速（K1564+500-K1570+200）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林带</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191996.1</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0.48</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92158.13</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2023年6月10日</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842" w:hRule="atLeast"/>
          <w:tblHeader/>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7</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城松线（K1+900-K2+500，K3+400-K6+700）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绿地</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13836.1</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3.24</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44828.96</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2023年6月10日</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842" w:hRule="atLeast"/>
          <w:tblHeader/>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642"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8</w:t>
            </w:r>
          </w:p>
        </w:tc>
        <w:tc>
          <w:tcPr>
            <w:tcW w:w="17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甬临线（K73+200-K80+600）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绿地</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28542</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3.24</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92476.08</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11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2023年6月10日</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842" w:hRule="atLeast"/>
          <w:tblHeader/>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642"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p>
        </w:tc>
        <w:tc>
          <w:tcPr>
            <w:tcW w:w="1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林带</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12207.9</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0.48</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5859.79</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842" w:hRule="atLeast"/>
          <w:tblHeader/>
          <w:jc w:val="center"/>
        </w:trPr>
        <w:tc>
          <w:tcPr>
            <w:tcW w:w="6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三</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甬临复线两侧（K77+900-K89+100）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精品路线</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232715</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3.3</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767959.5</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1623635</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中标后30天内</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842" w:hRule="atLeast"/>
          <w:tblHeader/>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2</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甬临复线（K77+900-K89+100）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绿地</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129485.7</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3.24</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419533.67</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2023年6月10日</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842" w:hRule="atLeast"/>
          <w:tblHeader/>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梁书线（K0+000-K2+850）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绿地</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14884.6</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3.24</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48226.1</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2023年6月10日</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842" w:hRule="atLeast"/>
          <w:tblHeader/>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城岭线（K20+300-K24+000）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林带</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22545.8</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0.48</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10821.98</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2023年6月10日</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842" w:hRule="atLeast"/>
          <w:tblHeader/>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642"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5</w:t>
            </w:r>
          </w:p>
        </w:tc>
        <w:tc>
          <w:tcPr>
            <w:tcW w:w="178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甬临线（K80+600-K100+640）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绿地</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24033.4</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3.24</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77868.22</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1108"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2023年6月10日</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842" w:hRule="atLeast"/>
          <w:tblHeader/>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642"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林带</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150747.7</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0.48</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72358.9</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1108"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lang w:val="en-US" w:eastAsia="zh-CN"/>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842" w:hRule="atLeast"/>
          <w:tblHeader/>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6</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沈海高速（K1570+200-K1588+830）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林带</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472638.8</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0.48</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226866.62</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2023年6月10日</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bl>
    <w:p>
      <w:pPr>
        <w:spacing w:line="360" w:lineRule="auto"/>
        <w:ind w:firstLine="420" w:firstLineChars="200"/>
        <w:jc w:val="center"/>
        <w:rPr>
          <w:rFonts w:hint="eastAsia" w:ascii="宋体" w:hAnsi="宋体" w:cs="宋体"/>
          <w:color w:val="auto"/>
          <w:szCs w:val="21"/>
        </w:rPr>
      </w:pPr>
    </w:p>
    <w:p>
      <w:pPr>
        <w:spacing w:line="360" w:lineRule="auto"/>
        <w:ind w:firstLine="420" w:firstLineChars="200"/>
        <w:jc w:val="center"/>
        <w:rPr>
          <w:rFonts w:hint="eastAsia" w:ascii="Calibri" w:hAnsi="Calibri" w:eastAsia="宋体" w:cs="黑体"/>
          <w:color w:val="auto"/>
          <w:kern w:val="2"/>
          <w:sz w:val="21"/>
          <w:szCs w:val="21"/>
          <w:lang w:val="en-US" w:eastAsia="zh-CN" w:bidi="ar-SA"/>
        </w:rPr>
      </w:pPr>
      <w:r>
        <w:rPr>
          <w:rFonts w:hint="eastAsia" w:ascii="宋体" w:hAnsi="宋体" w:cs="宋体"/>
          <w:color w:val="auto"/>
          <w:szCs w:val="21"/>
        </w:rPr>
        <w:t>★</w:t>
      </w:r>
      <w:r>
        <w:rPr>
          <w:rFonts w:hint="eastAsia" w:ascii="Calibri" w:hAnsi="Calibri" w:eastAsia="宋体" w:cs="黑体"/>
          <w:color w:val="auto"/>
          <w:kern w:val="2"/>
          <w:sz w:val="21"/>
          <w:szCs w:val="21"/>
          <w:lang w:val="en-US" w:eastAsia="zh-CN" w:bidi="ar-SA"/>
        </w:rPr>
        <w:t>1.</w:t>
      </w:r>
      <w:r>
        <w:rPr>
          <w:rFonts w:hint="eastAsia" w:cs="黑体"/>
          <w:color w:val="auto"/>
          <w:kern w:val="2"/>
          <w:sz w:val="21"/>
          <w:szCs w:val="21"/>
          <w:lang w:val="en-US" w:eastAsia="zh-CN" w:bidi="ar-SA"/>
        </w:rPr>
        <w:t>10</w:t>
      </w:r>
      <w:r>
        <w:rPr>
          <w:rFonts w:hint="eastAsia" w:ascii="Calibri" w:hAnsi="Calibri" w:eastAsia="宋体" w:cs="黑体"/>
          <w:color w:val="auto"/>
          <w:kern w:val="2"/>
          <w:sz w:val="21"/>
          <w:szCs w:val="21"/>
          <w:lang w:val="en-US" w:eastAsia="zh-CN" w:bidi="ar-SA"/>
        </w:rPr>
        <w:t>苗木清单</w:t>
      </w:r>
      <w:r>
        <w:rPr>
          <w:rFonts w:hint="eastAsia" w:cs="黑体"/>
          <w:color w:val="auto"/>
          <w:kern w:val="2"/>
          <w:sz w:val="21"/>
          <w:szCs w:val="21"/>
          <w:lang w:val="en-US" w:eastAsia="zh-CN" w:bidi="ar-SA"/>
        </w:rPr>
        <w:t>：</w:t>
      </w:r>
      <w:r>
        <w:rPr>
          <w:rFonts w:hint="eastAsia" w:ascii="Calibri" w:hAnsi="Calibri" w:eastAsia="宋体" w:cs="黑体"/>
          <w:color w:val="auto"/>
          <w:kern w:val="2"/>
          <w:sz w:val="21"/>
          <w:szCs w:val="21"/>
          <w:lang w:val="en-US" w:eastAsia="zh-CN" w:bidi="ar-SA"/>
        </w:rPr>
        <w:t>具体清单以中标后中标人和采购人现场实地确认的为准，中标人应于合同签订前和采购人共同至养护现场清点苗木，双方确认无误后签字确认</w:t>
      </w:r>
      <w:r>
        <w:rPr>
          <w:rFonts w:hint="eastAsia" w:cs="黑体"/>
          <w:color w:val="auto"/>
          <w:kern w:val="2"/>
          <w:sz w:val="21"/>
          <w:szCs w:val="21"/>
          <w:lang w:val="en-US" w:eastAsia="zh-CN" w:bidi="ar-SA"/>
        </w:rPr>
        <w:t>。</w:t>
      </w:r>
    </w:p>
    <w:p>
      <w:pPr>
        <w:pStyle w:val="2"/>
        <w:rPr>
          <w:rFonts w:hint="eastAsia"/>
          <w:color w:val="auto"/>
          <w:szCs w:val="24"/>
          <w:highlight w:val="none"/>
        </w:rPr>
      </w:pPr>
    </w:p>
    <w:p>
      <w:pPr>
        <w:pStyle w:val="2"/>
        <w:rPr>
          <w:rFonts w:hint="default"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三、技术规范</w:t>
      </w:r>
    </w:p>
    <w:p>
      <w:pPr>
        <w:tabs>
          <w:tab w:val="left" w:pos="1834"/>
        </w:tabs>
        <w:spacing w:line="480" w:lineRule="exact"/>
        <w:ind w:firstLine="420" w:firstLineChars="200"/>
        <w:rPr>
          <w:color w:val="auto"/>
          <w:szCs w:val="24"/>
          <w:highlight w:val="none"/>
        </w:rPr>
      </w:pPr>
      <w:r>
        <w:rPr>
          <w:rFonts w:hint="eastAsia"/>
          <w:color w:val="auto"/>
          <w:szCs w:val="24"/>
          <w:highlight w:val="none"/>
          <w:lang w:val="en-US" w:eastAsia="zh-CN"/>
        </w:rPr>
        <w:t>3.1</w:t>
      </w:r>
      <w:r>
        <w:rPr>
          <w:rFonts w:hint="eastAsia"/>
          <w:color w:val="auto"/>
          <w:szCs w:val="24"/>
          <w:highlight w:val="none"/>
        </w:rPr>
        <w:t>执行标准</w:t>
      </w:r>
      <w:bookmarkEnd w:id="36"/>
      <w:bookmarkEnd w:id="37"/>
    </w:p>
    <w:p>
      <w:pPr>
        <w:spacing w:line="480" w:lineRule="exact"/>
        <w:ind w:firstLine="420" w:firstLineChars="200"/>
        <w:rPr>
          <w:color w:val="auto"/>
          <w:szCs w:val="24"/>
        </w:rPr>
      </w:pPr>
      <w:r>
        <w:rPr>
          <w:rFonts w:hint="eastAsia"/>
          <w:color w:val="auto"/>
          <w:szCs w:val="24"/>
        </w:rPr>
        <w:t>《宁波市道路绿地等级标准》</w:t>
      </w:r>
    </w:p>
    <w:p>
      <w:pPr>
        <w:tabs>
          <w:tab w:val="left" w:pos="1834"/>
        </w:tabs>
        <w:spacing w:line="480" w:lineRule="exact"/>
        <w:ind w:firstLine="420" w:firstLineChars="200"/>
        <w:rPr>
          <w:color w:val="auto"/>
          <w:szCs w:val="24"/>
        </w:rPr>
      </w:pPr>
      <w:r>
        <w:rPr>
          <w:color w:val="auto"/>
          <w:szCs w:val="24"/>
        </w:rPr>
        <w:t>《宁波市城市绿地养护质量等级标准》</w:t>
      </w:r>
    </w:p>
    <w:p>
      <w:pPr>
        <w:tabs>
          <w:tab w:val="left" w:pos="1834"/>
        </w:tabs>
        <w:spacing w:line="480" w:lineRule="exact"/>
        <w:ind w:firstLine="420" w:firstLineChars="200"/>
        <w:rPr>
          <w:color w:val="auto"/>
          <w:szCs w:val="24"/>
        </w:rPr>
      </w:pPr>
      <w:r>
        <w:rPr>
          <w:color w:val="auto"/>
          <w:szCs w:val="24"/>
        </w:rPr>
        <w:t>《宁波市城市绿地养护技术规程》</w:t>
      </w:r>
    </w:p>
    <w:p>
      <w:pPr>
        <w:spacing w:line="480" w:lineRule="exact"/>
        <w:ind w:firstLine="420" w:firstLineChars="200"/>
        <w:rPr>
          <w:color w:val="auto"/>
          <w:szCs w:val="24"/>
        </w:rPr>
      </w:pPr>
      <w:r>
        <w:rPr>
          <w:rFonts w:hint="eastAsia"/>
          <w:color w:val="auto"/>
          <w:szCs w:val="24"/>
        </w:rPr>
        <w:t>《宁海县公路与运输管理中心对外承包养护绿地考核办法》</w:t>
      </w:r>
    </w:p>
    <w:p>
      <w:pPr>
        <w:tabs>
          <w:tab w:val="left" w:pos="1834"/>
        </w:tabs>
        <w:spacing w:line="480" w:lineRule="exact"/>
        <w:ind w:firstLine="420" w:firstLineChars="200"/>
        <w:rPr>
          <w:color w:val="auto"/>
          <w:szCs w:val="24"/>
        </w:rPr>
      </w:pPr>
      <w:r>
        <w:rPr>
          <w:rFonts w:hint="eastAsia"/>
          <w:color w:val="auto"/>
          <w:szCs w:val="24"/>
        </w:rPr>
        <w:t>《</w:t>
      </w:r>
      <w:r>
        <w:rPr>
          <w:color w:val="auto"/>
          <w:szCs w:val="24"/>
        </w:rPr>
        <w:t>宁波市园林绿化养护定额</w:t>
      </w:r>
      <w:r>
        <w:rPr>
          <w:rFonts w:hint="eastAsia"/>
          <w:color w:val="auto"/>
          <w:szCs w:val="24"/>
        </w:rPr>
        <w:t>》</w:t>
      </w:r>
    </w:p>
    <w:p>
      <w:pPr>
        <w:spacing w:line="480" w:lineRule="exact"/>
        <w:ind w:firstLine="420" w:firstLineChars="200"/>
        <w:rPr>
          <w:color w:val="auto"/>
          <w:szCs w:val="24"/>
        </w:rPr>
      </w:pPr>
      <w:bookmarkStart w:id="38" w:name="_Toc281485989"/>
      <w:bookmarkStart w:id="39" w:name="_Toc372870934"/>
      <w:r>
        <w:rPr>
          <w:rFonts w:hint="eastAsia"/>
          <w:color w:val="auto"/>
          <w:szCs w:val="24"/>
          <w:lang w:val="en-US" w:eastAsia="zh-CN"/>
        </w:rPr>
        <w:t>3.2</w:t>
      </w:r>
      <w:r>
        <w:rPr>
          <w:rFonts w:hint="eastAsia"/>
          <w:color w:val="auto"/>
          <w:szCs w:val="24"/>
        </w:rPr>
        <w:t>依据法规</w:t>
      </w:r>
      <w:bookmarkEnd w:id="38"/>
      <w:bookmarkEnd w:id="39"/>
    </w:p>
    <w:p>
      <w:pPr>
        <w:tabs>
          <w:tab w:val="left" w:pos="1834"/>
        </w:tabs>
        <w:spacing w:line="480" w:lineRule="exact"/>
        <w:ind w:firstLine="420" w:firstLineChars="200"/>
        <w:rPr>
          <w:color w:val="auto"/>
          <w:szCs w:val="24"/>
        </w:rPr>
      </w:pPr>
      <w:r>
        <w:rPr>
          <w:rFonts w:hint="eastAsia"/>
          <w:color w:val="auto"/>
          <w:szCs w:val="24"/>
        </w:rPr>
        <w:t>《公路养护技术规范》</w:t>
      </w:r>
    </w:p>
    <w:p>
      <w:pPr>
        <w:tabs>
          <w:tab w:val="left" w:pos="1834"/>
        </w:tabs>
        <w:spacing w:line="480" w:lineRule="exact"/>
        <w:ind w:firstLine="420" w:firstLineChars="200"/>
        <w:rPr>
          <w:color w:val="auto"/>
          <w:szCs w:val="24"/>
        </w:rPr>
      </w:pPr>
      <w:r>
        <w:rPr>
          <w:rFonts w:hint="eastAsia"/>
          <w:color w:val="auto"/>
          <w:szCs w:val="24"/>
        </w:rPr>
        <w:t>《中国公路养护安全作业规程》</w:t>
      </w:r>
    </w:p>
    <w:p>
      <w:pPr>
        <w:tabs>
          <w:tab w:val="left" w:pos="1834"/>
        </w:tabs>
        <w:spacing w:line="480" w:lineRule="exact"/>
        <w:ind w:firstLine="420" w:firstLineChars="200"/>
        <w:rPr>
          <w:color w:val="auto"/>
          <w:szCs w:val="24"/>
        </w:rPr>
      </w:pPr>
      <w:r>
        <w:rPr>
          <w:rFonts w:hint="eastAsia"/>
          <w:color w:val="auto"/>
          <w:szCs w:val="24"/>
        </w:rPr>
        <w:t>《公路技术状况评定标准》</w:t>
      </w:r>
    </w:p>
    <w:p>
      <w:pPr>
        <w:tabs>
          <w:tab w:val="left" w:pos="1834"/>
        </w:tabs>
        <w:spacing w:line="480" w:lineRule="exact"/>
        <w:ind w:firstLine="420" w:firstLineChars="200"/>
        <w:rPr>
          <w:color w:val="auto"/>
          <w:szCs w:val="24"/>
        </w:rPr>
      </w:pPr>
      <w:r>
        <w:rPr>
          <w:rFonts w:hint="eastAsia"/>
          <w:color w:val="auto"/>
          <w:szCs w:val="24"/>
        </w:rPr>
        <w:t>《宁波市公路养护条例》</w:t>
      </w:r>
    </w:p>
    <w:p>
      <w:pPr>
        <w:tabs>
          <w:tab w:val="left" w:pos="1834"/>
        </w:tabs>
        <w:spacing w:line="480" w:lineRule="exact"/>
        <w:ind w:firstLine="420" w:firstLineChars="200"/>
        <w:rPr>
          <w:color w:val="auto"/>
          <w:szCs w:val="24"/>
        </w:rPr>
      </w:pPr>
      <w:r>
        <w:rPr>
          <w:color w:val="auto"/>
          <w:szCs w:val="24"/>
        </w:rPr>
        <w:t>《城市绿化条例》（国务院100号令）</w:t>
      </w:r>
    </w:p>
    <w:p>
      <w:pPr>
        <w:tabs>
          <w:tab w:val="left" w:pos="1834"/>
        </w:tabs>
        <w:spacing w:line="480" w:lineRule="exact"/>
        <w:ind w:firstLine="420" w:firstLineChars="200"/>
        <w:rPr>
          <w:color w:val="auto"/>
          <w:szCs w:val="24"/>
        </w:rPr>
      </w:pPr>
      <w:r>
        <w:rPr>
          <w:color w:val="auto"/>
          <w:szCs w:val="24"/>
        </w:rPr>
        <w:t>《城市绿线管理办法》（中华人民共和国建设部令第112号）</w:t>
      </w:r>
    </w:p>
    <w:p>
      <w:pPr>
        <w:tabs>
          <w:tab w:val="left" w:pos="1834"/>
        </w:tabs>
        <w:spacing w:line="480" w:lineRule="exact"/>
        <w:ind w:firstLine="420" w:firstLineChars="200"/>
        <w:rPr>
          <w:color w:val="auto"/>
          <w:szCs w:val="24"/>
        </w:rPr>
      </w:pPr>
      <w:r>
        <w:rPr>
          <w:color w:val="auto"/>
          <w:szCs w:val="24"/>
        </w:rPr>
        <w:t>《浙江省城市绿化管理办法》（浙江省政府令第206号）</w:t>
      </w:r>
    </w:p>
    <w:p>
      <w:pPr>
        <w:tabs>
          <w:tab w:val="left" w:pos="1834"/>
        </w:tabs>
        <w:spacing w:line="480" w:lineRule="exact"/>
        <w:ind w:firstLine="420" w:firstLineChars="200"/>
        <w:rPr>
          <w:color w:val="auto"/>
          <w:szCs w:val="24"/>
        </w:rPr>
      </w:pPr>
      <w:r>
        <w:rPr>
          <w:color w:val="auto"/>
          <w:szCs w:val="24"/>
        </w:rPr>
        <w:t>《宁波市城市绿化条例》（宁波市人大公告第38号）</w:t>
      </w:r>
    </w:p>
    <w:p>
      <w:pPr>
        <w:tabs>
          <w:tab w:val="left" w:pos="1834"/>
        </w:tabs>
        <w:spacing w:line="480" w:lineRule="exact"/>
        <w:ind w:firstLine="420" w:firstLineChars="200"/>
        <w:rPr>
          <w:color w:val="auto"/>
          <w:szCs w:val="21"/>
        </w:rPr>
      </w:pPr>
      <w:r>
        <w:rPr>
          <w:rFonts w:hint="eastAsia"/>
          <w:color w:val="auto"/>
          <w:szCs w:val="21"/>
        </w:rPr>
        <w:t>注：以上技术规程、标准和办法如有新版本颁布实施的，执行新颁布的版本。</w:t>
      </w:r>
    </w:p>
    <w:p>
      <w:pPr>
        <w:pStyle w:val="14"/>
        <w:numPr>
          <w:ilvl w:val="0"/>
          <w:numId w:val="0"/>
        </w:numPr>
        <w:snapToGrid w:val="0"/>
        <w:spacing w:beforeLines="0" w:after="120"/>
        <w:jc w:val="both"/>
        <w:outlineLvl w:val="0"/>
        <w:rPr>
          <w:rFonts w:hint="eastAsia" w:ascii="Calibri" w:hAnsi="Calibri" w:eastAsia="宋体" w:cs="黑体"/>
          <w:color w:val="auto"/>
          <w:kern w:val="2"/>
          <w:sz w:val="21"/>
          <w:szCs w:val="21"/>
          <w:lang w:val="en-US" w:eastAsia="zh-CN" w:bidi="ar-SA"/>
        </w:rPr>
      </w:pPr>
    </w:p>
    <w:p>
      <w:pPr>
        <w:spacing w:line="360" w:lineRule="auto"/>
        <w:ind w:firstLine="422" w:firstLineChars="200"/>
        <w:jc w:val="center"/>
        <w:rPr>
          <w:rFonts w:hint="default" w:ascii="Calibri" w:hAnsi="Calibri" w:eastAsia="宋体" w:cs="黑体"/>
          <w:color w:val="auto"/>
          <w:kern w:val="2"/>
          <w:sz w:val="21"/>
          <w:szCs w:val="21"/>
          <w:lang w:val="en-US" w:eastAsia="zh-CN" w:bidi="ar-SA"/>
        </w:rPr>
      </w:pPr>
      <w:r>
        <w:rPr>
          <w:rFonts w:hint="eastAsia" w:hAnsi="宋体"/>
          <w:b/>
          <w:szCs w:val="21"/>
          <w:lang w:val="en-US" w:eastAsia="zh-CN"/>
        </w:rPr>
        <w:t>四、</w:t>
      </w:r>
      <w:r>
        <w:rPr>
          <w:rFonts w:hAnsi="宋体"/>
          <w:b/>
          <w:szCs w:val="21"/>
        </w:rPr>
        <w:t>商务要求</w:t>
      </w:r>
    </w:p>
    <w:tbl>
      <w:tblPr>
        <w:tblStyle w:val="29"/>
        <w:tblW w:w="91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3"/>
        <w:gridCol w:w="82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5" w:hRule="atLeast"/>
          <w:jc w:val="center"/>
        </w:trPr>
        <w:tc>
          <w:tcPr>
            <w:tcW w:w="963" w:type="dxa"/>
            <w:noWrap w:val="0"/>
            <w:vAlign w:val="center"/>
          </w:tcPr>
          <w:p>
            <w:pPr>
              <w:spacing w:line="480" w:lineRule="exact"/>
              <w:contextualSpacing/>
              <w:jc w:val="center"/>
              <w:rPr>
                <w:rFonts w:hint="eastAsia" w:ascii="宋体" w:hAnsi="宋体"/>
                <w:snapToGrid w:val="0"/>
                <w:szCs w:val="21"/>
              </w:rPr>
            </w:pPr>
            <w:r>
              <w:rPr>
                <w:rFonts w:hint="eastAsia" w:ascii="宋体" w:hAnsi="宋体" w:eastAsia="宋体" w:cs="Times New Roman"/>
                <w:szCs w:val="21"/>
              </w:rPr>
              <w:t>★</w:t>
            </w:r>
            <w:r>
              <w:rPr>
                <w:rFonts w:hint="eastAsia" w:ascii="宋体" w:hAnsi="宋体"/>
                <w:snapToGrid w:val="0"/>
                <w:szCs w:val="21"/>
              </w:rPr>
              <w:t>1</w:t>
            </w:r>
          </w:p>
        </w:tc>
        <w:tc>
          <w:tcPr>
            <w:tcW w:w="8235" w:type="dxa"/>
            <w:noWrap w:val="0"/>
            <w:vAlign w:val="center"/>
          </w:tcPr>
          <w:p>
            <w:pPr>
              <w:spacing w:line="480" w:lineRule="exact"/>
              <w:contextualSpacing/>
              <w:rPr>
                <w:rFonts w:ascii="宋体" w:hAnsi="宋体"/>
                <w:snapToGrid w:val="0"/>
                <w:szCs w:val="21"/>
              </w:rPr>
            </w:pPr>
            <w:r>
              <w:rPr>
                <w:rFonts w:hint="eastAsia" w:ascii="宋体" w:hAnsi="宋体" w:cs="Arial"/>
                <w:color w:val="auto"/>
                <w:kern w:val="0"/>
                <w:szCs w:val="21"/>
                <w:lang w:val="en-US" w:eastAsia="zh-CN"/>
              </w:rPr>
              <w:t>服务期限：</w:t>
            </w:r>
            <w:r>
              <w:rPr>
                <w:rFonts w:hint="eastAsia"/>
                <w:color w:val="auto"/>
                <w:szCs w:val="24"/>
              </w:rPr>
              <w:t>起始时间以合同签订为准，本项目一招暂定2年，协议一年一签。由采购人及行业主管部门根据中标人的合同履约情况决定是否续签，并在符合县级年度预算安排要求下，方可续签下一年度合同。除不可抗力外，精品苗木在养护期内出现死亡，中标人须按原规格赔偿，否则死一赔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63" w:type="dxa"/>
            <w:noWrap w:val="0"/>
            <w:vAlign w:val="center"/>
          </w:tcPr>
          <w:p>
            <w:pPr>
              <w:spacing w:line="480" w:lineRule="exact"/>
              <w:contextualSpacing/>
              <w:jc w:val="center"/>
              <w:rPr>
                <w:rFonts w:hint="eastAsia" w:ascii="宋体" w:hAnsi="宋体"/>
                <w:snapToGrid w:val="0"/>
                <w:szCs w:val="21"/>
              </w:rPr>
            </w:pPr>
            <w:r>
              <w:rPr>
                <w:rFonts w:hint="eastAsia" w:ascii="宋体" w:hAnsi="宋体" w:eastAsia="宋体" w:cs="Times New Roman"/>
                <w:szCs w:val="21"/>
              </w:rPr>
              <w:t>★</w:t>
            </w:r>
            <w:r>
              <w:rPr>
                <w:rFonts w:hint="eastAsia" w:ascii="宋体" w:hAnsi="宋体"/>
                <w:snapToGrid w:val="0"/>
                <w:szCs w:val="21"/>
              </w:rPr>
              <w:t>2</w:t>
            </w:r>
          </w:p>
        </w:tc>
        <w:tc>
          <w:tcPr>
            <w:tcW w:w="8235" w:type="dxa"/>
            <w:noWrap w:val="0"/>
            <w:vAlign w:val="center"/>
          </w:tcPr>
          <w:p>
            <w:pPr>
              <w:pStyle w:val="10"/>
              <w:spacing w:after="0" w:line="480" w:lineRule="exact"/>
              <w:contextualSpacing/>
              <w:rPr>
                <w:rFonts w:hint="eastAsia" w:ascii="宋体" w:hAnsi="宋体"/>
                <w:snapToGrid w:val="0"/>
                <w:sz w:val="21"/>
                <w:szCs w:val="21"/>
                <w:lang w:val="en-US" w:eastAsia="zh-CN"/>
              </w:rPr>
            </w:pPr>
            <w:r>
              <w:rPr>
                <w:rFonts w:hint="eastAsia" w:ascii="宋体" w:hAnsi="宋体" w:eastAsia="宋体" w:cs="宋体"/>
                <w:b w:val="0"/>
                <w:bCs/>
                <w:color w:val="000000"/>
                <w:spacing w:val="0"/>
                <w:kern w:val="2"/>
                <w:sz w:val="21"/>
                <w:szCs w:val="21"/>
                <w:lang w:val="en-US" w:eastAsia="zh-CN" w:bidi="ar-SA"/>
              </w:rPr>
              <w:t>实施地点：按招标人指定地点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jc w:val="center"/>
        </w:trPr>
        <w:tc>
          <w:tcPr>
            <w:tcW w:w="963" w:type="dxa"/>
            <w:noWrap w:val="0"/>
            <w:vAlign w:val="center"/>
          </w:tcPr>
          <w:p>
            <w:pPr>
              <w:spacing w:line="480" w:lineRule="exact"/>
              <w:contextualSpacing/>
              <w:rPr>
                <w:rFonts w:ascii="宋体" w:hAnsi="宋体"/>
                <w:snapToGrid w:val="0"/>
                <w:szCs w:val="21"/>
              </w:rPr>
            </w:pPr>
            <w:r>
              <w:rPr>
                <w:rFonts w:hint="eastAsia" w:ascii="宋体" w:hAnsi="宋体"/>
                <w:snapToGrid w:val="0"/>
                <w:szCs w:val="21"/>
              </w:rPr>
              <w:t xml:space="preserve"> </w:t>
            </w:r>
            <w:r>
              <w:rPr>
                <w:rFonts w:hint="eastAsia" w:ascii="宋体" w:hAnsi="宋体" w:eastAsia="宋体" w:cs="Times New Roman"/>
                <w:szCs w:val="21"/>
              </w:rPr>
              <w:t>★</w:t>
            </w:r>
            <w:r>
              <w:rPr>
                <w:rFonts w:hint="eastAsia" w:ascii="宋体" w:hAnsi="宋体"/>
                <w:snapToGrid w:val="0"/>
                <w:szCs w:val="21"/>
              </w:rPr>
              <w:t xml:space="preserve"> 3</w:t>
            </w:r>
          </w:p>
        </w:tc>
        <w:tc>
          <w:tcPr>
            <w:tcW w:w="8235" w:type="dxa"/>
            <w:noWrap w:val="0"/>
            <w:vAlign w:val="center"/>
          </w:tcPr>
          <w:p>
            <w:pPr>
              <w:spacing w:line="360" w:lineRule="auto"/>
              <w:rPr>
                <w:rFonts w:ascii="宋体" w:hAnsi="宋体" w:cs="Arial"/>
                <w:color w:val="auto"/>
                <w:kern w:val="0"/>
                <w:szCs w:val="21"/>
                <w:highlight w:val="red"/>
              </w:rPr>
            </w:pPr>
            <w:r>
              <w:rPr>
                <w:rFonts w:hint="eastAsia" w:ascii="宋体" w:hAnsi="宋体" w:cs="宋体"/>
                <w:color w:val="auto"/>
                <w:szCs w:val="21"/>
                <w:lang w:eastAsia="zh-CN"/>
              </w:rPr>
              <w:t>付款方式：</w:t>
            </w:r>
            <w:r>
              <w:rPr>
                <w:rFonts w:hint="eastAsia" w:ascii="宋体" w:hAnsi="宋体" w:cs="Arial"/>
                <w:color w:val="auto"/>
                <w:kern w:val="0"/>
                <w:szCs w:val="21"/>
              </w:rPr>
              <w:t>实行日常巡查、月度检查、季度考核相结合的办法。</w:t>
            </w:r>
            <w:r>
              <w:rPr>
                <w:rFonts w:hint="eastAsia" w:ascii="宋体" w:hAnsi="宋体" w:cs="Arial"/>
                <w:color w:val="auto"/>
                <w:kern w:val="0"/>
                <w:szCs w:val="21"/>
                <w:highlight w:val="none"/>
              </w:rPr>
              <w:t>每季度评分一次，</w:t>
            </w:r>
            <w:r>
              <w:rPr>
                <w:rFonts w:ascii="宋体" w:hAnsi="宋体" w:cs="Arial"/>
                <w:color w:val="auto"/>
                <w:kern w:val="0"/>
                <w:szCs w:val="21"/>
                <w:highlight w:val="none"/>
              </w:rPr>
              <w:t>每季度结算一次</w:t>
            </w:r>
            <w:r>
              <w:rPr>
                <w:rFonts w:hint="eastAsia" w:ascii="宋体" w:hAnsi="宋体" w:cs="Arial"/>
                <w:color w:val="auto"/>
                <w:kern w:val="0"/>
                <w:szCs w:val="21"/>
                <w:highlight w:val="none"/>
              </w:rPr>
              <w:t>。</w:t>
            </w:r>
          </w:p>
          <w:p>
            <w:pPr>
              <w:numPr>
                <w:ilvl w:val="0"/>
                <w:numId w:val="0"/>
              </w:numPr>
              <w:spacing w:line="360" w:lineRule="auto"/>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季度</w:t>
            </w:r>
            <w:r>
              <w:rPr>
                <w:rFonts w:hint="eastAsia" w:asciiTheme="minorEastAsia" w:hAnsiTheme="minorEastAsia" w:eastAsiaTheme="minorEastAsia" w:cstheme="minorEastAsia"/>
                <w:color w:val="auto"/>
                <w:szCs w:val="21"/>
                <w:lang w:val="en-US" w:eastAsia="zh-CN"/>
              </w:rPr>
              <w:t>考核综合得分</w:t>
            </w:r>
            <w:r>
              <w:rPr>
                <w:rFonts w:hint="eastAsia" w:asciiTheme="minorEastAsia" w:hAnsiTheme="minorEastAsia" w:eastAsiaTheme="minorEastAsia" w:cstheme="minorEastAsia"/>
                <w:color w:val="auto"/>
                <w:szCs w:val="21"/>
              </w:rPr>
              <w:t>在90分以上（包含90分）的为合格；95分以上的为优秀。</w:t>
            </w:r>
            <w:r>
              <w:rPr>
                <w:rFonts w:hint="eastAsia" w:asciiTheme="minorEastAsia" w:hAnsiTheme="minorEastAsia" w:eastAsiaTheme="minorEastAsia" w:cstheme="minorEastAsia"/>
                <w:color w:val="auto"/>
                <w:szCs w:val="21"/>
                <w:lang w:val="en-US" w:eastAsia="zh-CN"/>
              </w:rPr>
              <w:t>低于90分的按以下规定执行：</w:t>
            </w:r>
          </w:p>
          <w:p>
            <w:pPr>
              <w:numPr>
                <w:ilvl w:val="0"/>
                <w:numId w:val="0"/>
              </w:numPr>
              <w:spacing w:line="360" w:lineRule="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1.季度考核综合得分</w:t>
            </w:r>
            <w:r>
              <w:rPr>
                <w:rFonts w:hint="eastAsia" w:asciiTheme="minorEastAsia" w:hAnsiTheme="minorEastAsia" w:eastAsiaTheme="minorEastAsia" w:cstheme="minorEastAsia"/>
                <w:color w:val="auto"/>
                <w:szCs w:val="21"/>
              </w:rPr>
              <w:t>低于90分的，每下降一分，扣除当季养护经费的百分之三</w:t>
            </w:r>
            <w:r>
              <w:rPr>
                <w:rFonts w:hint="eastAsia" w:asciiTheme="minorEastAsia" w:hAnsiTheme="minorEastAsia" w:eastAsiaTheme="minorEastAsia" w:cstheme="minorEastAsia"/>
                <w:color w:val="auto"/>
                <w:szCs w:val="21"/>
                <w:lang w:eastAsia="zh-CN"/>
              </w:rPr>
              <w:t>。</w:t>
            </w:r>
          </w:p>
          <w:p>
            <w:pPr>
              <w:numPr>
                <w:ilvl w:val="0"/>
                <w:numId w:val="0"/>
              </w:num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2.季度考核综合得分</w:t>
            </w:r>
            <w:r>
              <w:rPr>
                <w:rFonts w:hint="eastAsia" w:asciiTheme="minorEastAsia" w:hAnsiTheme="minorEastAsia" w:eastAsiaTheme="minorEastAsia" w:cstheme="minorEastAsia"/>
                <w:color w:val="auto"/>
                <w:szCs w:val="21"/>
              </w:rPr>
              <w:t>低于80分的，暂不拨</w:t>
            </w:r>
            <w:r>
              <w:rPr>
                <w:rFonts w:hint="eastAsia" w:asciiTheme="minorEastAsia" w:hAnsiTheme="minorEastAsia" w:eastAsiaTheme="minorEastAsia" w:cstheme="minorEastAsia"/>
                <w:color w:val="auto"/>
                <w:szCs w:val="21"/>
                <w:lang w:val="en-US" w:eastAsia="zh-CN"/>
              </w:rPr>
              <w:t>付</w:t>
            </w:r>
            <w:r>
              <w:rPr>
                <w:rFonts w:hint="eastAsia" w:asciiTheme="minorEastAsia" w:hAnsiTheme="minorEastAsia" w:eastAsiaTheme="minorEastAsia" w:cstheme="minorEastAsia"/>
                <w:color w:val="auto"/>
                <w:szCs w:val="21"/>
              </w:rPr>
              <w:t>当季养护经费</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连续两个</w:t>
            </w:r>
            <w:r>
              <w:rPr>
                <w:rFonts w:hint="eastAsia" w:asciiTheme="minorEastAsia" w:hAnsiTheme="minorEastAsia" w:eastAsiaTheme="minorEastAsia" w:cstheme="minorEastAsia"/>
                <w:color w:val="auto"/>
                <w:szCs w:val="21"/>
                <w:lang w:val="en-US" w:eastAsia="zh-CN"/>
              </w:rPr>
              <w:t>季度考核综合得分</w:t>
            </w:r>
            <w:r>
              <w:rPr>
                <w:rFonts w:hint="eastAsia" w:asciiTheme="minorEastAsia" w:hAnsiTheme="minorEastAsia" w:eastAsiaTheme="minorEastAsia" w:cstheme="minorEastAsia"/>
                <w:color w:val="auto"/>
                <w:szCs w:val="21"/>
              </w:rPr>
              <w:t>不合格的甲方有权终止施工合同且只拨付第一季度的50%养护经费，取消第二季度养护经费拨付</w:t>
            </w:r>
            <w:r>
              <w:rPr>
                <w:rFonts w:hint="eastAsia" w:asciiTheme="minorEastAsia" w:hAnsiTheme="minorEastAsia" w:eastAsiaTheme="minorEastAsia" w:cstheme="minorEastAsia"/>
                <w:color w:val="auto"/>
                <w:szCs w:val="21"/>
                <w:lang w:eastAsia="zh-CN"/>
              </w:rPr>
              <w:t>。</w:t>
            </w:r>
          </w:p>
          <w:p>
            <w:pPr>
              <w:numPr>
                <w:ilvl w:val="0"/>
                <w:numId w:val="0"/>
              </w:num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3.季度考核综合得分</w:t>
            </w:r>
            <w:r>
              <w:rPr>
                <w:rFonts w:hint="eastAsia" w:asciiTheme="minorEastAsia" w:hAnsiTheme="minorEastAsia" w:eastAsiaTheme="minorEastAsia" w:cstheme="minorEastAsia"/>
                <w:color w:val="auto"/>
                <w:szCs w:val="21"/>
              </w:rPr>
              <w:t>低于75分取消其养护资格，解除合同并取消当季养护经费。</w:t>
            </w:r>
          </w:p>
          <w:p>
            <w:pPr>
              <w:spacing w:line="360" w:lineRule="auto"/>
              <w:rPr>
                <w:rFonts w:hint="eastAsia" w:ascii="宋体" w:hAnsi="宋体"/>
                <w:snapToGrid w:val="0"/>
                <w:szCs w:val="21"/>
              </w:rPr>
            </w:pPr>
            <w:r>
              <w:rPr>
                <w:rFonts w:hint="eastAsia" w:ascii="宋体" w:hAnsi="宋体" w:cs="Arial"/>
                <w:color w:val="auto"/>
                <w:kern w:val="0"/>
                <w:szCs w:val="21"/>
                <w:highlight w:val="none"/>
              </w:rPr>
              <w:t>（详细付款方式见采购文件第五章）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jc w:val="center"/>
        </w:trPr>
        <w:tc>
          <w:tcPr>
            <w:tcW w:w="963" w:type="dxa"/>
            <w:noWrap w:val="0"/>
            <w:vAlign w:val="center"/>
          </w:tcPr>
          <w:p>
            <w:pPr>
              <w:spacing w:line="480" w:lineRule="exact"/>
              <w:contextualSpacing/>
              <w:jc w:val="center"/>
              <w:rPr>
                <w:rFonts w:hint="eastAsia" w:ascii="宋体" w:hAnsi="宋体" w:eastAsia="宋体"/>
                <w:snapToGrid w:val="0"/>
                <w:szCs w:val="21"/>
                <w:lang w:val="en-US" w:eastAsia="zh-CN"/>
              </w:rPr>
            </w:pPr>
            <w:r>
              <w:rPr>
                <w:rFonts w:hint="eastAsia" w:ascii="宋体" w:hAnsi="宋体" w:eastAsia="宋体" w:cs="Times New Roman"/>
                <w:szCs w:val="21"/>
              </w:rPr>
              <w:t>★</w:t>
            </w:r>
            <w:r>
              <w:rPr>
                <w:rFonts w:hint="eastAsia" w:ascii="宋体" w:hAnsi="宋体" w:eastAsia="宋体"/>
                <w:snapToGrid w:val="0"/>
                <w:szCs w:val="21"/>
                <w:lang w:val="en-US" w:eastAsia="zh-CN"/>
              </w:rPr>
              <w:t>4</w:t>
            </w:r>
          </w:p>
        </w:tc>
        <w:tc>
          <w:tcPr>
            <w:tcW w:w="8235" w:type="dxa"/>
            <w:noWrap w:val="0"/>
            <w:vAlign w:val="center"/>
          </w:tcPr>
          <w:p>
            <w:pPr>
              <w:spacing w:line="360" w:lineRule="auto"/>
              <w:rPr>
                <w:rFonts w:hint="eastAsia" w:ascii="宋体" w:hAnsi="宋体" w:cs="Arial"/>
                <w:color w:val="auto"/>
                <w:kern w:val="0"/>
                <w:szCs w:val="21"/>
                <w:highlight w:val="none"/>
              </w:rPr>
            </w:pPr>
            <w:r>
              <w:rPr>
                <w:rFonts w:hint="eastAsia" w:ascii="宋体" w:hAnsi="宋体" w:cs="Arial"/>
                <w:color w:val="auto"/>
                <w:kern w:val="0"/>
                <w:szCs w:val="21"/>
                <w:lang w:val="en-US" w:eastAsia="zh-CN"/>
              </w:rPr>
              <w:t>人员考勤：中标人需自行配备考勤设备，对中标人的项目负责人及评分表加分人员的出勤进行人脸特征识别考勤。离开工地必须向招标人书面请假，并经招标人同意后才能离开；每月在工地天数应大于22天（特殊情况经招标人批准同意例外），少一天扣除罚款1000元，以此类推。累计两个月到岗率达不到50%，甲方有权终止合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963" w:type="dxa"/>
            <w:noWrap w:val="0"/>
            <w:vAlign w:val="center"/>
          </w:tcPr>
          <w:p>
            <w:pPr>
              <w:spacing w:line="480" w:lineRule="exact"/>
              <w:contextualSpacing/>
              <w:jc w:val="center"/>
              <w:rPr>
                <w:rFonts w:hint="eastAsia" w:ascii="宋体" w:hAnsi="宋体" w:eastAsia="宋体"/>
                <w:snapToGrid w:val="0"/>
                <w:szCs w:val="21"/>
                <w:lang w:eastAsia="zh-CN"/>
              </w:rPr>
            </w:pPr>
            <w:r>
              <w:rPr>
                <w:rFonts w:hint="eastAsia" w:ascii="宋体" w:hAnsi="宋体" w:eastAsia="宋体" w:cs="Times New Roman"/>
                <w:szCs w:val="21"/>
              </w:rPr>
              <w:t>★</w:t>
            </w:r>
            <w:r>
              <w:rPr>
                <w:rFonts w:hint="eastAsia" w:ascii="宋体" w:hAnsi="宋体" w:eastAsia="宋体"/>
                <w:snapToGrid w:val="0"/>
                <w:szCs w:val="21"/>
                <w:lang w:val="en-US" w:eastAsia="zh-CN"/>
              </w:rPr>
              <w:t>5</w:t>
            </w:r>
          </w:p>
        </w:tc>
        <w:tc>
          <w:tcPr>
            <w:tcW w:w="8235" w:type="dxa"/>
            <w:noWrap w:val="0"/>
            <w:vAlign w:val="center"/>
          </w:tcPr>
          <w:p>
            <w:pPr>
              <w:autoSpaceDE w:val="0"/>
              <w:autoSpaceDN w:val="0"/>
              <w:spacing w:line="480" w:lineRule="exact"/>
              <w:contextualSpacing/>
              <w:textAlignment w:val="bottom"/>
              <w:rPr>
                <w:rFonts w:hint="eastAsia" w:ascii="宋体" w:hAnsi="宋体"/>
                <w:snapToGrid w:val="0"/>
                <w:szCs w:val="21"/>
              </w:rPr>
            </w:pPr>
            <w:r>
              <w:rPr>
                <w:rFonts w:hint="eastAsia" w:ascii="宋体" w:hAnsi="宋体" w:cs="Arial"/>
                <w:color w:val="auto"/>
                <w:kern w:val="0"/>
                <w:szCs w:val="21"/>
              </w:rPr>
              <w:t>履约保证金：</w:t>
            </w:r>
            <w:r>
              <w:rPr>
                <w:rFonts w:hint="eastAsia" w:ascii="宋体" w:hAnsi="宋体" w:cs="Arial"/>
                <w:color w:val="auto"/>
                <w:kern w:val="0"/>
                <w:szCs w:val="21"/>
                <w:lang w:val="en-US" w:eastAsia="zh-CN"/>
              </w:rPr>
              <w:t>每年签订合同时，提供</w:t>
            </w:r>
            <w:r>
              <w:rPr>
                <w:rFonts w:ascii="宋体" w:hAnsi="宋体" w:cs="Arial"/>
                <w:color w:val="auto"/>
                <w:kern w:val="0"/>
                <w:szCs w:val="21"/>
              </w:rPr>
              <w:t>年度签约合同价的</w:t>
            </w:r>
            <w:r>
              <w:rPr>
                <w:rFonts w:hint="eastAsia" w:ascii="宋体" w:hAnsi="宋体" w:cs="Arial"/>
                <w:color w:val="auto"/>
                <w:kern w:val="0"/>
                <w:szCs w:val="21"/>
                <w:lang w:val="en-US" w:eastAsia="zh-CN"/>
              </w:rPr>
              <w:t>1</w:t>
            </w:r>
            <w:r>
              <w:rPr>
                <w:rFonts w:ascii="宋体" w:hAnsi="宋体" w:cs="Arial"/>
                <w:color w:val="auto"/>
                <w:kern w:val="0"/>
                <w:szCs w:val="21"/>
              </w:rPr>
              <w:t>%（若工程量超过的按实追加履约保证金金额）；履约保证金形式：</w:t>
            </w:r>
            <w:r>
              <w:rPr>
                <w:rFonts w:hint="eastAsia" w:ascii="宋体" w:hAnsi="宋体" w:cs="Arial"/>
                <w:color w:val="auto"/>
                <w:kern w:val="0"/>
                <w:szCs w:val="21"/>
              </w:rPr>
              <w:t>现金、银行转账、银行保函等采购人认可的方式。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963" w:type="dxa"/>
            <w:noWrap w:val="0"/>
            <w:vAlign w:val="center"/>
          </w:tcPr>
          <w:p>
            <w:pPr>
              <w:spacing w:line="480" w:lineRule="exact"/>
              <w:contextualSpacing/>
              <w:jc w:val="center"/>
              <w:rPr>
                <w:rFonts w:hint="eastAsia" w:ascii="宋体" w:hAnsi="宋体" w:eastAsia="宋体"/>
                <w:snapToGrid w:val="0"/>
                <w:szCs w:val="21"/>
                <w:lang w:eastAsia="zh-CN"/>
              </w:rPr>
            </w:pPr>
            <w:r>
              <w:rPr>
                <w:rFonts w:hint="eastAsia" w:ascii="宋体" w:hAnsi="宋体" w:eastAsia="宋体" w:cs="Times New Roman"/>
                <w:szCs w:val="21"/>
              </w:rPr>
              <w:t>★</w:t>
            </w:r>
            <w:r>
              <w:rPr>
                <w:rFonts w:hint="eastAsia" w:ascii="宋体" w:hAnsi="宋体"/>
                <w:snapToGrid w:val="0"/>
                <w:szCs w:val="21"/>
                <w:lang w:val="en-US" w:eastAsia="zh-CN"/>
              </w:rPr>
              <w:t>6</w:t>
            </w:r>
          </w:p>
        </w:tc>
        <w:tc>
          <w:tcPr>
            <w:tcW w:w="8235" w:type="dxa"/>
            <w:noWrap w:val="0"/>
            <w:vAlign w:val="center"/>
          </w:tcPr>
          <w:p>
            <w:pPr>
              <w:tabs>
                <w:tab w:val="left" w:pos="625"/>
              </w:tabs>
              <w:spacing w:line="440" w:lineRule="exact"/>
              <w:rPr>
                <w:rFonts w:hint="eastAsia"/>
              </w:rPr>
            </w:pPr>
            <w:r>
              <w:rPr>
                <w:rFonts w:hint="eastAsia" w:ascii="宋体" w:hAnsi="宋体" w:eastAsia="宋体" w:cs="Times New Roman"/>
                <w:szCs w:val="21"/>
              </w:rPr>
              <w:t>同意采购方对投</w:t>
            </w:r>
            <w:r>
              <w:rPr>
                <w:rFonts w:hint="eastAsia" w:ascii="宋体" w:hAnsi="宋体"/>
                <w:szCs w:val="21"/>
              </w:rPr>
              <w:t>标文件内容的真实性和有效性进行监督审查、验证</w:t>
            </w:r>
            <w:r>
              <w:rPr>
                <w:rFonts w:hint="eastAsia" w:ascii="宋体" w:hAnsi="宋体"/>
                <w:bCs/>
                <w:szCs w:val="21"/>
              </w:rPr>
              <w:t>。</w:t>
            </w:r>
          </w:p>
        </w:tc>
      </w:tr>
    </w:tbl>
    <w:p>
      <w:pPr>
        <w:pStyle w:val="36"/>
        <w:ind w:left="0" w:leftChars="0" w:firstLine="0" w:firstLineChars="0"/>
        <w:rPr>
          <w:rFonts w:hint="eastAsia" w:asciiTheme="minorEastAsia" w:hAnsiTheme="minorEastAsia" w:eastAsiaTheme="minorEastAsia" w:cstheme="minorEastAsia"/>
          <w:b/>
          <w:bCs/>
          <w:color w:val="auto"/>
          <w:szCs w:val="21"/>
        </w:rPr>
      </w:pPr>
    </w:p>
    <w:p>
      <w:pPr>
        <w:spacing w:line="360" w:lineRule="auto"/>
        <w:ind w:firstLine="422" w:firstLineChars="20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宁海县公路与运输管理中心对外承包养护绿地考核办法</w:t>
      </w:r>
    </w:p>
    <w:p>
      <w:pPr>
        <w:snapToGrid w:val="0"/>
        <w:spacing w:beforeLines="15" w:afterLines="15" w:line="440" w:lineRule="exact"/>
        <w:ind w:firstLine="420" w:firstLineChars="200"/>
        <w:rPr>
          <w:rFonts w:hint="eastAsia" w:asciiTheme="minorEastAsia" w:hAnsiTheme="minorEastAsia" w:eastAsiaTheme="minorEastAsia" w:cstheme="minorEastAsia"/>
          <w:color w:val="auto"/>
          <w:szCs w:val="21"/>
          <w:highlight w:val="red"/>
          <w:lang w:val="en-US" w:eastAsia="zh-CN"/>
        </w:rPr>
      </w:pPr>
      <w:r>
        <w:rPr>
          <w:rFonts w:hint="eastAsia" w:asciiTheme="minorEastAsia" w:hAnsiTheme="minorEastAsia" w:eastAsiaTheme="minorEastAsia" w:cstheme="minorEastAsia"/>
          <w:color w:val="auto"/>
          <w:szCs w:val="21"/>
          <w:highlight w:val="none"/>
        </w:rPr>
        <w:t>根据《公路养护技术规范》、《中国公路养护安全作业规程》、《公路技术状况评定标准》、《宁波市公路养护条例》、文件要求，结合我单位管养绿地的实际情况，制定本考核办法。本考核办法适用</w:t>
      </w:r>
      <w:r>
        <w:rPr>
          <w:rFonts w:hint="eastAsia" w:asciiTheme="minorEastAsia" w:hAnsiTheme="minorEastAsia" w:eastAsiaTheme="minorEastAsia" w:cstheme="minorEastAsia"/>
          <w:color w:val="auto"/>
          <w:szCs w:val="21"/>
          <w:highlight w:val="none"/>
          <w:lang w:eastAsia="zh-CN"/>
        </w:rPr>
        <w:t>宁海县公路与运输管理中心2023年公路绿化养护服务采购</w:t>
      </w:r>
      <w:r>
        <w:rPr>
          <w:rFonts w:hint="eastAsia" w:asciiTheme="minorEastAsia" w:hAnsiTheme="minorEastAsia" w:eastAsiaTheme="minorEastAsia" w:cstheme="minorEastAsia"/>
          <w:color w:val="auto"/>
          <w:szCs w:val="21"/>
          <w:highlight w:val="none"/>
        </w:rPr>
        <w:t>，每条线路季度考核的考核公里数须3公里（含）以上。</w:t>
      </w:r>
    </w:p>
    <w:p>
      <w:pPr>
        <w:numPr>
          <w:ilvl w:val="0"/>
          <w:numId w:val="4"/>
        </w:numPr>
        <w:spacing w:line="46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考核细则（附件A、B、C）：实行百分等级评定。日常巡查考核由</w:t>
      </w:r>
      <w:r>
        <w:rPr>
          <w:rFonts w:hint="eastAsia" w:asciiTheme="minorEastAsia" w:hAnsiTheme="minorEastAsia" w:eastAsiaTheme="minorEastAsia" w:cstheme="minorEastAsia"/>
          <w:color w:val="auto"/>
          <w:szCs w:val="21"/>
          <w:lang w:val="en-US" w:eastAsia="zh-CN"/>
        </w:rPr>
        <w:t>公运中心</w:t>
      </w:r>
      <w:r>
        <w:rPr>
          <w:rFonts w:hint="eastAsia" w:asciiTheme="minorEastAsia" w:hAnsiTheme="minorEastAsia" w:eastAsiaTheme="minorEastAsia" w:cstheme="minorEastAsia"/>
          <w:color w:val="auto"/>
          <w:szCs w:val="21"/>
        </w:rPr>
        <w:t>养护中心进行考核，所占比重40%；考核扣分以90分（含90分）为基准，每月平均日常考核所得分数低于90分，每下降1分，扣除1000元，直接从养护经费中扣除；</w:t>
      </w:r>
      <w:r>
        <w:rPr>
          <w:rFonts w:hint="eastAsia" w:asciiTheme="minorEastAsia" w:hAnsiTheme="minorEastAsia" w:eastAsiaTheme="minorEastAsia" w:cstheme="minorEastAsia"/>
          <w:color w:val="auto"/>
          <w:kern w:val="0"/>
          <w:szCs w:val="21"/>
        </w:rPr>
        <w:t>月度检查由</w:t>
      </w:r>
      <w:r>
        <w:rPr>
          <w:rFonts w:hint="eastAsia" w:asciiTheme="minorEastAsia" w:hAnsiTheme="minorEastAsia" w:eastAsiaTheme="minorEastAsia" w:cstheme="minorEastAsia"/>
          <w:color w:val="auto"/>
          <w:szCs w:val="21"/>
          <w:lang w:val="en-US" w:eastAsia="zh-CN"/>
        </w:rPr>
        <w:t>公运中心</w:t>
      </w:r>
      <w:r>
        <w:rPr>
          <w:rFonts w:hint="eastAsia" w:asciiTheme="minorEastAsia" w:hAnsiTheme="minorEastAsia" w:eastAsiaTheme="minorEastAsia" w:cstheme="minorEastAsia"/>
          <w:color w:val="auto"/>
          <w:kern w:val="0"/>
          <w:szCs w:val="21"/>
        </w:rPr>
        <w:t>养护科进行考核，所占比重20%；考核扣分以90分（含90分）为基准，所得分数低于90分的，每下降1分，每分扣除1000元，直接从养护经费中扣除。</w:t>
      </w:r>
    </w:p>
    <w:p>
      <w:pPr>
        <w:numPr>
          <w:ilvl w:val="0"/>
          <w:numId w:val="0"/>
        </w:numPr>
        <w:spacing w:line="460" w:lineRule="exact"/>
        <w:ind w:firstLine="420" w:firstLineChars="200"/>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季度考核由宁海县公路与运输管理中心组织（</w:t>
      </w:r>
      <w:r>
        <w:rPr>
          <w:rFonts w:hint="eastAsia" w:asciiTheme="minorEastAsia" w:hAnsiTheme="minorEastAsia" w:eastAsiaTheme="minorEastAsia" w:cstheme="minorEastAsia"/>
          <w:color w:val="auto"/>
          <w:szCs w:val="21"/>
          <w:lang w:val="en-US" w:eastAsia="zh-CN"/>
        </w:rPr>
        <w:t>交通局</w:t>
      </w:r>
      <w:r>
        <w:rPr>
          <w:rFonts w:hint="eastAsia" w:asciiTheme="minorEastAsia" w:hAnsiTheme="minorEastAsia" w:eastAsiaTheme="minorEastAsia" w:cstheme="minorEastAsia"/>
          <w:color w:val="auto"/>
          <w:szCs w:val="21"/>
        </w:rPr>
        <w:t>建管</w:t>
      </w:r>
      <w:r>
        <w:rPr>
          <w:rFonts w:hint="eastAsia" w:asciiTheme="minorEastAsia" w:hAnsiTheme="minorEastAsia" w:eastAsiaTheme="minorEastAsia" w:cstheme="minorEastAsia"/>
          <w:color w:val="auto"/>
          <w:szCs w:val="21"/>
          <w:lang w:val="en-US" w:eastAsia="zh-CN"/>
        </w:rPr>
        <w:t>科、公运中心</w:t>
      </w:r>
      <w:r>
        <w:rPr>
          <w:rFonts w:hint="eastAsia" w:asciiTheme="minorEastAsia" w:hAnsiTheme="minorEastAsia" w:eastAsiaTheme="minorEastAsia" w:cstheme="minorEastAsia"/>
          <w:color w:val="auto"/>
          <w:szCs w:val="21"/>
        </w:rPr>
        <w:t>各科室成员参加），季度</w:t>
      </w:r>
      <w:r>
        <w:rPr>
          <w:rFonts w:hint="eastAsia" w:asciiTheme="minorEastAsia" w:hAnsiTheme="minorEastAsia" w:eastAsiaTheme="minorEastAsia" w:cstheme="minorEastAsia"/>
          <w:color w:val="auto"/>
          <w:szCs w:val="21"/>
          <w:lang w:val="en-US" w:eastAsia="zh-CN"/>
        </w:rPr>
        <w:t>考核综合得分</w:t>
      </w:r>
      <w:r>
        <w:rPr>
          <w:rFonts w:hint="eastAsia" w:asciiTheme="minorEastAsia" w:hAnsiTheme="minorEastAsia" w:eastAsiaTheme="minorEastAsia" w:cstheme="minorEastAsia"/>
          <w:color w:val="auto"/>
          <w:szCs w:val="21"/>
        </w:rPr>
        <w:t>在90分以上（包含90分）的为合格；95分以上的为优秀。</w:t>
      </w:r>
      <w:r>
        <w:rPr>
          <w:rFonts w:hint="eastAsia" w:asciiTheme="minorEastAsia" w:hAnsiTheme="minorEastAsia" w:eastAsiaTheme="minorEastAsia" w:cstheme="minorEastAsia"/>
          <w:color w:val="auto"/>
          <w:szCs w:val="21"/>
          <w:lang w:val="en-US" w:eastAsia="zh-CN"/>
        </w:rPr>
        <w:t>低于90分的按以下规定执行：</w:t>
      </w:r>
    </w:p>
    <w:p>
      <w:pPr>
        <w:numPr>
          <w:ilvl w:val="0"/>
          <w:numId w:val="5"/>
        </w:numPr>
        <w:spacing w:line="460" w:lineRule="exact"/>
        <w:ind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季度考核综合得分</w:t>
      </w:r>
      <w:r>
        <w:rPr>
          <w:rFonts w:hint="eastAsia" w:asciiTheme="minorEastAsia" w:hAnsiTheme="minorEastAsia" w:eastAsiaTheme="minorEastAsia" w:cstheme="minorEastAsia"/>
          <w:color w:val="auto"/>
          <w:szCs w:val="21"/>
        </w:rPr>
        <w:t>低于90分的，每下降一分，扣除当季养护经费的百分之三</w:t>
      </w:r>
      <w:r>
        <w:rPr>
          <w:rFonts w:hint="eastAsia" w:asciiTheme="minorEastAsia" w:hAnsiTheme="minorEastAsia" w:eastAsiaTheme="minorEastAsia" w:cstheme="minorEastAsia"/>
          <w:color w:val="auto"/>
          <w:szCs w:val="21"/>
          <w:lang w:eastAsia="zh-CN"/>
        </w:rPr>
        <w:t>。</w:t>
      </w:r>
    </w:p>
    <w:p>
      <w:pPr>
        <w:numPr>
          <w:ilvl w:val="0"/>
          <w:numId w:val="5"/>
        </w:num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季度考核综合得分</w:t>
      </w:r>
      <w:r>
        <w:rPr>
          <w:rFonts w:hint="eastAsia" w:asciiTheme="minorEastAsia" w:hAnsiTheme="minorEastAsia" w:eastAsiaTheme="minorEastAsia" w:cstheme="minorEastAsia"/>
          <w:color w:val="auto"/>
          <w:szCs w:val="21"/>
        </w:rPr>
        <w:t>低于80分的，暂不拨</w:t>
      </w:r>
      <w:r>
        <w:rPr>
          <w:rFonts w:hint="eastAsia" w:asciiTheme="minorEastAsia" w:hAnsiTheme="minorEastAsia" w:eastAsiaTheme="minorEastAsia" w:cstheme="minorEastAsia"/>
          <w:color w:val="auto"/>
          <w:szCs w:val="21"/>
          <w:lang w:val="en-US" w:eastAsia="zh-CN"/>
        </w:rPr>
        <w:t>付</w:t>
      </w:r>
      <w:r>
        <w:rPr>
          <w:rFonts w:hint="eastAsia" w:asciiTheme="minorEastAsia" w:hAnsiTheme="minorEastAsia" w:eastAsiaTheme="minorEastAsia" w:cstheme="minorEastAsia"/>
          <w:color w:val="auto"/>
          <w:szCs w:val="21"/>
        </w:rPr>
        <w:t>当季养护经费</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连续两个</w:t>
      </w:r>
      <w:r>
        <w:rPr>
          <w:rFonts w:hint="eastAsia" w:asciiTheme="minorEastAsia" w:hAnsiTheme="minorEastAsia" w:eastAsiaTheme="minorEastAsia" w:cstheme="minorEastAsia"/>
          <w:color w:val="auto"/>
          <w:szCs w:val="21"/>
          <w:lang w:val="en-US" w:eastAsia="zh-CN"/>
        </w:rPr>
        <w:t>季度考核综合得分</w:t>
      </w:r>
      <w:r>
        <w:rPr>
          <w:rFonts w:hint="eastAsia" w:asciiTheme="minorEastAsia" w:hAnsiTheme="minorEastAsia" w:eastAsiaTheme="minorEastAsia" w:cstheme="minorEastAsia"/>
          <w:color w:val="auto"/>
          <w:szCs w:val="21"/>
        </w:rPr>
        <w:t>不合格的甲方有权终止施工合同且只拨付第一季度的50%养护经费，取消第二季度养护经费拨付</w:t>
      </w:r>
      <w:r>
        <w:rPr>
          <w:rFonts w:hint="eastAsia" w:asciiTheme="minorEastAsia" w:hAnsiTheme="minorEastAsia" w:eastAsiaTheme="minorEastAsia" w:cstheme="minorEastAsia"/>
          <w:color w:val="auto"/>
          <w:szCs w:val="21"/>
          <w:lang w:eastAsia="zh-CN"/>
        </w:rPr>
        <w:t>。</w:t>
      </w:r>
    </w:p>
    <w:p>
      <w:pPr>
        <w:numPr>
          <w:ilvl w:val="0"/>
          <w:numId w:val="5"/>
        </w:num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季度考核综合得分</w:t>
      </w:r>
      <w:r>
        <w:rPr>
          <w:rFonts w:hint="eastAsia" w:asciiTheme="minorEastAsia" w:hAnsiTheme="minorEastAsia" w:eastAsiaTheme="minorEastAsia" w:cstheme="minorEastAsia"/>
          <w:color w:val="auto"/>
          <w:szCs w:val="21"/>
        </w:rPr>
        <w:t>低于75分取消其养护资格，解除合同并取消当季养护经费。</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二、考核办法：实行日常巡查、月度检查、季度考核相结合的办法。每季度评分一次，实行百分等级评定。季度考核</w:t>
      </w:r>
      <w:r>
        <w:rPr>
          <w:rFonts w:hint="eastAsia" w:asciiTheme="minorEastAsia" w:hAnsiTheme="minorEastAsia" w:eastAsiaTheme="minorEastAsia" w:cstheme="minorEastAsia"/>
          <w:color w:val="auto"/>
          <w:szCs w:val="21"/>
          <w:lang w:val="en-US" w:eastAsia="zh-CN"/>
        </w:rPr>
        <w:t>综合得分</w:t>
      </w:r>
      <w:r>
        <w:rPr>
          <w:rFonts w:hint="eastAsia" w:asciiTheme="minorEastAsia" w:hAnsiTheme="minorEastAsia" w:eastAsiaTheme="minorEastAsia" w:cstheme="minorEastAsia"/>
          <w:color w:val="auto"/>
          <w:szCs w:val="21"/>
        </w:rPr>
        <w:t>分值构成：日常巡查（40分）、月度检查（20）、季度考核（40分）。对照考核表实际养护内容缺项的，得基本分90分。</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三、考核人员：</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1、日常巡查由宁海县公路与运输管理中心执行；</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2、月度检查由宁海县公路与运输管理中心养护科执行；</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3、季度考核由宁海县公路与运输管理中心组织（</w:t>
      </w:r>
      <w:r>
        <w:rPr>
          <w:rFonts w:hint="eastAsia" w:asciiTheme="minorEastAsia" w:hAnsiTheme="minorEastAsia" w:eastAsiaTheme="minorEastAsia" w:cstheme="minorEastAsia"/>
          <w:color w:val="auto"/>
          <w:szCs w:val="21"/>
          <w:lang w:val="en-US" w:eastAsia="zh-CN"/>
        </w:rPr>
        <w:t>交通局工程科</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公运中心</w:t>
      </w:r>
      <w:r>
        <w:rPr>
          <w:rFonts w:hint="eastAsia" w:asciiTheme="minorEastAsia" w:hAnsiTheme="minorEastAsia" w:eastAsiaTheme="minorEastAsia" w:cstheme="minorEastAsia"/>
          <w:color w:val="auto"/>
          <w:szCs w:val="21"/>
        </w:rPr>
        <w:t>各科室成员参加）；</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4、年终验收由宁海县公路与运输管理中心组织（</w:t>
      </w:r>
      <w:r>
        <w:rPr>
          <w:rFonts w:hint="eastAsia" w:asciiTheme="minorEastAsia" w:hAnsiTheme="minorEastAsia" w:eastAsiaTheme="minorEastAsia" w:cstheme="minorEastAsia"/>
          <w:color w:val="auto"/>
          <w:szCs w:val="21"/>
          <w:lang w:val="en-US" w:eastAsia="zh-CN"/>
        </w:rPr>
        <w:t>交通局工程科</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公运中心</w:t>
      </w:r>
      <w:r>
        <w:rPr>
          <w:rFonts w:hint="eastAsia" w:asciiTheme="minorEastAsia" w:hAnsiTheme="minorEastAsia" w:eastAsiaTheme="minorEastAsia" w:cstheme="minorEastAsia"/>
          <w:color w:val="auto"/>
          <w:szCs w:val="21"/>
        </w:rPr>
        <w:t>各科室成员参加）。</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四、季度考核</w:t>
      </w:r>
      <w:r>
        <w:rPr>
          <w:rFonts w:hint="eastAsia" w:asciiTheme="minorEastAsia" w:hAnsiTheme="minorEastAsia" w:eastAsiaTheme="minorEastAsia" w:cstheme="minorEastAsia"/>
          <w:color w:val="auto"/>
          <w:szCs w:val="21"/>
          <w:lang w:val="en-US" w:eastAsia="zh-CN"/>
        </w:rPr>
        <w:t>综合得分</w:t>
      </w:r>
      <w:r>
        <w:rPr>
          <w:rFonts w:hint="eastAsia" w:asciiTheme="minorEastAsia" w:hAnsiTheme="minorEastAsia" w:eastAsiaTheme="minorEastAsia" w:cstheme="minorEastAsia"/>
          <w:color w:val="auto"/>
          <w:szCs w:val="21"/>
        </w:rPr>
        <w:t>计分：等于本季度考核分的百分之四十加月度检查平均分的百分之二十加日常巡查平均分的百分之四十。</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五、养护问题及处理办法：</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在绿化养护过程中，如发现以下问题，处罚从当季养护经费中扣除，处理办法如下：</w:t>
      </w:r>
    </w:p>
    <w:p>
      <w:pPr>
        <w:spacing w:line="460" w:lineRule="exact"/>
        <w:ind w:firstLine="422"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sym w:font="Wingdings" w:char="F081"/>
      </w:r>
      <w:r>
        <w:rPr>
          <w:rFonts w:hint="eastAsia" w:asciiTheme="minorEastAsia" w:hAnsiTheme="minorEastAsia" w:eastAsiaTheme="minorEastAsia" w:cstheme="minorEastAsia"/>
          <w:b/>
          <w:bCs/>
          <w:color w:val="auto"/>
          <w:szCs w:val="21"/>
        </w:rPr>
        <w:t>处罚标准</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1.受到新闻媒体曝光、县及县以上领导书面批评的，视情节扣除当季养护费20000-50000元。</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2.受到市</w:t>
      </w:r>
      <w:r>
        <w:rPr>
          <w:rFonts w:hint="eastAsia" w:asciiTheme="minorEastAsia" w:hAnsiTheme="minorEastAsia" w:eastAsiaTheme="minorEastAsia" w:cstheme="minorEastAsia"/>
          <w:color w:val="auto"/>
          <w:szCs w:val="21"/>
          <w:lang w:val="en-US" w:eastAsia="zh-CN"/>
        </w:rPr>
        <w:t>公运中心</w:t>
      </w:r>
      <w:r>
        <w:rPr>
          <w:rFonts w:hint="eastAsia" w:asciiTheme="minorEastAsia" w:hAnsiTheme="minorEastAsia" w:eastAsiaTheme="minorEastAsia" w:cstheme="minorEastAsia"/>
          <w:color w:val="auto"/>
          <w:szCs w:val="21"/>
        </w:rPr>
        <w:t>、县交通局养护督查反馈书面批评意见的，并扣除当季养护费5000元-20000元。</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3.对重大节庆和重大活动布置的临时任务完成情况不好，造成不良影响或受到批评的，每次直接扣除当季养护费5000元-10000元。</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4.如发生投诉、站长上报或业主单位养护人员发现中标人在日常养护中存在的问题的，扣除当季养护费200元/次。并要求限期整改，在整改期限范围内未整改完成的，</w:t>
      </w:r>
      <w:r>
        <w:rPr>
          <w:rFonts w:hint="eastAsia" w:asciiTheme="minorEastAsia" w:hAnsiTheme="minorEastAsia" w:eastAsiaTheme="minorEastAsia" w:cstheme="minorEastAsia"/>
          <w:color w:val="auto"/>
          <w:szCs w:val="21"/>
          <w:lang w:val="en-US" w:eastAsia="zh-CN"/>
        </w:rPr>
        <w:t>扣除</w:t>
      </w:r>
      <w:r>
        <w:rPr>
          <w:rFonts w:hint="eastAsia" w:asciiTheme="minorEastAsia" w:hAnsiTheme="minorEastAsia" w:eastAsiaTheme="minorEastAsia" w:cstheme="minorEastAsia"/>
          <w:color w:val="auto"/>
          <w:szCs w:val="21"/>
        </w:rPr>
        <w:t>双倍金额。</w:t>
      </w:r>
    </w:p>
    <w:p>
      <w:pPr>
        <w:spacing w:line="460" w:lineRule="exact"/>
        <w:ind w:firstLine="422"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sym w:font="Wingdings" w:char="F082"/>
      </w:r>
      <w:r>
        <w:rPr>
          <w:rFonts w:hint="eastAsia" w:asciiTheme="minorEastAsia" w:hAnsiTheme="minorEastAsia" w:eastAsiaTheme="minorEastAsia" w:cstheme="minorEastAsia"/>
          <w:b/>
          <w:bCs/>
          <w:color w:val="auto"/>
          <w:szCs w:val="21"/>
        </w:rPr>
        <w:t>基本配置标准</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1．如果未按投标文件中响应的人员配置和车辆设备配置标准执行的，检查中发现每人每次扣除1000元，每台车辆设备每次扣除1000元。</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2．每年春冬两季必须落实规范施肥到位、肥量充足（由甲方现场监督），未及时规范落实施肥的，按绿地养护面积0.2元/m2扣除相应养护经费。要求复合肥市场价不低于</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000元每吨，由甲方现场验收后再施肥。</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 所用的农药包装物未集中收集，未办好转移单手续，每次扣1000元。</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 在高温抗旱季节，水泵及洒水车不能按招标文件规定的最低标准到位的，按每台4000元计算扣除相应费用。</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 项目负责人每年参加业主召开的各种会议到会率在75%以下的，每缺席一次扣1000元（年底季度养护费中扣除）。</w:t>
      </w:r>
    </w:p>
    <w:p>
      <w:pPr>
        <w:spacing w:line="460" w:lineRule="exact"/>
        <w:ind w:firstLine="422"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 xml:space="preserve"> </w:t>
      </w:r>
      <w:r>
        <w:rPr>
          <w:rFonts w:hint="eastAsia" w:asciiTheme="minorEastAsia" w:hAnsiTheme="minorEastAsia" w:eastAsiaTheme="minorEastAsia" w:cstheme="minorEastAsia"/>
          <w:b/>
          <w:bCs/>
          <w:color w:val="auto"/>
          <w:szCs w:val="21"/>
        </w:rPr>
        <w:sym w:font="Wingdings" w:char="F083"/>
      </w:r>
      <w:r>
        <w:rPr>
          <w:rFonts w:hint="eastAsia" w:asciiTheme="minorEastAsia" w:hAnsiTheme="minorEastAsia" w:eastAsiaTheme="minorEastAsia" w:cstheme="minorEastAsia"/>
          <w:b/>
          <w:bCs/>
          <w:color w:val="auto"/>
          <w:szCs w:val="21"/>
        </w:rPr>
        <w:t>安全标准</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1.防火、抗台、抗旱及预防各类自然灾害措施不力，灾后救治不力，未按要求人员及时到位、未及时上报受灾情况，扣除当季养护费1000-5000元。</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 .突发性事故，未及时向甲方汇报，对上报处置方案及损失统计不实的、对台风过后不及时上报损失统计或数字不实的，扣1000-5000元。</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 发生安全事故，除责任赔偿外，有死亡人员，扣当季养护费5000元；有重伤人员，扣当季养护费3000元；有轻伤人员及设施损失，扣当季养护费2000元。未及时上报安全事故，视情节加扣除当季养护费3000-5000元。</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4.发生绿地火灾，面积大于1000平方米的，扣除当季养护费5000-10000元；500-1000平方米的，扣除当季养护费2000-5000元；300-500平方米的，扣除当季养护费1000-2000元，另外补种费用由乙方承担。</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 林带使用化学剂除草造成农作物死亡，未及时上报处理并被投诉，除责任赔偿外，加扣500-1000元。</w:t>
      </w:r>
    </w:p>
    <w:p>
      <w:pPr>
        <w:spacing w:line="460" w:lineRule="exact"/>
        <w:ind w:firstLine="422"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④.绿化养护标准</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1.对清除的垃圾及生产垃圾乱堆乱倒，未出具消纳场地或垃圾乱堆乱倒被相关部门查处，扣当季养护费2000元；</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2.发现绿地面积长草杂草面积较大时（规定完成日期外）面积大于1000平方米，扣5000-10000元/次。面积大于500-1000平方米（含1000平方米），扣2000-5000元/次。面积大于300-500平方米（含500平方米），扣1000-2000元/次。</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3.定期对互通和高架下荫蔽（淋不到雨地方）的部分进行浇水工作，视季节而定。若死亡面积大于300-500平方米（含500平方米），扣1000元/次，另外补种费用自理。</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4.入冬乔木树干按规范刷白每年一次 。</w:t>
      </w:r>
    </w:p>
    <w:p>
      <w:p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5.严禁使用化学剂除草，每发现一次扣5000-20000元，另外补种费自理。</w:t>
      </w:r>
    </w:p>
    <w:p>
      <w:pPr>
        <w:tabs>
          <w:tab w:val="left" w:pos="510"/>
        </w:tabs>
        <w:spacing w:line="420" w:lineRule="exact"/>
        <w:ind w:right="84"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六、考核内容：主要有植物养护、绿地保洁、人员到位、养护计划台帐等。人员名单（附身份证复印件）、养护计划、台帐按月上报并考核，每月25日前上报下月计划，当月台帐在下月8日前上报。如有巡查通知书、抄告单等书面形式下发的整改通知，中标人应在书面通知下发后7日内提交书面反馈。</w:t>
      </w:r>
    </w:p>
    <w:p>
      <w:pPr>
        <w:tabs>
          <w:tab w:val="left" w:pos="510"/>
        </w:tabs>
        <w:spacing w:line="420" w:lineRule="exact"/>
        <w:ind w:right="84" w:firstLine="420" w:firstLineChars="200"/>
        <w:rPr>
          <w:rFonts w:hint="default"/>
          <w:color w:val="auto"/>
          <w:lang w:val="en-US" w:eastAsia="zh-CN"/>
        </w:rPr>
      </w:pPr>
      <w:r>
        <w:rPr>
          <w:rFonts w:hint="eastAsia" w:asciiTheme="minorEastAsia" w:hAnsiTheme="minorEastAsia" w:eastAsiaTheme="minorEastAsia" w:cstheme="minorEastAsia"/>
          <w:color w:val="auto"/>
          <w:szCs w:val="21"/>
          <w:lang w:val="en-US" w:eastAsia="zh-CN"/>
        </w:rPr>
        <w:t>七、如考核办法变更，经</w:t>
      </w:r>
      <w:r>
        <w:rPr>
          <w:rFonts w:hint="eastAsia" w:asciiTheme="minorEastAsia" w:hAnsiTheme="minorEastAsia" w:eastAsiaTheme="minorEastAsia" w:cstheme="minorEastAsia"/>
          <w:color w:val="auto"/>
          <w:szCs w:val="21"/>
        </w:rPr>
        <w:t>宁海县公路与运输管理中心</w:t>
      </w:r>
      <w:r>
        <w:rPr>
          <w:rFonts w:hint="eastAsia" w:asciiTheme="minorEastAsia" w:hAnsiTheme="minorEastAsia" w:eastAsiaTheme="minorEastAsia" w:cstheme="minorEastAsia"/>
          <w:color w:val="auto"/>
          <w:szCs w:val="21"/>
          <w:lang w:val="en-US" w:eastAsia="zh-CN"/>
        </w:rPr>
        <w:t>重新发文，需遵循新考核办法。</w:t>
      </w:r>
    </w:p>
    <w:p>
      <w:pPr>
        <w:widowControl/>
        <w:ind w:firstLine="420" w:firstLineChars="200"/>
        <w:jc w:val="lef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color w:val="auto"/>
          <w:szCs w:val="21"/>
        </w:rPr>
        <w:br w:type="page"/>
      </w:r>
      <w:r>
        <w:rPr>
          <w:rFonts w:hint="eastAsia" w:asciiTheme="minorEastAsia" w:hAnsiTheme="minorEastAsia" w:eastAsiaTheme="minorEastAsia" w:cstheme="minorEastAsia"/>
          <w:b/>
          <w:bCs/>
          <w:color w:val="auto"/>
          <w:kern w:val="0"/>
          <w:szCs w:val="21"/>
        </w:rPr>
        <w:t>附件A：</w:t>
      </w:r>
    </w:p>
    <w:tbl>
      <w:tblPr>
        <w:tblStyle w:val="29"/>
        <w:tblW w:w="97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3951"/>
        <w:gridCol w:w="3375"/>
        <w:gridCol w:w="754"/>
        <w:gridCol w:w="307"/>
        <w:gridCol w:w="329"/>
        <w:gridCol w:w="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7"/>
            <w:vAlign w:val="center"/>
          </w:tcPr>
          <w:p>
            <w:pPr>
              <w:widowControl/>
              <w:ind w:firstLine="422" w:firstLineChars="200"/>
              <w:jc w:val="center"/>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日常巡查表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7"/>
            <w:vAlign w:val="center"/>
          </w:tcPr>
          <w:p>
            <w:pPr>
              <w:widowControl/>
              <w:jc w:val="lef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养护地段：                                               考核时间：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2" w:type="dxa"/>
            <w:vAlign w:val="center"/>
          </w:tcPr>
          <w:p>
            <w:pPr>
              <w:widowControl/>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项目</w:t>
            </w:r>
          </w:p>
        </w:tc>
        <w:tc>
          <w:tcPr>
            <w:tcW w:w="3951" w:type="dxa"/>
            <w:vAlign w:val="center"/>
          </w:tcPr>
          <w:p>
            <w:pPr>
              <w:widowControl/>
              <w:ind w:firstLine="422" w:firstLineChars="200"/>
              <w:jc w:val="center"/>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考核标准</w:t>
            </w:r>
          </w:p>
        </w:tc>
        <w:tc>
          <w:tcPr>
            <w:tcW w:w="3375" w:type="dxa"/>
            <w:vAlign w:val="center"/>
          </w:tcPr>
          <w:p>
            <w:pPr>
              <w:widowControl/>
              <w:ind w:firstLine="422" w:firstLineChars="200"/>
              <w:jc w:val="center"/>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考核评分办法</w:t>
            </w:r>
          </w:p>
        </w:tc>
        <w:tc>
          <w:tcPr>
            <w:tcW w:w="754" w:type="dxa"/>
            <w:vAlign w:val="center"/>
          </w:tcPr>
          <w:p>
            <w:pPr>
              <w:widowControl/>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分值</w:t>
            </w:r>
          </w:p>
        </w:tc>
        <w:tc>
          <w:tcPr>
            <w:tcW w:w="307" w:type="dxa"/>
            <w:vAlign w:val="center"/>
          </w:tcPr>
          <w:p>
            <w:pPr>
              <w:widowControl/>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扣分</w:t>
            </w:r>
          </w:p>
        </w:tc>
        <w:tc>
          <w:tcPr>
            <w:tcW w:w="329" w:type="dxa"/>
            <w:vAlign w:val="center"/>
          </w:tcPr>
          <w:p>
            <w:pPr>
              <w:widowControl/>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得分</w:t>
            </w:r>
          </w:p>
        </w:tc>
        <w:tc>
          <w:tcPr>
            <w:tcW w:w="422" w:type="dxa"/>
            <w:vAlign w:val="center"/>
          </w:tcPr>
          <w:p>
            <w:pPr>
              <w:widowControl/>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一</w:t>
            </w:r>
          </w:p>
        </w:tc>
        <w:tc>
          <w:tcPr>
            <w:tcW w:w="7326" w:type="dxa"/>
            <w:gridSpan w:val="2"/>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绿化养护质量标准</w:t>
            </w:r>
          </w:p>
        </w:tc>
        <w:tc>
          <w:tcPr>
            <w:tcW w:w="754" w:type="dxa"/>
            <w:vAlign w:val="center"/>
          </w:tcPr>
          <w:p>
            <w:pPr>
              <w:jc w:val="center"/>
              <w:rPr>
                <w:color w:val="auto"/>
                <w:szCs w:val="22"/>
              </w:rPr>
            </w:pPr>
            <w:r>
              <w:rPr>
                <w:rFonts w:hint="eastAsia"/>
                <w:b/>
                <w:bCs/>
                <w:color w:val="auto"/>
                <w:szCs w:val="22"/>
              </w:rPr>
              <w:t>[71]</w:t>
            </w:r>
          </w:p>
        </w:tc>
        <w:tc>
          <w:tcPr>
            <w:tcW w:w="307"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82" w:type="dxa"/>
            <w:vMerge w:val="restart"/>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绿化</w:t>
            </w:r>
          </w:p>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养护</w:t>
            </w:r>
          </w:p>
        </w:tc>
        <w:tc>
          <w:tcPr>
            <w:tcW w:w="395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1.绿地：绿篱、球类、柱类齐全，高度适宜，无成块缺档，无明显枯枝，无病虫枝。</w:t>
            </w:r>
          </w:p>
        </w:tc>
        <w:tc>
          <w:tcPr>
            <w:tcW w:w="3375"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绿地：修剪不整齐、不到位，绿篱色块不全的，每10平方米扣0.5分；缺档、枯枝、病虫枝每平方米扣0.5分。</w:t>
            </w:r>
          </w:p>
        </w:tc>
        <w:tc>
          <w:tcPr>
            <w:tcW w:w="754"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15</w:t>
            </w:r>
          </w:p>
        </w:tc>
        <w:tc>
          <w:tcPr>
            <w:tcW w:w="307"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82" w:type="dxa"/>
            <w:vMerge w:val="continue"/>
            <w:vAlign w:val="center"/>
          </w:tcPr>
          <w:p>
            <w:pPr>
              <w:widowControl/>
              <w:spacing w:line="220" w:lineRule="exact"/>
              <w:rPr>
                <w:rFonts w:asciiTheme="minorEastAsia" w:hAnsiTheme="minorEastAsia" w:eastAsiaTheme="minorEastAsia" w:cstheme="minorEastAsia"/>
                <w:b/>
                <w:bCs/>
                <w:color w:val="auto"/>
                <w:kern w:val="0"/>
                <w:szCs w:val="21"/>
              </w:rPr>
            </w:pPr>
          </w:p>
        </w:tc>
        <w:tc>
          <w:tcPr>
            <w:tcW w:w="395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2.林带乔木生长姿态良好，无明显枯枝。</w:t>
            </w:r>
          </w:p>
        </w:tc>
        <w:tc>
          <w:tcPr>
            <w:tcW w:w="3375"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乔木明显枯枝扣0.5分/株，乔木死株每株扣1分。</w:t>
            </w:r>
          </w:p>
        </w:tc>
        <w:tc>
          <w:tcPr>
            <w:tcW w:w="754"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w:t>
            </w:r>
          </w:p>
        </w:tc>
        <w:tc>
          <w:tcPr>
            <w:tcW w:w="307"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82" w:type="dxa"/>
            <w:vMerge w:val="continue"/>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p>
        </w:tc>
        <w:tc>
          <w:tcPr>
            <w:tcW w:w="395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3.绿地生长良好，草坪平整，高度适宜，无残缺，无杂草长草、残花。</w:t>
            </w:r>
          </w:p>
        </w:tc>
        <w:tc>
          <w:tcPr>
            <w:tcW w:w="3375"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绿地管养不善每100平方米扣1分。</w:t>
            </w:r>
          </w:p>
        </w:tc>
        <w:tc>
          <w:tcPr>
            <w:tcW w:w="754"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15</w:t>
            </w:r>
          </w:p>
        </w:tc>
        <w:tc>
          <w:tcPr>
            <w:tcW w:w="307"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82" w:type="dxa"/>
            <w:vMerge w:val="continue"/>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p>
        </w:tc>
        <w:tc>
          <w:tcPr>
            <w:tcW w:w="395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4.林带杂草高度不得超过20厘米。</w:t>
            </w:r>
          </w:p>
        </w:tc>
        <w:tc>
          <w:tcPr>
            <w:tcW w:w="3375"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林地管养不善每1000平方米扣1分。</w:t>
            </w:r>
          </w:p>
        </w:tc>
        <w:tc>
          <w:tcPr>
            <w:tcW w:w="754"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w:t>
            </w:r>
          </w:p>
        </w:tc>
        <w:tc>
          <w:tcPr>
            <w:tcW w:w="307"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82" w:type="dxa"/>
            <w:vMerge w:val="continue"/>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p>
        </w:tc>
        <w:tc>
          <w:tcPr>
            <w:tcW w:w="395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5.病虫害防治及时、有效，除虫记录齐全，常见病虫害在5%以下，乔木入冬按规范刷白。定期对林带乔木、花卉、草坪等进行施肥。</w:t>
            </w:r>
          </w:p>
        </w:tc>
        <w:tc>
          <w:tcPr>
            <w:tcW w:w="3375"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造成景观不佳每100平方米扣0.5分，乔木刷白不规范扣0.5-5分，乔木未刷白此项不得分。未定期对林带乔木、花卉、草坪等进行施肥扣0.5-5分。</w:t>
            </w:r>
          </w:p>
        </w:tc>
        <w:tc>
          <w:tcPr>
            <w:tcW w:w="754"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w:t>
            </w:r>
          </w:p>
        </w:tc>
        <w:tc>
          <w:tcPr>
            <w:tcW w:w="307"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582" w:type="dxa"/>
            <w:vMerge w:val="continue"/>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p>
        </w:tc>
        <w:tc>
          <w:tcPr>
            <w:tcW w:w="395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6.干旱时积极抗旱，合理安排浇水，浇水记录齐全。新种树成活率95%以上，老树存活率在98%以上。</w:t>
            </w:r>
          </w:p>
        </w:tc>
        <w:tc>
          <w:tcPr>
            <w:tcW w:w="3375" w:type="dxa"/>
            <w:vAlign w:val="center"/>
          </w:tcPr>
          <w:p>
            <w:pPr>
              <w:widowControl/>
              <w:spacing w:line="220" w:lineRule="exact"/>
              <w:ind w:right="-153" w:rightChars="-73"/>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因浇水、养护不到位出现长势不良的，色块每10m2扣0.5分，乔木、柱类、球类3株以上（不足3株按3株算）扣0.5分，每增加一株扣0.1分；出现死株情况的，色块每10m2扣1分，乔木、柱类、球类3株以上（不足3株按3株算）扣1分，每增加一株扣1分,直至扣完该项得分。</w:t>
            </w:r>
          </w:p>
        </w:tc>
        <w:tc>
          <w:tcPr>
            <w:tcW w:w="754"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w:t>
            </w:r>
          </w:p>
        </w:tc>
        <w:tc>
          <w:tcPr>
            <w:tcW w:w="307"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82" w:type="dxa"/>
            <w:vMerge w:val="continue"/>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p>
        </w:tc>
        <w:tc>
          <w:tcPr>
            <w:tcW w:w="395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7.绿地乔木、绿篱及时扶正。</w:t>
            </w:r>
          </w:p>
        </w:tc>
        <w:tc>
          <w:tcPr>
            <w:tcW w:w="3375"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乔木未及时扶正每株扣0.5分；绿篱未及时扶正，每平方米扣0.2分。</w:t>
            </w:r>
          </w:p>
        </w:tc>
        <w:tc>
          <w:tcPr>
            <w:tcW w:w="754"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307"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82" w:type="dxa"/>
            <w:vMerge w:val="continue"/>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p>
        </w:tc>
        <w:tc>
          <w:tcPr>
            <w:tcW w:w="395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8.林带乔木及时扶正。</w:t>
            </w:r>
          </w:p>
        </w:tc>
        <w:tc>
          <w:tcPr>
            <w:tcW w:w="3375"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未及时扶正每株扣0.5分。</w:t>
            </w:r>
          </w:p>
        </w:tc>
        <w:tc>
          <w:tcPr>
            <w:tcW w:w="754"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307"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82" w:type="dxa"/>
            <w:vMerge w:val="continue"/>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p>
        </w:tc>
        <w:tc>
          <w:tcPr>
            <w:tcW w:w="395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9.绿地乔木修枝、抹芽。</w:t>
            </w:r>
          </w:p>
        </w:tc>
        <w:tc>
          <w:tcPr>
            <w:tcW w:w="3375"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未按规定修枝、抹芽，每株扣0.2分。</w:t>
            </w:r>
          </w:p>
        </w:tc>
        <w:tc>
          <w:tcPr>
            <w:tcW w:w="754"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w:t>
            </w:r>
          </w:p>
        </w:tc>
        <w:tc>
          <w:tcPr>
            <w:tcW w:w="307"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82" w:type="dxa"/>
            <w:vMerge w:val="continue"/>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p>
        </w:tc>
        <w:tc>
          <w:tcPr>
            <w:tcW w:w="395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10.林带乔木修枝、抹芽。</w:t>
            </w:r>
          </w:p>
        </w:tc>
        <w:tc>
          <w:tcPr>
            <w:tcW w:w="3375"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未按规定修枝、抹芽，每株扣0.2分。</w:t>
            </w:r>
          </w:p>
        </w:tc>
        <w:tc>
          <w:tcPr>
            <w:tcW w:w="754"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w:t>
            </w:r>
          </w:p>
        </w:tc>
        <w:tc>
          <w:tcPr>
            <w:tcW w:w="307"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二</w:t>
            </w:r>
          </w:p>
        </w:tc>
        <w:tc>
          <w:tcPr>
            <w:tcW w:w="7326" w:type="dxa"/>
            <w:gridSpan w:val="2"/>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清卫标准</w:t>
            </w:r>
          </w:p>
        </w:tc>
        <w:tc>
          <w:tcPr>
            <w:tcW w:w="754" w:type="dxa"/>
            <w:vAlign w:val="center"/>
          </w:tcPr>
          <w:p>
            <w:pPr>
              <w:jc w:val="center"/>
              <w:rPr>
                <w:color w:val="auto"/>
                <w:szCs w:val="22"/>
              </w:rPr>
            </w:pPr>
            <w:r>
              <w:rPr>
                <w:rFonts w:hint="eastAsia"/>
                <w:b/>
                <w:bCs/>
                <w:color w:val="auto"/>
                <w:szCs w:val="22"/>
              </w:rPr>
              <w:t>[15]</w:t>
            </w:r>
          </w:p>
        </w:tc>
        <w:tc>
          <w:tcPr>
            <w:tcW w:w="307"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2"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日常</w:t>
            </w:r>
          </w:p>
          <w:p>
            <w:pPr>
              <w:widowControl/>
              <w:spacing w:line="22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bCs/>
                <w:color w:val="auto"/>
                <w:kern w:val="0"/>
                <w:szCs w:val="21"/>
              </w:rPr>
              <w:t>保洁</w:t>
            </w:r>
          </w:p>
        </w:tc>
        <w:tc>
          <w:tcPr>
            <w:tcW w:w="395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林带绿地乔木整齐、无绑扎物、无挂物架线、无堆积物等现象；林带绿地环境整洁、不乱倒乱放废弃物，无白色污染等现象。</w:t>
            </w:r>
          </w:p>
        </w:tc>
        <w:tc>
          <w:tcPr>
            <w:tcW w:w="3375"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发现绑扎、挂物、架线一处扣0.5分；发现乱倒乱放废弃物、白色污染现象的每处扣1分。</w:t>
            </w:r>
          </w:p>
        </w:tc>
        <w:tc>
          <w:tcPr>
            <w:tcW w:w="754" w:type="dxa"/>
            <w:vAlign w:val="center"/>
          </w:tcPr>
          <w:p>
            <w:pPr>
              <w:jc w:val="center"/>
              <w:rPr>
                <w:color w:val="auto"/>
                <w:szCs w:val="22"/>
              </w:rPr>
            </w:pPr>
            <w:r>
              <w:rPr>
                <w:rFonts w:hint="eastAsia"/>
                <w:color w:val="auto"/>
                <w:szCs w:val="22"/>
              </w:rPr>
              <w:t>15</w:t>
            </w:r>
          </w:p>
        </w:tc>
        <w:tc>
          <w:tcPr>
            <w:tcW w:w="307"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三</w:t>
            </w:r>
          </w:p>
        </w:tc>
        <w:tc>
          <w:tcPr>
            <w:tcW w:w="7326" w:type="dxa"/>
            <w:gridSpan w:val="2"/>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安全环保</w:t>
            </w:r>
          </w:p>
        </w:tc>
        <w:tc>
          <w:tcPr>
            <w:tcW w:w="754" w:type="dxa"/>
            <w:vAlign w:val="center"/>
          </w:tcPr>
          <w:p>
            <w:pPr>
              <w:jc w:val="center"/>
              <w:rPr>
                <w:color w:val="auto"/>
                <w:szCs w:val="22"/>
              </w:rPr>
            </w:pPr>
            <w:r>
              <w:rPr>
                <w:rFonts w:hint="eastAsia"/>
                <w:b/>
                <w:bCs/>
                <w:color w:val="auto"/>
                <w:szCs w:val="22"/>
              </w:rPr>
              <w:t>[7]</w:t>
            </w:r>
          </w:p>
        </w:tc>
        <w:tc>
          <w:tcPr>
            <w:tcW w:w="307"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82" w:type="dxa"/>
            <w:vMerge w:val="restart"/>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安全</w:t>
            </w:r>
          </w:p>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作业</w:t>
            </w:r>
          </w:p>
        </w:tc>
        <w:tc>
          <w:tcPr>
            <w:tcW w:w="395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1布设规范，安全设施齐全，施工人员着装规范，交通组织有序，现场无安全隐患，机械设备安全整洁。</w:t>
            </w:r>
          </w:p>
        </w:tc>
        <w:tc>
          <w:tcPr>
            <w:tcW w:w="3375"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作业时未严格遵守安全作业规程的，发现扣0.5-1分/次。</w:t>
            </w:r>
          </w:p>
        </w:tc>
        <w:tc>
          <w:tcPr>
            <w:tcW w:w="754" w:type="dxa"/>
            <w:vAlign w:val="center"/>
          </w:tcPr>
          <w:p>
            <w:pPr>
              <w:jc w:val="center"/>
              <w:rPr>
                <w:color w:val="auto"/>
                <w:szCs w:val="22"/>
              </w:rPr>
            </w:pPr>
            <w:r>
              <w:rPr>
                <w:rFonts w:hint="eastAsia"/>
                <w:color w:val="auto"/>
                <w:szCs w:val="22"/>
              </w:rPr>
              <w:t>5</w:t>
            </w:r>
          </w:p>
        </w:tc>
        <w:tc>
          <w:tcPr>
            <w:tcW w:w="307"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82" w:type="dxa"/>
            <w:vMerge w:val="continue"/>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p>
        </w:tc>
        <w:tc>
          <w:tcPr>
            <w:tcW w:w="395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2.防火、抗台、抗旱及预防各类自然灾害措施得力。</w:t>
            </w:r>
          </w:p>
        </w:tc>
        <w:tc>
          <w:tcPr>
            <w:tcW w:w="3375"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预防各类自然灾害措施不力扣0.5-1分/次。</w:t>
            </w:r>
          </w:p>
        </w:tc>
        <w:tc>
          <w:tcPr>
            <w:tcW w:w="754" w:type="dxa"/>
            <w:vAlign w:val="center"/>
          </w:tcPr>
          <w:p>
            <w:pPr>
              <w:jc w:val="center"/>
              <w:rPr>
                <w:color w:val="auto"/>
                <w:szCs w:val="22"/>
              </w:rPr>
            </w:pPr>
            <w:r>
              <w:rPr>
                <w:rFonts w:hint="eastAsia"/>
                <w:color w:val="auto"/>
                <w:szCs w:val="22"/>
              </w:rPr>
              <w:t>2</w:t>
            </w:r>
          </w:p>
        </w:tc>
        <w:tc>
          <w:tcPr>
            <w:tcW w:w="307"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四</w:t>
            </w:r>
          </w:p>
        </w:tc>
        <w:tc>
          <w:tcPr>
            <w:tcW w:w="7326" w:type="dxa"/>
            <w:gridSpan w:val="2"/>
            <w:vAlign w:val="center"/>
          </w:tcPr>
          <w:p>
            <w:pPr>
              <w:widowControl/>
              <w:spacing w:line="220" w:lineRule="exact"/>
              <w:ind w:firstLine="422"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bCs/>
                <w:color w:val="auto"/>
                <w:kern w:val="0"/>
                <w:szCs w:val="21"/>
              </w:rPr>
              <w:t>养护管理</w:t>
            </w:r>
          </w:p>
        </w:tc>
        <w:tc>
          <w:tcPr>
            <w:tcW w:w="754" w:type="dxa"/>
            <w:vAlign w:val="center"/>
          </w:tcPr>
          <w:p>
            <w:pPr>
              <w:jc w:val="center"/>
              <w:rPr>
                <w:color w:val="auto"/>
                <w:szCs w:val="22"/>
              </w:rPr>
            </w:pPr>
            <w:r>
              <w:rPr>
                <w:rFonts w:hint="eastAsia"/>
                <w:b/>
                <w:bCs/>
                <w:color w:val="auto"/>
                <w:szCs w:val="22"/>
              </w:rPr>
              <w:t>[5]</w:t>
            </w:r>
          </w:p>
        </w:tc>
        <w:tc>
          <w:tcPr>
            <w:tcW w:w="307"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82"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养护</w:t>
            </w:r>
          </w:p>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管理</w:t>
            </w:r>
          </w:p>
        </w:tc>
        <w:tc>
          <w:tcPr>
            <w:tcW w:w="395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日常养护措施得力，管理有方；对交办的指令性、突发性、临时性任务完成情况及时得力。</w:t>
            </w:r>
          </w:p>
        </w:tc>
        <w:tc>
          <w:tcPr>
            <w:tcW w:w="3375"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未按规定日常保养，未及时完成任务的扣0.5-5分。</w:t>
            </w:r>
          </w:p>
        </w:tc>
        <w:tc>
          <w:tcPr>
            <w:tcW w:w="754" w:type="dxa"/>
            <w:vAlign w:val="center"/>
          </w:tcPr>
          <w:p>
            <w:pPr>
              <w:jc w:val="center"/>
              <w:rPr>
                <w:color w:val="auto"/>
                <w:szCs w:val="22"/>
              </w:rPr>
            </w:pPr>
            <w:r>
              <w:rPr>
                <w:rFonts w:hint="eastAsia"/>
                <w:color w:val="auto"/>
                <w:szCs w:val="22"/>
              </w:rPr>
              <w:t>5</w:t>
            </w:r>
          </w:p>
        </w:tc>
        <w:tc>
          <w:tcPr>
            <w:tcW w:w="307"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五</w:t>
            </w:r>
          </w:p>
        </w:tc>
        <w:tc>
          <w:tcPr>
            <w:tcW w:w="7326" w:type="dxa"/>
            <w:gridSpan w:val="2"/>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内业资料</w:t>
            </w:r>
          </w:p>
        </w:tc>
        <w:tc>
          <w:tcPr>
            <w:tcW w:w="754" w:type="dxa"/>
            <w:vAlign w:val="center"/>
          </w:tcPr>
          <w:p>
            <w:pPr>
              <w:jc w:val="center"/>
              <w:rPr>
                <w:color w:val="auto"/>
                <w:szCs w:val="22"/>
              </w:rPr>
            </w:pPr>
            <w:r>
              <w:rPr>
                <w:rFonts w:hint="eastAsia"/>
                <w:b/>
                <w:bCs/>
                <w:color w:val="auto"/>
                <w:szCs w:val="22"/>
              </w:rPr>
              <w:t>[2]</w:t>
            </w:r>
          </w:p>
        </w:tc>
        <w:tc>
          <w:tcPr>
            <w:tcW w:w="307"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582"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文明</w:t>
            </w:r>
          </w:p>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作业</w:t>
            </w:r>
          </w:p>
        </w:tc>
        <w:tc>
          <w:tcPr>
            <w:tcW w:w="395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每月按时上交下月工作计划表以上月工作完成反馈表及其他内业资料。</w:t>
            </w:r>
          </w:p>
        </w:tc>
        <w:tc>
          <w:tcPr>
            <w:tcW w:w="3375"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未及时上交工作计划扣0.5-2分。</w:t>
            </w:r>
          </w:p>
        </w:tc>
        <w:tc>
          <w:tcPr>
            <w:tcW w:w="754" w:type="dxa"/>
            <w:vAlign w:val="center"/>
          </w:tcPr>
          <w:p>
            <w:pPr>
              <w:jc w:val="center"/>
              <w:rPr>
                <w:color w:val="auto"/>
                <w:szCs w:val="22"/>
              </w:rPr>
            </w:pPr>
            <w:r>
              <w:rPr>
                <w:rFonts w:hint="eastAsia"/>
                <w:color w:val="auto"/>
                <w:szCs w:val="22"/>
              </w:rPr>
              <w:t>2</w:t>
            </w:r>
          </w:p>
        </w:tc>
        <w:tc>
          <w:tcPr>
            <w:tcW w:w="307"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82"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六</w:t>
            </w:r>
          </w:p>
        </w:tc>
        <w:tc>
          <w:tcPr>
            <w:tcW w:w="7326" w:type="dxa"/>
            <w:gridSpan w:val="2"/>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总计</w:t>
            </w:r>
          </w:p>
        </w:tc>
        <w:tc>
          <w:tcPr>
            <w:tcW w:w="754"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[100]</w:t>
            </w:r>
          </w:p>
        </w:tc>
        <w:tc>
          <w:tcPr>
            <w:tcW w:w="307"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7"/>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备注：</w:t>
            </w:r>
            <w:r>
              <w:rPr>
                <w:rFonts w:hint="eastAsia" w:asciiTheme="minorEastAsia" w:hAnsiTheme="minorEastAsia" w:eastAsiaTheme="minorEastAsia" w:cstheme="minorEastAsia"/>
                <w:color w:val="auto"/>
                <w:szCs w:val="21"/>
              </w:rPr>
              <w:t>实际养护内容缺项的，得基本分90分。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720" w:type="dxa"/>
            <w:gridSpan w:val="7"/>
            <w:vAlign w:val="center"/>
          </w:tcPr>
          <w:p>
            <w:pPr>
              <w:widowControl/>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科室负责人:                                  检查人员：                                                                          </w:t>
            </w:r>
          </w:p>
        </w:tc>
      </w:tr>
    </w:tbl>
    <w:p>
      <w:pPr>
        <w:widowControl/>
        <w:jc w:val="left"/>
        <w:rPr>
          <w:rFonts w:hint="eastAsia" w:asciiTheme="minorEastAsia" w:hAnsiTheme="minorEastAsia" w:eastAsiaTheme="minorEastAsia" w:cstheme="minorEastAsia"/>
          <w:b/>
          <w:bCs/>
          <w:color w:val="auto"/>
          <w:kern w:val="0"/>
          <w:szCs w:val="21"/>
        </w:rPr>
      </w:pPr>
    </w:p>
    <w:p>
      <w:pPr>
        <w:widowControl/>
        <w:jc w:val="lef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附件B</w:t>
      </w:r>
    </w:p>
    <w:tbl>
      <w:tblPr>
        <w:tblStyle w:val="29"/>
        <w:tblW w:w="97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4111"/>
        <w:gridCol w:w="3260"/>
        <w:gridCol w:w="765"/>
        <w:gridCol w:w="251"/>
        <w:gridCol w:w="329"/>
        <w:gridCol w:w="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7"/>
            <w:tcBorders>
              <w:top w:val="single" w:color="auto" w:sz="4" w:space="0"/>
              <w:left w:val="single" w:color="auto" w:sz="4" w:space="0"/>
              <w:bottom w:val="single" w:color="auto" w:sz="4" w:space="0"/>
              <w:right w:val="single" w:color="auto" w:sz="4" w:space="0"/>
            </w:tcBorders>
            <w:vAlign w:val="center"/>
          </w:tcPr>
          <w:p>
            <w:pPr>
              <w:widowControl/>
              <w:ind w:firstLine="422" w:firstLineChars="200"/>
              <w:jc w:val="center"/>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月度检查表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7"/>
            <w:tcBorders>
              <w:top w:val="single" w:color="auto" w:sz="4" w:space="0"/>
              <w:left w:val="single" w:color="auto" w:sz="4" w:space="0"/>
              <w:bottom w:val="single" w:color="auto" w:sz="4" w:space="0"/>
              <w:right w:val="single" w:color="auto" w:sz="4" w:space="0"/>
            </w:tcBorders>
            <w:vAlign w:val="center"/>
          </w:tcPr>
          <w:p>
            <w:pPr>
              <w:widowControl/>
              <w:ind w:firstLine="422" w:firstLineChars="200"/>
              <w:jc w:val="center"/>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养护地段：                                               考核时间：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2" w:type="dxa"/>
            <w:vAlign w:val="center"/>
          </w:tcPr>
          <w:p>
            <w:pPr>
              <w:widowControl/>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项目</w:t>
            </w:r>
          </w:p>
        </w:tc>
        <w:tc>
          <w:tcPr>
            <w:tcW w:w="4111" w:type="dxa"/>
            <w:vAlign w:val="center"/>
          </w:tcPr>
          <w:p>
            <w:pPr>
              <w:widowControl/>
              <w:ind w:firstLine="422" w:firstLineChars="200"/>
              <w:jc w:val="center"/>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考核标准</w:t>
            </w:r>
          </w:p>
        </w:tc>
        <w:tc>
          <w:tcPr>
            <w:tcW w:w="3260" w:type="dxa"/>
            <w:vAlign w:val="center"/>
          </w:tcPr>
          <w:p>
            <w:pPr>
              <w:widowControl/>
              <w:ind w:firstLine="422" w:firstLineChars="200"/>
              <w:jc w:val="center"/>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考核评分办法</w:t>
            </w:r>
          </w:p>
        </w:tc>
        <w:tc>
          <w:tcPr>
            <w:tcW w:w="765" w:type="dxa"/>
            <w:vAlign w:val="center"/>
          </w:tcPr>
          <w:p>
            <w:pPr>
              <w:widowControl/>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分值</w:t>
            </w:r>
          </w:p>
        </w:tc>
        <w:tc>
          <w:tcPr>
            <w:tcW w:w="251" w:type="dxa"/>
            <w:vAlign w:val="center"/>
          </w:tcPr>
          <w:p>
            <w:pPr>
              <w:widowControl/>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扣分</w:t>
            </w:r>
          </w:p>
        </w:tc>
        <w:tc>
          <w:tcPr>
            <w:tcW w:w="329" w:type="dxa"/>
            <w:vAlign w:val="center"/>
          </w:tcPr>
          <w:p>
            <w:pPr>
              <w:widowControl/>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得分</w:t>
            </w:r>
          </w:p>
        </w:tc>
        <w:tc>
          <w:tcPr>
            <w:tcW w:w="422" w:type="dxa"/>
            <w:vAlign w:val="center"/>
          </w:tcPr>
          <w:p>
            <w:pPr>
              <w:widowControl/>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一</w:t>
            </w:r>
          </w:p>
        </w:tc>
        <w:tc>
          <w:tcPr>
            <w:tcW w:w="7371" w:type="dxa"/>
            <w:gridSpan w:val="2"/>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绿化养护质量标准</w:t>
            </w:r>
          </w:p>
        </w:tc>
        <w:tc>
          <w:tcPr>
            <w:tcW w:w="765" w:type="dxa"/>
            <w:vAlign w:val="center"/>
          </w:tcPr>
          <w:p>
            <w:pPr>
              <w:jc w:val="center"/>
              <w:rPr>
                <w:color w:val="auto"/>
                <w:szCs w:val="22"/>
              </w:rPr>
            </w:pPr>
            <w:r>
              <w:rPr>
                <w:rFonts w:hint="eastAsia"/>
                <w:b/>
                <w:bCs/>
                <w:color w:val="auto"/>
                <w:szCs w:val="22"/>
              </w:rPr>
              <w:t>[71]</w:t>
            </w:r>
          </w:p>
        </w:tc>
        <w:tc>
          <w:tcPr>
            <w:tcW w:w="251"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82" w:type="dxa"/>
            <w:vMerge w:val="restart"/>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绿化</w:t>
            </w:r>
          </w:p>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养护</w:t>
            </w: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1.绿地：绿篱、球类、柱类齐全，高度适宜，无成块缺档，无明显枯枝，无病虫枝。</w:t>
            </w:r>
          </w:p>
        </w:tc>
        <w:tc>
          <w:tcPr>
            <w:tcW w:w="3260"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绿地：修剪不整齐、不到位，绿篱色块不全的，每10平方米扣0.5分；缺档、枯枝、病虫枝每平方米扣0.5分。</w:t>
            </w:r>
          </w:p>
        </w:tc>
        <w:tc>
          <w:tcPr>
            <w:tcW w:w="765"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15</w:t>
            </w:r>
          </w:p>
        </w:tc>
        <w:tc>
          <w:tcPr>
            <w:tcW w:w="251"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82" w:type="dxa"/>
            <w:vMerge w:val="continue"/>
            <w:vAlign w:val="center"/>
          </w:tcPr>
          <w:p>
            <w:pPr>
              <w:widowControl/>
              <w:spacing w:line="220" w:lineRule="exact"/>
              <w:rPr>
                <w:rFonts w:asciiTheme="minorEastAsia" w:hAnsiTheme="minorEastAsia" w:eastAsiaTheme="minorEastAsia" w:cstheme="minorEastAsia"/>
                <w:b/>
                <w:bCs/>
                <w:color w:val="auto"/>
                <w:kern w:val="0"/>
                <w:szCs w:val="21"/>
              </w:rPr>
            </w:pP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2.林带乔木生长姿态良好，无明显枯枝。</w:t>
            </w:r>
          </w:p>
        </w:tc>
        <w:tc>
          <w:tcPr>
            <w:tcW w:w="3260"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乔木明显枯枝扣0.5分/株，乔木死株每株扣1分。</w:t>
            </w:r>
          </w:p>
        </w:tc>
        <w:tc>
          <w:tcPr>
            <w:tcW w:w="765"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w:t>
            </w:r>
          </w:p>
        </w:tc>
        <w:tc>
          <w:tcPr>
            <w:tcW w:w="251"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82" w:type="dxa"/>
            <w:vMerge w:val="continue"/>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3.绿地生长良好，草坪平整，高度适宜，无残缺，无杂草长草、残花。</w:t>
            </w:r>
          </w:p>
        </w:tc>
        <w:tc>
          <w:tcPr>
            <w:tcW w:w="3260"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绿地管养不善每100平方米扣1分。</w:t>
            </w:r>
          </w:p>
        </w:tc>
        <w:tc>
          <w:tcPr>
            <w:tcW w:w="765"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15</w:t>
            </w:r>
          </w:p>
        </w:tc>
        <w:tc>
          <w:tcPr>
            <w:tcW w:w="251"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82" w:type="dxa"/>
            <w:vMerge w:val="continue"/>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4.林带杂草高度不得超过20厘米。</w:t>
            </w:r>
          </w:p>
        </w:tc>
        <w:tc>
          <w:tcPr>
            <w:tcW w:w="3260"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林地管养不善每1000平方米扣1分。</w:t>
            </w:r>
          </w:p>
        </w:tc>
        <w:tc>
          <w:tcPr>
            <w:tcW w:w="765"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w:t>
            </w:r>
          </w:p>
        </w:tc>
        <w:tc>
          <w:tcPr>
            <w:tcW w:w="251"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82" w:type="dxa"/>
            <w:vMerge w:val="continue"/>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5.病虫害防治及时、有效，除虫记录齐全，常见病虫害在5%以下，乔木入冬按规范刷白。定期对林带乔木、花卉、草坪等进行施肥。</w:t>
            </w:r>
          </w:p>
        </w:tc>
        <w:tc>
          <w:tcPr>
            <w:tcW w:w="3260"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造成景观不佳每100平方米扣0.5分，乔木刷白不规范扣0.5-5分，乔木未刷白此项不得分。未定期对林带乔木、花卉、草坪等进行施肥扣0.5-5分。</w:t>
            </w:r>
          </w:p>
        </w:tc>
        <w:tc>
          <w:tcPr>
            <w:tcW w:w="765"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w:t>
            </w:r>
          </w:p>
        </w:tc>
        <w:tc>
          <w:tcPr>
            <w:tcW w:w="251"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82" w:type="dxa"/>
            <w:vMerge w:val="continue"/>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6.干旱时积极抗旱，合理安排浇水，浇水记录齐全。新种树成活率95%以上，老树存活率在98%以上。</w:t>
            </w:r>
          </w:p>
        </w:tc>
        <w:tc>
          <w:tcPr>
            <w:tcW w:w="3260" w:type="dxa"/>
            <w:vAlign w:val="center"/>
          </w:tcPr>
          <w:p>
            <w:pPr>
              <w:widowControl/>
              <w:spacing w:line="220" w:lineRule="exact"/>
              <w:ind w:right="-153" w:rightChars="-73"/>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因浇水、养护不到位出现长势不良的，色块每10m2扣0.5分，乔木、柱类、球类3株以上（不足3株按3株算）扣0.5分，每增加一株扣0.1分；出现死株情况的，色块每10m2扣1分，乔木、柱类、球类3株以上（不足3株按3株算）扣1分，每增加一株扣1分,直至扣完该项得分。</w:t>
            </w:r>
          </w:p>
        </w:tc>
        <w:tc>
          <w:tcPr>
            <w:tcW w:w="765"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w:t>
            </w:r>
          </w:p>
        </w:tc>
        <w:tc>
          <w:tcPr>
            <w:tcW w:w="251"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82" w:type="dxa"/>
            <w:vMerge w:val="continue"/>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7.绿地乔木、绿篱及时扶正。</w:t>
            </w:r>
          </w:p>
        </w:tc>
        <w:tc>
          <w:tcPr>
            <w:tcW w:w="3260"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乔木未及时扶正每株扣0.5分；绿篱未及时扶正，每平方米扣0.2分。</w:t>
            </w:r>
          </w:p>
        </w:tc>
        <w:tc>
          <w:tcPr>
            <w:tcW w:w="765"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251"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82" w:type="dxa"/>
            <w:vMerge w:val="continue"/>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8.林带乔木及时扶正。</w:t>
            </w:r>
          </w:p>
        </w:tc>
        <w:tc>
          <w:tcPr>
            <w:tcW w:w="3260"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未及时扶正每株扣0.5分。</w:t>
            </w:r>
          </w:p>
        </w:tc>
        <w:tc>
          <w:tcPr>
            <w:tcW w:w="765"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251"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82" w:type="dxa"/>
            <w:vMerge w:val="continue"/>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9.绿地乔木修枝、抹芽。</w:t>
            </w:r>
          </w:p>
        </w:tc>
        <w:tc>
          <w:tcPr>
            <w:tcW w:w="3260"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未按规定修枝、抹芽，每株扣0.2分。</w:t>
            </w:r>
          </w:p>
        </w:tc>
        <w:tc>
          <w:tcPr>
            <w:tcW w:w="765"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w:t>
            </w:r>
          </w:p>
        </w:tc>
        <w:tc>
          <w:tcPr>
            <w:tcW w:w="251"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82" w:type="dxa"/>
            <w:vMerge w:val="continue"/>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10.林带乔木修枝、抹芽。</w:t>
            </w:r>
          </w:p>
        </w:tc>
        <w:tc>
          <w:tcPr>
            <w:tcW w:w="3260"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未按规定修枝、抹芽，每株扣0.2分。</w:t>
            </w:r>
          </w:p>
        </w:tc>
        <w:tc>
          <w:tcPr>
            <w:tcW w:w="765"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w:t>
            </w:r>
          </w:p>
        </w:tc>
        <w:tc>
          <w:tcPr>
            <w:tcW w:w="251"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二</w:t>
            </w:r>
          </w:p>
        </w:tc>
        <w:tc>
          <w:tcPr>
            <w:tcW w:w="7371" w:type="dxa"/>
            <w:gridSpan w:val="2"/>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清卫标准</w:t>
            </w:r>
          </w:p>
        </w:tc>
        <w:tc>
          <w:tcPr>
            <w:tcW w:w="765" w:type="dxa"/>
            <w:vAlign w:val="center"/>
          </w:tcPr>
          <w:p>
            <w:pPr>
              <w:jc w:val="center"/>
              <w:rPr>
                <w:color w:val="auto"/>
                <w:szCs w:val="22"/>
              </w:rPr>
            </w:pPr>
            <w:r>
              <w:rPr>
                <w:rFonts w:hint="eastAsia"/>
                <w:b/>
                <w:bCs/>
                <w:color w:val="auto"/>
                <w:szCs w:val="22"/>
              </w:rPr>
              <w:t>[15]</w:t>
            </w:r>
          </w:p>
        </w:tc>
        <w:tc>
          <w:tcPr>
            <w:tcW w:w="251"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82"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日常</w:t>
            </w:r>
          </w:p>
          <w:p>
            <w:pPr>
              <w:widowControl/>
              <w:spacing w:line="22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bCs/>
                <w:color w:val="auto"/>
                <w:kern w:val="0"/>
                <w:szCs w:val="21"/>
              </w:rPr>
              <w:t>保洁</w:t>
            </w: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林带绿地乔木整齐、无绑扎物、无挂物架线、无堆积物等现象；林带绿地环境整洁、不乱倒乱放废弃物，无白色污染等现象。</w:t>
            </w:r>
          </w:p>
        </w:tc>
        <w:tc>
          <w:tcPr>
            <w:tcW w:w="3260"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发现绑扎、挂物、架线一处扣0.5分；发现乱倒乱放废弃物、白色污染现象的每处扣1分。</w:t>
            </w:r>
          </w:p>
        </w:tc>
        <w:tc>
          <w:tcPr>
            <w:tcW w:w="765" w:type="dxa"/>
            <w:vAlign w:val="center"/>
          </w:tcPr>
          <w:p>
            <w:pPr>
              <w:jc w:val="center"/>
              <w:rPr>
                <w:color w:val="auto"/>
                <w:szCs w:val="22"/>
              </w:rPr>
            </w:pPr>
            <w:r>
              <w:rPr>
                <w:rFonts w:hint="eastAsia"/>
                <w:color w:val="auto"/>
                <w:szCs w:val="22"/>
              </w:rPr>
              <w:t>15</w:t>
            </w:r>
          </w:p>
        </w:tc>
        <w:tc>
          <w:tcPr>
            <w:tcW w:w="251"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三</w:t>
            </w:r>
          </w:p>
        </w:tc>
        <w:tc>
          <w:tcPr>
            <w:tcW w:w="7371" w:type="dxa"/>
            <w:gridSpan w:val="2"/>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安全环保</w:t>
            </w:r>
          </w:p>
        </w:tc>
        <w:tc>
          <w:tcPr>
            <w:tcW w:w="765" w:type="dxa"/>
            <w:vAlign w:val="center"/>
          </w:tcPr>
          <w:p>
            <w:pPr>
              <w:jc w:val="center"/>
              <w:rPr>
                <w:color w:val="auto"/>
                <w:szCs w:val="22"/>
              </w:rPr>
            </w:pPr>
            <w:r>
              <w:rPr>
                <w:rFonts w:hint="eastAsia"/>
                <w:b/>
                <w:bCs/>
                <w:color w:val="auto"/>
                <w:szCs w:val="22"/>
              </w:rPr>
              <w:t>[7]</w:t>
            </w:r>
          </w:p>
        </w:tc>
        <w:tc>
          <w:tcPr>
            <w:tcW w:w="251"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82" w:type="dxa"/>
            <w:vMerge w:val="restart"/>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安全</w:t>
            </w:r>
          </w:p>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作业</w:t>
            </w: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1布设规范，安全设施齐全，施工人员着装规范，交通组织有序，现场无安全隐患，机械设备安全整洁。</w:t>
            </w:r>
          </w:p>
        </w:tc>
        <w:tc>
          <w:tcPr>
            <w:tcW w:w="3260"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作业时未严格遵守安全作业规程的，发现扣0.5-1分/次。</w:t>
            </w:r>
          </w:p>
        </w:tc>
        <w:tc>
          <w:tcPr>
            <w:tcW w:w="765" w:type="dxa"/>
            <w:vAlign w:val="center"/>
          </w:tcPr>
          <w:p>
            <w:pPr>
              <w:jc w:val="center"/>
              <w:rPr>
                <w:color w:val="auto"/>
                <w:szCs w:val="22"/>
              </w:rPr>
            </w:pPr>
            <w:r>
              <w:rPr>
                <w:rFonts w:hint="eastAsia"/>
                <w:color w:val="auto"/>
                <w:szCs w:val="22"/>
              </w:rPr>
              <w:t>5</w:t>
            </w:r>
          </w:p>
        </w:tc>
        <w:tc>
          <w:tcPr>
            <w:tcW w:w="251"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82" w:type="dxa"/>
            <w:vMerge w:val="continue"/>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2.防火、抗台、抗旱及预防各类自然灾害措施得力。</w:t>
            </w:r>
          </w:p>
        </w:tc>
        <w:tc>
          <w:tcPr>
            <w:tcW w:w="3260"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预防各类自然灾害措施不力扣0.5-1分/次。</w:t>
            </w:r>
          </w:p>
        </w:tc>
        <w:tc>
          <w:tcPr>
            <w:tcW w:w="765" w:type="dxa"/>
            <w:vAlign w:val="center"/>
          </w:tcPr>
          <w:p>
            <w:pPr>
              <w:jc w:val="center"/>
              <w:rPr>
                <w:color w:val="auto"/>
                <w:szCs w:val="22"/>
              </w:rPr>
            </w:pPr>
            <w:r>
              <w:rPr>
                <w:rFonts w:hint="eastAsia"/>
                <w:color w:val="auto"/>
                <w:szCs w:val="22"/>
              </w:rPr>
              <w:t>2</w:t>
            </w:r>
          </w:p>
        </w:tc>
        <w:tc>
          <w:tcPr>
            <w:tcW w:w="251"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四</w:t>
            </w:r>
          </w:p>
        </w:tc>
        <w:tc>
          <w:tcPr>
            <w:tcW w:w="7371" w:type="dxa"/>
            <w:gridSpan w:val="2"/>
            <w:vAlign w:val="center"/>
          </w:tcPr>
          <w:p>
            <w:pPr>
              <w:widowControl/>
              <w:spacing w:line="220" w:lineRule="exact"/>
              <w:ind w:firstLine="422"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bCs/>
                <w:color w:val="auto"/>
                <w:kern w:val="0"/>
                <w:szCs w:val="21"/>
              </w:rPr>
              <w:t>养护管理</w:t>
            </w:r>
          </w:p>
        </w:tc>
        <w:tc>
          <w:tcPr>
            <w:tcW w:w="765" w:type="dxa"/>
            <w:vAlign w:val="center"/>
          </w:tcPr>
          <w:p>
            <w:pPr>
              <w:jc w:val="center"/>
              <w:rPr>
                <w:color w:val="auto"/>
                <w:szCs w:val="22"/>
              </w:rPr>
            </w:pPr>
            <w:r>
              <w:rPr>
                <w:rFonts w:hint="eastAsia"/>
                <w:b/>
                <w:bCs/>
                <w:color w:val="auto"/>
                <w:szCs w:val="22"/>
              </w:rPr>
              <w:t>[5]</w:t>
            </w:r>
          </w:p>
        </w:tc>
        <w:tc>
          <w:tcPr>
            <w:tcW w:w="251"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82"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养护</w:t>
            </w:r>
          </w:p>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管理</w:t>
            </w: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日常养护措施得力，管理有方；对交办的指令性、突发性、临时性任务完成情况及时得力。</w:t>
            </w:r>
          </w:p>
        </w:tc>
        <w:tc>
          <w:tcPr>
            <w:tcW w:w="3260"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未按规定日常保养，未及时完成任务的扣0.5-5分。</w:t>
            </w:r>
          </w:p>
        </w:tc>
        <w:tc>
          <w:tcPr>
            <w:tcW w:w="765" w:type="dxa"/>
            <w:vAlign w:val="center"/>
          </w:tcPr>
          <w:p>
            <w:pPr>
              <w:jc w:val="center"/>
              <w:rPr>
                <w:color w:val="auto"/>
                <w:szCs w:val="22"/>
              </w:rPr>
            </w:pPr>
            <w:r>
              <w:rPr>
                <w:rFonts w:hint="eastAsia"/>
                <w:color w:val="auto"/>
                <w:szCs w:val="22"/>
              </w:rPr>
              <w:t>5</w:t>
            </w:r>
          </w:p>
        </w:tc>
        <w:tc>
          <w:tcPr>
            <w:tcW w:w="251"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五</w:t>
            </w:r>
          </w:p>
        </w:tc>
        <w:tc>
          <w:tcPr>
            <w:tcW w:w="7371" w:type="dxa"/>
            <w:gridSpan w:val="2"/>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内业资料</w:t>
            </w:r>
          </w:p>
        </w:tc>
        <w:tc>
          <w:tcPr>
            <w:tcW w:w="765" w:type="dxa"/>
            <w:vAlign w:val="center"/>
          </w:tcPr>
          <w:p>
            <w:pPr>
              <w:jc w:val="center"/>
              <w:rPr>
                <w:color w:val="auto"/>
                <w:szCs w:val="22"/>
              </w:rPr>
            </w:pPr>
            <w:r>
              <w:rPr>
                <w:rFonts w:hint="eastAsia"/>
                <w:b/>
                <w:bCs/>
                <w:color w:val="auto"/>
                <w:szCs w:val="22"/>
              </w:rPr>
              <w:t>[2]</w:t>
            </w:r>
          </w:p>
        </w:tc>
        <w:tc>
          <w:tcPr>
            <w:tcW w:w="251"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582"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文明</w:t>
            </w:r>
          </w:p>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作业</w:t>
            </w: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每月按时上交下月工作计划表以上月工作完成反馈表及其他内业资料。</w:t>
            </w:r>
          </w:p>
        </w:tc>
        <w:tc>
          <w:tcPr>
            <w:tcW w:w="3260"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未及时上交工作计划扣0.5-2分。</w:t>
            </w:r>
          </w:p>
        </w:tc>
        <w:tc>
          <w:tcPr>
            <w:tcW w:w="765" w:type="dxa"/>
            <w:vAlign w:val="center"/>
          </w:tcPr>
          <w:p>
            <w:pPr>
              <w:jc w:val="center"/>
              <w:rPr>
                <w:color w:val="auto"/>
                <w:szCs w:val="22"/>
              </w:rPr>
            </w:pPr>
            <w:r>
              <w:rPr>
                <w:rFonts w:hint="eastAsia"/>
                <w:color w:val="auto"/>
                <w:szCs w:val="22"/>
              </w:rPr>
              <w:t>2</w:t>
            </w:r>
          </w:p>
        </w:tc>
        <w:tc>
          <w:tcPr>
            <w:tcW w:w="251"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82"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六</w:t>
            </w:r>
          </w:p>
        </w:tc>
        <w:tc>
          <w:tcPr>
            <w:tcW w:w="7371" w:type="dxa"/>
            <w:gridSpan w:val="2"/>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总计</w:t>
            </w:r>
          </w:p>
        </w:tc>
        <w:tc>
          <w:tcPr>
            <w:tcW w:w="765"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[100]</w:t>
            </w:r>
          </w:p>
        </w:tc>
        <w:tc>
          <w:tcPr>
            <w:tcW w:w="251"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7"/>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备注：</w:t>
            </w:r>
            <w:r>
              <w:rPr>
                <w:rFonts w:hint="eastAsia" w:asciiTheme="minorEastAsia" w:hAnsiTheme="minorEastAsia" w:eastAsiaTheme="minorEastAsia" w:cstheme="minorEastAsia"/>
                <w:color w:val="auto"/>
                <w:szCs w:val="21"/>
              </w:rPr>
              <w:t>实际养护内容缺项的，得基本分90分。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720" w:type="dxa"/>
            <w:gridSpan w:val="7"/>
            <w:vAlign w:val="center"/>
          </w:tcPr>
          <w:p>
            <w:pPr>
              <w:widowControl/>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科室负责人:                                  检查人员：                                                                          </w:t>
            </w:r>
          </w:p>
        </w:tc>
      </w:tr>
    </w:tbl>
    <w:p>
      <w:pPr>
        <w:widowControl/>
        <w:jc w:val="left"/>
        <w:rPr>
          <w:rFonts w:hint="eastAsia" w:asciiTheme="minorEastAsia" w:hAnsiTheme="minorEastAsia" w:eastAsiaTheme="minorEastAsia" w:cstheme="minorEastAsia"/>
          <w:b/>
          <w:bCs/>
          <w:color w:val="auto"/>
          <w:kern w:val="0"/>
          <w:szCs w:val="21"/>
        </w:rPr>
      </w:pPr>
    </w:p>
    <w:p>
      <w:pPr>
        <w:widowControl/>
        <w:jc w:val="lef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附件C:</w:t>
      </w:r>
    </w:p>
    <w:tbl>
      <w:tblPr>
        <w:tblStyle w:val="29"/>
        <w:tblW w:w="97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4111"/>
        <w:gridCol w:w="3402"/>
        <w:gridCol w:w="567"/>
        <w:gridCol w:w="307"/>
        <w:gridCol w:w="329"/>
        <w:gridCol w:w="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7"/>
            <w:tcBorders>
              <w:top w:val="single" w:color="auto" w:sz="4" w:space="0"/>
              <w:left w:val="single" w:color="auto" w:sz="4" w:space="0"/>
              <w:bottom w:val="single" w:color="auto" w:sz="4" w:space="0"/>
              <w:right w:val="single" w:color="auto" w:sz="4" w:space="0"/>
            </w:tcBorders>
            <w:vAlign w:val="center"/>
          </w:tcPr>
          <w:p>
            <w:pPr>
              <w:widowControl/>
              <w:ind w:firstLine="422" w:firstLineChars="200"/>
              <w:jc w:val="center"/>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季度考核表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7"/>
            <w:tcBorders>
              <w:top w:val="single" w:color="auto" w:sz="4" w:space="0"/>
              <w:left w:val="single" w:color="auto" w:sz="4" w:space="0"/>
              <w:bottom w:val="single" w:color="auto" w:sz="4" w:space="0"/>
              <w:right w:val="single" w:color="auto" w:sz="4" w:space="0"/>
            </w:tcBorders>
            <w:vAlign w:val="center"/>
          </w:tcPr>
          <w:p>
            <w:pPr>
              <w:widowControl/>
              <w:ind w:firstLine="422" w:firstLineChars="200"/>
              <w:jc w:val="center"/>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养护地段：                                               考核时间：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2" w:type="dxa"/>
            <w:vAlign w:val="center"/>
          </w:tcPr>
          <w:p>
            <w:pPr>
              <w:widowControl/>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项目</w:t>
            </w:r>
          </w:p>
        </w:tc>
        <w:tc>
          <w:tcPr>
            <w:tcW w:w="4111" w:type="dxa"/>
            <w:vAlign w:val="center"/>
          </w:tcPr>
          <w:p>
            <w:pPr>
              <w:widowControl/>
              <w:ind w:firstLine="422" w:firstLineChars="200"/>
              <w:jc w:val="center"/>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考核标准</w:t>
            </w:r>
          </w:p>
        </w:tc>
        <w:tc>
          <w:tcPr>
            <w:tcW w:w="3402" w:type="dxa"/>
            <w:vAlign w:val="center"/>
          </w:tcPr>
          <w:p>
            <w:pPr>
              <w:widowControl/>
              <w:ind w:firstLine="422" w:firstLineChars="200"/>
              <w:jc w:val="center"/>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考核评分办法</w:t>
            </w:r>
          </w:p>
        </w:tc>
        <w:tc>
          <w:tcPr>
            <w:tcW w:w="567" w:type="dxa"/>
            <w:vAlign w:val="center"/>
          </w:tcPr>
          <w:p>
            <w:pPr>
              <w:widowControl/>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分值</w:t>
            </w:r>
          </w:p>
        </w:tc>
        <w:tc>
          <w:tcPr>
            <w:tcW w:w="307" w:type="dxa"/>
            <w:vAlign w:val="center"/>
          </w:tcPr>
          <w:p>
            <w:pPr>
              <w:widowControl/>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扣分</w:t>
            </w:r>
          </w:p>
        </w:tc>
        <w:tc>
          <w:tcPr>
            <w:tcW w:w="329" w:type="dxa"/>
            <w:vAlign w:val="center"/>
          </w:tcPr>
          <w:p>
            <w:pPr>
              <w:widowControl/>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得分</w:t>
            </w:r>
          </w:p>
        </w:tc>
        <w:tc>
          <w:tcPr>
            <w:tcW w:w="422" w:type="dxa"/>
            <w:vAlign w:val="center"/>
          </w:tcPr>
          <w:p>
            <w:pPr>
              <w:widowControl/>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一</w:t>
            </w:r>
          </w:p>
        </w:tc>
        <w:tc>
          <w:tcPr>
            <w:tcW w:w="7513" w:type="dxa"/>
            <w:gridSpan w:val="2"/>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绿化养护质量标准</w:t>
            </w:r>
          </w:p>
        </w:tc>
        <w:tc>
          <w:tcPr>
            <w:tcW w:w="567" w:type="dxa"/>
            <w:vAlign w:val="center"/>
          </w:tcPr>
          <w:p>
            <w:pPr>
              <w:jc w:val="center"/>
              <w:rPr>
                <w:color w:val="auto"/>
                <w:szCs w:val="22"/>
              </w:rPr>
            </w:pPr>
            <w:r>
              <w:rPr>
                <w:rFonts w:hint="eastAsia"/>
                <w:b/>
                <w:bCs/>
                <w:color w:val="auto"/>
                <w:szCs w:val="22"/>
              </w:rPr>
              <w:t>[71]</w:t>
            </w:r>
          </w:p>
        </w:tc>
        <w:tc>
          <w:tcPr>
            <w:tcW w:w="307"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82" w:type="dxa"/>
            <w:vMerge w:val="restart"/>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绿化</w:t>
            </w:r>
          </w:p>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养护</w:t>
            </w: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1.绿地：绿篱、球类、柱类齐全，高度适宜，无成块缺档，无明显枯枝，无病虫枝。</w:t>
            </w:r>
          </w:p>
        </w:tc>
        <w:tc>
          <w:tcPr>
            <w:tcW w:w="3402"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绿地：修剪不整齐、不到位，绿篱色块不全的，每10平方米扣0.5分；缺档、枯枝、病虫枝每平方米扣0.5分。</w:t>
            </w:r>
          </w:p>
        </w:tc>
        <w:tc>
          <w:tcPr>
            <w:tcW w:w="567"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15</w:t>
            </w:r>
          </w:p>
        </w:tc>
        <w:tc>
          <w:tcPr>
            <w:tcW w:w="307"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82" w:type="dxa"/>
            <w:vMerge w:val="continue"/>
            <w:vAlign w:val="center"/>
          </w:tcPr>
          <w:p>
            <w:pPr>
              <w:widowControl/>
              <w:spacing w:line="220" w:lineRule="exact"/>
              <w:rPr>
                <w:rFonts w:asciiTheme="minorEastAsia" w:hAnsiTheme="minorEastAsia" w:eastAsiaTheme="minorEastAsia" w:cstheme="minorEastAsia"/>
                <w:b/>
                <w:bCs/>
                <w:color w:val="auto"/>
                <w:kern w:val="0"/>
                <w:szCs w:val="21"/>
              </w:rPr>
            </w:pP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2.林带乔木生长姿态良好，无明显枯枝。</w:t>
            </w:r>
          </w:p>
        </w:tc>
        <w:tc>
          <w:tcPr>
            <w:tcW w:w="3402"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乔木明显枯枝扣0.5分/株，乔木死株每株扣1分。</w:t>
            </w:r>
          </w:p>
        </w:tc>
        <w:tc>
          <w:tcPr>
            <w:tcW w:w="567"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w:t>
            </w:r>
          </w:p>
        </w:tc>
        <w:tc>
          <w:tcPr>
            <w:tcW w:w="307"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82" w:type="dxa"/>
            <w:vMerge w:val="continue"/>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3.绿地生长良好，草坪平整，高度适宜，无残缺，无杂草长草、残花。</w:t>
            </w:r>
          </w:p>
        </w:tc>
        <w:tc>
          <w:tcPr>
            <w:tcW w:w="3402"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绿地管养不善每100平方米扣1分。</w:t>
            </w:r>
          </w:p>
        </w:tc>
        <w:tc>
          <w:tcPr>
            <w:tcW w:w="567"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15</w:t>
            </w:r>
          </w:p>
        </w:tc>
        <w:tc>
          <w:tcPr>
            <w:tcW w:w="307"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82" w:type="dxa"/>
            <w:vMerge w:val="continue"/>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4.林带杂草高度不得超过20厘米。</w:t>
            </w:r>
          </w:p>
        </w:tc>
        <w:tc>
          <w:tcPr>
            <w:tcW w:w="3402"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林地管养不善每1000平方米扣1分。</w:t>
            </w:r>
          </w:p>
        </w:tc>
        <w:tc>
          <w:tcPr>
            <w:tcW w:w="567"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w:t>
            </w:r>
          </w:p>
        </w:tc>
        <w:tc>
          <w:tcPr>
            <w:tcW w:w="307"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82" w:type="dxa"/>
            <w:vMerge w:val="continue"/>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5.病虫害防治及时、有效，除虫记录齐全，常见病虫害在5%以下，乔木入冬按规范刷白。定期对林带乔木、花卉、草坪等进行施肥。</w:t>
            </w:r>
          </w:p>
        </w:tc>
        <w:tc>
          <w:tcPr>
            <w:tcW w:w="3402"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造成景观不佳每100平方米扣0.5分，乔木刷白不规范扣0.5-5分，乔木未刷白此项不得分。未定期对林带乔木、花卉、草坪等进行施肥扣0.5-5分。</w:t>
            </w:r>
          </w:p>
        </w:tc>
        <w:tc>
          <w:tcPr>
            <w:tcW w:w="567"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w:t>
            </w:r>
          </w:p>
        </w:tc>
        <w:tc>
          <w:tcPr>
            <w:tcW w:w="307"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82" w:type="dxa"/>
            <w:vMerge w:val="continue"/>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6.干旱时积极抗旱，合理安排浇水，浇水记录齐全。新种树成活率95%以上，老树存活率在98%以上。</w:t>
            </w:r>
          </w:p>
        </w:tc>
        <w:tc>
          <w:tcPr>
            <w:tcW w:w="3402" w:type="dxa"/>
            <w:vAlign w:val="center"/>
          </w:tcPr>
          <w:p>
            <w:pPr>
              <w:widowControl/>
              <w:spacing w:line="220" w:lineRule="exact"/>
              <w:ind w:right="-153" w:rightChars="-73"/>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因浇水、养护不到位出现长势不良的，色块每10m2扣0.5分，乔木、柱类、球类3株以上（不足3株按3株算）扣0.5分，每增加一株扣0.1分；出现死株情况的，色块每10m2扣1分，乔木、柱类、球类3株以上（不足3株按3株算）扣1分，每增加一株扣1分,直至扣完该项得分。</w:t>
            </w:r>
          </w:p>
        </w:tc>
        <w:tc>
          <w:tcPr>
            <w:tcW w:w="567"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w:t>
            </w:r>
          </w:p>
        </w:tc>
        <w:tc>
          <w:tcPr>
            <w:tcW w:w="307"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82" w:type="dxa"/>
            <w:vMerge w:val="continue"/>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7.绿地乔木、绿篱及时扶正。</w:t>
            </w:r>
          </w:p>
        </w:tc>
        <w:tc>
          <w:tcPr>
            <w:tcW w:w="3402"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乔木未及时扶正每株扣0.5分；绿篱未及时扶正，每平方米扣0.2分。</w:t>
            </w:r>
          </w:p>
        </w:tc>
        <w:tc>
          <w:tcPr>
            <w:tcW w:w="567"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307"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82" w:type="dxa"/>
            <w:vMerge w:val="continue"/>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8.林带乔木及时扶正。</w:t>
            </w:r>
          </w:p>
        </w:tc>
        <w:tc>
          <w:tcPr>
            <w:tcW w:w="3402"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未及时扶正每株扣0.5分。</w:t>
            </w:r>
          </w:p>
        </w:tc>
        <w:tc>
          <w:tcPr>
            <w:tcW w:w="567"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307"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82" w:type="dxa"/>
            <w:vMerge w:val="continue"/>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9.绿地乔木修枝、抹芽。</w:t>
            </w:r>
          </w:p>
        </w:tc>
        <w:tc>
          <w:tcPr>
            <w:tcW w:w="3402"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未按规定修枝、抹芽，每株扣0.2分。</w:t>
            </w:r>
          </w:p>
        </w:tc>
        <w:tc>
          <w:tcPr>
            <w:tcW w:w="567"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w:t>
            </w:r>
          </w:p>
        </w:tc>
        <w:tc>
          <w:tcPr>
            <w:tcW w:w="307"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82" w:type="dxa"/>
            <w:vMerge w:val="continue"/>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10.林带乔木修枝、抹芽。</w:t>
            </w:r>
          </w:p>
        </w:tc>
        <w:tc>
          <w:tcPr>
            <w:tcW w:w="3402"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未按规定修枝、抹芽，每株扣0.2分。</w:t>
            </w:r>
          </w:p>
        </w:tc>
        <w:tc>
          <w:tcPr>
            <w:tcW w:w="567"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w:t>
            </w:r>
          </w:p>
        </w:tc>
        <w:tc>
          <w:tcPr>
            <w:tcW w:w="307"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329"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422" w:type="dxa"/>
            <w:vAlign w:val="center"/>
          </w:tcPr>
          <w:p>
            <w:pPr>
              <w:widowControl/>
              <w:spacing w:line="220" w:lineRule="exact"/>
              <w:ind w:firstLine="360" w:firstLineChars="200"/>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二</w:t>
            </w:r>
          </w:p>
        </w:tc>
        <w:tc>
          <w:tcPr>
            <w:tcW w:w="7513" w:type="dxa"/>
            <w:gridSpan w:val="2"/>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清卫标准</w:t>
            </w:r>
          </w:p>
        </w:tc>
        <w:tc>
          <w:tcPr>
            <w:tcW w:w="567" w:type="dxa"/>
            <w:vAlign w:val="center"/>
          </w:tcPr>
          <w:p>
            <w:pPr>
              <w:jc w:val="center"/>
              <w:rPr>
                <w:color w:val="auto"/>
                <w:szCs w:val="22"/>
              </w:rPr>
            </w:pPr>
            <w:r>
              <w:rPr>
                <w:rFonts w:hint="eastAsia"/>
                <w:b/>
                <w:bCs/>
                <w:color w:val="auto"/>
                <w:szCs w:val="22"/>
              </w:rPr>
              <w:t>[15]</w:t>
            </w:r>
          </w:p>
        </w:tc>
        <w:tc>
          <w:tcPr>
            <w:tcW w:w="307"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82"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日常</w:t>
            </w:r>
          </w:p>
          <w:p>
            <w:pPr>
              <w:widowControl/>
              <w:spacing w:line="22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bCs/>
                <w:color w:val="auto"/>
                <w:kern w:val="0"/>
                <w:szCs w:val="21"/>
              </w:rPr>
              <w:t>保洁</w:t>
            </w: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林带绿地乔木整齐、无绑扎物、无挂物架线、无堆积物等现象；林带绿地环境整洁、不乱倒乱放废弃物，无白色污染等现象。</w:t>
            </w:r>
          </w:p>
        </w:tc>
        <w:tc>
          <w:tcPr>
            <w:tcW w:w="3402"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发现绑扎、挂物、架线一处扣0.5分；发现乱倒乱放废弃物、白色污染现象的每处扣1分。</w:t>
            </w:r>
          </w:p>
        </w:tc>
        <w:tc>
          <w:tcPr>
            <w:tcW w:w="567" w:type="dxa"/>
            <w:vAlign w:val="center"/>
          </w:tcPr>
          <w:p>
            <w:pPr>
              <w:jc w:val="center"/>
              <w:rPr>
                <w:color w:val="auto"/>
                <w:szCs w:val="22"/>
              </w:rPr>
            </w:pPr>
            <w:r>
              <w:rPr>
                <w:rFonts w:hint="eastAsia"/>
                <w:color w:val="auto"/>
                <w:szCs w:val="22"/>
              </w:rPr>
              <w:t>15</w:t>
            </w:r>
          </w:p>
        </w:tc>
        <w:tc>
          <w:tcPr>
            <w:tcW w:w="307"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三</w:t>
            </w:r>
          </w:p>
        </w:tc>
        <w:tc>
          <w:tcPr>
            <w:tcW w:w="7513" w:type="dxa"/>
            <w:gridSpan w:val="2"/>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安全环保</w:t>
            </w:r>
          </w:p>
        </w:tc>
        <w:tc>
          <w:tcPr>
            <w:tcW w:w="567" w:type="dxa"/>
            <w:vAlign w:val="center"/>
          </w:tcPr>
          <w:p>
            <w:pPr>
              <w:jc w:val="center"/>
              <w:rPr>
                <w:color w:val="auto"/>
                <w:szCs w:val="22"/>
              </w:rPr>
            </w:pPr>
            <w:r>
              <w:rPr>
                <w:rFonts w:hint="eastAsia"/>
                <w:b/>
                <w:bCs/>
                <w:color w:val="auto"/>
                <w:szCs w:val="22"/>
              </w:rPr>
              <w:t>[7]</w:t>
            </w:r>
          </w:p>
        </w:tc>
        <w:tc>
          <w:tcPr>
            <w:tcW w:w="307"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82" w:type="dxa"/>
            <w:vMerge w:val="restart"/>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安全</w:t>
            </w:r>
          </w:p>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作业</w:t>
            </w: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1布设规范，安全设施齐全，施工人员着装规范，交通组织有序，现场无安全隐患，机械设备安全整洁。</w:t>
            </w:r>
          </w:p>
        </w:tc>
        <w:tc>
          <w:tcPr>
            <w:tcW w:w="3402"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作业时未严格遵守安全作业规程的，发现扣0.5-1分/次。</w:t>
            </w:r>
          </w:p>
        </w:tc>
        <w:tc>
          <w:tcPr>
            <w:tcW w:w="567" w:type="dxa"/>
            <w:vAlign w:val="center"/>
          </w:tcPr>
          <w:p>
            <w:pPr>
              <w:jc w:val="center"/>
              <w:rPr>
                <w:color w:val="auto"/>
                <w:szCs w:val="22"/>
              </w:rPr>
            </w:pPr>
            <w:r>
              <w:rPr>
                <w:rFonts w:hint="eastAsia"/>
                <w:color w:val="auto"/>
                <w:szCs w:val="22"/>
              </w:rPr>
              <w:t>5</w:t>
            </w:r>
          </w:p>
        </w:tc>
        <w:tc>
          <w:tcPr>
            <w:tcW w:w="307"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82" w:type="dxa"/>
            <w:vMerge w:val="continue"/>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2.防火、抗台、抗旱及预防各类自然灾害措施得力。</w:t>
            </w:r>
          </w:p>
        </w:tc>
        <w:tc>
          <w:tcPr>
            <w:tcW w:w="3402"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预防各类自然灾害措施不力扣0.5-1分/次。</w:t>
            </w:r>
          </w:p>
        </w:tc>
        <w:tc>
          <w:tcPr>
            <w:tcW w:w="567" w:type="dxa"/>
            <w:vAlign w:val="center"/>
          </w:tcPr>
          <w:p>
            <w:pPr>
              <w:jc w:val="center"/>
              <w:rPr>
                <w:color w:val="auto"/>
                <w:szCs w:val="22"/>
              </w:rPr>
            </w:pPr>
            <w:r>
              <w:rPr>
                <w:rFonts w:hint="eastAsia"/>
                <w:color w:val="auto"/>
                <w:szCs w:val="22"/>
              </w:rPr>
              <w:t>2</w:t>
            </w:r>
          </w:p>
        </w:tc>
        <w:tc>
          <w:tcPr>
            <w:tcW w:w="307"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四</w:t>
            </w:r>
          </w:p>
        </w:tc>
        <w:tc>
          <w:tcPr>
            <w:tcW w:w="7513" w:type="dxa"/>
            <w:gridSpan w:val="2"/>
            <w:vAlign w:val="center"/>
          </w:tcPr>
          <w:p>
            <w:pPr>
              <w:widowControl/>
              <w:spacing w:line="220" w:lineRule="exact"/>
              <w:ind w:firstLine="422"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bCs/>
                <w:color w:val="auto"/>
                <w:kern w:val="0"/>
                <w:szCs w:val="21"/>
              </w:rPr>
              <w:t>养护管理</w:t>
            </w:r>
          </w:p>
        </w:tc>
        <w:tc>
          <w:tcPr>
            <w:tcW w:w="567" w:type="dxa"/>
            <w:vAlign w:val="center"/>
          </w:tcPr>
          <w:p>
            <w:pPr>
              <w:jc w:val="center"/>
              <w:rPr>
                <w:color w:val="auto"/>
                <w:szCs w:val="22"/>
              </w:rPr>
            </w:pPr>
            <w:r>
              <w:rPr>
                <w:rFonts w:hint="eastAsia"/>
                <w:b/>
                <w:bCs/>
                <w:color w:val="auto"/>
                <w:szCs w:val="22"/>
              </w:rPr>
              <w:t>[5]</w:t>
            </w:r>
          </w:p>
        </w:tc>
        <w:tc>
          <w:tcPr>
            <w:tcW w:w="307"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82"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养护</w:t>
            </w:r>
          </w:p>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管理</w:t>
            </w: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日常养护措施得力，管理有方；对交办的指令性、突发性、临时性任务完成情况及时得力。</w:t>
            </w:r>
          </w:p>
        </w:tc>
        <w:tc>
          <w:tcPr>
            <w:tcW w:w="3402"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未按规定日常保养，未及时完成任务的扣0.5-5分。</w:t>
            </w:r>
          </w:p>
        </w:tc>
        <w:tc>
          <w:tcPr>
            <w:tcW w:w="567" w:type="dxa"/>
            <w:vAlign w:val="center"/>
          </w:tcPr>
          <w:p>
            <w:pPr>
              <w:jc w:val="center"/>
              <w:rPr>
                <w:color w:val="auto"/>
                <w:szCs w:val="22"/>
              </w:rPr>
            </w:pPr>
            <w:r>
              <w:rPr>
                <w:rFonts w:hint="eastAsia"/>
                <w:color w:val="auto"/>
                <w:szCs w:val="22"/>
              </w:rPr>
              <w:t>5</w:t>
            </w:r>
          </w:p>
        </w:tc>
        <w:tc>
          <w:tcPr>
            <w:tcW w:w="307"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五</w:t>
            </w:r>
          </w:p>
        </w:tc>
        <w:tc>
          <w:tcPr>
            <w:tcW w:w="7513" w:type="dxa"/>
            <w:gridSpan w:val="2"/>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内业资料</w:t>
            </w:r>
          </w:p>
        </w:tc>
        <w:tc>
          <w:tcPr>
            <w:tcW w:w="567" w:type="dxa"/>
            <w:vAlign w:val="center"/>
          </w:tcPr>
          <w:p>
            <w:pPr>
              <w:jc w:val="center"/>
              <w:rPr>
                <w:color w:val="auto"/>
                <w:szCs w:val="22"/>
              </w:rPr>
            </w:pPr>
            <w:r>
              <w:rPr>
                <w:rFonts w:hint="eastAsia"/>
                <w:b/>
                <w:bCs/>
                <w:color w:val="auto"/>
                <w:szCs w:val="22"/>
              </w:rPr>
              <w:t>[2]</w:t>
            </w:r>
          </w:p>
        </w:tc>
        <w:tc>
          <w:tcPr>
            <w:tcW w:w="307"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582"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文明</w:t>
            </w:r>
          </w:p>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作业</w:t>
            </w:r>
          </w:p>
        </w:tc>
        <w:tc>
          <w:tcPr>
            <w:tcW w:w="4111"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每月按时上交下月工作计划表以上月工作完成反馈表及其他内业资料。</w:t>
            </w:r>
          </w:p>
        </w:tc>
        <w:tc>
          <w:tcPr>
            <w:tcW w:w="3402" w:type="dxa"/>
            <w:vAlign w:val="center"/>
          </w:tcPr>
          <w:p>
            <w:pPr>
              <w:widowControl/>
              <w:spacing w:line="22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未及时上交工作计划扣0.5-2分。</w:t>
            </w:r>
          </w:p>
        </w:tc>
        <w:tc>
          <w:tcPr>
            <w:tcW w:w="567" w:type="dxa"/>
            <w:vAlign w:val="center"/>
          </w:tcPr>
          <w:p>
            <w:pPr>
              <w:jc w:val="center"/>
              <w:rPr>
                <w:color w:val="auto"/>
                <w:szCs w:val="22"/>
              </w:rPr>
            </w:pPr>
            <w:r>
              <w:rPr>
                <w:rFonts w:hint="eastAsia"/>
                <w:color w:val="auto"/>
                <w:szCs w:val="22"/>
              </w:rPr>
              <w:t>2</w:t>
            </w:r>
          </w:p>
        </w:tc>
        <w:tc>
          <w:tcPr>
            <w:tcW w:w="307"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82"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六</w:t>
            </w:r>
          </w:p>
        </w:tc>
        <w:tc>
          <w:tcPr>
            <w:tcW w:w="7513" w:type="dxa"/>
            <w:gridSpan w:val="2"/>
            <w:vAlign w:val="center"/>
          </w:tcPr>
          <w:p>
            <w:pPr>
              <w:widowControl/>
              <w:spacing w:line="220" w:lineRule="exact"/>
              <w:ind w:firstLine="422" w:firstLineChars="200"/>
              <w:jc w:val="lef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总计</w:t>
            </w:r>
          </w:p>
        </w:tc>
        <w:tc>
          <w:tcPr>
            <w:tcW w:w="567" w:type="dxa"/>
            <w:vAlign w:val="center"/>
          </w:tcPr>
          <w:p>
            <w:pPr>
              <w:widowControl/>
              <w:spacing w:line="2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[100]</w:t>
            </w:r>
          </w:p>
        </w:tc>
        <w:tc>
          <w:tcPr>
            <w:tcW w:w="307"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329"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422" w:type="dxa"/>
            <w:vAlign w:val="center"/>
          </w:tcPr>
          <w:p>
            <w:pPr>
              <w:widowControl/>
              <w:spacing w:line="22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7"/>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备注：</w:t>
            </w:r>
            <w:r>
              <w:rPr>
                <w:rFonts w:hint="eastAsia" w:asciiTheme="minorEastAsia" w:hAnsiTheme="minorEastAsia" w:eastAsiaTheme="minorEastAsia" w:cstheme="minorEastAsia"/>
                <w:color w:val="auto"/>
                <w:szCs w:val="21"/>
              </w:rPr>
              <w:t>实际养护内容缺项的，得基本分90分。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720" w:type="dxa"/>
            <w:gridSpan w:val="7"/>
            <w:vAlign w:val="center"/>
          </w:tcPr>
          <w:p>
            <w:pPr>
              <w:widowControl/>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科室负责人:                                  检查人员：                                                                          </w:t>
            </w:r>
          </w:p>
        </w:tc>
      </w:tr>
    </w:tbl>
    <w:p>
      <w:pPr>
        <w:widowControl/>
        <w:jc w:val="left"/>
        <w:rPr>
          <w:rFonts w:asciiTheme="minorEastAsia" w:hAnsiTheme="minorEastAsia" w:eastAsiaTheme="minorEastAsia" w:cstheme="minorEastAsia"/>
          <w:b/>
          <w:bCs/>
          <w:color w:val="auto"/>
          <w:kern w:val="0"/>
          <w:szCs w:val="21"/>
        </w:rPr>
        <w:sectPr>
          <w:headerReference r:id="rId10" w:type="default"/>
          <w:footerReference r:id="rId11" w:type="default"/>
          <w:pgSz w:w="11907" w:h="16840"/>
          <w:pgMar w:top="1247" w:right="1843" w:bottom="1304" w:left="1531" w:header="426" w:footer="708" w:gutter="0"/>
          <w:pgBorders>
            <w:top w:val="none" w:sz="0" w:space="0"/>
            <w:left w:val="none" w:sz="0" w:space="0"/>
            <w:bottom w:val="none" w:sz="0" w:space="0"/>
            <w:right w:val="none" w:sz="0" w:space="0"/>
          </w:pgBorders>
          <w:pgNumType w:fmt="decimal" w:start="1"/>
          <w:cols w:space="720" w:num="1"/>
          <w:docGrid w:linePitch="286" w:charSpace="0"/>
        </w:sectPr>
      </w:pPr>
    </w:p>
    <w:tbl>
      <w:tblPr>
        <w:tblStyle w:val="29"/>
        <w:tblpPr w:leftFromText="180" w:rightFromText="180" w:vertAnchor="text" w:tblpY="1"/>
        <w:tblOverlap w:val="never"/>
        <w:tblW w:w="1416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235"/>
        <w:gridCol w:w="2505"/>
        <w:gridCol w:w="2310"/>
        <w:gridCol w:w="2190"/>
        <w:gridCol w:w="202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589" w:type="dxa"/>
            <w:gridSpan w:val="3"/>
            <w:tcBorders>
              <w:top w:val="nil"/>
              <w:left w:val="nil"/>
              <w:bottom w:val="single" w:color="auto" w:sz="4" w:space="0"/>
              <w:right w:val="nil"/>
            </w:tcBorders>
            <w:vAlign w:val="bottom"/>
          </w:tcPr>
          <w:p>
            <w:pPr>
              <w:widowControl/>
              <w:jc w:val="left"/>
              <w:rPr>
                <w:rFonts w:asciiTheme="minorEastAsia" w:hAnsiTheme="minorEastAsia" w:eastAsiaTheme="minorEastAsia" w:cstheme="minorEastAsia"/>
                <w:color w:val="auto"/>
                <w:kern w:val="0"/>
                <w:szCs w:val="21"/>
              </w:rPr>
            </w:pPr>
          </w:p>
        </w:tc>
        <w:tc>
          <w:tcPr>
            <w:tcW w:w="8580" w:type="dxa"/>
            <w:gridSpan w:val="4"/>
            <w:tcBorders>
              <w:top w:val="nil"/>
              <w:left w:val="nil"/>
              <w:bottom w:val="single" w:color="auto" w:sz="4" w:space="0"/>
              <w:right w:val="nil"/>
            </w:tcBorders>
            <w:vAlign w:val="bottom"/>
          </w:tcPr>
          <w:p>
            <w:pPr>
              <w:widowControl/>
              <w:jc w:val="left"/>
              <w:rPr>
                <w:rFonts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169" w:type="dxa"/>
            <w:gridSpan w:val="7"/>
            <w:tcBorders>
              <w:top w:val="single" w:color="auto" w:sz="4" w:space="0"/>
            </w:tcBorders>
            <w:vAlign w:val="center"/>
          </w:tcPr>
          <w:p>
            <w:pPr>
              <w:spacing w:line="480" w:lineRule="exact"/>
              <w:ind w:firstLine="422" w:firstLineChars="200"/>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宁海县公路与运输管理中心绿化养护项目各标段划分表及养护等级标准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9" w:type="dxa"/>
            <w:vAlign w:val="center"/>
          </w:tcPr>
          <w:p>
            <w:pPr>
              <w:widowControl/>
              <w:jc w:val="center"/>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标段</w:t>
            </w:r>
          </w:p>
        </w:tc>
        <w:tc>
          <w:tcPr>
            <w:tcW w:w="4740" w:type="dxa"/>
            <w:gridSpan w:val="2"/>
            <w:vAlign w:val="center"/>
          </w:tcPr>
          <w:p>
            <w:pPr>
              <w:widowControl/>
              <w:ind w:firstLine="422" w:firstLineChars="200"/>
              <w:jc w:val="center"/>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养护范围</w:t>
            </w:r>
          </w:p>
        </w:tc>
        <w:tc>
          <w:tcPr>
            <w:tcW w:w="2310" w:type="dxa"/>
            <w:vAlign w:val="center"/>
          </w:tcPr>
          <w:p>
            <w:pPr>
              <w:widowControl/>
              <w:jc w:val="center"/>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绿地养护面积（M</w:t>
            </w:r>
            <w:r>
              <w:rPr>
                <w:rFonts w:hint="eastAsia" w:asciiTheme="minorEastAsia" w:hAnsiTheme="minorEastAsia" w:eastAsiaTheme="minorEastAsia" w:cstheme="minorEastAsia"/>
                <w:b/>
                <w:bCs/>
                <w:color w:val="auto"/>
                <w:kern w:val="0"/>
                <w:szCs w:val="21"/>
                <w:vertAlign w:val="superscript"/>
              </w:rPr>
              <w:t>2</w:t>
            </w:r>
            <w:r>
              <w:rPr>
                <w:rFonts w:hint="eastAsia" w:asciiTheme="minorEastAsia" w:hAnsiTheme="minorEastAsia" w:eastAsiaTheme="minorEastAsia" w:cstheme="minorEastAsia"/>
                <w:b/>
                <w:bCs/>
                <w:color w:val="auto"/>
                <w:kern w:val="0"/>
                <w:szCs w:val="21"/>
              </w:rPr>
              <w:t>）</w:t>
            </w:r>
          </w:p>
        </w:tc>
        <w:tc>
          <w:tcPr>
            <w:tcW w:w="2190" w:type="dxa"/>
            <w:vAlign w:val="center"/>
          </w:tcPr>
          <w:p>
            <w:pPr>
              <w:widowControl/>
              <w:jc w:val="center"/>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林带养护面积（M</w:t>
            </w:r>
            <w:r>
              <w:rPr>
                <w:rFonts w:hint="eastAsia" w:asciiTheme="minorEastAsia" w:hAnsiTheme="minorEastAsia" w:eastAsiaTheme="minorEastAsia" w:cstheme="minorEastAsia"/>
                <w:b/>
                <w:bCs/>
                <w:color w:val="auto"/>
                <w:kern w:val="0"/>
                <w:szCs w:val="21"/>
                <w:vertAlign w:val="superscript"/>
              </w:rPr>
              <w:t>2</w:t>
            </w:r>
            <w:r>
              <w:rPr>
                <w:rFonts w:hint="eastAsia" w:asciiTheme="minorEastAsia" w:hAnsiTheme="minorEastAsia" w:eastAsiaTheme="minorEastAsia" w:cstheme="minorEastAsia"/>
                <w:b/>
                <w:bCs/>
                <w:color w:val="auto"/>
                <w:kern w:val="0"/>
                <w:szCs w:val="21"/>
              </w:rPr>
              <w:t>）</w:t>
            </w:r>
          </w:p>
        </w:tc>
        <w:tc>
          <w:tcPr>
            <w:tcW w:w="2025" w:type="dxa"/>
            <w:vAlign w:val="center"/>
          </w:tcPr>
          <w:p>
            <w:pPr>
              <w:widowControl/>
              <w:jc w:val="center"/>
              <w:rPr>
                <w:rFonts w:hint="default" w:asciiTheme="minorEastAsia" w:hAnsiTheme="minorEastAsia" w:eastAsiaTheme="minorEastAsia" w:cstheme="minorEastAsia"/>
                <w:b/>
                <w:bCs/>
                <w:color w:val="auto"/>
                <w:kern w:val="0"/>
                <w:szCs w:val="21"/>
                <w:lang w:val="en-US" w:eastAsia="zh-CN"/>
              </w:rPr>
            </w:pPr>
            <w:r>
              <w:rPr>
                <w:rFonts w:hint="eastAsia" w:asciiTheme="minorEastAsia" w:hAnsiTheme="minorEastAsia" w:eastAsiaTheme="minorEastAsia" w:cstheme="minorEastAsia"/>
                <w:b/>
                <w:bCs/>
                <w:color w:val="auto"/>
                <w:kern w:val="0"/>
                <w:szCs w:val="21"/>
                <w:lang w:val="en-US" w:eastAsia="zh-CN"/>
              </w:rPr>
              <w:t>中带养护面积</w:t>
            </w:r>
            <w:r>
              <w:rPr>
                <w:rFonts w:hint="eastAsia" w:asciiTheme="minorEastAsia" w:hAnsiTheme="minorEastAsia" w:eastAsiaTheme="minorEastAsia" w:cstheme="minorEastAsia"/>
                <w:b/>
                <w:bCs/>
                <w:color w:val="auto"/>
                <w:kern w:val="0"/>
                <w:szCs w:val="21"/>
              </w:rPr>
              <w:t>（M</w:t>
            </w:r>
            <w:r>
              <w:rPr>
                <w:rFonts w:hint="eastAsia" w:asciiTheme="minorEastAsia" w:hAnsiTheme="minorEastAsia" w:eastAsiaTheme="minorEastAsia" w:cstheme="minorEastAsia"/>
                <w:b/>
                <w:bCs/>
                <w:color w:val="auto"/>
                <w:kern w:val="0"/>
                <w:szCs w:val="21"/>
                <w:vertAlign w:val="superscript"/>
              </w:rPr>
              <w:t>2</w:t>
            </w:r>
            <w:r>
              <w:rPr>
                <w:rFonts w:hint="eastAsia" w:asciiTheme="minorEastAsia" w:hAnsiTheme="minorEastAsia" w:eastAsiaTheme="minorEastAsia" w:cstheme="minorEastAsia"/>
                <w:b/>
                <w:bCs/>
                <w:color w:val="auto"/>
                <w:kern w:val="0"/>
                <w:szCs w:val="21"/>
              </w:rPr>
              <w:t>）</w:t>
            </w:r>
          </w:p>
        </w:tc>
        <w:tc>
          <w:tcPr>
            <w:tcW w:w="2055" w:type="dxa"/>
            <w:vAlign w:val="center"/>
          </w:tcPr>
          <w:p>
            <w:pPr>
              <w:widowControl/>
              <w:ind w:firstLine="422" w:firstLineChars="200"/>
              <w:jc w:val="center"/>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849" w:type="dxa"/>
            <w:vMerge w:val="restart"/>
            <w:vAlign w:val="center"/>
          </w:tcPr>
          <w:p>
            <w:pPr>
              <w:widowControl/>
              <w:jc w:val="center"/>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1</w:t>
            </w:r>
          </w:p>
        </w:tc>
        <w:tc>
          <w:tcPr>
            <w:tcW w:w="4740" w:type="dxa"/>
            <w:gridSpan w:val="2"/>
            <w:vAlign w:val="center"/>
          </w:tcPr>
          <w:p>
            <w:pPr>
              <w:spacing w:line="240" w:lineRule="exact"/>
              <w:jc w:val="center"/>
              <w:rPr>
                <w:rFonts w:asciiTheme="minorEastAsia" w:hAnsiTheme="minorEastAsia" w:eastAsiaTheme="minorEastAsia" w:cstheme="minorEastAsia"/>
                <w:color w:val="auto"/>
                <w:szCs w:val="21"/>
              </w:rPr>
            </w:pPr>
            <w:r>
              <w:rPr>
                <w:rFonts w:hint="eastAsia" w:ascii="宋体" w:hAnsi="宋体" w:cs="宋体"/>
                <w:color w:val="auto"/>
                <w:kern w:val="0"/>
                <w:szCs w:val="21"/>
                <w:lang w:val="en-US" w:eastAsia="zh-CN"/>
              </w:rPr>
              <w:t>G527象义线（K56+814-K73+908）、S311象西线（K45+360-K49+536）</w:t>
            </w:r>
          </w:p>
        </w:tc>
        <w:tc>
          <w:tcPr>
            <w:tcW w:w="2310" w:type="dxa"/>
            <w:vAlign w:val="center"/>
          </w:tcPr>
          <w:p>
            <w:pPr>
              <w:jc w:val="center"/>
              <w:rPr>
                <w:rFonts w:asciiTheme="minorEastAsia" w:hAnsiTheme="minorEastAsia" w:eastAsiaTheme="minorEastAsia" w:cstheme="minorEastAsia"/>
                <w:color w:val="auto"/>
                <w:kern w:val="0"/>
                <w:szCs w:val="21"/>
              </w:rPr>
            </w:pPr>
            <w:r>
              <w:rPr>
                <w:rFonts w:hint="eastAsia" w:ascii="宋体" w:hAnsi="宋体" w:cs="宋体"/>
                <w:color w:val="auto"/>
                <w:kern w:val="0"/>
                <w:szCs w:val="21"/>
                <w:lang w:val="en-US" w:eastAsia="zh-CN"/>
              </w:rPr>
              <w:t>303859</w:t>
            </w:r>
          </w:p>
        </w:tc>
        <w:tc>
          <w:tcPr>
            <w:tcW w:w="2190" w:type="dxa"/>
            <w:vAlign w:val="center"/>
          </w:tcPr>
          <w:p>
            <w:pPr>
              <w:widowControl/>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2025" w:type="dxa"/>
            <w:vAlign w:val="center"/>
          </w:tcPr>
          <w:p>
            <w:pPr>
              <w:widowControl/>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2055" w:type="dxa"/>
            <w:vMerge w:val="restart"/>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具体养护面积及时间以移交养护面积和时间为准，按实调整。</w:t>
            </w:r>
            <w:r>
              <w:rPr>
                <w:rFonts w:hint="eastAsia" w:asciiTheme="minorEastAsia" w:hAnsiTheme="minorEastAsia" w:eastAsiaTheme="minorEastAsia" w:cstheme="minorEastAsia"/>
                <w:color w:val="auto"/>
                <w:kern w:val="0"/>
                <w:sz w:val="21"/>
                <w:szCs w:val="21"/>
              </w:rPr>
              <w:t>除不可抗力外，精品苗木在养护期内出现死亡，中标人须按原规格赔偿，否则死一赔二。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9" w:type="dxa"/>
            <w:vMerge w:val="continue"/>
            <w:vAlign w:val="center"/>
          </w:tcPr>
          <w:p>
            <w:pPr>
              <w:widowControl/>
              <w:ind w:firstLine="422" w:firstLineChars="200"/>
              <w:rPr>
                <w:rFonts w:asciiTheme="minorEastAsia" w:hAnsiTheme="minorEastAsia" w:eastAsiaTheme="minorEastAsia" w:cstheme="minorEastAsia"/>
                <w:b/>
                <w:color w:val="auto"/>
                <w:kern w:val="0"/>
                <w:szCs w:val="21"/>
              </w:rPr>
            </w:pPr>
          </w:p>
        </w:tc>
        <w:tc>
          <w:tcPr>
            <w:tcW w:w="2235" w:type="dxa"/>
            <w:vAlign w:val="center"/>
          </w:tcPr>
          <w:p>
            <w:pPr>
              <w:ind w:firstLine="420" w:firstLineChars="200"/>
              <w:jc w:val="both"/>
              <w:rPr>
                <w:rFonts w:asciiTheme="minorEastAsia" w:hAnsiTheme="minorEastAsia" w:eastAsiaTheme="minorEastAsia" w:cstheme="minorEastAsia"/>
                <w:color w:val="auto"/>
                <w:szCs w:val="21"/>
              </w:rPr>
            </w:pPr>
            <w:r>
              <w:rPr>
                <w:rFonts w:hint="eastAsia" w:ascii="宋体" w:hAnsi="宋体" w:cs="宋体"/>
                <w:color w:val="auto"/>
                <w:kern w:val="0"/>
                <w:szCs w:val="21"/>
                <w:lang w:val="en-US" w:eastAsia="zh-CN"/>
              </w:rPr>
              <w:t>老象西线S311</w:t>
            </w:r>
          </w:p>
        </w:tc>
        <w:tc>
          <w:tcPr>
            <w:tcW w:w="2505" w:type="dxa"/>
            <w:vAlign w:val="center"/>
          </w:tcPr>
          <w:p>
            <w:pPr>
              <w:spacing w:line="240" w:lineRule="exact"/>
              <w:rPr>
                <w:rFonts w:asciiTheme="minorEastAsia" w:hAnsiTheme="minorEastAsia" w:eastAsiaTheme="minorEastAsia" w:cstheme="minorEastAsia"/>
                <w:color w:val="auto"/>
                <w:szCs w:val="21"/>
              </w:rPr>
            </w:pPr>
            <w:r>
              <w:rPr>
                <w:rFonts w:hint="eastAsia" w:ascii="宋体" w:hAnsi="宋体" w:cs="宋体"/>
                <w:color w:val="auto"/>
                <w:kern w:val="0"/>
                <w:szCs w:val="21"/>
                <w:lang w:val="en-US" w:eastAsia="zh-CN"/>
              </w:rPr>
              <w:t>K54+200-K90+800</w:t>
            </w:r>
          </w:p>
        </w:tc>
        <w:tc>
          <w:tcPr>
            <w:tcW w:w="2310" w:type="dxa"/>
            <w:vAlign w:val="center"/>
          </w:tcPr>
          <w:p>
            <w:pPr>
              <w:jc w:val="center"/>
              <w:rPr>
                <w:rFonts w:asciiTheme="minorEastAsia" w:hAnsiTheme="minorEastAsia" w:eastAsiaTheme="minorEastAsia" w:cstheme="minorEastAsia"/>
                <w:color w:val="auto"/>
                <w:kern w:val="0"/>
                <w:szCs w:val="21"/>
              </w:rPr>
            </w:pPr>
            <w:r>
              <w:rPr>
                <w:rFonts w:hint="eastAsia" w:ascii="宋体" w:hAnsi="宋体" w:cs="宋体"/>
                <w:color w:val="auto"/>
                <w:kern w:val="0"/>
                <w:szCs w:val="21"/>
                <w:lang w:val="en-US" w:eastAsia="zh-CN"/>
              </w:rPr>
              <w:t>55397.9</w:t>
            </w:r>
          </w:p>
        </w:tc>
        <w:tc>
          <w:tcPr>
            <w:tcW w:w="2190" w:type="dxa"/>
            <w:vAlign w:val="center"/>
          </w:tcPr>
          <w:p>
            <w:pPr>
              <w:widowControl/>
              <w:spacing w:after="120"/>
              <w:jc w:val="center"/>
              <w:rPr>
                <w:rFonts w:asciiTheme="minorEastAsia" w:hAnsiTheme="minorEastAsia" w:eastAsiaTheme="minorEastAsia" w:cstheme="minorEastAsia"/>
                <w:color w:val="auto"/>
                <w:kern w:val="0"/>
                <w:sz w:val="24"/>
                <w:szCs w:val="21"/>
              </w:rPr>
            </w:pPr>
            <w:r>
              <w:rPr>
                <w:rFonts w:hint="eastAsia" w:ascii="宋体" w:hAnsi="宋体" w:cs="宋体"/>
                <w:color w:val="auto"/>
                <w:kern w:val="0"/>
                <w:szCs w:val="21"/>
                <w:lang w:val="en-US" w:eastAsia="zh-CN"/>
              </w:rPr>
              <w:t>110136.2</w:t>
            </w:r>
          </w:p>
        </w:tc>
        <w:tc>
          <w:tcPr>
            <w:tcW w:w="2025" w:type="dxa"/>
            <w:vAlign w:val="center"/>
          </w:tcPr>
          <w:p>
            <w:pPr>
              <w:widowControl/>
              <w:spacing w:after="120"/>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w:t>
            </w:r>
          </w:p>
        </w:tc>
        <w:tc>
          <w:tcPr>
            <w:tcW w:w="2055" w:type="dxa"/>
            <w:vMerge w:val="continue"/>
            <w:vAlign w:val="center"/>
          </w:tcPr>
          <w:p>
            <w:pPr>
              <w:widowControl/>
              <w:ind w:firstLine="562" w:firstLineChars="200"/>
              <w:jc w:val="center"/>
              <w:rPr>
                <w:rFonts w:asciiTheme="minorEastAsia" w:hAnsiTheme="minorEastAsia" w:eastAsiaTheme="minorEastAsia" w:cstheme="minorEastAsia"/>
                <w:b/>
                <w:bCs/>
                <w:color w:val="auto"/>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9" w:type="dxa"/>
            <w:vMerge w:val="continue"/>
            <w:vAlign w:val="center"/>
          </w:tcPr>
          <w:p>
            <w:pPr>
              <w:widowControl/>
              <w:ind w:firstLine="422" w:firstLineChars="200"/>
              <w:rPr>
                <w:rFonts w:asciiTheme="minorEastAsia" w:hAnsiTheme="minorEastAsia" w:eastAsiaTheme="minorEastAsia" w:cstheme="minorEastAsia"/>
                <w:b/>
                <w:color w:val="auto"/>
                <w:kern w:val="0"/>
                <w:szCs w:val="21"/>
              </w:rPr>
            </w:pPr>
          </w:p>
        </w:tc>
        <w:tc>
          <w:tcPr>
            <w:tcW w:w="2235" w:type="dxa"/>
            <w:vAlign w:val="center"/>
          </w:tcPr>
          <w:p>
            <w:pPr>
              <w:ind w:firstLine="630" w:firstLineChars="300"/>
              <w:jc w:val="both"/>
              <w:rPr>
                <w:rFonts w:asciiTheme="minorEastAsia" w:hAnsiTheme="minorEastAsia" w:eastAsiaTheme="minorEastAsia" w:cstheme="minorEastAsia"/>
                <w:color w:val="auto"/>
                <w:szCs w:val="21"/>
              </w:rPr>
            </w:pPr>
            <w:r>
              <w:rPr>
                <w:rFonts w:hint="eastAsia" w:ascii="宋体" w:hAnsi="宋体" w:cs="宋体"/>
                <w:color w:val="auto"/>
                <w:kern w:val="0"/>
                <w:szCs w:val="21"/>
                <w:lang w:val="en-US" w:eastAsia="zh-CN"/>
              </w:rPr>
              <w:t>西山线</w:t>
            </w:r>
          </w:p>
        </w:tc>
        <w:tc>
          <w:tcPr>
            <w:tcW w:w="2505" w:type="dxa"/>
            <w:vAlign w:val="center"/>
          </w:tcPr>
          <w:p>
            <w:pPr>
              <w:rPr>
                <w:rFonts w:asciiTheme="minorEastAsia" w:hAnsiTheme="minorEastAsia" w:eastAsiaTheme="minorEastAsia" w:cstheme="minorEastAsia"/>
                <w:color w:val="auto"/>
                <w:szCs w:val="21"/>
              </w:rPr>
            </w:pPr>
            <w:r>
              <w:rPr>
                <w:rFonts w:hint="eastAsia" w:ascii="宋体" w:hAnsi="宋体" w:cs="宋体"/>
                <w:color w:val="auto"/>
                <w:kern w:val="0"/>
                <w:szCs w:val="21"/>
                <w:lang w:val="en-US" w:eastAsia="zh-CN"/>
              </w:rPr>
              <w:t>K17+500-K20+270</w:t>
            </w:r>
          </w:p>
        </w:tc>
        <w:tc>
          <w:tcPr>
            <w:tcW w:w="2310" w:type="dxa"/>
            <w:vAlign w:val="center"/>
          </w:tcPr>
          <w:p>
            <w:pPr>
              <w:jc w:val="center"/>
              <w:rPr>
                <w:rFonts w:asciiTheme="minorEastAsia" w:hAnsiTheme="minorEastAsia" w:eastAsiaTheme="minorEastAsia" w:cstheme="minorEastAsia"/>
                <w:color w:val="auto"/>
                <w:kern w:val="0"/>
                <w:szCs w:val="21"/>
              </w:rPr>
            </w:pPr>
            <w:r>
              <w:rPr>
                <w:rFonts w:hint="eastAsia" w:ascii="宋体" w:hAnsi="宋体" w:cs="宋体"/>
                <w:color w:val="auto"/>
                <w:kern w:val="0"/>
                <w:szCs w:val="21"/>
                <w:lang w:val="en-US" w:eastAsia="zh-CN"/>
              </w:rPr>
              <w:t>18249.2</w:t>
            </w:r>
          </w:p>
        </w:tc>
        <w:tc>
          <w:tcPr>
            <w:tcW w:w="2190" w:type="dxa"/>
            <w:vAlign w:val="center"/>
          </w:tcPr>
          <w:p>
            <w:pPr>
              <w:widowControl/>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2025" w:type="dxa"/>
            <w:vAlign w:val="center"/>
          </w:tcPr>
          <w:p>
            <w:pPr>
              <w:widowControl/>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2055" w:type="dxa"/>
            <w:vMerge w:val="continue"/>
            <w:vAlign w:val="center"/>
          </w:tcPr>
          <w:p>
            <w:pPr>
              <w:widowControl/>
              <w:ind w:firstLine="562" w:firstLineChars="200"/>
              <w:jc w:val="center"/>
              <w:rPr>
                <w:rFonts w:asciiTheme="minorEastAsia" w:hAnsiTheme="minorEastAsia" w:eastAsiaTheme="minorEastAsia" w:cstheme="minorEastAsia"/>
                <w:b/>
                <w:bCs/>
                <w:color w:val="auto"/>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849" w:type="dxa"/>
            <w:vMerge w:val="continue"/>
            <w:vAlign w:val="center"/>
          </w:tcPr>
          <w:p>
            <w:pPr>
              <w:widowControl/>
              <w:ind w:firstLine="422" w:firstLineChars="200"/>
              <w:rPr>
                <w:rFonts w:asciiTheme="minorEastAsia" w:hAnsiTheme="minorEastAsia" w:eastAsiaTheme="minorEastAsia" w:cstheme="minorEastAsia"/>
                <w:b/>
                <w:color w:val="auto"/>
                <w:kern w:val="0"/>
                <w:szCs w:val="21"/>
              </w:rPr>
            </w:pPr>
          </w:p>
        </w:tc>
        <w:tc>
          <w:tcPr>
            <w:tcW w:w="4740" w:type="dxa"/>
            <w:gridSpan w:val="2"/>
            <w:vAlign w:val="center"/>
          </w:tcPr>
          <w:p>
            <w:pPr>
              <w:ind w:firstLine="422" w:firstLineChars="200"/>
              <w:jc w:val="center"/>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小计</w:t>
            </w:r>
          </w:p>
        </w:tc>
        <w:tc>
          <w:tcPr>
            <w:tcW w:w="2310" w:type="dxa"/>
            <w:vAlign w:val="center"/>
          </w:tcPr>
          <w:p>
            <w:pPr>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377506.1</w:t>
            </w:r>
          </w:p>
        </w:tc>
        <w:tc>
          <w:tcPr>
            <w:tcW w:w="2190" w:type="dxa"/>
            <w:vAlign w:val="center"/>
          </w:tcPr>
          <w:p>
            <w:pPr>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110136.2</w:t>
            </w:r>
          </w:p>
        </w:tc>
        <w:tc>
          <w:tcPr>
            <w:tcW w:w="2025" w:type="dxa"/>
            <w:vAlign w:val="center"/>
          </w:tcPr>
          <w:p>
            <w:pPr>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2055" w:type="dxa"/>
            <w:vMerge w:val="continue"/>
            <w:vAlign w:val="center"/>
          </w:tcPr>
          <w:p>
            <w:pPr>
              <w:widowControl/>
              <w:ind w:firstLine="562" w:firstLineChars="200"/>
              <w:jc w:val="center"/>
              <w:rPr>
                <w:rFonts w:asciiTheme="minorEastAsia" w:hAnsiTheme="minorEastAsia" w:eastAsiaTheme="minorEastAsia" w:cstheme="minorEastAsia"/>
                <w:b/>
                <w:bCs/>
                <w:color w:val="auto"/>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849" w:type="dxa"/>
            <w:vMerge w:val="restart"/>
            <w:vAlign w:val="center"/>
          </w:tcPr>
          <w:p>
            <w:pPr>
              <w:widowControl/>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2</w:t>
            </w:r>
          </w:p>
        </w:tc>
        <w:tc>
          <w:tcPr>
            <w:tcW w:w="2235" w:type="dxa"/>
            <w:vAlign w:val="center"/>
          </w:tcPr>
          <w:p>
            <w:pPr>
              <w:jc w:val="center"/>
              <w:rPr>
                <w:rFonts w:asciiTheme="minorEastAsia" w:hAnsiTheme="minorEastAsia" w:eastAsiaTheme="minorEastAsia" w:cstheme="minorEastAsia"/>
                <w:color w:val="auto"/>
                <w:szCs w:val="21"/>
              </w:rPr>
            </w:pPr>
            <w:r>
              <w:rPr>
                <w:rFonts w:hint="eastAsia" w:ascii="宋体" w:hAnsi="宋体" w:cs="宋体"/>
                <w:color w:val="auto"/>
                <w:kern w:val="0"/>
                <w:szCs w:val="21"/>
                <w:lang w:val="en-US" w:eastAsia="zh-CN"/>
              </w:rPr>
              <w:t>西环线</w:t>
            </w:r>
          </w:p>
        </w:tc>
        <w:tc>
          <w:tcPr>
            <w:tcW w:w="2505" w:type="dxa"/>
            <w:vAlign w:val="center"/>
          </w:tcPr>
          <w:p>
            <w:pPr>
              <w:jc w:val="lef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（K0+000+K5+100，K6+200-K9+800）</w:t>
            </w:r>
          </w:p>
        </w:tc>
        <w:tc>
          <w:tcPr>
            <w:tcW w:w="2310" w:type="dxa"/>
            <w:vAlign w:val="center"/>
          </w:tcPr>
          <w:p>
            <w:pPr>
              <w:jc w:val="center"/>
              <w:rPr>
                <w:rFonts w:hint="eastAsia" w:eastAsia="宋体" w:asciiTheme="minorEastAsia" w:hAnsiTheme="minorEastAsia" w:cstheme="minorEastAsia"/>
                <w:color w:val="auto"/>
                <w:kern w:val="0"/>
                <w:szCs w:val="21"/>
                <w:lang w:eastAsia="zh-CN"/>
              </w:rPr>
            </w:pPr>
            <w:r>
              <w:rPr>
                <w:rFonts w:hint="eastAsia" w:ascii="宋体" w:hAnsi="宋体" w:cs="宋体"/>
                <w:color w:val="auto"/>
                <w:kern w:val="0"/>
                <w:szCs w:val="21"/>
                <w:lang w:val="en-US" w:eastAsia="zh-CN"/>
              </w:rPr>
              <w:t>193072.33</w:t>
            </w:r>
            <w:r>
              <w:rPr>
                <w:rFonts w:hint="eastAsia" w:ascii="宋体" w:hAnsi="宋体" w:cs="宋体"/>
                <w:color w:val="auto"/>
                <w:kern w:val="0"/>
                <w:szCs w:val="21"/>
              </w:rPr>
              <w:t xml:space="preserve"> </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精品</w:t>
            </w:r>
            <w:r>
              <w:rPr>
                <w:rFonts w:hint="eastAsia" w:ascii="宋体" w:hAnsi="宋体" w:cs="宋体"/>
                <w:color w:val="auto"/>
                <w:kern w:val="0"/>
                <w:szCs w:val="21"/>
                <w:lang w:eastAsia="zh-CN"/>
              </w:rPr>
              <w:t>）</w:t>
            </w:r>
          </w:p>
        </w:tc>
        <w:tc>
          <w:tcPr>
            <w:tcW w:w="2190" w:type="dxa"/>
            <w:vAlign w:val="center"/>
          </w:tcPr>
          <w:p>
            <w:pPr>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2025" w:type="dxa"/>
            <w:vAlign w:val="center"/>
          </w:tcPr>
          <w:p>
            <w:pPr>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2055" w:type="dxa"/>
            <w:vMerge w:val="continue"/>
            <w:vAlign w:val="center"/>
          </w:tcPr>
          <w:p>
            <w:pPr>
              <w:jc w:val="left"/>
              <w:rPr>
                <w:rFonts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849" w:type="dxa"/>
            <w:vMerge w:val="continue"/>
            <w:vAlign w:val="center"/>
          </w:tcPr>
          <w:p>
            <w:pPr>
              <w:widowControl/>
              <w:ind w:firstLine="422" w:firstLineChars="200"/>
              <w:rPr>
                <w:rFonts w:hint="eastAsia" w:asciiTheme="minorEastAsia" w:hAnsiTheme="minorEastAsia" w:eastAsiaTheme="minorEastAsia" w:cstheme="minorEastAsia"/>
                <w:b/>
                <w:color w:val="auto"/>
                <w:kern w:val="0"/>
                <w:szCs w:val="21"/>
              </w:rPr>
            </w:pPr>
          </w:p>
        </w:tc>
        <w:tc>
          <w:tcPr>
            <w:tcW w:w="2235" w:type="dxa"/>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cs="宋体"/>
                <w:color w:val="auto"/>
                <w:kern w:val="0"/>
                <w:szCs w:val="21"/>
                <w:lang w:val="en-US" w:eastAsia="zh-CN"/>
              </w:rPr>
              <w:t>西环线</w:t>
            </w:r>
          </w:p>
        </w:tc>
        <w:tc>
          <w:tcPr>
            <w:tcW w:w="2505" w:type="dxa"/>
            <w:vAlign w:val="center"/>
          </w:tcPr>
          <w:p>
            <w:pPr>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K5+100-K6+200</w:t>
            </w:r>
          </w:p>
        </w:tc>
        <w:tc>
          <w:tcPr>
            <w:tcW w:w="2310"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7877 </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精品</w:t>
            </w:r>
            <w:r>
              <w:rPr>
                <w:rFonts w:hint="eastAsia" w:ascii="宋体" w:hAnsi="宋体" w:cs="宋体"/>
                <w:color w:val="auto"/>
                <w:kern w:val="0"/>
                <w:szCs w:val="21"/>
                <w:lang w:eastAsia="zh-CN"/>
              </w:rPr>
              <w:t>）</w:t>
            </w:r>
          </w:p>
        </w:tc>
        <w:tc>
          <w:tcPr>
            <w:tcW w:w="2190" w:type="dxa"/>
            <w:vAlign w:val="center"/>
          </w:tcPr>
          <w:p>
            <w:pPr>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2025" w:type="dxa"/>
            <w:vAlign w:val="center"/>
          </w:tcPr>
          <w:p>
            <w:pPr>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2055" w:type="dxa"/>
            <w:vMerge w:val="continue"/>
            <w:vAlign w:val="center"/>
          </w:tcPr>
          <w:p>
            <w:pPr>
              <w:jc w:val="left"/>
              <w:rPr>
                <w:rFonts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9" w:type="dxa"/>
            <w:vMerge w:val="continue"/>
            <w:vAlign w:val="center"/>
          </w:tcPr>
          <w:p>
            <w:pPr>
              <w:widowControl/>
              <w:ind w:firstLine="422" w:firstLineChars="200"/>
              <w:jc w:val="center"/>
              <w:rPr>
                <w:rFonts w:asciiTheme="minorEastAsia" w:hAnsiTheme="minorEastAsia" w:eastAsiaTheme="minorEastAsia" w:cstheme="minorEastAsia"/>
                <w:b/>
                <w:color w:val="auto"/>
                <w:kern w:val="0"/>
                <w:szCs w:val="21"/>
              </w:rPr>
            </w:pPr>
          </w:p>
        </w:tc>
        <w:tc>
          <w:tcPr>
            <w:tcW w:w="4740" w:type="dxa"/>
            <w:gridSpan w:val="2"/>
            <w:vAlign w:val="center"/>
          </w:tcPr>
          <w:p>
            <w:pPr>
              <w:jc w:val="center"/>
              <w:rPr>
                <w:rFonts w:asciiTheme="minorEastAsia" w:hAnsiTheme="minorEastAsia" w:eastAsiaTheme="minorEastAsia" w:cstheme="minorEastAsia"/>
                <w:color w:val="auto"/>
                <w:szCs w:val="21"/>
              </w:rPr>
            </w:pPr>
            <w:r>
              <w:rPr>
                <w:rFonts w:hint="eastAsia" w:ascii="宋体" w:hAnsi="宋体" w:cs="宋体"/>
                <w:color w:val="auto"/>
                <w:kern w:val="0"/>
                <w:szCs w:val="21"/>
                <w:lang w:val="en-US" w:eastAsia="zh-CN"/>
              </w:rPr>
              <w:t>乌岩山隧道口上方、狮子岩隧道口上方</w:t>
            </w:r>
          </w:p>
        </w:tc>
        <w:tc>
          <w:tcPr>
            <w:tcW w:w="2310" w:type="dxa"/>
            <w:vAlign w:val="center"/>
          </w:tcPr>
          <w:p>
            <w:pPr>
              <w:jc w:val="center"/>
              <w:rPr>
                <w:rFonts w:asciiTheme="minorEastAsia" w:hAnsiTheme="minorEastAsia" w:eastAsiaTheme="minorEastAsia" w:cstheme="minorEastAsia"/>
                <w:color w:val="auto"/>
                <w:kern w:val="0"/>
                <w:szCs w:val="21"/>
              </w:rPr>
            </w:pPr>
            <w:r>
              <w:rPr>
                <w:rFonts w:hint="eastAsia" w:ascii="宋体" w:hAnsi="宋体" w:cs="宋体"/>
                <w:color w:val="auto"/>
                <w:kern w:val="0"/>
                <w:szCs w:val="21"/>
                <w:lang w:val="en-US" w:eastAsia="zh-CN"/>
              </w:rPr>
              <w:t xml:space="preserve">2500 </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精品</w:t>
            </w:r>
            <w:r>
              <w:rPr>
                <w:rFonts w:hint="eastAsia" w:ascii="宋体" w:hAnsi="宋体" w:cs="宋体"/>
                <w:color w:val="auto"/>
                <w:kern w:val="0"/>
                <w:szCs w:val="21"/>
                <w:lang w:eastAsia="zh-CN"/>
              </w:rPr>
              <w:t>）</w:t>
            </w:r>
          </w:p>
        </w:tc>
        <w:tc>
          <w:tcPr>
            <w:tcW w:w="2190" w:type="dxa"/>
            <w:vAlign w:val="center"/>
          </w:tcPr>
          <w:p>
            <w:pPr>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2025" w:type="dxa"/>
            <w:vAlign w:val="center"/>
          </w:tcPr>
          <w:p>
            <w:pPr>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2055" w:type="dxa"/>
            <w:vMerge w:val="continue"/>
            <w:vAlign w:val="center"/>
          </w:tcPr>
          <w:p>
            <w:pPr>
              <w:ind w:firstLine="562" w:firstLineChars="200"/>
              <w:jc w:val="center"/>
              <w:rPr>
                <w:rFonts w:asciiTheme="minorEastAsia" w:hAnsiTheme="minorEastAsia" w:eastAsiaTheme="minorEastAsia" w:cstheme="minorEastAsia"/>
                <w:b/>
                <w:bCs/>
                <w:color w:val="auto"/>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9" w:type="dxa"/>
            <w:vMerge w:val="continue"/>
            <w:vAlign w:val="center"/>
          </w:tcPr>
          <w:p>
            <w:pPr>
              <w:widowControl/>
              <w:ind w:firstLine="422" w:firstLineChars="200"/>
              <w:jc w:val="center"/>
              <w:rPr>
                <w:rFonts w:asciiTheme="minorEastAsia" w:hAnsiTheme="minorEastAsia" w:eastAsiaTheme="minorEastAsia" w:cstheme="minorEastAsia"/>
                <w:b/>
                <w:color w:val="auto"/>
                <w:kern w:val="0"/>
                <w:szCs w:val="21"/>
              </w:rPr>
            </w:pPr>
          </w:p>
        </w:tc>
        <w:tc>
          <w:tcPr>
            <w:tcW w:w="4740" w:type="dxa"/>
            <w:gridSpan w:val="2"/>
            <w:vAlign w:val="center"/>
          </w:tcPr>
          <w:p>
            <w:pPr>
              <w:jc w:val="center"/>
              <w:rPr>
                <w:rFonts w:asciiTheme="minorEastAsia" w:hAnsiTheme="minorEastAsia" w:eastAsiaTheme="minorEastAsia" w:cstheme="minorEastAsia"/>
                <w:color w:val="auto"/>
                <w:kern w:val="0"/>
                <w:szCs w:val="21"/>
              </w:rPr>
            </w:pPr>
            <w:r>
              <w:rPr>
                <w:rFonts w:hint="eastAsia" w:ascii="宋体" w:hAnsi="宋体" w:cs="宋体"/>
                <w:color w:val="auto"/>
                <w:kern w:val="0"/>
                <w:szCs w:val="21"/>
                <w:lang w:val="en-US" w:eastAsia="zh-CN"/>
              </w:rPr>
              <w:t>公铁立交-马鞍岭隧道口</w:t>
            </w:r>
          </w:p>
        </w:tc>
        <w:tc>
          <w:tcPr>
            <w:tcW w:w="2310" w:type="dxa"/>
            <w:vAlign w:val="center"/>
          </w:tcPr>
          <w:p>
            <w:pPr>
              <w:jc w:val="center"/>
              <w:rPr>
                <w:rFonts w:asciiTheme="minorEastAsia" w:hAnsiTheme="minorEastAsia" w:eastAsiaTheme="minorEastAsia" w:cstheme="minorEastAsia"/>
                <w:color w:val="auto"/>
                <w:kern w:val="0"/>
                <w:szCs w:val="21"/>
              </w:rPr>
            </w:pPr>
            <w:r>
              <w:rPr>
                <w:rFonts w:hint="eastAsia" w:ascii="宋体" w:hAnsi="宋体" w:cs="宋体"/>
                <w:color w:val="auto"/>
                <w:kern w:val="0"/>
                <w:szCs w:val="21"/>
                <w:lang w:val="en-US" w:eastAsia="zh-CN"/>
              </w:rPr>
              <w:t xml:space="preserve">109260 </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精品</w:t>
            </w:r>
            <w:r>
              <w:rPr>
                <w:rFonts w:hint="eastAsia" w:ascii="宋体" w:hAnsi="宋体" w:cs="宋体"/>
                <w:color w:val="auto"/>
                <w:kern w:val="0"/>
                <w:szCs w:val="21"/>
                <w:lang w:eastAsia="zh-CN"/>
              </w:rPr>
              <w:t>）</w:t>
            </w:r>
          </w:p>
        </w:tc>
        <w:tc>
          <w:tcPr>
            <w:tcW w:w="2190" w:type="dxa"/>
            <w:vAlign w:val="center"/>
          </w:tcPr>
          <w:p>
            <w:pPr>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2025" w:type="dxa"/>
            <w:vAlign w:val="center"/>
          </w:tcPr>
          <w:p>
            <w:pPr>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2055" w:type="dxa"/>
            <w:vMerge w:val="continue"/>
            <w:vAlign w:val="center"/>
          </w:tcPr>
          <w:p>
            <w:pPr>
              <w:ind w:firstLine="562" w:firstLineChars="200"/>
              <w:jc w:val="center"/>
              <w:rPr>
                <w:rFonts w:asciiTheme="minorEastAsia" w:hAnsiTheme="minorEastAsia" w:eastAsiaTheme="minorEastAsia" w:cstheme="minorEastAsia"/>
                <w:b/>
                <w:bCs/>
                <w:color w:val="auto"/>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849" w:type="dxa"/>
            <w:vMerge w:val="continue"/>
            <w:vAlign w:val="center"/>
          </w:tcPr>
          <w:p>
            <w:pPr>
              <w:widowControl/>
              <w:ind w:firstLine="422" w:firstLineChars="200"/>
              <w:jc w:val="center"/>
              <w:rPr>
                <w:rFonts w:asciiTheme="minorEastAsia" w:hAnsiTheme="minorEastAsia" w:eastAsiaTheme="minorEastAsia" w:cstheme="minorEastAsia"/>
                <w:b/>
                <w:color w:val="auto"/>
                <w:kern w:val="0"/>
                <w:szCs w:val="21"/>
              </w:rPr>
            </w:pPr>
          </w:p>
        </w:tc>
        <w:tc>
          <w:tcPr>
            <w:tcW w:w="2235" w:type="dxa"/>
            <w:vAlign w:val="center"/>
          </w:tcPr>
          <w:p>
            <w:pPr>
              <w:widowControl/>
              <w:ind w:firstLine="630" w:firstLineChars="300"/>
              <w:jc w:val="both"/>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甬临复线</w:t>
            </w:r>
          </w:p>
        </w:tc>
        <w:tc>
          <w:tcPr>
            <w:tcW w:w="2505" w:type="dxa"/>
            <w:vAlign w:val="center"/>
          </w:tcPr>
          <w:p>
            <w:pP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K74+950-K76+900</w:t>
            </w:r>
          </w:p>
        </w:tc>
        <w:tc>
          <w:tcPr>
            <w:tcW w:w="2310" w:type="dxa"/>
            <w:vAlign w:val="center"/>
          </w:tcPr>
          <w:p>
            <w:pPr>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2190" w:type="dxa"/>
            <w:vAlign w:val="center"/>
          </w:tcPr>
          <w:p>
            <w:pPr>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w:t>
            </w:r>
          </w:p>
        </w:tc>
        <w:tc>
          <w:tcPr>
            <w:tcW w:w="2025"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32283.1</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精品</w:t>
            </w:r>
            <w:r>
              <w:rPr>
                <w:rFonts w:hint="eastAsia" w:ascii="宋体" w:hAnsi="宋体" w:cs="宋体"/>
                <w:color w:val="auto"/>
                <w:kern w:val="0"/>
                <w:szCs w:val="21"/>
                <w:lang w:eastAsia="zh-CN"/>
              </w:rPr>
              <w:t>）</w:t>
            </w:r>
          </w:p>
        </w:tc>
        <w:tc>
          <w:tcPr>
            <w:tcW w:w="2055" w:type="dxa"/>
            <w:vMerge w:val="continue"/>
            <w:vAlign w:val="center"/>
          </w:tcPr>
          <w:p>
            <w:pPr>
              <w:ind w:firstLine="562" w:firstLineChars="200"/>
              <w:jc w:val="center"/>
              <w:rPr>
                <w:rFonts w:asciiTheme="minorEastAsia" w:hAnsiTheme="minorEastAsia" w:eastAsiaTheme="minorEastAsia" w:cstheme="minorEastAsia"/>
                <w:b/>
                <w:bCs/>
                <w:color w:val="auto"/>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849" w:type="dxa"/>
            <w:vMerge w:val="continue"/>
            <w:vAlign w:val="center"/>
          </w:tcPr>
          <w:p>
            <w:pPr>
              <w:widowControl/>
              <w:ind w:firstLine="422" w:firstLineChars="200"/>
              <w:jc w:val="center"/>
              <w:rPr>
                <w:rFonts w:asciiTheme="minorEastAsia" w:hAnsiTheme="minorEastAsia" w:eastAsiaTheme="minorEastAsia" w:cstheme="minorEastAsia"/>
                <w:b/>
                <w:color w:val="auto"/>
                <w:kern w:val="0"/>
                <w:szCs w:val="21"/>
              </w:rPr>
            </w:pPr>
          </w:p>
        </w:tc>
        <w:tc>
          <w:tcPr>
            <w:tcW w:w="2235" w:type="dxa"/>
            <w:vAlign w:val="center"/>
          </w:tcPr>
          <w:p>
            <w:pPr>
              <w:widowControl/>
              <w:ind w:firstLine="630" w:firstLineChars="300"/>
              <w:jc w:val="both"/>
              <w:rPr>
                <w:rFonts w:asciiTheme="minorEastAsia" w:hAnsiTheme="minorEastAsia" w:eastAsiaTheme="minorEastAsia" w:cstheme="minorEastAsia"/>
                <w:color w:val="auto"/>
                <w:kern w:val="0"/>
                <w:szCs w:val="21"/>
              </w:rPr>
            </w:pPr>
            <w:r>
              <w:rPr>
                <w:rFonts w:hint="eastAsia" w:ascii="宋体" w:hAnsi="宋体" w:cs="宋体"/>
                <w:color w:val="auto"/>
                <w:kern w:val="0"/>
                <w:szCs w:val="21"/>
                <w:lang w:val="en-US" w:eastAsia="zh-CN"/>
              </w:rPr>
              <w:t>沈海高速</w:t>
            </w:r>
          </w:p>
        </w:tc>
        <w:tc>
          <w:tcPr>
            <w:tcW w:w="2505" w:type="dxa"/>
            <w:vAlign w:val="center"/>
          </w:tcPr>
          <w:p>
            <w:pPr>
              <w:rPr>
                <w:rFonts w:asciiTheme="minorEastAsia" w:hAnsiTheme="minorEastAsia" w:eastAsiaTheme="minorEastAsia" w:cstheme="minorEastAsia"/>
                <w:color w:val="auto"/>
                <w:szCs w:val="21"/>
              </w:rPr>
            </w:pPr>
            <w:r>
              <w:rPr>
                <w:rFonts w:hint="eastAsia" w:ascii="宋体" w:hAnsi="宋体" w:cs="宋体"/>
                <w:color w:val="auto"/>
                <w:kern w:val="0"/>
                <w:szCs w:val="21"/>
                <w:lang w:val="en-US" w:eastAsia="zh-CN"/>
              </w:rPr>
              <w:t>K1564+500-K1570-200</w:t>
            </w:r>
          </w:p>
        </w:tc>
        <w:tc>
          <w:tcPr>
            <w:tcW w:w="2310" w:type="dxa"/>
            <w:vAlign w:val="center"/>
          </w:tcPr>
          <w:p>
            <w:pPr>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2190" w:type="dxa"/>
            <w:vAlign w:val="center"/>
          </w:tcPr>
          <w:p>
            <w:pPr>
              <w:jc w:val="center"/>
              <w:rPr>
                <w:rFonts w:asciiTheme="minorEastAsia" w:hAnsiTheme="minorEastAsia" w:eastAsiaTheme="minorEastAsia" w:cstheme="minorEastAsia"/>
                <w:color w:val="auto"/>
                <w:kern w:val="0"/>
                <w:szCs w:val="21"/>
              </w:rPr>
            </w:pPr>
            <w:r>
              <w:rPr>
                <w:rFonts w:hint="eastAsia" w:ascii="宋体" w:hAnsi="宋体" w:cs="宋体"/>
                <w:color w:val="auto"/>
                <w:kern w:val="0"/>
                <w:szCs w:val="21"/>
                <w:lang w:val="en-US" w:eastAsia="zh-CN"/>
              </w:rPr>
              <w:t>191996.1</w:t>
            </w:r>
          </w:p>
        </w:tc>
        <w:tc>
          <w:tcPr>
            <w:tcW w:w="2025" w:type="dxa"/>
            <w:vAlign w:val="center"/>
          </w:tcPr>
          <w:p>
            <w:pPr>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w:t>
            </w:r>
          </w:p>
        </w:tc>
        <w:tc>
          <w:tcPr>
            <w:tcW w:w="2055" w:type="dxa"/>
            <w:vMerge w:val="continue"/>
            <w:vAlign w:val="center"/>
          </w:tcPr>
          <w:p>
            <w:pPr>
              <w:ind w:firstLine="562" w:firstLineChars="200"/>
              <w:jc w:val="center"/>
              <w:rPr>
                <w:rFonts w:asciiTheme="minorEastAsia" w:hAnsiTheme="minorEastAsia" w:eastAsiaTheme="minorEastAsia" w:cstheme="minorEastAsia"/>
                <w:b/>
                <w:bCs/>
                <w:color w:val="auto"/>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9" w:type="dxa"/>
            <w:vMerge w:val="continue"/>
            <w:vAlign w:val="center"/>
          </w:tcPr>
          <w:p>
            <w:pPr>
              <w:widowControl/>
              <w:ind w:firstLine="422" w:firstLineChars="200"/>
              <w:jc w:val="center"/>
              <w:rPr>
                <w:rFonts w:asciiTheme="minorEastAsia" w:hAnsiTheme="minorEastAsia" w:eastAsiaTheme="minorEastAsia" w:cstheme="minorEastAsia"/>
                <w:b/>
                <w:color w:val="auto"/>
                <w:kern w:val="0"/>
                <w:szCs w:val="21"/>
              </w:rPr>
            </w:pPr>
          </w:p>
        </w:tc>
        <w:tc>
          <w:tcPr>
            <w:tcW w:w="2235" w:type="dxa"/>
            <w:vAlign w:val="center"/>
          </w:tcPr>
          <w:p>
            <w:pPr>
              <w:widowControl/>
              <w:ind w:firstLine="630" w:firstLineChars="300"/>
              <w:jc w:val="both"/>
              <w:rPr>
                <w:rFonts w:asciiTheme="minorEastAsia" w:hAnsiTheme="minorEastAsia" w:eastAsiaTheme="minorEastAsia" w:cstheme="minorEastAsia"/>
                <w:color w:val="auto"/>
                <w:kern w:val="0"/>
                <w:szCs w:val="21"/>
              </w:rPr>
            </w:pPr>
            <w:r>
              <w:rPr>
                <w:rFonts w:hint="eastAsia" w:ascii="宋体" w:hAnsi="宋体" w:cs="宋体"/>
                <w:color w:val="auto"/>
                <w:kern w:val="0"/>
                <w:szCs w:val="21"/>
                <w:lang w:val="en-US" w:eastAsia="zh-CN"/>
              </w:rPr>
              <w:t>城松线</w:t>
            </w:r>
          </w:p>
        </w:tc>
        <w:tc>
          <w:tcPr>
            <w:tcW w:w="2505" w:type="dxa"/>
            <w:vAlign w:val="center"/>
          </w:tcPr>
          <w:p>
            <w:pPr>
              <w:rPr>
                <w:rFonts w:asciiTheme="minorEastAsia" w:hAnsiTheme="minorEastAsia" w:eastAsiaTheme="minorEastAsia" w:cstheme="minorEastAsia"/>
                <w:color w:val="auto"/>
                <w:szCs w:val="21"/>
              </w:rPr>
            </w:pPr>
            <w:r>
              <w:rPr>
                <w:rFonts w:hint="eastAsia" w:ascii="宋体" w:hAnsi="宋体" w:cs="宋体"/>
                <w:color w:val="auto"/>
                <w:kern w:val="0"/>
                <w:szCs w:val="21"/>
                <w:lang w:val="en-US" w:eastAsia="zh-CN"/>
              </w:rPr>
              <w:t>（K1+900-K2+500，K3+400-K6+700）</w:t>
            </w:r>
          </w:p>
        </w:tc>
        <w:tc>
          <w:tcPr>
            <w:tcW w:w="2310" w:type="dxa"/>
            <w:vAlign w:val="center"/>
          </w:tcPr>
          <w:p>
            <w:pPr>
              <w:jc w:val="center"/>
              <w:rPr>
                <w:rFonts w:asciiTheme="minorEastAsia" w:hAnsiTheme="minorEastAsia" w:eastAsiaTheme="minorEastAsia" w:cstheme="minorEastAsia"/>
                <w:color w:val="auto"/>
                <w:kern w:val="0"/>
                <w:szCs w:val="21"/>
              </w:rPr>
            </w:pPr>
            <w:r>
              <w:rPr>
                <w:rFonts w:hint="eastAsia" w:ascii="宋体" w:hAnsi="宋体" w:cs="宋体"/>
                <w:color w:val="auto"/>
                <w:kern w:val="0"/>
                <w:szCs w:val="21"/>
                <w:lang w:val="en-US" w:eastAsia="zh-CN"/>
              </w:rPr>
              <w:t>13836.1</w:t>
            </w:r>
          </w:p>
        </w:tc>
        <w:tc>
          <w:tcPr>
            <w:tcW w:w="2190" w:type="dxa"/>
            <w:vAlign w:val="center"/>
          </w:tcPr>
          <w:p>
            <w:pPr>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2025" w:type="dxa"/>
            <w:vAlign w:val="center"/>
          </w:tcPr>
          <w:p>
            <w:pPr>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2055" w:type="dxa"/>
            <w:vMerge w:val="continue"/>
            <w:vAlign w:val="center"/>
          </w:tcPr>
          <w:p>
            <w:pPr>
              <w:ind w:firstLine="562" w:firstLineChars="200"/>
              <w:jc w:val="center"/>
              <w:rPr>
                <w:rFonts w:asciiTheme="minorEastAsia" w:hAnsiTheme="minorEastAsia" w:eastAsiaTheme="minorEastAsia" w:cstheme="minorEastAsia"/>
                <w:b/>
                <w:bCs/>
                <w:color w:val="auto"/>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9" w:type="dxa"/>
            <w:vMerge w:val="continue"/>
            <w:vAlign w:val="center"/>
          </w:tcPr>
          <w:p>
            <w:pPr>
              <w:widowControl/>
              <w:ind w:firstLine="422" w:firstLineChars="200"/>
              <w:jc w:val="center"/>
              <w:rPr>
                <w:rFonts w:asciiTheme="minorEastAsia" w:hAnsiTheme="minorEastAsia" w:eastAsiaTheme="minorEastAsia" w:cstheme="minorEastAsia"/>
                <w:b/>
                <w:color w:val="auto"/>
                <w:kern w:val="0"/>
                <w:szCs w:val="21"/>
              </w:rPr>
            </w:pPr>
          </w:p>
        </w:tc>
        <w:tc>
          <w:tcPr>
            <w:tcW w:w="2235" w:type="dxa"/>
            <w:vAlign w:val="center"/>
          </w:tcPr>
          <w:p>
            <w:pPr>
              <w:widowControl/>
              <w:ind w:firstLine="630" w:firstLineChars="300"/>
              <w:jc w:val="both"/>
              <w:rPr>
                <w:rFonts w:asciiTheme="minorEastAsia" w:hAnsiTheme="minorEastAsia" w:eastAsiaTheme="minorEastAsia" w:cstheme="minorEastAsia"/>
                <w:color w:val="auto"/>
                <w:kern w:val="0"/>
                <w:szCs w:val="21"/>
              </w:rPr>
            </w:pPr>
            <w:r>
              <w:rPr>
                <w:rFonts w:hint="eastAsia" w:ascii="宋体" w:hAnsi="宋体" w:cs="宋体"/>
                <w:color w:val="auto"/>
                <w:kern w:val="0"/>
                <w:szCs w:val="21"/>
                <w:lang w:val="en-US" w:eastAsia="zh-CN"/>
              </w:rPr>
              <w:t>甬临线</w:t>
            </w:r>
          </w:p>
        </w:tc>
        <w:tc>
          <w:tcPr>
            <w:tcW w:w="2505" w:type="dxa"/>
            <w:vAlign w:val="center"/>
          </w:tcPr>
          <w:p>
            <w:pPr>
              <w:rPr>
                <w:rFonts w:asciiTheme="minorEastAsia" w:hAnsiTheme="minorEastAsia" w:eastAsiaTheme="minorEastAsia" w:cstheme="minorEastAsia"/>
                <w:color w:val="auto"/>
                <w:szCs w:val="21"/>
              </w:rPr>
            </w:pPr>
            <w:r>
              <w:rPr>
                <w:rFonts w:hint="eastAsia" w:ascii="宋体" w:hAnsi="宋体" w:cs="宋体"/>
                <w:color w:val="auto"/>
                <w:kern w:val="0"/>
                <w:szCs w:val="21"/>
                <w:lang w:val="en-US" w:eastAsia="zh-CN"/>
              </w:rPr>
              <w:t>K73+200-K80+600</w:t>
            </w:r>
          </w:p>
        </w:tc>
        <w:tc>
          <w:tcPr>
            <w:tcW w:w="2310" w:type="dxa"/>
            <w:vAlign w:val="center"/>
          </w:tcPr>
          <w:p>
            <w:pPr>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28542</w:t>
            </w:r>
          </w:p>
        </w:tc>
        <w:tc>
          <w:tcPr>
            <w:tcW w:w="2190" w:type="dxa"/>
            <w:vAlign w:val="center"/>
          </w:tcPr>
          <w:p>
            <w:pPr>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12207.9</w:t>
            </w:r>
          </w:p>
        </w:tc>
        <w:tc>
          <w:tcPr>
            <w:tcW w:w="2025" w:type="dxa"/>
            <w:vAlign w:val="center"/>
          </w:tcPr>
          <w:p>
            <w:pPr>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2055" w:type="dxa"/>
            <w:vMerge w:val="continue"/>
            <w:vAlign w:val="center"/>
          </w:tcPr>
          <w:p>
            <w:pPr>
              <w:ind w:firstLine="562" w:firstLineChars="200"/>
              <w:jc w:val="center"/>
              <w:rPr>
                <w:rFonts w:asciiTheme="minorEastAsia" w:hAnsiTheme="minorEastAsia" w:eastAsiaTheme="minorEastAsia" w:cstheme="minorEastAsia"/>
                <w:b/>
                <w:bCs/>
                <w:color w:val="auto"/>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849" w:type="dxa"/>
            <w:vMerge w:val="continue"/>
            <w:vAlign w:val="center"/>
          </w:tcPr>
          <w:p>
            <w:pPr>
              <w:widowControl/>
              <w:ind w:firstLine="422" w:firstLineChars="200"/>
              <w:jc w:val="center"/>
              <w:rPr>
                <w:rFonts w:asciiTheme="minorEastAsia" w:hAnsiTheme="minorEastAsia" w:eastAsiaTheme="minorEastAsia" w:cstheme="minorEastAsia"/>
                <w:b/>
                <w:color w:val="auto"/>
                <w:kern w:val="0"/>
                <w:szCs w:val="21"/>
              </w:rPr>
            </w:pPr>
          </w:p>
        </w:tc>
        <w:tc>
          <w:tcPr>
            <w:tcW w:w="4740" w:type="dxa"/>
            <w:gridSpan w:val="2"/>
            <w:vAlign w:val="center"/>
          </w:tcPr>
          <w:p>
            <w:pPr>
              <w:ind w:firstLine="422" w:firstLineChars="200"/>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小计</w:t>
            </w:r>
          </w:p>
        </w:tc>
        <w:tc>
          <w:tcPr>
            <w:tcW w:w="2310" w:type="dxa"/>
            <w:vAlign w:val="center"/>
          </w:tcPr>
          <w:p>
            <w:pPr>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355087.43</w:t>
            </w:r>
          </w:p>
        </w:tc>
        <w:tc>
          <w:tcPr>
            <w:tcW w:w="2190" w:type="dxa"/>
            <w:vAlign w:val="center"/>
          </w:tcPr>
          <w:p>
            <w:pPr>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204204.0</w:t>
            </w:r>
          </w:p>
        </w:tc>
        <w:tc>
          <w:tcPr>
            <w:tcW w:w="2025" w:type="dxa"/>
            <w:vAlign w:val="center"/>
          </w:tcPr>
          <w:p>
            <w:pPr>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32283.1</w:t>
            </w:r>
          </w:p>
        </w:tc>
        <w:tc>
          <w:tcPr>
            <w:tcW w:w="2055" w:type="dxa"/>
            <w:vMerge w:val="continue"/>
            <w:vAlign w:val="center"/>
          </w:tcPr>
          <w:p>
            <w:pPr>
              <w:ind w:firstLine="562" w:firstLineChars="200"/>
              <w:jc w:val="center"/>
              <w:rPr>
                <w:rFonts w:asciiTheme="minorEastAsia" w:hAnsiTheme="minorEastAsia" w:eastAsiaTheme="minorEastAsia" w:cstheme="minorEastAsia"/>
                <w:b/>
                <w:bCs/>
                <w:color w:val="auto"/>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849" w:type="dxa"/>
            <w:vMerge w:val="restart"/>
            <w:vAlign w:val="center"/>
          </w:tcPr>
          <w:p>
            <w:pPr>
              <w:widowControl/>
              <w:jc w:val="center"/>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w:t>
            </w:r>
          </w:p>
        </w:tc>
        <w:tc>
          <w:tcPr>
            <w:tcW w:w="2235" w:type="dxa"/>
            <w:vAlign w:val="center"/>
          </w:tcPr>
          <w:p>
            <w:pPr>
              <w:ind w:firstLine="420" w:firstLineChars="200"/>
              <w:jc w:val="both"/>
              <w:rPr>
                <w:rFonts w:asciiTheme="minorEastAsia" w:hAnsiTheme="minorEastAsia" w:eastAsiaTheme="minorEastAsia" w:cstheme="minorEastAsia"/>
                <w:color w:val="auto"/>
                <w:kern w:val="0"/>
                <w:szCs w:val="21"/>
              </w:rPr>
            </w:pPr>
            <w:r>
              <w:rPr>
                <w:rFonts w:hint="eastAsia" w:ascii="宋体" w:hAnsi="宋体" w:cs="宋体"/>
                <w:color w:val="auto"/>
                <w:kern w:val="0"/>
                <w:szCs w:val="21"/>
                <w:lang w:val="en-US" w:eastAsia="zh-CN"/>
              </w:rPr>
              <w:t>甬临复线西侧</w:t>
            </w:r>
          </w:p>
        </w:tc>
        <w:tc>
          <w:tcPr>
            <w:tcW w:w="2505" w:type="dxa"/>
            <w:vAlign w:val="center"/>
          </w:tcPr>
          <w:p>
            <w:pPr>
              <w:rPr>
                <w:rFonts w:asciiTheme="minorEastAsia" w:hAnsiTheme="minorEastAsia" w:eastAsiaTheme="minorEastAsia" w:cstheme="minorEastAsia"/>
                <w:color w:val="auto"/>
                <w:szCs w:val="21"/>
              </w:rPr>
            </w:pPr>
            <w:r>
              <w:rPr>
                <w:rFonts w:hint="eastAsia" w:ascii="宋体" w:hAnsi="宋体" w:cs="宋体"/>
                <w:color w:val="auto"/>
                <w:kern w:val="0"/>
                <w:szCs w:val="21"/>
                <w:lang w:val="en-US" w:eastAsia="zh-CN"/>
              </w:rPr>
              <w:t>K77+900-K89+100</w:t>
            </w:r>
          </w:p>
        </w:tc>
        <w:tc>
          <w:tcPr>
            <w:tcW w:w="2310" w:type="dxa"/>
            <w:vAlign w:val="center"/>
          </w:tcPr>
          <w:p>
            <w:pPr>
              <w:jc w:val="center"/>
              <w:rPr>
                <w:rFonts w:asciiTheme="minorEastAsia" w:hAnsiTheme="minorEastAsia" w:eastAsiaTheme="minorEastAsia" w:cstheme="minorEastAsia"/>
                <w:color w:val="auto"/>
                <w:kern w:val="0"/>
                <w:szCs w:val="21"/>
              </w:rPr>
            </w:pPr>
            <w:r>
              <w:rPr>
                <w:rFonts w:hint="eastAsia" w:ascii="宋体" w:hAnsi="宋体" w:cs="宋体"/>
                <w:color w:val="auto"/>
                <w:kern w:val="0"/>
                <w:szCs w:val="21"/>
                <w:lang w:val="en-US" w:eastAsia="zh-CN"/>
              </w:rPr>
              <w:t>232715</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精品</w:t>
            </w:r>
            <w:r>
              <w:rPr>
                <w:rFonts w:hint="eastAsia" w:ascii="宋体" w:hAnsi="宋体" w:cs="宋体"/>
                <w:color w:val="auto"/>
                <w:kern w:val="0"/>
                <w:szCs w:val="21"/>
                <w:lang w:eastAsia="zh-CN"/>
              </w:rPr>
              <w:t>）</w:t>
            </w:r>
          </w:p>
        </w:tc>
        <w:tc>
          <w:tcPr>
            <w:tcW w:w="2190" w:type="dxa"/>
            <w:vAlign w:val="center"/>
          </w:tcPr>
          <w:p>
            <w:pPr>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2025" w:type="dxa"/>
            <w:vAlign w:val="center"/>
          </w:tcPr>
          <w:p>
            <w:pPr>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2055" w:type="dxa"/>
            <w:vMerge w:val="continue"/>
            <w:vAlign w:val="center"/>
          </w:tcPr>
          <w:p>
            <w:pPr>
              <w:rPr>
                <w:rFonts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849" w:type="dxa"/>
            <w:vMerge w:val="continue"/>
            <w:vAlign w:val="center"/>
          </w:tcPr>
          <w:p>
            <w:pPr>
              <w:widowControl/>
              <w:ind w:firstLine="422" w:firstLineChars="200"/>
              <w:jc w:val="center"/>
              <w:rPr>
                <w:rFonts w:asciiTheme="minorEastAsia" w:hAnsiTheme="minorEastAsia" w:eastAsiaTheme="minorEastAsia" w:cstheme="minorEastAsia"/>
                <w:b/>
                <w:color w:val="auto"/>
                <w:kern w:val="0"/>
                <w:szCs w:val="21"/>
              </w:rPr>
            </w:pPr>
          </w:p>
        </w:tc>
        <w:tc>
          <w:tcPr>
            <w:tcW w:w="2235" w:type="dxa"/>
            <w:vAlign w:val="center"/>
          </w:tcPr>
          <w:p>
            <w:pPr>
              <w:ind w:firstLine="630" w:firstLineChars="300"/>
              <w:jc w:val="both"/>
              <w:rPr>
                <w:rFonts w:asciiTheme="minorEastAsia" w:hAnsiTheme="minorEastAsia" w:eastAsiaTheme="minorEastAsia" w:cstheme="minorEastAsia"/>
                <w:color w:val="auto"/>
                <w:kern w:val="0"/>
                <w:szCs w:val="21"/>
              </w:rPr>
            </w:pPr>
            <w:r>
              <w:rPr>
                <w:rFonts w:hint="eastAsia" w:ascii="宋体" w:hAnsi="宋体" w:cs="宋体"/>
                <w:color w:val="auto"/>
                <w:kern w:val="0"/>
                <w:szCs w:val="21"/>
                <w:lang w:val="en-US" w:eastAsia="zh-CN"/>
              </w:rPr>
              <w:t>甬临复线</w:t>
            </w:r>
          </w:p>
        </w:tc>
        <w:tc>
          <w:tcPr>
            <w:tcW w:w="2505" w:type="dxa"/>
            <w:vAlign w:val="center"/>
          </w:tcPr>
          <w:p>
            <w:pPr>
              <w:rPr>
                <w:rFonts w:asciiTheme="minorEastAsia" w:hAnsiTheme="minorEastAsia" w:eastAsiaTheme="minorEastAsia" w:cstheme="minorEastAsia"/>
                <w:color w:val="auto"/>
                <w:szCs w:val="21"/>
              </w:rPr>
            </w:pPr>
            <w:r>
              <w:rPr>
                <w:rFonts w:hint="eastAsia" w:ascii="宋体" w:hAnsi="宋体" w:cs="宋体"/>
                <w:color w:val="auto"/>
                <w:kern w:val="0"/>
                <w:szCs w:val="21"/>
                <w:lang w:val="en-US" w:eastAsia="zh-CN"/>
              </w:rPr>
              <w:t>K77+900-K89+100</w:t>
            </w:r>
          </w:p>
        </w:tc>
        <w:tc>
          <w:tcPr>
            <w:tcW w:w="2310" w:type="dxa"/>
            <w:vAlign w:val="center"/>
          </w:tcPr>
          <w:p>
            <w:pPr>
              <w:jc w:val="center"/>
              <w:rPr>
                <w:rFonts w:asciiTheme="minorEastAsia" w:hAnsiTheme="minorEastAsia" w:eastAsiaTheme="minorEastAsia" w:cstheme="minorEastAsia"/>
                <w:color w:val="auto"/>
                <w:kern w:val="0"/>
                <w:szCs w:val="21"/>
              </w:rPr>
            </w:pPr>
            <w:r>
              <w:rPr>
                <w:rFonts w:hint="eastAsia" w:ascii="宋体" w:hAnsi="宋体" w:cs="宋体"/>
                <w:color w:val="auto"/>
                <w:kern w:val="0"/>
                <w:szCs w:val="21"/>
                <w:lang w:val="en-US" w:eastAsia="zh-CN"/>
              </w:rPr>
              <w:t>129485.7</w:t>
            </w:r>
          </w:p>
        </w:tc>
        <w:tc>
          <w:tcPr>
            <w:tcW w:w="2190" w:type="dxa"/>
            <w:vAlign w:val="center"/>
          </w:tcPr>
          <w:p>
            <w:pPr>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2025" w:type="dxa"/>
            <w:vAlign w:val="center"/>
          </w:tcPr>
          <w:p>
            <w:pPr>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2055" w:type="dxa"/>
            <w:vMerge w:val="continue"/>
            <w:vAlign w:val="center"/>
          </w:tcPr>
          <w:p>
            <w:pPr>
              <w:ind w:firstLine="643" w:firstLineChars="200"/>
              <w:rPr>
                <w:rFonts w:asciiTheme="minorEastAsia" w:hAnsiTheme="minorEastAsia" w:eastAsiaTheme="minorEastAsia" w:cstheme="minorEastAsia"/>
                <w:b/>
                <w:bCs/>
                <w:color w:val="auto"/>
                <w:kern w:val="0"/>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849" w:type="dxa"/>
            <w:vMerge w:val="continue"/>
            <w:vAlign w:val="center"/>
          </w:tcPr>
          <w:p>
            <w:pPr>
              <w:widowControl/>
              <w:ind w:firstLine="422" w:firstLineChars="200"/>
              <w:jc w:val="center"/>
              <w:rPr>
                <w:rFonts w:asciiTheme="minorEastAsia" w:hAnsiTheme="minorEastAsia" w:eastAsiaTheme="minorEastAsia" w:cstheme="minorEastAsia"/>
                <w:b/>
                <w:color w:val="auto"/>
                <w:kern w:val="0"/>
                <w:szCs w:val="21"/>
              </w:rPr>
            </w:pPr>
          </w:p>
        </w:tc>
        <w:tc>
          <w:tcPr>
            <w:tcW w:w="2235" w:type="dxa"/>
            <w:vAlign w:val="center"/>
          </w:tcPr>
          <w:p>
            <w:pPr>
              <w:ind w:firstLine="630" w:firstLineChars="300"/>
              <w:jc w:val="both"/>
              <w:rPr>
                <w:rFonts w:asciiTheme="minorEastAsia" w:hAnsiTheme="minorEastAsia" w:eastAsiaTheme="minorEastAsia" w:cstheme="minorEastAsia"/>
                <w:color w:val="auto"/>
                <w:kern w:val="0"/>
                <w:szCs w:val="21"/>
              </w:rPr>
            </w:pPr>
            <w:r>
              <w:rPr>
                <w:rFonts w:hint="eastAsia" w:ascii="宋体" w:hAnsi="宋体" w:cs="宋体"/>
                <w:color w:val="auto"/>
                <w:kern w:val="0"/>
                <w:szCs w:val="21"/>
                <w:lang w:val="en-US" w:eastAsia="zh-CN"/>
              </w:rPr>
              <w:t>梁书线</w:t>
            </w:r>
          </w:p>
        </w:tc>
        <w:tc>
          <w:tcPr>
            <w:tcW w:w="2505" w:type="dxa"/>
            <w:vAlign w:val="center"/>
          </w:tcPr>
          <w:p>
            <w:pPr>
              <w:rPr>
                <w:rFonts w:asciiTheme="minorEastAsia" w:hAnsiTheme="minorEastAsia" w:eastAsiaTheme="minorEastAsia" w:cstheme="minorEastAsia"/>
                <w:color w:val="auto"/>
                <w:sz w:val="18"/>
                <w:szCs w:val="18"/>
              </w:rPr>
            </w:pPr>
            <w:r>
              <w:rPr>
                <w:rFonts w:hint="eastAsia" w:ascii="宋体" w:hAnsi="宋体" w:cs="宋体"/>
                <w:color w:val="auto"/>
                <w:kern w:val="0"/>
                <w:szCs w:val="21"/>
                <w:lang w:val="en-US" w:eastAsia="zh-CN"/>
              </w:rPr>
              <w:t>K0+000-K2+850</w:t>
            </w:r>
          </w:p>
        </w:tc>
        <w:tc>
          <w:tcPr>
            <w:tcW w:w="2310" w:type="dxa"/>
            <w:vAlign w:val="center"/>
          </w:tcPr>
          <w:p>
            <w:pPr>
              <w:jc w:val="center"/>
              <w:rPr>
                <w:rFonts w:asciiTheme="minorEastAsia" w:hAnsiTheme="minorEastAsia" w:eastAsiaTheme="minorEastAsia" w:cstheme="minorEastAsia"/>
                <w:color w:val="auto"/>
                <w:kern w:val="0"/>
                <w:szCs w:val="21"/>
              </w:rPr>
            </w:pPr>
            <w:r>
              <w:rPr>
                <w:rFonts w:hint="eastAsia" w:ascii="宋体" w:hAnsi="宋体" w:cs="宋体"/>
                <w:color w:val="auto"/>
                <w:kern w:val="0"/>
                <w:szCs w:val="21"/>
                <w:lang w:val="en-US" w:eastAsia="zh-CN"/>
              </w:rPr>
              <w:t>14884.6</w:t>
            </w:r>
          </w:p>
        </w:tc>
        <w:tc>
          <w:tcPr>
            <w:tcW w:w="2190" w:type="dxa"/>
            <w:vAlign w:val="center"/>
          </w:tcPr>
          <w:p>
            <w:pPr>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2025" w:type="dxa"/>
            <w:vAlign w:val="center"/>
          </w:tcPr>
          <w:p>
            <w:pPr>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2055" w:type="dxa"/>
            <w:vMerge w:val="continue"/>
            <w:vAlign w:val="center"/>
          </w:tcPr>
          <w:p>
            <w:pPr>
              <w:ind w:firstLine="643" w:firstLineChars="200"/>
              <w:rPr>
                <w:rFonts w:asciiTheme="minorEastAsia" w:hAnsiTheme="minorEastAsia" w:eastAsiaTheme="minorEastAsia" w:cstheme="minorEastAsia"/>
                <w:b/>
                <w:bCs/>
                <w:color w:val="auto"/>
                <w:kern w:val="0"/>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9" w:type="dxa"/>
            <w:vMerge w:val="continue"/>
            <w:vAlign w:val="center"/>
          </w:tcPr>
          <w:p>
            <w:pPr>
              <w:widowControl/>
              <w:ind w:firstLine="422" w:firstLineChars="200"/>
              <w:jc w:val="center"/>
              <w:rPr>
                <w:rFonts w:asciiTheme="minorEastAsia" w:hAnsiTheme="minorEastAsia" w:eastAsiaTheme="minorEastAsia" w:cstheme="minorEastAsia"/>
                <w:b/>
                <w:color w:val="auto"/>
                <w:kern w:val="0"/>
                <w:szCs w:val="21"/>
              </w:rPr>
            </w:pPr>
          </w:p>
        </w:tc>
        <w:tc>
          <w:tcPr>
            <w:tcW w:w="2235" w:type="dxa"/>
            <w:vAlign w:val="center"/>
          </w:tcPr>
          <w:p>
            <w:pPr>
              <w:ind w:firstLine="630" w:firstLineChars="300"/>
              <w:jc w:val="both"/>
              <w:rPr>
                <w:rFonts w:asciiTheme="minorEastAsia" w:hAnsiTheme="minorEastAsia" w:eastAsiaTheme="minorEastAsia" w:cstheme="minorEastAsia"/>
                <w:color w:val="auto"/>
                <w:szCs w:val="21"/>
              </w:rPr>
            </w:pPr>
            <w:r>
              <w:rPr>
                <w:rFonts w:hint="eastAsia" w:ascii="宋体" w:hAnsi="宋体" w:cs="宋体"/>
                <w:color w:val="auto"/>
                <w:kern w:val="0"/>
                <w:szCs w:val="21"/>
                <w:lang w:val="en-US" w:eastAsia="zh-CN"/>
              </w:rPr>
              <w:t>城岭线</w:t>
            </w:r>
          </w:p>
        </w:tc>
        <w:tc>
          <w:tcPr>
            <w:tcW w:w="2505" w:type="dxa"/>
            <w:vAlign w:val="center"/>
          </w:tcPr>
          <w:p>
            <w:pPr>
              <w:jc w:val="left"/>
              <w:rPr>
                <w:rFonts w:asciiTheme="minorEastAsia" w:hAnsiTheme="minorEastAsia" w:eastAsiaTheme="minorEastAsia" w:cstheme="minorEastAsia"/>
                <w:color w:val="auto"/>
                <w:szCs w:val="21"/>
              </w:rPr>
            </w:pPr>
            <w:r>
              <w:rPr>
                <w:rFonts w:hint="eastAsia" w:ascii="宋体" w:hAnsi="宋体" w:cs="宋体"/>
                <w:color w:val="auto"/>
                <w:kern w:val="0"/>
                <w:szCs w:val="21"/>
                <w:lang w:val="en-US" w:eastAsia="zh-CN"/>
              </w:rPr>
              <w:t>K20+300-K24+000</w:t>
            </w:r>
          </w:p>
        </w:tc>
        <w:tc>
          <w:tcPr>
            <w:tcW w:w="2310" w:type="dxa"/>
            <w:vAlign w:val="center"/>
          </w:tcPr>
          <w:p>
            <w:pPr>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2190" w:type="dxa"/>
            <w:vAlign w:val="center"/>
          </w:tcPr>
          <w:p>
            <w:pPr>
              <w:jc w:val="center"/>
              <w:rPr>
                <w:rFonts w:asciiTheme="minorEastAsia" w:hAnsiTheme="minorEastAsia" w:eastAsiaTheme="minorEastAsia" w:cstheme="minorEastAsia"/>
                <w:color w:val="auto"/>
                <w:kern w:val="0"/>
                <w:szCs w:val="21"/>
              </w:rPr>
            </w:pPr>
            <w:r>
              <w:rPr>
                <w:rFonts w:hint="eastAsia" w:ascii="宋体" w:hAnsi="宋体" w:cs="宋体"/>
                <w:color w:val="auto"/>
                <w:kern w:val="0"/>
                <w:szCs w:val="21"/>
                <w:lang w:val="en-US" w:eastAsia="zh-CN"/>
              </w:rPr>
              <w:t>22545.8</w:t>
            </w:r>
          </w:p>
        </w:tc>
        <w:tc>
          <w:tcPr>
            <w:tcW w:w="2025" w:type="dxa"/>
            <w:vAlign w:val="center"/>
          </w:tcPr>
          <w:p>
            <w:pPr>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w:t>
            </w:r>
          </w:p>
        </w:tc>
        <w:tc>
          <w:tcPr>
            <w:tcW w:w="2055" w:type="dxa"/>
            <w:vMerge w:val="continue"/>
            <w:vAlign w:val="center"/>
          </w:tcPr>
          <w:p>
            <w:pPr>
              <w:ind w:firstLine="643" w:firstLineChars="200"/>
              <w:rPr>
                <w:rFonts w:asciiTheme="minorEastAsia" w:hAnsiTheme="minorEastAsia" w:eastAsiaTheme="minorEastAsia" w:cstheme="minorEastAsia"/>
                <w:b/>
                <w:bCs/>
                <w:color w:val="auto"/>
                <w:kern w:val="0"/>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9" w:type="dxa"/>
            <w:vMerge w:val="continue"/>
            <w:vAlign w:val="center"/>
          </w:tcPr>
          <w:p>
            <w:pPr>
              <w:widowControl/>
              <w:ind w:firstLine="422" w:firstLineChars="200"/>
              <w:jc w:val="center"/>
              <w:rPr>
                <w:rFonts w:asciiTheme="minorEastAsia" w:hAnsiTheme="minorEastAsia" w:eastAsiaTheme="minorEastAsia" w:cstheme="minorEastAsia"/>
                <w:b/>
                <w:color w:val="auto"/>
                <w:kern w:val="0"/>
                <w:szCs w:val="21"/>
              </w:rPr>
            </w:pPr>
          </w:p>
        </w:tc>
        <w:tc>
          <w:tcPr>
            <w:tcW w:w="2235" w:type="dxa"/>
            <w:vAlign w:val="center"/>
          </w:tcPr>
          <w:p>
            <w:pPr>
              <w:ind w:firstLine="630" w:firstLineChars="300"/>
              <w:jc w:val="both"/>
              <w:rPr>
                <w:rFonts w:asciiTheme="minorEastAsia" w:hAnsiTheme="minorEastAsia" w:eastAsiaTheme="minorEastAsia" w:cstheme="minorEastAsia"/>
                <w:color w:val="auto"/>
                <w:szCs w:val="21"/>
              </w:rPr>
            </w:pPr>
            <w:r>
              <w:rPr>
                <w:rFonts w:hint="eastAsia" w:ascii="宋体" w:hAnsi="宋体" w:cs="宋体"/>
                <w:color w:val="auto"/>
                <w:kern w:val="0"/>
                <w:szCs w:val="21"/>
                <w:lang w:val="en-US" w:eastAsia="zh-CN"/>
              </w:rPr>
              <w:t>甬临线</w:t>
            </w:r>
          </w:p>
        </w:tc>
        <w:tc>
          <w:tcPr>
            <w:tcW w:w="2505" w:type="dxa"/>
            <w:vAlign w:val="center"/>
          </w:tcPr>
          <w:p>
            <w:pPr>
              <w:jc w:val="left"/>
              <w:rPr>
                <w:rFonts w:asciiTheme="minorEastAsia" w:hAnsiTheme="minorEastAsia" w:eastAsiaTheme="minorEastAsia" w:cstheme="minorEastAsia"/>
                <w:color w:val="auto"/>
                <w:szCs w:val="21"/>
              </w:rPr>
            </w:pPr>
            <w:r>
              <w:rPr>
                <w:rFonts w:hint="eastAsia" w:ascii="宋体" w:hAnsi="宋体" w:cs="宋体"/>
                <w:color w:val="auto"/>
                <w:kern w:val="0"/>
                <w:szCs w:val="21"/>
                <w:lang w:val="en-US" w:eastAsia="zh-CN"/>
              </w:rPr>
              <w:t>K80+600-K100+640</w:t>
            </w:r>
          </w:p>
        </w:tc>
        <w:tc>
          <w:tcPr>
            <w:tcW w:w="2310" w:type="dxa"/>
            <w:vAlign w:val="center"/>
          </w:tcPr>
          <w:p>
            <w:pPr>
              <w:jc w:val="center"/>
              <w:rPr>
                <w:rFonts w:asciiTheme="minorEastAsia" w:hAnsiTheme="minorEastAsia" w:eastAsiaTheme="minorEastAsia" w:cstheme="minorEastAsia"/>
                <w:color w:val="auto"/>
                <w:kern w:val="0"/>
                <w:szCs w:val="21"/>
              </w:rPr>
            </w:pPr>
            <w:r>
              <w:rPr>
                <w:rFonts w:hint="eastAsia" w:ascii="宋体" w:hAnsi="宋体" w:cs="宋体"/>
                <w:color w:val="auto"/>
                <w:kern w:val="0"/>
                <w:szCs w:val="21"/>
                <w:lang w:val="en-US" w:eastAsia="zh-CN"/>
              </w:rPr>
              <w:t>24033.4</w:t>
            </w:r>
          </w:p>
        </w:tc>
        <w:tc>
          <w:tcPr>
            <w:tcW w:w="2190" w:type="dxa"/>
            <w:vAlign w:val="center"/>
          </w:tcPr>
          <w:p>
            <w:pPr>
              <w:jc w:val="center"/>
              <w:rPr>
                <w:rFonts w:hint="eastAsia" w:asciiTheme="minorEastAsia" w:hAnsiTheme="minorEastAsia" w:eastAsiaTheme="minorEastAsia" w:cstheme="minorEastAsia"/>
                <w:color w:val="auto"/>
                <w:kern w:val="0"/>
                <w:szCs w:val="21"/>
                <w:lang w:val="en-US" w:eastAsia="zh-CN"/>
              </w:rPr>
            </w:pPr>
            <w:r>
              <w:rPr>
                <w:rFonts w:hint="eastAsia" w:ascii="宋体" w:hAnsi="宋体" w:cs="宋体"/>
                <w:color w:val="auto"/>
                <w:kern w:val="0"/>
                <w:szCs w:val="21"/>
                <w:lang w:val="en-US" w:eastAsia="zh-CN"/>
              </w:rPr>
              <w:t>150747.7</w:t>
            </w:r>
          </w:p>
        </w:tc>
        <w:tc>
          <w:tcPr>
            <w:tcW w:w="2025" w:type="dxa"/>
            <w:vAlign w:val="center"/>
          </w:tcPr>
          <w:p>
            <w:pPr>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w:t>
            </w:r>
          </w:p>
        </w:tc>
        <w:tc>
          <w:tcPr>
            <w:tcW w:w="2055" w:type="dxa"/>
            <w:vMerge w:val="continue"/>
            <w:vAlign w:val="center"/>
          </w:tcPr>
          <w:p>
            <w:pPr>
              <w:ind w:firstLine="643" w:firstLineChars="200"/>
              <w:rPr>
                <w:rFonts w:asciiTheme="minorEastAsia" w:hAnsiTheme="minorEastAsia" w:eastAsiaTheme="minorEastAsia" w:cstheme="minorEastAsia"/>
                <w:b/>
                <w:bCs/>
                <w:color w:val="auto"/>
                <w:kern w:val="0"/>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9" w:type="dxa"/>
            <w:vMerge w:val="continue"/>
            <w:vAlign w:val="center"/>
          </w:tcPr>
          <w:p>
            <w:pPr>
              <w:widowControl/>
              <w:ind w:firstLine="422" w:firstLineChars="200"/>
              <w:jc w:val="center"/>
              <w:rPr>
                <w:rFonts w:asciiTheme="minorEastAsia" w:hAnsiTheme="minorEastAsia" w:eastAsiaTheme="minorEastAsia" w:cstheme="minorEastAsia"/>
                <w:b/>
                <w:color w:val="auto"/>
                <w:kern w:val="0"/>
                <w:szCs w:val="21"/>
              </w:rPr>
            </w:pPr>
          </w:p>
        </w:tc>
        <w:tc>
          <w:tcPr>
            <w:tcW w:w="2235" w:type="dxa"/>
            <w:vAlign w:val="center"/>
          </w:tcPr>
          <w:p>
            <w:pPr>
              <w:ind w:firstLine="630" w:firstLineChars="300"/>
              <w:jc w:val="both"/>
              <w:rPr>
                <w:rFonts w:asciiTheme="minorEastAsia" w:hAnsiTheme="minorEastAsia" w:eastAsiaTheme="minorEastAsia" w:cstheme="minorEastAsia"/>
                <w:color w:val="auto"/>
                <w:kern w:val="0"/>
                <w:szCs w:val="21"/>
              </w:rPr>
            </w:pPr>
            <w:r>
              <w:rPr>
                <w:rFonts w:hint="eastAsia" w:ascii="宋体" w:hAnsi="宋体" w:cs="宋体"/>
                <w:color w:val="auto"/>
                <w:kern w:val="0"/>
                <w:szCs w:val="21"/>
                <w:lang w:val="en-US" w:eastAsia="zh-CN"/>
              </w:rPr>
              <w:t>沈海高速</w:t>
            </w:r>
          </w:p>
        </w:tc>
        <w:tc>
          <w:tcPr>
            <w:tcW w:w="2505" w:type="dxa"/>
            <w:vAlign w:val="center"/>
          </w:tcPr>
          <w:p>
            <w:pPr>
              <w:jc w:val="left"/>
              <w:rPr>
                <w:rFonts w:asciiTheme="minorEastAsia" w:hAnsiTheme="minorEastAsia" w:eastAsiaTheme="minorEastAsia" w:cstheme="minorEastAsia"/>
                <w:color w:val="auto"/>
                <w:szCs w:val="21"/>
              </w:rPr>
            </w:pPr>
            <w:r>
              <w:rPr>
                <w:rFonts w:hint="eastAsia" w:ascii="宋体" w:hAnsi="宋体" w:cs="宋体"/>
                <w:color w:val="auto"/>
                <w:kern w:val="0"/>
                <w:szCs w:val="21"/>
                <w:lang w:val="en-US" w:eastAsia="zh-CN"/>
              </w:rPr>
              <w:t>K1570-K1588+830</w:t>
            </w:r>
          </w:p>
        </w:tc>
        <w:tc>
          <w:tcPr>
            <w:tcW w:w="2310" w:type="dxa"/>
            <w:vAlign w:val="center"/>
          </w:tcPr>
          <w:p>
            <w:pPr>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2190" w:type="dxa"/>
            <w:vAlign w:val="center"/>
          </w:tcPr>
          <w:p>
            <w:pPr>
              <w:jc w:val="center"/>
              <w:rPr>
                <w:rFonts w:asciiTheme="minorEastAsia" w:hAnsiTheme="minorEastAsia" w:eastAsiaTheme="minorEastAsia" w:cstheme="minorEastAsia"/>
                <w:color w:val="auto"/>
                <w:kern w:val="0"/>
                <w:szCs w:val="21"/>
              </w:rPr>
            </w:pPr>
            <w:r>
              <w:rPr>
                <w:rFonts w:hint="eastAsia" w:ascii="宋体" w:hAnsi="宋体" w:cs="宋体"/>
                <w:color w:val="auto"/>
                <w:kern w:val="0"/>
                <w:szCs w:val="21"/>
                <w:lang w:val="en-US" w:eastAsia="zh-CN"/>
              </w:rPr>
              <w:t>472638.8</w:t>
            </w:r>
          </w:p>
        </w:tc>
        <w:tc>
          <w:tcPr>
            <w:tcW w:w="2025" w:type="dxa"/>
            <w:vAlign w:val="center"/>
          </w:tcPr>
          <w:p>
            <w:pPr>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w:t>
            </w:r>
          </w:p>
        </w:tc>
        <w:tc>
          <w:tcPr>
            <w:tcW w:w="2055" w:type="dxa"/>
            <w:vMerge w:val="continue"/>
            <w:vAlign w:val="center"/>
          </w:tcPr>
          <w:p>
            <w:pPr>
              <w:ind w:firstLine="643" w:firstLineChars="200"/>
              <w:rPr>
                <w:rFonts w:asciiTheme="minorEastAsia" w:hAnsiTheme="minorEastAsia" w:eastAsiaTheme="minorEastAsia" w:cstheme="minorEastAsia"/>
                <w:b/>
                <w:bCs/>
                <w:color w:val="auto"/>
                <w:kern w:val="0"/>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849" w:type="dxa"/>
            <w:vMerge w:val="continue"/>
            <w:vAlign w:val="center"/>
          </w:tcPr>
          <w:p>
            <w:pPr>
              <w:widowControl/>
              <w:ind w:firstLine="422" w:firstLineChars="200"/>
              <w:jc w:val="center"/>
              <w:rPr>
                <w:rFonts w:asciiTheme="minorEastAsia" w:hAnsiTheme="minorEastAsia" w:eastAsiaTheme="minorEastAsia" w:cstheme="minorEastAsia"/>
                <w:b/>
                <w:color w:val="auto"/>
                <w:kern w:val="0"/>
                <w:szCs w:val="21"/>
              </w:rPr>
            </w:pPr>
          </w:p>
        </w:tc>
        <w:tc>
          <w:tcPr>
            <w:tcW w:w="4740" w:type="dxa"/>
            <w:gridSpan w:val="2"/>
            <w:vAlign w:val="center"/>
          </w:tcPr>
          <w:p>
            <w:pPr>
              <w:widowControl/>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kern w:val="0"/>
                <w:szCs w:val="21"/>
              </w:rPr>
              <w:t>小计</w:t>
            </w:r>
          </w:p>
        </w:tc>
        <w:tc>
          <w:tcPr>
            <w:tcW w:w="2310" w:type="dxa"/>
            <w:vAlign w:val="center"/>
          </w:tcPr>
          <w:p>
            <w:pPr>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401118.7</w:t>
            </w:r>
          </w:p>
        </w:tc>
        <w:tc>
          <w:tcPr>
            <w:tcW w:w="2190" w:type="dxa"/>
            <w:vAlign w:val="center"/>
          </w:tcPr>
          <w:p>
            <w:pPr>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645932.3</w:t>
            </w:r>
          </w:p>
        </w:tc>
        <w:tc>
          <w:tcPr>
            <w:tcW w:w="2025" w:type="dxa"/>
            <w:vAlign w:val="center"/>
          </w:tcPr>
          <w:p>
            <w:pPr>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2055" w:type="dxa"/>
            <w:vMerge w:val="continue"/>
            <w:vAlign w:val="center"/>
          </w:tcPr>
          <w:p>
            <w:pPr>
              <w:widowControl/>
              <w:ind w:firstLine="643" w:firstLineChars="200"/>
              <w:rPr>
                <w:rFonts w:asciiTheme="minorEastAsia" w:hAnsiTheme="minorEastAsia" w:eastAsiaTheme="minorEastAsia" w:cstheme="minorEastAsia"/>
                <w:b/>
                <w:bCs/>
                <w:color w:val="auto"/>
                <w:kern w:val="0"/>
                <w:sz w:val="32"/>
                <w:szCs w:val="21"/>
              </w:rPr>
            </w:pPr>
          </w:p>
        </w:tc>
      </w:tr>
    </w:tbl>
    <w:p>
      <w:pPr>
        <w:widowControl/>
        <w:jc w:val="center"/>
        <w:rPr>
          <w:rFonts w:hint="eastAsia" w:asciiTheme="minorEastAsia" w:hAnsiTheme="minorEastAsia" w:eastAsiaTheme="minorEastAsia" w:cstheme="minorEastAsia"/>
          <w:b/>
          <w:color w:val="auto"/>
          <w:kern w:val="0"/>
          <w:szCs w:val="21"/>
        </w:rPr>
      </w:pPr>
    </w:p>
    <w:p>
      <w:pPr>
        <w:widowControl/>
        <w:jc w:val="center"/>
        <w:rPr>
          <w:rFonts w:hint="eastAsia" w:asciiTheme="minorEastAsia" w:hAnsiTheme="minorEastAsia" w:eastAsiaTheme="minorEastAsia" w:cstheme="minorEastAsia"/>
          <w:b/>
          <w:color w:val="auto"/>
          <w:kern w:val="0"/>
          <w:szCs w:val="21"/>
        </w:rPr>
      </w:pPr>
    </w:p>
    <w:p>
      <w:pPr>
        <w:widowControl/>
        <w:jc w:val="center"/>
        <w:rPr>
          <w:rFonts w:hint="eastAsia" w:asciiTheme="minorEastAsia" w:hAnsiTheme="minorEastAsia" w:eastAsiaTheme="minorEastAsia" w:cstheme="minorEastAsia"/>
          <w:b/>
          <w:color w:val="auto"/>
          <w:kern w:val="0"/>
          <w:szCs w:val="21"/>
        </w:rPr>
      </w:pPr>
    </w:p>
    <w:p>
      <w:pPr>
        <w:widowControl/>
        <w:jc w:val="center"/>
        <w:rPr>
          <w:rFonts w:hint="eastAsia" w:asciiTheme="minorEastAsia" w:hAnsiTheme="minorEastAsia" w:eastAsiaTheme="minorEastAsia" w:cstheme="minorEastAsia"/>
          <w:b/>
          <w:color w:val="auto"/>
          <w:kern w:val="0"/>
          <w:szCs w:val="21"/>
        </w:rPr>
      </w:pPr>
    </w:p>
    <w:p>
      <w:pPr>
        <w:widowControl/>
        <w:jc w:val="center"/>
        <w:rPr>
          <w:rFonts w:hint="eastAsia" w:asciiTheme="minorEastAsia" w:hAnsiTheme="minorEastAsia" w:eastAsiaTheme="minorEastAsia" w:cstheme="minorEastAsia"/>
          <w:b/>
          <w:color w:val="auto"/>
          <w:kern w:val="0"/>
          <w:szCs w:val="21"/>
        </w:rPr>
      </w:pPr>
    </w:p>
    <w:p>
      <w:pPr>
        <w:widowControl/>
        <w:jc w:val="center"/>
        <w:rPr>
          <w:rFonts w:hint="eastAsia" w:asciiTheme="minorEastAsia" w:hAnsiTheme="minorEastAsia" w:eastAsiaTheme="minorEastAsia" w:cstheme="minorEastAsia"/>
          <w:b/>
          <w:color w:val="auto"/>
          <w:kern w:val="0"/>
          <w:szCs w:val="21"/>
        </w:rPr>
      </w:pPr>
    </w:p>
    <w:p>
      <w:pPr>
        <w:widowControl/>
        <w:jc w:val="center"/>
        <w:rPr>
          <w:rFonts w:hint="eastAsia" w:asciiTheme="minorEastAsia" w:hAnsiTheme="minorEastAsia" w:eastAsiaTheme="minorEastAsia" w:cstheme="minorEastAsia"/>
          <w:b/>
          <w:color w:val="auto"/>
          <w:kern w:val="0"/>
          <w:szCs w:val="21"/>
        </w:rPr>
      </w:pPr>
    </w:p>
    <w:p>
      <w:pPr>
        <w:widowControl/>
        <w:jc w:val="center"/>
        <w:rPr>
          <w:rFonts w:hint="eastAsia" w:asciiTheme="minorEastAsia" w:hAnsiTheme="minorEastAsia" w:eastAsiaTheme="minorEastAsia" w:cstheme="minorEastAsia"/>
          <w:b/>
          <w:color w:val="auto"/>
          <w:kern w:val="0"/>
          <w:szCs w:val="21"/>
        </w:rPr>
      </w:pPr>
    </w:p>
    <w:p>
      <w:pPr>
        <w:widowControl/>
        <w:jc w:val="center"/>
        <w:rPr>
          <w:rFonts w:hint="eastAsia" w:asciiTheme="minorEastAsia" w:hAnsiTheme="minorEastAsia" w:eastAsiaTheme="minorEastAsia" w:cstheme="minorEastAsia"/>
          <w:b/>
          <w:color w:val="auto"/>
          <w:kern w:val="0"/>
          <w:szCs w:val="21"/>
        </w:rPr>
      </w:pPr>
    </w:p>
    <w:p>
      <w:pPr>
        <w:widowControl/>
        <w:jc w:val="center"/>
        <w:rPr>
          <w:rFonts w:hint="eastAsia" w:asciiTheme="minorEastAsia" w:hAnsiTheme="minorEastAsia" w:eastAsiaTheme="minorEastAsia" w:cstheme="minorEastAsia"/>
          <w:b/>
          <w:color w:val="auto"/>
          <w:kern w:val="0"/>
          <w:szCs w:val="21"/>
        </w:rPr>
      </w:pPr>
    </w:p>
    <w:p>
      <w:pPr>
        <w:widowControl/>
        <w:jc w:val="center"/>
        <w:rPr>
          <w:rFonts w:hint="eastAsia" w:asciiTheme="minorEastAsia" w:hAnsiTheme="minorEastAsia" w:eastAsiaTheme="minorEastAsia" w:cstheme="minorEastAsia"/>
          <w:b/>
          <w:color w:val="auto"/>
          <w:kern w:val="0"/>
          <w:szCs w:val="21"/>
        </w:rPr>
      </w:pPr>
    </w:p>
    <w:p>
      <w:pPr>
        <w:widowControl/>
        <w:jc w:val="center"/>
        <w:rPr>
          <w:rFonts w:hint="eastAsia" w:asciiTheme="minorEastAsia" w:hAnsiTheme="minorEastAsia" w:eastAsiaTheme="minorEastAsia" w:cstheme="minorEastAsia"/>
          <w:b/>
          <w:color w:val="auto"/>
          <w:kern w:val="0"/>
          <w:szCs w:val="21"/>
        </w:rPr>
      </w:pPr>
    </w:p>
    <w:p>
      <w:pPr>
        <w:widowControl/>
        <w:jc w:val="center"/>
        <w:rPr>
          <w:rFonts w:hint="eastAsia" w:asciiTheme="minorEastAsia" w:hAnsiTheme="minorEastAsia" w:eastAsiaTheme="minorEastAsia" w:cstheme="minorEastAsia"/>
          <w:b/>
          <w:color w:val="auto"/>
          <w:kern w:val="0"/>
          <w:szCs w:val="21"/>
        </w:rPr>
      </w:pPr>
    </w:p>
    <w:p>
      <w:pPr>
        <w:widowControl/>
        <w:jc w:val="center"/>
        <w:rPr>
          <w:rFonts w:hint="eastAsia" w:asciiTheme="minorEastAsia" w:hAnsiTheme="minorEastAsia" w:eastAsiaTheme="minorEastAsia" w:cstheme="minorEastAsia"/>
          <w:b/>
          <w:color w:val="auto"/>
          <w:kern w:val="0"/>
          <w:szCs w:val="21"/>
        </w:rPr>
      </w:pPr>
    </w:p>
    <w:p>
      <w:pPr>
        <w:widowControl/>
        <w:jc w:val="center"/>
        <w:rPr>
          <w:rFonts w:hint="eastAsia" w:asciiTheme="minorEastAsia" w:hAnsiTheme="minorEastAsia" w:eastAsiaTheme="minorEastAsia" w:cstheme="minorEastAsia"/>
          <w:b/>
          <w:color w:val="auto"/>
          <w:kern w:val="0"/>
          <w:szCs w:val="21"/>
        </w:rPr>
      </w:pPr>
    </w:p>
    <w:p>
      <w:pPr>
        <w:widowControl/>
        <w:jc w:val="both"/>
        <w:rPr>
          <w:rFonts w:hint="eastAsia" w:asciiTheme="minorEastAsia" w:hAnsiTheme="minorEastAsia" w:eastAsiaTheme="minorEastAsia" w:cstheme="minorEastAsia"/>
          <w:b/>
          <w:color w:val="auto"/>
          <w:kern w:val="0"/>
          <w:szCs w:val="21"/>
        </w:rPr>
      </w:pPr>
    </w:p>
    <w:p>
      <w:pPr>
        <w:widowControl/>
        <w:jc w:val="center"/>
        <w:rPr>
          <w:rFonts w:hint="eastAsia" w:asciiTheme="minorEastAsia" w:hAnsiTheme="minorEastAsia" w:eastAsiaTheme="minorEastAsia" w:cstheme="minorEastAsia"/>
          <w:b/>
          <w:color w:val="auto"/>
          <w:kern w:val="0"/>
          <w:szCs w:val="21"/>
        </w:rPr>
      </w:pPr>
    </w:p>
    <w:p>
      <w:pPr>
        <w:widowControl/>
        <w:jc w:val="center"/>
        <w:rPr>
          <w:color w:val="auto"/>
        </w:rPr>
      </w:pPr>
      <w:r>
        <w:rPr>
          <w:rFonts w:hint="eastAsia" w:ascii="宋体" w:hAnsi="宋体" w:cs="宋体"/>
          <w:color w:val="auto"/>
          <w:szCs w:val="21"/>
        </w:rPr>
        <w:t>★</w:t>
      </w:r>
      <w:r>
        <w:rPr>
          <w:rFonts w:hint="eastAsia" w:asciiTheme="minorEastAsia" w:hAnsiTheme="minorEastAsia" w:eastAsiaTheme="minorEastAsia" w:cstheme="minorEastAsia"/>
          <w:b/>
          <w:color w:val="auto"/>
          <w:kern w:val="0"/>
          <w:szCs w:val="21"/>
        </w:rPr>
        <w:t>人员、施肥、水泵及洒水车最低配置标准</w:t>
      </w:r>
    </w:p>
    <w:tbl>
      <w:tblPr>
        <w:tblStyle w:val="29"/>
        <w:tblpPr w:leftFromText="180" w:rightFromText="180" w:vertAnchor="text" w:horzAnchor="page" w:tblpX="1389" w:tblpY="296"/>
        <w:tblOverlap w:val="never"/>
        <w:tblW w:w="14280" w:type="dxa"/>
        <w:tblInd w:w="0" w:type="dxa"/>
        <w:tblLayout w:type="fixed"/>
        <w:tblCellMar>
          <w:top w:w="0" w:type="dxa"/>
          <w:left w:w="108" w:type="dxa"/>
          <w:bottom w:w="0" w:type="dxa"/>
          <w:right w:w="108" w:type="dxa"/>
        </w:tblCellMar>
      </w:tblPr>
      <w:tblGrid>
        <w:gridCol w:w="690"/>
        <w:gridCol w:w="4095"/>
        <w:gridCol w:w="1020"/>
        <w:gridCol w:w="1275"/>
        <w:gridCol w:w="1140"/>
        <w:gridCol w:w="1050"/>
        <w:gridCol w:w="1305"/>
        <w:gridCol w:w="885"/>
        <w:gridCol w:w="1080"/>
        <w:gridCol w:w="915"/>
        <w:gridCol w:w="825"/>
      </w:tblGrid>
      <w:tr>
        <w:tblPrEx>
          <w:tblCellMar>
            <w:top w:w="0" w:type="dxa"/>
            <w:left w:w="108" w:type="dxa"/>
            <w:bottom w:w="0" w:type="dxa"/>
            <w:right w:w="108" w:type="dxa"/>
          </w:tblCellMar>
        </w:tblPrEx>
        <w:trPr>
          <w:trHeight w:val="834" w:hRule="exact"/>
        </w:trPr>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color w:val="auto"/>
                <w:kern w:val="0"/>
                <w:szCs w:val="21"/>
                <w:lang w:val="en-US" w:eastAsia="zh-CN"/>
              </w:rPr>
            </w:pPr>
            <w:r>
              <w:rPr>
                <w:rFonts w:hint="eastAsia" w:asciiTheme="minorEastAsia" w:hAnsiTheme="minorEastAsia" w:eastAsiaTheme="minorEastAsia" w:cstheme="minorEastAsia"/>
                <w:b/>
                <w:color w:val="auto"/>
                <w:kern w:val="0"/>
                <w:szCs w:val="21"/>
                <w:lang w:val="en-US" w:eastAsia="zh-CN"/>
              </w:rPr>
              <w:t>序号</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养护范围</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里程(KM)</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绿化面积（M</w:t>
            </w:r>
            <w:r>
              <w:rPr>
                <w:rFonts w:hint="eastAsia" w:asciiTheme="minorEastAsia" w:hAnsiTheme="minorEastAsia" w:eastAsiaTheme="minorEastAsia" w:cstheme="minorEastAsia"/>
                <w:b/>
                <w:color w:val="auto"/>
                <w:kern w:val="0"/>
                <w:szCs w:val="21"/>
                <w:vertAlign w:val="superscript"/>
              </w:rPr>
              <w:t>2</w:t>
            </w:r>
            <w:r>
              <w:rPr>
                <w:rFonts w:hint="eastAsia" w:asciiTheme="minorEastAsia" w:hAnsiTheme="minorEastAsia" w:eastAsiaTheme="minorEastAsia" w:cstheme="minorEastAsia"/>
                <w:b/>
                <w:color w:val="auto"/>
                <w:kern w:val="0"/>
                <w:szCs w:val="21"/>
              </w:rPr>
              <w:t>）</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林带面积（M</w:t>
            </w:r>
            <w:r>
              <w:rPr>
                <w:rFonts w:hint="eastAsia" w:asciiTheme="minorEastAsia" w:hAnsiTheme="minorEastAsia" w:eastAsiaTheme="minorEastAsia" w:cstheme="minorEastAsia"/>
                <w:b/>
                <w:color w:val="auto"/>
                <w:kern w:val="0"/>
                <w:szCs w:val="21"/>
                <w:vertAlign w:val="superscript"/>
              </w:rPr>
              <w:t>2</w:t>
            </w:r>
            <w:r>
              <w:rPr>
                <w:rFonts w:hint="eastAsia" w:asciiTheme="minorEastAsia" w:hAnsiTheme="minorEastAsia" w:eastAsiaTheme="minorEastAsia" w:cstheme="minorEastAsia"/>
                <w:b/>
                <w:color w:val="auto"/>
                <w:kern w:val="0"/>
                <w:szCs w:val="21"/>
              </w:rPr>
              <w:t>）</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heme="minorEastAsia" w:hAnsiTheme="minorEastAsia" w:eastAsiaTheme="minorEastAsia" w:cstheme="minorEastAsia"/>
                <w:b/>
                <w:color w:val="auto"/>
                <w:kern w:val="0"/>
                <w:szCs w:val="21"/>
                <w:lang w:val="en-US" w:eastAsia="zh-CN"/>
              </w:rPr>
            </w:pPr>
            <w:r>
              <w:rPr>
                <w:rFonts w:hint="eastAsia" w:asciiTheme="minorEastAsia" w:hAnsiTheme="minorEastAsia" w:eastAsiaTheme="minorEastAsia" w:cstheme="minorEastAsia"/>
                <w:b/>
                <w:color w:val="auto"/>
                <w:kern w:val="0"/>
                <w:szCs w:val="21"/>
                <w:lang w:val="en-US" w:eastAsia="zh-CN"/>
              </w:rPr>
              <w:t>中带面积</w:t>
            </w:r>
            <w:r>
              <w:rPr>
                <w:rFonts w:hint="eastAsia" w:asciiTheme="minorEastAsia" w:hAnsiTheme="minorEastAsia" w:eastAsiaTheme="minorEastAsia" w:cstheme="minorEastAsia"/>
                <w:b/>
                <w:color w:val="auto"/>
                <w:kern w:val="0"/>
                <w:szCs w:val="21"/>
              </w:rPr>
              <w:t>（M</w:t>
            </w:r>
            <w:r>
              <w:rPr>
                <w:rFonts w:hint="eastAsia" w:asciiTheme="minorEastAsia" w:hAnsiTheme="minorEastAsia" w:eastAsiaTheme="minorEastAsia" w:cstheme="minorEastAsia"/>
                <w:b/>
                <w:color w:val="auto"/>
                <w:kern w:val="0"/>
                <w:szCs w:val="21"/>
                <w:vertAlign w:val="superscript"/>
              </w:rPr>
              <w:t>2</w:t>
            </w:r>
            <w:r>
              <w:rPr>
                <w:rFonts w:hint="eastAsia" w:asciiTheme="minorEastAsia" w:hAnsiTheme="minorEastAsia" w:eastAsiaTheme="minorEastAsia" w:cstheme="minorEastAsia"/>
                <w:b/>
                <w:color w:val="auto"/>
                <w:kern w:val="0"/>
                <w:szCs w:val="21"/>
              </w:rPr>
              <w:t>）</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固定人员（人）</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both"/>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施肥1次（吨）</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抗旱水泵</w:t>
            </w:r>
          </w:p>
          <w:p>
            <w:pPr>
              <w:widowControl/>
              <w:ind w:firstLine="211" w:firstLineChars="100"/>
              <w:jc w:val="center"/>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（台）</w:t>
            </w:r>
          </w:p>
        </w:tc>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洒水车</w:t>
            </w:r>
          </w:p>
          <w:p>
            <w:pPr>
              <w:widowControl/>
              <w:jc w:val="center"/>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（辆）</w:t>
            </w: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备注</w:t>
            </w:r>
          </w:p>
        </w:tc>
      </w:tr>
      <w:tr>
        <w:tblPrEx>
          <w:tblCellMar>
            <w:top w:w="0" w:type="dxa"/>
            <w:left w:w="108" w:type="dxa"/>
            <w:bottom w:w="0" w:type="dxa"/>
            <w:right w:w="108" w:type="dxa"/>
          </w:tblCellMar>
        </w:tblPrEx>
        <w:trPr>
          <w:trHeight w:val="1150" w:hRule="exact"/>
        </w:trPr>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lang w:val="en-US" w:eastAsia="zh-CN"/>
              </w:rPr>
            </w:pPr>
          </w:p>
          <w:p>
            <w:pPr>
              <w:pStyle w:val="2"/>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color w:val="auto"/>
                <w:kern w:val="0"/>
                <w:szCs w:val="21"/>
                <w:highlight w:val="yellow"/>
              </w:rPr>
            </w:pPr>
            <w:r>
              <w:rPr>
                <w:rFonts w:hint="eastAsia" w:ascii="宋体" w:hAnsi="宋体" w:cs="宋体"/>
                <w:color w:val="auto"/>
                <w:kern w:val="0"/>
                <w:szCs w:val="21"/>
                <w:lang w:val="en-US" w:eastAsia="zh-CN"/>
              </w:rPr>
              <w:t>G527象义线（K56+814-K73+908）、S311象西线（K45+360-K49+536）、老象西线S311（K54+200-K90+800）、西山线（K17+500-K20+270）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Cs w:val="21"/>
                <w:highlight w:val="yellow"/>
                <w:lang w:val="en-US" w:eastAsia="zh-CN"/>
              </w:rPr>
            </w:pPr>
            <w:r>
              <w:rPr>
                <w:rFonts w:hint="eastAsia" w:ascii="宋体" w:hAnsi="宋体" w:cs="宋体"/>
                <w:color w:val="auto"/>
                <w:kern w:val="0"/>
                <w:szCs w:val="21"/>
                <w:highlight w:val="none"/>
                <w:lang w:val="en-US" w:eastAsia="zh-CN"/>
              </w:rPr>
              <w:t>60.64</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377506.1</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110136.2</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both"/>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w:t>
            </w:r>
          </w:p>
        </w:tc>
        <w:tc>
          <w:tcPr>
            <w:tcW w:w="885"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both"/>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both"/>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c>
          <w:tcPr>
            <w:tcW w:w="915"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25" w:type="dxa"/>
            <w:vMerge w:val="restart"/>
            <w:tcBorders>
              <w:top w:val="single" w:color="auto" w:sz="4" w:space="0"/>
              <w:left w:val="single" w:color="auto" w:sz="4" w:space="0"/>
              <w:right w:val="single" w:color="auto" w:sz="4" w:space="0"/>
            </w:tcBorders>
            <w:vAlign w:val="center"/>
          </w:tcPr>
          <w:p>
            <w:pPr>
              <w:widowControl/>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跟踪施肥（每年至少2次施肥）</w:t>
            </w:r>
          </w:p>
        </w:tc>
      </w:tr>
      <w:tr>
        <w:tblPrEx>
          <w:tblCellMar>
            <w:top w:w="0" w:type="dxa"/>
            <w:left w:w="108" w:type="dxa"/>
            <w:bottom w:w="0" w:type="dxa"/>
            <w:right w:w="108" w:type="dxa"/>
          </w:tblCellMar>
        </w:tblPrEx>
        <w:trPr>
          <w:trHeight w:val="2000" w:hRule="exact"/>
        </w:trPr>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Cs w:val="21"/>
              </w:rPr>
            </w:pPr>
            <w:r>
              <w:rPr>
                <w:rFonts w:hint="eastAsia" w:ascii="宋体" w:hAnsi="宋体" w:cs="宋体"/>
                <w:color w:val="auto"/>
                <w:kern w:val="0"/>
                <w:szCs w:val="21"/>
                <w:lang w:val="en-US" w:eastAsia="zh-CN"/>
              </w:rPr>
              <w:t>西环线（K0+000+K5+100，K6+200-K9+800）、西环线K5+100-K6+200、乌岩山隧道口上方、狮子岩隧道口上方、公铁立交-马鞍岭隧道口、甬临复线K74+950-K76+900、沈海高速（K1564+500-K1570-200）、城松线（K1+900-K2+500，K3+400-K6+700）、甬临线（K73+200-K80+600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Cs w:val="21"/>
                <w:highlight w:val="yellow"/>
                <w:lang w:val="en-US" w:eastAsia="zh-CN"/>
              </w:rPr>
            </w:pPr>
            <w:r>
              <w:rPr>
                <w:rFonts w:hint="eastAsia" w:ascii="宋体" w:hAnsi="宋体" w:cs="宋体"/>
                <w:color w:val="auto"/>
                <w:kern w:val="0"/>
                <w:szCs w:val="21"/>
                <w:highlight w:val="none"/>
                <w:lang w:val="en-US" w:eastAsia="zh-CN"/>
              </w:rPr>
              <w:t>26.8</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355087.43</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204204.0</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32283.1</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12</w:t>
            </w:r>
          </w:p>
        </w:tc>
        <w:tc>
          <w:tcPr>
            <w:tcW w:w="885"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12</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2</w:t>
            </w:r>
          </w:p>
        </w:tc>
        <w:tc>
          <w:tcPr>
            <w:tcW w:w="915" w:type="dxa"/>
            <w:tcBorders>
              <w:top w:val="single" w:color="auto" w:sz="4" w:space="0"/>
              <w:left w:val="single" w:color="auto" w:sz="4" w:space="0"/>
              <w:bottom w:val="single" w:color="auto" w:sz="4" w:space="0"/>
              <w:right w:val="single" w:color="auto" w:sz="4" w:space="0"/>
            </w:tcBorders>
            <w:vAlign w:val="center"/>
          </w:tcPr>
          <w:p>
            <w:pPr>
              <w:widowControl/>
              <w:ind w:firstLine="210" w:firstLineChars="100"/>
              <w:jc w:val="both"/>
              <w:rPr>
                <w:rFonts w:hint="eastAsia" w:ascii="宋体" w:hAnsi="宋体" w:eastAsia="宋体" w:cs="宋体"/>
                <w:color w:val="auto"/>
              </w:rPr>
            </w:pPr>
          </w:p>
          <w:p>
            <w:pPr>
              <w:pStyle w:val="36"/>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1</w:t>
            </w:r>
          </w:p>
        </w:tc>
        <w:tc>
          <w:tcPr>
            <w:tcW w:w="825" w:type="dxa"/>
            <w:vMerge w:val="continue"/>
            <w:tcBorders>
              <w:left w:val="single" w:color="auto" w:sz="4" w:space="0"/>
              <w:right w:val="single" w:color="auto" w:sz="4" w:space="0"/>
            </w:tcBorders>
            <w:vAlign w:val="center"/>
          </w:tcPr>
          <w:p>
            <w:pPr>
              <w:widowControl/>
              <w:ind w:firstLine="420" w:firstLineChars="200"/>
              <w:jc w:val="left"/>
              <w:rPr>
                <w:rFonts w:asciiTheme="minorEastAsia" w:hAnsiTheme="minorEastAsia" w:eastAsiaTheme="minorEastAsia" w:cstheme="minorEastAsia"/>
                <w:color w:val="auto"/>
                <w:kern w:val="0"/>
                <w:szCs w:val="21"/>
              </w:rPr>
            </w:pPr>
          </w:p>
        </w:tc>
      </w:tr>
      <w:tr>
        <w:tblPrEx>
          <w:tblCellMar>
            <w:top w:w="0" w:type="dxa"/>
            <w:left w:w="108" w:type="dxa"/>
            <w:bottom w:w="0" w:type="dxa"/>
            <w:right w:w="108" w:type="dxa"/>
          </w:tblCellMar>
        </w:tblPrEx>
        <w:trPr>
          <w:trHeight w:val="1650" w:hRule="exact"/>
        </w:trPr>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Cs w:val="21"/>
              </w:rPr>
            </w:pPr>
            <w:r>
              <w:rPr>
                <w:rFonts w:hint="eastAsia" w:ascii="宋体" w:hAnsi="宋体" w:cs="宋体"/>
                <w:color w:val="auto"/>
                <w:kern w:val="0"/>
                <w:szCs w:val="21"/>
                <w:lang w:val="en-US" w:eastAsia="zh-CN"/>
              </w:rPr>
              <w:t>甬临复线西侧（K77+900-K89+100）、甬临复线（K77+900-K89+100）、梁书线（K0+000-K2+850）、城岭线（K20+300-K24+000）、甬临线（K80+600-K100+640）、沈海高速（K1570+200-K1588+830）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Cs w:val="21"/>
                <w:highlight w:val="yellow"/>
                <w:lang w:val="en-US" w:eastAsia="zh-CN"/>
              </w:rPr>
            </w:pPr>
            <w:r>
              <w:rPr>
                <w:rFonts w:hint="eastAsia" w:ascii="宋体" w:hAnsi="宋体" w:cs="宋体"/>
                <w:color w:val="auto"/>
                <w:kern w:val="0"/>
                <w:szCs w:val="21"/>
                <w:highlight w:val="none"/>
                <w:lang w:val="en-US" w:eastAsia="zh-CN"/>
              </w:rPr>
              <w:t>67.62</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401118.7</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645932.3</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12</w:t>
            </w:r>
          </w:p>
        </w:tc>
        <w:tc>
          <w:tcPr>
            <w:tcW w:w="885"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13</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2</w:t>
            </w:r>
          </w:p>
        </w:tc>
        <w:tc>
          <w:tcPr>
            <w:tcW w:w="915" w:type="dxa"/>
            <w:tcBorders>
              <w:top w:val="single" w:color="auto" w:sz="4" w:space="0"/>
              <w:left w:val="single" w:color="auto" w:sz="4" w:space="0"/>
              <w:bottom w:val="single" w:color="auto" w:sz="4" w:space="0"/>
              <w:right w:val="single" w:color="auto" w:sz="4" w:space="0"/>
            </w:tcBorders>
            <w:vAlign w:val="center"/>
          </w:tcPr>
          <w:p>
            <w:pPr>
              <w:pStyle w:val="36"/>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1</w:t>
            </w:r>
          </w:p>
        </w:tc>
        <w:tc>
          <w:tcPr>
            <w:tcW w:w="825" w:type="dxa"/>
            <w:vMerge w:val="continue"/>
            <w:tcBorders>
              <w:left w:val="single" w:color="auto" w:sz="4" w:space="0"/>
              <w:bottom w:val="single" w:color="auto" w:sz="4" w:space="0"/>
              <w:right w:val="single" w:color="auto" w:sz="4" w:space="0"/>
            </w:tcBorders>
            <w:vAlign w:val="center"/>
          </w:tcPr>
          <w:p>
            <w:pPr>
              <w:widowControl/>
              <w:ind w:firstLine="420" w:firstLineChars="200"/>
              <w:jc w:val="left"/>
              <w:rPr>
                <w:rFonts w:asciiTheme="minorEastAsia" w:hAnsiTheme="minorEastAsia" w:eastAsiaTheme="minorEastAsia" w:cstheme="minorEastAsia"/>
                <w:color w:val="auto"/>
                <w:kern w:val="0"/>
                <w:szCs w:val="21"/>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注：1.如在高温天气，抗旱季节，中标单位未按投标文件的承诺提供相应机具，业主按合同价扣除当月50%的养护费。</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color w:val="auto"/>
          <w:szCs w:val="21"/>
          <w:lang w:eastAsia="zh-CN"/>
        </w:rPr>
        <w:sectPr>
          <w:pgSz w:w="16840" w:h="11907" w:orient="landscape"/>
          <w:pgMar w:top="1531" w:right="1247" w:bottom="1843" w:left="1304" w:header="426" w:footer="708" w:gutter="0"/>
          <w:pgBorders>
            <w:top w:val="none" w:sz="0" w:space="0"/>
            <w:left w:val="none" w:sz="0" w:space="0"/>
            <w:bottom w:val="none" w:sz="0" w:space="0"/>
            <w:right w:val="none" w:sz="0" w:space="0"/>
          </w:pgBorders>
          <w:pgNumType w:fmt="decimal"/>
          <w:cols w:space="720" w:num="1"/>
          <w:docGrid w:linePitch="286" w:charSpace="0"/>
        </w:sectPr>
      </w:pPr>
      <w:r>
        <w:rPr>
          <w:rFonts w:hint="eastAsia" w:asciiTheme="minorEastAsia" w:hAnsiTheme="minorEastAsia" w:eastAsiaTheme="minorEastAsia" w:cstheme="minorEastAsia"/>
          <w:b/>
          <w:color w:val="auto"/>
          <w:szCs w:val="21"/>
        </w:rPr>
        <w:t>2.固定人员组成：项目负责人1人、</w:t>
      </w:r>
      <w:r>
        <w:rPr>
          <w:rFonts w:hint="eastAsia" w:asciiTheme="minorEastAsia" w:hAnsiTheme="minorEastAsia" w:eastAsiaTheme="minorEastAsia" w:cstheme="minorEastAsia"/>
          <w:b/>
          <w:color w:val="auto"/>
          <w:szCs w:val="21"/>
          <w:lang w:val="en-US" w:eastAsia="zh-CN"/>
        </w:rPr>
        <w:t>项目技术负责人</w:t>
      </w:r>
      <w:r>
        <w:rPr>
          <w:rFonts w:hint="eastAsia" w:asciiTheme="minorEastAsia" w:hAnsiTheme="minorEastAsia" w:eastAsiaTheme="minorEastAsia" w:cstheme="minorEastAsia"/>
          <w:b/>
          <w:color w:val="auto"/>
          <w:szCs w:val="21"/>
        </w:rPr>
        <w:t>1人、内业资料员1人，其余为保洁人员（不含修剪、拔草人员）。投标人投标文件内响应的人数和车辆设备少于以上人数的，将作无效标处理。供应商为本项目配备的项目负责人须具有园林绿化专业中级及以上职称（项目负责人必须为本单位在职职工，并缴纳社会养老保险，投标人须提供拟派的项目负责人在202</w:t>
      </w:r>
      <w:r>
        <w:rPr>
          <w:rFonts w:hint="eastAsia" w:asciiTheme="minorEastAsia" w:hAnsiTheme="minorEastAsia" w:eastAsiaTheme="minorEastAsia" w:cstheme="minorEastAsia"/>
          <w:b/>
          <w:color w:val="auto"/>
          <w:szCs w:val="21"/>
          <w:lang w:val="en-US" w:eastAsia="zh-CN"/>
        </w:rPr>
        <w:t>2</w:t>
      </w:r>
      <w:r>
        <w:rPr>
          <w:rFonts w:hint="eastAsia" w:asciiTheme="minorEastAsia" w:hAnsiTheme="minorEastAsia" w:eastAsiaTheme="minorEastAsia" w:cstheme="minorEastAsia"/>
          <w:b/>
          <w:color w:val="auto"/>
          <w:szCs w:val="21"/>
        </w:rPr>
        <w:t>年</w:t>
      </w:r>
      <w:r>
        <w:rPr>
          <w:rFonts w:hint="eastAsia" w:asciiTheme="minorEastAsia" w:hAnsiTheme="minorEastAsia" w:eastAsiaTheme="minorEastAsia" w:cstheme="minorEastAsia"/>
          <w:b/>
          <w:color w:val="auto"/>
          <w:szCs w:val="21"/>
          <w:lang w:val="en-US" w:eastAsia="zh-CN"/>
        </w:rPr>
        <w:t>10</w:t>
      </w:r>
      <w:r>
        <w:rPr>
          <w:rFonts w:hint="eastAsia" w:asciiTheme="minorEastAsia" w:hAnsiTheme="minorEastAsia" w:eastAsiaTheme="minorEastAsia" w:cstheme="minorEastAsia"/>
          <w:b/>
          <w:color w:val="auto"/>
          <w:szCs w:val="21"/>
        </w:rPr>
        <w:t>月以后（含</w:t>
      </w:r>
      <w:r>
        <w:rPr>
          <w:rFonts w:hint="eastAsia" w:asciiTheme="minorEastAsia" w:hAnsiTheme="minorEastAsia" w:eastAsiaTheme="minorEastAsia" w:cstheme="minorEastAsia"/>
          <w:b/>
          <w:color w:val="auto"/>
          <w:szCs w:val="21"/>
          <w:lang w:val="en-US" w:eastAsia="zh-CN"/>
        </w:rPr>
        <w:t>3</w:t>
      </w:r>
      <w:r>
        <w:rPr>
          <w:rFonts w:hint="eastAsia" w:asciiTheme="minorEastAsia" w:hAnsiTheme="minorEastAsia" w:eastAsiaTheme="minorEastAsia" w:cstheme="minorEastAsia"/>
          <w:b/>
          <w:color w:val="auto"/>
          <w:szCs w:val="21"/>
        </w:rPr>
        <w:t>月）连续三个月的社保证明，如投标人未提供或提供不符合要求的，作无效标处理</w:t>
      </w:r>
      <w:r>
        <w:rPr>
          <w:rFonts w:hint="eastAsia" w:asciiTheme="minorEastAsia" w:hAnsiTheme="minorEastAsia" w:eastAsiaTheme="minorEastAsia" w:cstheme="minorEastAsia"/>
          <w:b/>
          <w:color w:val="auto"/>
          <w:szCs w:val="21"/>
          <w:lang w:eastAsia="zh-CN"/>
        </w:rPr>
        <w:t>。</w:t>
      </w:r>
    </w:p>
    <w:p>
      <w:pPr>
        <w:pStyle w:val="14"/>
        <w:snapToGrid w:val="0"/>
        <w:spacing w:beforeLines="0" w:after="120"/>
        <w:jc w:val="both"/>
        <w:outlineLvl w:val="0"/>
        <w:rPr>
          <w:rFonts w:hAnsi="宋体" w:cs="宋体"/>
          <w:b/>
          <w:color w:val="auto"/>
          <w:sz w:val="30"/>
          <w:szCs w:val="30"/>
        </w:rPr>
      </w:pPr>
    </w:p>
    <w:p>
      <w:pPr>
        <w:pStyle w:val="14"/>
        <w:snapToGrid w:val="0"/>
        <w:spacing w:beforeLines="0" w:after="120"/>
        <w:jc w:val="center"/>
        <w:outlineLvl w:val="0"/>
        <w:rPr>
          <w:rFonts w:hAnsi="宋体" w:cs="宋体"/>
          <w:b/>
          <w:color w:val="auto"/>
          <w:sz w:val="30"/>
          <w:szCs w:val="30"/>
        </w:rPr>
      </w:pPr>
      <w:r>
        <w:rPr>
          <w:rFonts w:hint="eastAsia" w:hAnsi="宋体" w:cs="宋体"/>
          <w:b/>
          <w:color w:val="auto"/>
          <w:sz w:val="30"/>
          <w:szCs w:val="30"/>
        </w:rPr>
        <w:t>第三章</w:t>
      </w:r>
      <w:r>
        <w:rPr>
          <w:rFonts w:hint="eastAsia" w:hAnsi="宋体" w:cs="宋体"/>
          <w:b/>
          <w:color w:val="auto"/>
          <w:sz w:val="30"/>
          <w:szCs w:val="30"/>
          <w:lang w:val="en-US" w:eastAsia="zh-CN"/>
        </w:rPr>
        <w:t xml:space="preserve"> </w:t>
      </w:r>
      <w:r>
        <w:rPr>
          <w:rFonts w:hint="eastAsia" w:hAnsi="宋体" w:cs="宋体"/>
          <w:b/>
          <w:color w:val="auto"/>
          <w:sz w:val="30"/>
          <w:szCs w:val="30"/>
        </w:rPr>
        <w:t>投标人须知</w:t>
      </w:r>
    </w:p>
    <w:p>
      <w:pPr>
        <w:snapToGrid w:val="0"/>
        <w:spacing w:beforeLines="50" w:afterLines="50" w:line="400" w:lineRule="exact"/>
        <w:ind w:left="238"/>
        <w:jc w:val="center"/>
        <w:outlineLvl w:val="1"/>
        <w:rPr>
          <w:rFonts w:hint="eastAsia" w:ascii="宋体" w:hAnsi="宋体" w:cs="宋体"/>
          <w:b/>
          <w:color w:val="auto"/>
        </w:rPr>
      </w:pPr>
      <w:bookmarkStart w:id="40" w:name="_Toc28564"/>
      <w:r>
        <w:rPr>
          <w:rFonts w:hint="eastAsia" w:ascii="宋体" w:hAnsi="宋体" w:cs="宋体"/>
          <w:b/>
          <w:color w:val="auto"/>
        </w:rPr>
        <w:t>前附表</w:t>
      </w:r>
      <w:bookmarkEnd w:id="40"/>
    </w:p>
    <w:tbl>
      <w:tblPr>
        <w:tblStyle w:val="29"/>
        <w:tblW w:w="89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82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750" w:type="dxa"/>
            <w:tcBorders>
              <w:top w:val="single" w:color="auto" w:sz="4" w:space="0"/>
              <w:left w:val="single" w:color="auto" w:sz="4" w:space="0"/>
              <w:bottom w:val="single" w:color="auto" w:sz="4" w:space="0"/>
              <w:right w:val="single" w:color="auto" w:sz="4" w:space="0"/>
            </w:tcBorders>
            <w:vAlign w:val="top"/>
          </w:tcPr>
          <w:p>
            <w:pPr>
              <w:snapToGrid w:val="0"/>
              <w:spacing w:line="480" w:lineRule="exact"/>
              <w:jc w:val="center"/>
              <w:rPr>
                <w:rFonts w:ascii="宋体" w:hAnsi="宋体" w:cs="宋体"/>
                <w:color w:val="auto"/>
                <w:szCs w:val="21"/>
              </w:rPr>
            </w:pPr>
            <w:r>
              <w:rPr>
                <w:rFonts w:hint="eastAsia" w:ascii="宋体" w:hAnsi="宋体" w:cs="宋体"/>
                <w:color w:val="auto"/>
                <w:szCs w:val="21"/>
              </w:rPr>
              <w:t>序号</w:t>
            </w:r>
          </w:p>
        </w:tc>
        <w:tc>
          <w:tcPr>
            <w:tcW w:w="8215" w:type="dxa"/>
            <w:tcBorders>
              <w:top w:val="single" w:color="auto" w:sz="4" w:space="0"/>
              <w:left w:val="single" w:color="auto" w:sz="4" w:space="0"/>
              <w:bottom w:val="single" w:color="auto" w:sz="4" w:space="0"/>
              <w:right w:val="single" w:color="auto" w:sz="4" w:space="0"/>
            </w:tcBorders>
            <w:vAlign w:val="top"/>
          </w:tcPr>
          <w:p>
            <w:pPr>
              <w:snapToGrid w:val="0"/>
              <w:spacing w:line="480" w:lineRule="exact"/>
              <w:jc w:val="center"/>
              <w:rPr>
                <w:rFonts w:ascii="宋体" w:hAnsi="宋体" w:cs="宋体"/>
                <w:color w:val="auto"/>
                <w:szCs w:val="21"/>
              </w:rPr>
            </w:pPr>
            <w:r>
              <w:rPr>
                <w:rFonts w:hint="eastAsia" w:ascii="宋体" w:hAnsi="宋体" w:cs="宋体"/>
                <w:color w:val="auto"/>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auto"/>
                <w:szCs w:val="21"/>
              </w:rPr>
            </w:pPr>
            <w:r>
              <w:rPr>
                <w:rFonts w:hint="eastAsia" w:ascii="宋体" w:hAnsi="宋体" w:cs="宋体"/>
                <w:color w:val="auto"/>
                <w:szCs w:val="21"/>
              </w:rPr>
              <w:t>1</w:t>
            </w:r>
          </w:p>
        </w:tc>
        <w:tc>
          <w:tcPr>
            <w:tcW w:w="8215"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cs="宋体"/>
                <w:b/>
                <w:color w:val="auto"/>
                <w:szCs w:val="21"/>
              </w:rPr>
            </w:pPr>
            <w:r>
              <w:rPr>
                <w:rFonts w:hint="eastAsia" w:ascii="宋体" w:hAnsi="宋体" w:cs="宋体"/>
                <w:b/>
                <w:color w:val="auto"/>
                <w:szCs w:val="21"/>
              </w:rPr>
              <w:t>项目名称：</w:t>
            </w:r>
            <w:r>
              <w:rPr>
                <w:rFonts w:hint="eastAsia" w:ascii="宋体" w:hAnsi="宋体" w:cs="宋体"/>
                <w:b/>
                <w:color w:val="auto"/>
                <w:szCs w:val="21"/>
                <w:lang w:val="en-US" w:eastAsia="zh-CN"/>
              </w:rPr>
              <w:t>宁海县公路与运输管理中心2023年公路绿化养护服务采购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auto"/>
                <w:szCs w:val="21"/>
              </w:rPr>
            </w:pPr>
            <w:r>
              <w:rPr>
                <w:rFonts w:hint="eastAsia" w:ascii="宋体" w:hAnsi="宋体" w:cs="宋体"/>
                <w:color w:val="auto"/>
                <w:szCs w:val="21"/>
              </w:rPr>
              <w:t>2</w:t>
            </w:r>
          </w:p>
        </w:tc>
        <w:tc>
          <w:tcPr>
            <w:tcW w:w="8215"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cs="宋体"/>
                <w:b/>
                <w:bCs/>
                <w:color w:val="auto"/>
                <w:szCs w:val="21"/>
              </w:rPr>
            </w:pPr>
            <w:r>
              <w:rPr>
                <w:rFonts w:hint="eastAsia" w:ascii="宋体" w:hAnsi="宋体" w:cs="宋体"/>
                <w:b/>
                <w:color w:val="auto"/>
                <w:szCs w:val="21"/>
                <w:lang w:val="en-US" w:eastAsia="zh-CN"/>
              </w:rPr>
              <w:t>预算金额（人民币）：</w:t>
            </w:r>
            <w:r>
              <w:rPr>
                <w:rFonts w:hint="eastAsia" w:asciiTheme="minorEastAsia" w:hAnsiTheme="minorEastAsia" w:eastAsiaTheme="minorEastAsia" w:cstheme="minorEastAsia"/>
                <w:color w:val="auto"/>
                <w:szCs w:val="21"/>
                <w:highlight w:val="none"/>
                <w:lang w:val="en-US" w:eastAsia="zh-CN"/>
              </w:rPr>
              <w:t>4273418元/年；8546836元/2年</w:t>
            </w:r>
            <w:r>
              <w:rPr>
                <w:rFonts w:hint="eastAsia" w:asciiTheme="minorEastAsia" w:hAnsiTheme="minorEastAsia" w:eastAsiaTheme="minorEastAsia" w:cstheme="minorEastAsia"/>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auto"/>
                <w:szCs w:val="21"/>
              </w:rPr>
            </w:pPr>
            <w:r>
              <w:rPr>
                <w:rFonts w:hint="eastAsia" w:ascii="宋体" w:hAnsi="宋体" w:cs="宋体"/>
                <w:color w:val="auto"/>
                <w:szCs w:val="21"/>
              </w:rPr>
              <w:t>★3</w:t>
            </w:r>
          </w:p>
        </w:tc>
        <w:tc>
          <w:tcPr>
            <w:tcW w:w="82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rPr>
            </w:pPr>
            <w:r>
              <w:rPr>
                <w:rFonts w:hint="eastAsia" w:ascii="宋体" w:hAnsi="宋体" w:cs="宋体"/>
                <w:color w:val="auto"/>
                <w:szCs w:val="21"/>
              </w:rPr>
              <w:t>投标报价：</w:t>
            </w:r>
          </w:p>
          <w:p>
            <w:pPr>
              <w:snapToGrid w:val="0"/>
              <w:spacing w:line="360" w:lineRule="auto"/>
              <w:rPr>
                <w:rFonts w:hint="default" w:ascii="宋体" w:hAnsi="宋体" w:cs="宋体"/>
                <w:color w:val="auto"/>
                <w:szCs w:val="21"/>
                <w:lang w:val="en-US"/>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highlight w:val="none"/>
                <w:shd w:val="clear" w:color="auto" w:fill="auto"/>
                <w:lang w:val="en-US" w:eastAsia="zh-CN"/>
              </w:rPr>
              <w:t>报价构成：完成招标内容及要求所提供的服务过程中涉及的所有费用。包含但不限于绿化养护作业人员费用[包括人员基本工资、各类福利和补贴（如加班补贴等）、社保（五险）、各种保险]，人员工作服、人员所使用作业工具等各类耗材费，苗木成活、设施维护风险费（因管理不力引起苗木损毁、死亡，设施损坏等免费补齐和修复费用），管理费（包括管理人员、考核人员费用及其他管理费用），养护作业车辆和设备折旧费及运行维护费，</w:t>
            </w:r>
            <w:r>
              <w:rPr>
                <w:rFonts w:hint="eastAsia"/>
                <w:color w:val="auto"/>
                <w:lang w:val="en-US" w:eastAsia="zh-CN"/>
              </w:rPr>
              <w:t>安全文明施工费、安全生产费</w:t>
            </w:r>
            <w:r>
              <w:rPr>
                <w:rFonts w:hint="eastAsia" w:ascii="宋体" w:hAnsi="宋体" w:cs="宋体"/>
                <w:color w:val="auto"/>
                <w:szCs w:val="21"/>
                <w:highlight w:val="none"/>
                <w:shd w:val="clear" w:color="auto" w:fill="auto"/>
                <w:lang w:val="en-US" w:eastAsia="zh-CN"/>
              </w:rPr>
              <w:t>，税金，利润及其他与本次采购相关的一切费用。</w:t>
            </w:r>
          </w:p>
          <w:p>
            <w:pPr>
              <w:snapToGrid w:val="0"/>
              <w:spacing w:line="360" w:lineRule="auto"/>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cs="宋体"/>
                <w:color w:val="auto"/>
                <w:szCs w:val="21"/>
              </w:rPr>
              <w:t>不论投标结果如何，投标人均应自行承担所有与投标有关的全部费用</w:t>
            </w:r>
            <w:r>
              <w:rPr>
                <w:rFonts w:hint="eastAsia" w:ascii="宋体" w:hAnsi="宋体" w:cs="宋体"/>
                <w:color w:val="auto"/>
                <w:szCs w:val="21"/>
                <w:lang w:eastAsia="zh-CN"/>
              </w:rPr>
              <w:t>。</w:t>
            </w:r>
          </w:p>
          <w:p>
            <w:pPr>
              <w:snapToGrid w:val="0"/>
              <w:spacing w:line="360" w:lineRule="auto"/>
              <w:rPr>
                <w:rFonts w:hint="default" w:ascii="宋体" w:hAnsi="宋体" w:cs="宋体"/>
                <w:color w:val="auto"/>
                <w:szCs w:val="21"/>
                <w:lang w:val="en-US"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3</w:t>
            </w:r>
            <w:r>
              <w:rPr>
                <w:rFonts w:hint="eastAsia" w:ascii="宋体" w:hAnsi="宋体" w:cs="宋体"/>
                <w:color w:val="auto"/>
                <w:szCs w:val="21"/>
                <w:lang w:eastAsia="zh-CN"/>
              </w:rPr>
              <w:t>）</w:t>
            </w:r>
            <w:r>
              <w:rPr>
                <w:rFonts w:hint="eastAsia" w:ascii="宋体" w:hAnsi="宋体" w:cs="宋体"/>
                <w:color w:val="auto"/>
                <w:szCs w:val="21"/>
                <w:lang w:val="en-US" w:eastAsia="zh-CN"/>
              </w:rPr>
              <w:t>人工工资不得低于宁海县最低工资标准，投标人应考虑潜在的市场风险及政策风险，在合同履行期间如遇法定基本工资上调等政策性因素的情况，合同价均不作调整。</w:t>
            </w:r>
          </w:p>
          <w:p>
            <w:pPr>
              <w:tabs>
                <w:tab w:val="left" w:pos="625"/>
              </w:tabs>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eastAsia="zh-CN"/>
              </w:rPr>
              <w:t>（</w:t>
            </w:r>
            <w:r>
              <w:rPr>
                <w:rFonts w:hint="eastAsia" w:ascii="宋体" w:hAnsi="宋体" w:cs="宋体"/>
                <w:color w:val="auto"/>
                <w:szCs w:val="21"/>
                <w:lang w:val="en-US" w:eastAsia="zh-CN"/>
              </w:rPr>
              <w:t>4</w:t>
            </w:r>
            <w:r>
              <w:rPr>
                <w:rFonts w:hint="eastAsia" w:ascii="宋体" w:hAnsi="宋体" w:cs="宋体"/>
                <w:color w:val="auto"/>
                <w:szCs w:val="21"/>
                <w:lang w:eastAsia="zh-CN"/>
              </w:rPr>
              <w:t>）</w:t>
            </w:r>
            <w:r>
              <w:rPr>
                <w:rFonts w:hint="eastAsia" w:ascii="宋体" w:hAnsi="宋体" w:eastAsia="宋体" w:cs="宋体"/>
                <w:color w:val="auto"/>
                <w:kern w:val="2"/>
                <w:sz w:val="21"/>
                <w:szCs w:val="21"/>
                <w:lang w:val="en-US" w:eastAsia="zh-CN" w:bidi="ar-SA"/>
              </w:rPr>
              <w:t>最高投标限价：综合单价最高限价：林带</w:t>
            </w:r>
            <w:r>
              <w:rPr>
                <w:rFonts w:hint="eastAsia" w:ascii="宋体" w:hAnsi="宋体" w:cs="宋体"/>
                <w:color w:val="auto"/>
                <w:kern w:val="2"/>
                <w:sz w:val="21"/>
                <w:szCs w:val="21"/>
                <w:lang w:val="en-US" w:eastAsia="zh-CN" w:bidi="ar-SA"/>
              </w:rPr>
              <w:t>0.48</w:t>
            </w:r>
            <w:r>
              <w:rPr>
                <w:rFonts w:hint="eastAsia" w:ascii="宋体" w:hAnsi="宋体" w:eastAsia="宋体" w:cs="宋体"/>
                <w:color w:val="auto"/>
                <w:kern w:val="2"/>
                <w:sz w:val="21"/>
                <w:szCs w:val="21"/>
                <w:lang w:val="en-US" w:eastAsia="zh-CN" w:bidi="ar-SA"/>
              </w:rPr>
              <w:t>元/平方米·年，绿地</w:t>
            </w:r>
            <w:r>
              <w:rPr>
                <w:rFonts w:hint="eastAsia" w:ascii="宋体" w:hAnsi="宋体" w:cs="宋体"/>
                <w:color w:val="auto"/>
                <w:kern w:val="2"/>
                <w:sz w:val="21"/>
                <w:szCs w:val="21"/>
                <w:lang w:val="en-US" w:eastAsia="zh-CN" w:bidi="ar-SA"/>
              </w:rPr>
              <w:t>3.24</w:t>
            </w:r>
            <w:r>
              <w:rPr>
                <w:rFonts w:hint="eastAsia" w:ascii="宋体" w:hAnsi="宋体" w:eastAsia="宋体" w:cs="宋体"/>
                <w:color w:val="auto"/>
                <w:kern w:val="2"/>
                <w:sz w:val="21"/>
                <w:szCs w:val="21"/>
                <w:lang w:val="en-US" w:eastAsia="zh-CN" w:bidi="ar-SA"/>
              </w:rPr>
              <w:t>元/平方米·年，精品路线</w:t>
            </w:r>
            <w:r>
              <w:rPr>
                <w:rFonts w:hint="eastAsia" w:ascii="宋体" w:hAnsi="宋体" w:cs="宋体"/>
                <w:color w:val="auto"/>
                <w:kern w:val="2"/>
                <w:sz w:val="21"/>
                <w:szCs w:val="21"/>
                <w:lang w:val="en-US" w:eastAsia="zh-CN" w:bidi="ar-SA"/>
              </w:rPr>
              <w:t>3.3</w:t>
            </w:r>
            <w:r>
              <w:rPr>
                <w:rFonts w:hint="eastAsia" w:ascii="宋体" w:hAnsi="宋体" w:eastAsia="宋体" w:cs="宋体"/>
                <w:color w:val="auto"/>
                <w:kern w:val="2"/>
                <w:sz w:val="21"/>
                <w:szCs w:val="21"/>
                <w:lang w:val="en-US" w:eastAsia="zh-CN" w:bidi="ar-SA"/>
              </w:rPr>
              <w:t>元/平方米·年；一年总价最高限价：一标段</w:t>
            </w:r>
            <w:r>
              <w:rPr>
                <w:rFonts w:hint="eastAsia" w:ascii="宋体" w:hAnsi="宋体" w:cs="宋体"/>
                <w:color w:val="auto"/>
                <w:kern w:val="0"/>
                <w:szCs w:val="21"/>
                <w:lang w:val="en-US" w:eastAsia="zh-CN"/>
              </w:rPr>
              <w:t>1275985</w:t>
            </w:r>
            <w:r>
              <w:rPr>
                <w:rFonts w:hint="eastAsia" w:ascii="宋体" w:hAnsi="宋体" w:eastAsia="宋体" w:cs="宋体"/>
                <w:color w:val="auto"/>
                <w:kern w:val="2"/>
                <w:sz w:val="21"/>
                <w:szCs w:val="21"/>
                <w:lang w:val="en-US" w:eastAsia="zh-CN" w:bidi="ar-SA"/>
              </w:rPr>
              <w:t>元，二标段</w:t>
            </w:r>
            <w:r>
              <w:rPr>
                <w:rFonts w:hint="eastAsia" w:ascii="宋体" w:hAnsi="宋体" w:cs="宋体"/>
                <w:color w:val="auto"/>
                <w:kern w:val="0"/>
                <w:szCs w:val="21"/>
                <w:lang w:val="en-US" w:eastAsia="zh-CN"/>
              </w:rPr>
              <w:t>1373798</w:t>
            </w:r>
            <w:r>
              <w:rPr>
                <w:rFonts w:hint="eastAsia" w:ascii="宋体" w:hAnsi="宋体" w:eastAsia="宋体" w:cs="宋体"/>
                <w:color w:val="auto"/>
                <w:kern w:val="2"/>
                <w:sz w:val="21"/>
                <w:szCs w:val="21"/>
                <w:lang w:val="en-US" w:eastAsia="zh-CN" w:bidi="ar-SA"/>
              </w:rPr>
              <w:t>元，三标段</w:t>
            </w:r>
            <w:r>
              <w:rPr>
                <w:rFonts w:hint="eastAsia" w:ascii="宋体" w:hAnsi="宋体" w:cs="宋体"/>
                <w:color w:val="auto"/>
                <w:kern w:val="0"/>
                <w:szCs w:val="21"/>
                <w:lang w:val="en-US" w:eastAsia="zh-CN"/>
              </w:rPr>
              <w:t>1623635</w:t>
            </w:r>
            <w:r>
              <w:rPr>
                <w:rFonts w:hint="eastAsia" w:ascii="宋体" w:hAnsi="宋体" w:eastAsia="宋体" w:cs="宋体"/>
                <w:color w:val="auto"/>
                <w:kern w:val="2"/>
                <w:sz w:val="21"/>
                <w:szCs w:val="21"/>
                <w:lang w:val="en-US" w:eastAsia="zh-CN" w:bidi="ar-SA"/>
              </w:rPr>
              <w:t>元；</w:t>
            </w:r>
            <w:r>
              <w:rPr>
                <w:rFonts w:hint="eastAsia" w:ascii="宋体" w:hAnsi="宋体" w:cs="宋体"/>
                <w:color w:val="auto"/>
                <w:kern w:val="2"/>
                <w:sz w:val="21"/>
                <w:szCs w:val="21"/>
                <w:lang w:val="en-US" w:eastAsia="zh-CN" w:bidi="ar-SA"/>
              </w:rPr>
              <w:t>两</w:t>
            </w:r>
            <w:r>
              <w:rPr>
                <w:rFonts w:hint="eastAsia" w:ascii="宋体" w:hAnsi="宋体" w:eastAsia="宋体" w:cs="宋体"/>
                <w:color w:val="auto"/>
                <w:kern w:val="2"/>
                <w:sz w:val="21"/>
                <w:szCs w:val="21"/>
                <w:lang w:val="en-US" w:eastAsia="zh-CN" w:bidi="ar-SA"/>
              </w:rPr>
              <w:t>年总价最高限价：一标段</w:t>
            </w:r>
            <w:r>
              <w:rPr>
                <w:rFonts w:hint="eastAsia" w:ascii="宋体" w:hAnsi="宋体" w:cs="宋体"/>
                <w:color w:val="auto"/>
                <w:kern w:val="2"/>
                <w:sz w:val="21"/>
                <w:szCs w:val="21"/>
                <w:lang w:val="en-US" w:eastAsia="zh-CN" w:bidi="ar-SA"/>
              </w:rPr>
              <w:t>2551970</w:t>
            </w:r>
            <w:r>
              <w:rPr>
                <w:rFonts w:hint="eastAsia" w:ascii="宋体" w:hAnsi="宋体" w:eastAsia="宋体" w:cs="宋体"/>
                <w:color w:val="auto"/>
                <w:kern w:val="2"/>
                <w:sz w:val="21"/>
                <w:szCs w:val="21"/>
                <w:lang w:val="en-US" w:eastAsia="zh-CN" w:bidi="ar-SA"/>
              </w:rPr>
              <w:t>元，二标段</w:t>
            </w:r>
            <w:r>
              <w:rPr>
                <w:rFonts w:hint="eastAsia" w:ascii="宋体" w:hAnsi="宋体" w:cs="宋体"/>
                <w:color w:val="auto"/>
                <w:kern w:val="2"/>
                <w:sz w:val="21"/>
                <w:szCs w:val="21"/>
                <w:lang w:val="en-US" w:eastAsia="zh-CN" w:bidi="ar-SA"/>
              </w:rPr>
              <w:t>2747596</w:t>
            </w:r>
            <w:r>
              <w:rPr>
                <w:rFonts w:hint="eastAsia" w:ascii="宋体" w:hAnsi="宋体" w:eastAsia="宋体" w:cs="宋体"/>
                <w:color w:val="auto"/>
                <w:kern w:val="2"/>
                <w:sz w:val="21"/>
                <w:szCs w:val="21"/>
                <w:lang w:val="en-US" w:eastAsia="zh-CN" w:bidi="ar-SA"/>
              </w:rPr>
              <w:t>元，三标段</w:t>
            </w:r>
            <w:r>
              <w:rPr>
                <w:rFonts w:hint="eastAsia" w:ascii="宋体" w:hAnsi="宋体" w:cs="宋体"/>
                <w:color w:val="auto"/>
                <w:kern w:val="2"/>
                <w:sz w:val="21"/>
                <w:szCs w:val="21"/>
                <w:lang w:val="en-US" w:eastAsia="zh-CN" w:bidi="ar-SA"/>
              </w:rPr>
              <w:t>3247270</w:t>
            </w:r>
            <w:r>
              <w:rPr>
                <w:rFonts w:hint="eastAsia" w:ascii="宋体" w:hAnsi="宋体" w:eastAsia="宋体" w:cs="宋体"/>
                <w:color w:val="auto"/>
                <w:kern w:val="2"/>
                <w:sz w:val="21"/>
                <w:szCs w:val="21"/>
                <w:lang w:val="en-US" w:eastAsia="zh-CN" w:bidi="ar-SA"/>
              </w:rPr>
              <w:t>元。</w:t>
            </w:r>
          </w:p>
          <w:p>
            <w:pPr>
              <w:tabs>
                <w:tab w:val="left" w:pos="625"/>
              </w:tabs>
              <w:spacing w:line="360" w:lineRule="auto"/>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注：“</w:t>
            </w:r>
            <w:r>
              <w:rPr>
                <w:rFonts w:hint="eastAsia" w:ascii="宋体" w:hAnsi="宋体" w:eastAsia="宋体" w:cs="宋体"/>
                <w:color w:val="auto"/>
                <w:kern w:val="2"/>
                <w:sz w:val="21"/>
                <w:szCs w:val="21"/>
                <w:lang w:val="en-US" w:eastAsia="zh-CN" w:bidi="ar-SA"/>
              </w:rPr>
              <w:t>综合单价最高限价</w:t>
            </w:r>
            <w:r>
              <w:rPr>
                <w:rFonts w:hint="eastAsia" w:ascii="宋体" w:hAnsi="宋体" w:cs="宋体"/>
                <w:color w:val="auto"/>
                <w:kern w:val="2"/>
                <w:sz w:val="21"/>
                <w:szCs w:val="21"/>
                <w:lang w:val="en-US" w:eastAsia="zh-CN" w:bidi="ar-SA"/>
              </w:rPr>
              <w:t>”是指“全费用综合单价限价”，即含工人费、材料费、机械费、措施费、</w:t>
            </w:r>
            <w:r>
              <w:rPr>
                <w:rFonts w:hint="eastAsia"/>
                <w:color w:val="auto"/>
                <w:lang w:val="en-US" w:eastAsia="zh-CN"/>
              </w:rPr>
              <w:t>安全文明施工费、安全生产费</w:t>
            </w:r>
            <w:r>
              <w:rPr>
                <w:rFonts w:hint="eastAsia" w:ascii="宋体" w:hAnsi="宋体" w:cs="宋体"/>
                <w:color w:val="auto"/>
                <w:kern w:val="2"/>
                <w:sz w:val="21"/>
                <w:szCs w:val="21"/>
                <w:lang w:val="en-US" w:eastAsia="zh-CN" w:bidi="ar-SA"/>
              </w:rPr>
              <w:t>、利润、企业管理费及规费、税金等的全费用单价限价。</w:t>
            </w:r>
          </w:p>
          <w:p>
            <w:pPr>
              <w:tabs>
                <w:tab w:val="left" w:pos="625"/>
              </w:tabs>
              <w:spacing w:line="360" w:lineRule="auto"/>
              <w:rPr>
                <w:color w:val="auto"/>
                <w:szCs w:val="24"/>
              </w:rPr>
            </w:pPr>
            <w:r>
              <w:rPr>
                <w:rFonts w:hint="eastAsia" w:ascii="宋体" w:hAnsi="宋体" w:cs="宋体"/>
                <w:color w:val="auto"/>
                <w:szCs w:val="21"/>
                <w:lang w:eastAsia="zh-CN"/>
              </w:rPr>
              <w:t>（</w:t>
            </w:r>
            <w:r>
              <w:rPr>
                <w:rFonts w:hint="eastAsia" w:ascii="宋体" w:hAnsi="宋体" w:cs="宋体"/>
                <w:color w:val="auto"/>
                <w:szCs w:val="21"/>
                <w:lang w:val="en-US" w:eastAsia="zh-CN"/>
              </w:rPr>
              <w:t>5</w:t>
            </w:r>
            <w:r>
              <w:rPr>
                <w:rFonts w:hint="eastAsia" w:ascii="宋体" w:hAnsi="宋体" w:cs="宋体"/>
                <w:color w:val="auto"/>
                <w:szCs w:val="21"/>
                <w:lang w:eastAsia="zh-CN"/>
              </w:rPr>
              <w:t>）</w:t>
            </w:r>
            <w:r>
              <w:rPr>
                <w:rFonts w:hint="eastAsia"/>
                <w:color w:val="auto"/>
                <w:szCs w:val="24"/>
              </w:rPr>
              <w:t>计量单位：按照招标内容要求分项分部计量；</w:t>
            </w:r>
          </w:p>
          <w:p>
            <w:pPr>
              <w:tabs>
                <w:tab w:val="left" w:pos="625"/>
              </w:tabs>
              <w:spacing w:line="360" w:lineRule="auto"/>
              <w:rPr>
                <w:color w:val="auto"/>
                <w:szCs w:val="24"/>
              </w:rPr>
            </w:pPr>
            <w:r>
              <w:rPr>
                <w:rFonts w:hint="eastAsia" w:ascii="宋体" w:hAnsi="宋体" w:cs="宋体"/>
                <w:color w:val="auto"/>
                <w:szCs w:val="21"/>
                <w:lang w:eastAsia="zh-CN"/>
              </w:rPr>
              <w:t>（</w:t>
            </w:r>
            <w:r>
              <w:rPr>
                <w:rFonts w:hint="eastAsia" w:ascii="宋体" w:hAnsi="宋体" w:cs="宋体"/>
                <w:color w:val="auto"/>
                <w:szCs w:val="21"/>
                <w:lang w:val="en-US" w:eastAsia="zh-CN"/>
              </w:rPr>
              <w:t>6</w:t>
            </w:r>
            <w:r>
              <w:rPr>
                <w:rFonts w:hint="eastAsia" w:ascii="宋体" w:hAnsi="宋体" w:cs="宋体"/>
                <w:color w:val="auto"/>
                <w:szCs w:val="21"/>
                <w:lang w:eastAsia="zh-CN"/>
              </w:rPr>
              <w:t>）</w:t>
            </w:r>
            <w:r>
              <w:rPr>
                <w:rFonts w:hint="eastAsia"/>
                <w:color w:val="auto"/>
                <w:szCs w:val="24"/>
              </w:rPr>
              <w:t>报价货币：一律以人民币计算。</w:t>
            </w:r>
          </w:p>
          <w:p>
            <w:pPr>
              <w:tabs>
                <w:tab w:val="left" w:pos="625"/>
              </w:tabs>
              <w:spacing w:line="360" w:lineRule="auto"/>
              <w:rPr>
                <w:color w:val="auto"/>
                <w:szCs w:val="24"/>
              </w:rPr>
            </w:pPr>
            <w:r>
              <w:rPr>
                <w:rFonts w:hint="eastAsia"/>
                <w:color w:val="auto"/>
                <w:szCs w:val="24"/>
              </w:rPr>
              <w:t>工作量（数量）增减变更：</w:t>
            </w:r>
          </w:p>
          <w:p>
            <w:pPr>
              <w:tabs>
                <w:tab w:val="left" w:pos="625"/>
              </w:tabs>
              <w:spacing w:line="360" w:lineRule="auto"/>
              <w:rPr>
                <w:color w:val="auto"/>
                <w:szCs w:val="24"/>
              </w:rPr>
            </w:pPr>
            <w:r>
              <w:rPr>
                <w:rFonts w:hint="eastAsia" w:ascii="宋体" w:hAnsi="宋体" w:cs="宋体"/>
                <w:color w:val="auto"/>
                <w:szCs w:val="21"/>
                <w:lang w:eastAsia="zh-CN"/>
              </w:rPr>
              <w:t>（1）</w:t>
            </w:r>
            <w:r>
              <w:rPr>
                <w:rFonts w:hint="eastAsia"/>
                <w:color w:val="auto"/>
                <w:szCs w:val="24"/>
              </w:rPr>
              <w:t>如养护数量发生变更，采购人根据各标段的综合单价和联系单，按实计算；</w:t>
            </w:r>
          </w:p>
          <w:p>
            <w:pPr>
              <w:pStyle w:val="2"/>
              <w:spacing w:line="360" w:lineRule="auto"/>
              <w:rPr>
                <w:rFonts w:ascii="宋体" w:hAnsi="宋体" w:cs="宋体"/>
                <w:color w:val="auto"/>
                <w:szCs w:val="21"/>
              </w:rPr>
            </w:pPr>
            <w:r>
              <w:rPr>
                <w:rFonts w:hint="eastAsia" w:ascii="宋体" w:hAnsi="宋体" w:eastAsia="宋体" w:cs="宋体"/>
                <w:color w:val="auto"/>
                <w:kern w:val="2"/>
                <w:sz w:val="21"/>
                <w:szCs w:val="21"/>
                <w:lang w:val="en-US" w:eastAsia="zh-CN" w:bidi="ar-SA"/>
              </w:rPr>
              <w:t>（2）</w:t>
            </w:r>
            <w:r>
              <w:rPr>
                <w:rFonts w:hint="eastAsia" w:ascii="Calibri" w:hAnsi="Calibri" w:eastAsia="宋体" w:cs="黑体"/>
                <w:color w:val="auto"/>
                <w:kern w:val="2"/>
                <w:sz w:val="21"/>
                <w:szCs w:val="24"/>
                <w:lang w:val="en-US" w:eastAsia="zh-CN" w:bidi="ar-SA"/>
              </w:rPr>
              <w:t>在养护期间养护标准上调的，应按最新的养护标准进行养护。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82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投标文件数量：</w:t>
            </w:r>
          </w:p>
          <w:p>
            <w:pPr>
              <w:snapToGrid w:val="0"/>
              <w:spacing w:line="360" w:lineRule="auto"/>
              <w:rPr>
                <w:rFonts w:hint="eastAsia" w:ascii="宋体" w:hAnsi="宋体" w:cs="宋体"/>
                <w:color w:val="auto"/>
                <w:szCs w:val="21"/>
              </w:rPr>
            </w:pPr>
            <w:r>
              <w:rPr>
                <w:rFonts w:hint="eastAsia" w:ascii="宋体" w:hAnsi="宋体" w:cs="宋体"/>
                <w:color w:val="auto"/>
                <w:szCs w:val="21"/>
              </w:rPr>
              <w:t>上传到政府采购云平台的电子投标文件（含资格文件、商务技术文件、报价文件）1份。</w:t>
            </w:r>
          </w:p>
          <w:p>
            <w:pPr>
              <w:snapToGrid w:val="0"/>
              <w:spacing w:line="360" w:lineRule="auto"/>
              <w:rPr>
                <w:rFonts w:hint="eastAsia" w:ascii="宋体" w:hAnsi="宋体" w:cs="宋体"/>
                <w:color w:val="auto"/>
                <w:szCs w:val="21"/>
              </w:rPr>
            </w:pPr>
            <w:r>
              <w:rPr>
                <w:rFonts w:hint="eastAsia" w:ascii="宋体" w:hAnsi="宋体" w:cs="宋体"/>
                <w:color w:val="auto"/>
                <w:szCs w:val="21"/>
              </w:rPr>
              <w:t>以U盘存储的电子备份投标文件（含资格文件、商务技术文件、报价文件）1份。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宋体" w:hAnsi="宋体" w:cs="宋体"/>
                <w:color w:val="auto"/>
                <w:szCs w:val="21"/>
                <w:lang w:val="en-US" w:eastAsia="zh-CN"/>
              </w:rPr>
            </w:pPr>
            <w:r>
              <w:rPr>
                <w:rFonts w:hint="eastAsia" w:ascii="宋体" w:hAnsi="宋体" w:cs="宋体"/>
                <w:color w:val="auto"/>
                <w:szCs w:val="21"/>
              </w:rPr>
              <w:t>★</w:t>
            </w:r>
            <w:r>
              <w:rPr>
                <w:rFonts w:hint="eastAsia" w:ascii="宋体" w:hAnsi="宋体" w:cs="宋体"/>
                <w:color w:val="auto"/>
                <w:szCs w:val="21"/>
                <w:lang w:val="en-US" w:eastAsia="zh-CN"/>
              </w:rPr>
              <w:t>5</w:t>
            </w:r>
          </w:p>
        </w:tc>
        <w:tc>
          <w:tcPr>
            <w:tcW w:w="821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ind w:left="877" w:hanging="877"/>
              <w:contextualSpacing/>
              <w:rPr>
                <w:color w:val="auto"/>
                <w:szCs w:val="24"/>
                <w:highlight w:val="none"/>
              </w:rPr>
            </w:pPr>
            <w:r>
              <w:rPr>
                <w:rFonts w:hint="eastAsia"/>
                <w:color w:val="auto"/>
                <w:szCs w:val="24"/>
                <w:highlight w:val="none"/>
              </w:rPr>
              <w:t>开标顺序：</w:t>
            </w:r>
          </w:p>
          <w:p>
            <w:pPr>
              <w:tabs>
                <w:tab w:val="left" w:pos="2160"/>
              </w:tabs>
              <w:spacing w:line="360" w:lineRule="auto"/>
              <w:rPr>
                <w:color w:val="auto"/>
                <w:szCs w:val="24"/>
                <w:highlight w:val="none"/>
              </w:rPr>
            </w:pPr>
            <w:r>
              <w:rPr>
                <w:rFonts w:hint="eastAsia"/>
                <w:color w:val="auto"/>
                <w:szCs w:val="24"/>
                <w:highlight w:val="none"/>
              </w:rPr>
              <w:t>（1）</w:t>
            </w:r>
            <w:r>
              <w:rPr>
                <w:color w:val="auto"/>
                <w:szCs w:val="24"/>
                <w:highlight w:val="none"/>
              </w:rPr>
              <w:t>按照投标的顺序依次开标，按照招标内容分类分段依次唱标</w:t>
            </w:r>
            <w:r>
              <w:rPr>
                <w:rFonts w:hint="eastAsia"/>
                <w:color w:val="auto"/>
                <w:szCs w:val="24"/>
                <w:highlight w:val="none"/>
              </w:rPr>
              <w:t>；</w:t>
            </w:r>
          </w:p>
          <w:p>
            <w:pPr>
              <w:autoSpaceDE w:val="0"/>
              <w:autoSpaceDN w:val="0"/>
              <w:snapToGrid w:val="0"/>
              <w:spacing w:line="360" w:lineRule="auto"/>
              <w:contextualSpacing/>
              <w:rPr>
                <w:color w:val="auto"/>
                <w:szCs w:val="24"/>
                <w:highlight w:val="none"/>
              </w:rPr>
            </w:pPr>
            <w:r>
              <w:rPr>
                <w:color w:val="auto"/>
                <w:szCs w:val="24"/>
                <w:highlight w:val="none"/>
              </w:rPr>
              <w:t>开标时，先开</w:t>
            </w:r>
            <w:r>
              <w:rPr>
                <w:rFonts w:hint="eastAsia" w:ascii="宋体" w:hAnsi="宋体" w:cs="宋体"/>
                <w:color w:val="auto"/>
                <w:szCs w:val="21"/>
                <w:highlight w:val="none"/>
              </w:rPr>
              <w:t>资格审查文件</w:t>
            </w:r>
            <w:r>
              <w:rPr>
                <w:rFonts w:hint="eastAsia" w:ascii="宋体" w:hAnsi="宋体" w:cs="宋体"/>
                <w:color w:val="auto"/>
                <w:szCs w:val="21"/>
                <w:highlight w:val="none"/>
                <w:lang w:eastAsia="zh-CN"/>
              </w:rPr>
              <w:t>、</w:t>
            </w:r>
            <w:r>
              <w:rPr>
                <w:color w:val="auto"/>
                <w:szCs w:val="24"/>
                <w:highlight w:val="none"/>
              </w:rPr>
              <w:t>技术商务文件，待技术商务文件</w:t>
            </w:r>
            <w:r>
              <w:rPr>
                <w:rFonts w:hint="eastAsia"/>
                <w:color w:val="auto"/>
                <w:szCs w:val="24"/>
                <w:highlight w:val="none"/>
              </w:rPr>
              <w:t>、</w:t>
            </w:r>
            <w:r>
              <w:rPr>
                <w:rFonts w:hint="eastAsia" w:ascii="宋体" w:hAnsi="宋体" w:cs="宋体"/>
                <w:color w:val="auto"/>
                <w:szCs w:val="21"/>
                <w:highlight w:val="none"/>
              </w:rPr>
              <w:t>资格审查文件</w:t>
            </w:r>
            <w:r>
              <w:rPr>
                <w:color w:val="auto"/>
                <w:szCs w:val="24"/>
                <w:highlight w:val="none"/>
              </w:rPr>
              <w:t>评审结束后开启投标报价文件。如技术商务文件</w:t>
            </w:r>
            <w:r>
              <w:rPr>
                <w:rFonts w:hint="eastAsia"/>
                <w:color w:val="auto"/>
                <w:szCs w:val="24"/>
                <w:highlight w:val="none"/>
              </w:rPr>
              <w:t>、</w:t>
            </w:r>
            <w:r>
              <w:rPr>
                <w:rFonts w:hint="eastAsia" w:ascii="宋体" w:hAnsi="宋体" w:cs="宋体"/>
                <w:color w:val="auto"/>
                <w:szCs w:val="21"/>
                <w:highlight w:val="none"/>
              </w:rPr>
              <w:t>资格审查文件</w:t>
            </w:r>
            <w:r>
              <w:rPr>
                <w:color w:val="auto"/>
                <w:szCs w:val="24"/>
                <w:highlight w:val="none"/>
              </w:rPr>
              <w:t>经评审确定为无效</w:t>
            </w:r>
            <w:r>
              <w:rPr>
                <w:rFonts w:hint="eastAsia"/>
                <w:color w:val="auto"/>
                <w:szCs w:val="24"/>
                <w:highlight w:val="none"/>
              </w:rPr>
              <w:t>标</w:t>
            </w:r>
            <w:r>
              <w:rPr>
                <w:color w:val="auto"/>
                <w:szCs w:val="24"/>
                <w:highlight w:val="none"/>
              </w:rPr>
              <w:t>的投标单位则不能进行报价文件的评审，作为无效标处理</w:t>
            </w:r>
            <w:r>
              <w:rPr>
                <w:rFonts w:hint="eastAsia"/>
                <w:color w:val="auto"/>
                <w:szCs w:val="24"/>
                <w:highlight w:val="none"/>
              </w:rPr>
              <w:t>；</w:t>
            </w:r>
          </w:p>
          <w:p>
            <w:pPr>
              <w:snapToGrid w:val="0"/>
              <w:spacing w:line="360" w:lineRule="auto"/>
              <w:rPr>
                <w:rFonts w:hint="eastAsia" w:ascii="宋体" w:hAnsi="宋体" w:cs="宋体"/>
                <w:color w:val="auto"/>
                <w:szCs w:val="21"/>
              </w:rPr>
            </w:pPr>
            <w:r>
              <w:rPr>
                <w:rFonts w:hint="eastAsia"/>
                <w:b/>
                <w:bCs/>
                <w:color w:val="auto"/>
                <w:szCs w:val="24"/>
                <w:highlight w:val="none"/>
              </w:rPr>
              <w:t>（</w:t>
            </w:r>
            <w:r>
              <w:rPr>
                <w:b/>
                <w:bCs/>
                <w:color w:val="auto"/>
                <w:szCs w:val="24"/>
                <w:highlight w:val="none"/>
              </w:rPr>
              <w:t>2</w:t>
            </w:r>
            <w:r>
              <w:rPr>
                <w:rFonts w:hint="eastAsia"/>
                <w:b/>
                <w:bCs/>
                <w:color w:val="auto"/>
                <w:szCs w:val="24"/>
                <w:highlight w:val="none"/>
              </w:rPr>
              <w:t>）评审顺序按标段序号依次评审，各标段选择不同的中标人，即投标人获得一个标段的第一中标候选人资格后，不得参与</w:t>
            </w:r>
            <w:r>
              <w:rPr>
                <w:rFonts w:hint="eastAsia"/>
                <w:b/>
                <w:bCs/>
                <w:color w:val="auto"/>
                <w:szCs w:val="24"/>
                <w:highlight w:val="none"/>
                <w:lang w:val="en-US" w:eastAsia="zh-CN"/>
              </w:rPr>
              <w:t>后续</w:t>
            </w:r>
            <w:r>
              <w:rPr>
                <w:rFonts w:hint="eastAsia"/>
                <w:b/>
                <w:bCs/>
                <w:color w:val="auto"/>
                <w:szCs w:val="24"/>
                <w:highlight w:val="none"/>
              </w:rPr>
              <w:t>标段的</w:t>
            </w:r>
            <w:r>
              <w:rPr>
                <w:rFonts w:hint="eastAsia"/>
                <w:b/>
                <w:bCs/>
                <w:color w:val="auto"/>
                <w:szCs w:val="24"/>
                <w:highlight w:val="none"/>
                <w:lang w:val="en-US" w:eastAsia="zh-CN"/>
              </w:rPr>
              <w:t>评审</w:t>
            </w:r>
            <w:r>
              <w:rPr>
                <w:rFonts w:hint="eastAsia"/>
                <w:b/>
                <w:bCs/>
                <w:color w:val="auto"/>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6</w:t>
            </w:r>
          </w:p>
        </w:tc>
        <w:tc>
          <w:tcPr>
            <w:tcW w:w="82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Cs w:val="21"/>
              </w:rPr>
            </w:pPr>
            <w:r>
              <w:rPr>
                <w:rFonts w:hint="eastAsia" w:ascii="宋体" w:hAnsi="宋体" w:cs="宋体"/>
                <w:color w:val="auto"/>
                <w:szCs w:val="21"/>
              </w:rPr>
              <w:t>招标代理服务费:</w:t>
            </w:r>
          </w:p>
          <w:p>
            <w:pPr>
              <w:snapToGrid w:val="0"/>
              <w:spacing w:line="360" w:lineRule="auto"/>
              <w:jc w:val="left"/>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rPr>
              <w:t>招标代理服务费的收取标准：本招标代理公司按照如下服务招标收费率，按照中标通知书确定的中标总金额，向</w:t>
            </w:r>
            <w:r>
              <w:rPr>
                <w:rFonts w:hint="eastAsia" w:ascii="宋体" w:hAnsi="宋体" w:cs="宋体"/>
                <w:color w:val="auto"/>
                <w:szCs w:val="21"/>
                <w:lang w:val="en-US" w:eastAsia="zh-CN"/>
              </w:rPr>
              <w:t>各标段</w:t>
            </w:r>
            <w:r>
              <w:rPr>
                <w:rFonts w:hint="eastAsia" w:ascii="宋体" w:hAnsi="宋体" w:cs="宋体"/>
                <w:color w:val="auto"/>
                <w:szCs w:val="21"/>
              </w:rPr>
              <w:t>中标供应商收取招标代理服务费。中标供应商在领取中标通知书前向本招标公司支付招标代理服务费。（附表）</w:t>
            </w:r>
          </w:p>
          <w:p>
            <w:pPr>
              <w:snapToGrid w:val="0"/>
              <w:spacing w:line="360" w:lineRule="auto"/>
              <w:jc w:val="left"/>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cs="宋体"/>
                <w:color w:val="auto"/>
                <w:szCs w:val="21"/>
              </w:rPr>
              <w:t>招标服务费只收现金、银行票汇款、电</w:t>
            </w:r>
            <w:r>
              <w:rPr>
                <w:rFonts w:hint="eastAsia" w:ascii="宋体" w:hAnsi="宋体" w:cs="宋体"/>
                <w:color w:val="auto"/>
                <w:szCs w:val="21"/>
                <w:lang w:val="en-US" w:eastAsia="zh-CN"/>
              </w:rPr>
              <w:t>.</w:t>
            </w:r>
            <w:r>
              <w:rPr>
                <w:rFonts w:hint="eastAsia" w:ascii="宋体" w:hAnsi="宋体" w:cs="宋体"/>
                <w:color w:val="auto"/>
                <w:szCs w:val="21"/>
              </w:rPr>
              <w:t>汇款、银行转账。</w:t>
            </w:r>
          </w:p>
          <w:p>
            <w:pPr>
              <w:snapToGrid w:val="0"/>
              <w:spacing w:line="360" w:lineRule="auto"/>
              <w:jc w:val="left"/>
              <w:rPr>
                <w:rFonts w:hint="eastAsia"/>
                <w:color w:val="auto"/>
              </w:rPr>
            </w:pPr>
            <w:r>
              <w:rPr>
                <w:rFonts w:hint="eastAsia" w:ascii="宋体" w:hAnsi="宋体" w:cs="宋体"/>
                <w:color w:val="auto"/>
                <w:szCs w:val="21"/>
                <w:lang w:eastAsia="zh-CN"/>
              </w:rPr>
              <w:t>（</w:t>
            </w:r>
            <w:r>
              <w:rPr>
                <w:rFonts w:hint="eastAsia" w:ascii="宋体" w:hAnsi="宋体" w:cs="宋体"/>
                <w:color w:val="auto"/>
                <w:szCs w:val="21"/>
                <w:lang w:val="en-US" w:eastAsia="zh-CN"/>
              </w:rPr>
              <w:t>3</w:t>
            </w:r>
            <w:r>
              <w:rPr>
                <w:rFonts w:hint="eastAsia" w:ascii="宋体" w:hAnsi="宋体" w:cs="宋体"/>
                <w:color w:val="auto"/>
                <w:szCs w:val="21"/>
                <w:lang w:eastAsia="zh-CN"/>
              </w:rPr>
              <w:t>）</w:t>
            </w:r>
            <w:r>
              <w:rPr>
                <w:rFonts w:hint="eastAsia" w:ascii="宋体" w:hAnsi="宋体" w:cs="宋体"/>
                <w:color w:val="auto"/>
                <w:szCs w:val="21"/>
                <w:lang w:val="en-US" w:eastAsia="zh-CN"/>
              </w:rPr>
              <w:t>各标段</w:t>
            </w:r>
            <w:r>
              <w:rPr>
                <w:rFonts w:hint="eastAsia" w:ascii="宋体" w:hAnsi="宋体" w:cs="宋体"/>
                <w:color w:val="auto"/>
                <w:szCs w:val="21"/>
              </w:rPr>
              <w:t>中标供应商如未按以上1条规定办理。</w:t>
            </w:r>
          </w:p>
          <w:p>
            <w:pPr>
              <w:pStyle w:val="28"/>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附表：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673"/>
              <w:gridCol w:w="1674"/>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271" w:type="dxa"/>
                  <w:noWrap w:val="0"/>
                  <w:vAlign w:val="center"/>
                </w:tcPr>
                <w:p>
                  <w:pPr>
                    <w:tabs>
                      <w:tab w:val="center" w:pos="4153"/>
                      <w:tab w:val="right" w:pos="8306"/>
                    </w:tabs>
                    <w:snapToGrid w:val="0"/>
                    <w:spacing w:line="360" w:lineRule="auto"/>
                    <w:jc w:val="center"/>
                    <w:rPr>
                      <w:rFonts w:hint="eastAsia" w:ascii="宋体" w:hAnsi="宋体" w:cs="宋体"/>
                      <w:color w:val="auto"/>
                      <w:szCs w:val="21"/>
                    </w:rPr>
                  </w:pPr>
                  <w:r>
                    <w:rPr>
                      <w:rFonts w:hint="eastAsia" w:ascii="微软雅黑" w:hAnsi="微软雅黑" w:eastAsia="微软雅黑" w:cs="微软雅黑"/>
                      <w:snapToGrid w:val="0"/>
                      <w:color w:val="auto"/>
                      <w:szCs w:val="21"/>
                      <w:lang w:val="zh-CN"/>
                    </w:rPr>
                    <mc:AlternateContent>
                      <mc:Choice Requires="wps">
                        <w:drawing>
                          <wp:anchor distT="0" distB="0" distL="114300" distR="114300" simplePos="0" relativeHeight="251660288" behindDoc="0" locked="0" layoutInCell="1" allowOverlap="1">
                            <wp:simplePos x="0" y="0"/>
                            <wp:positionH relativeFrom="column">
                              <wp:posOffset>-52070</wp:posOffset>
                            </wp:positionH>
                            <wp:positionV relativeFrom="paragraph">
                              <wp:posOffset>23495</wp:posOffset>
                            </wp:positionV>
                            <wp:extent cx="1428750" cy="495935"/>
                            <wp:effectExtent l="1270" t="4445" r="17780" b="13970"/>
                            <wp:wrapNone/>
                            <wp:docPr id="7" name="直接连接符 7"/>
                            <wp:cNvGraphicFramePr/>
                            <a:graphic xmlns:a="http://schemas.openxmlformats.org/drawingml/2006/main">
                              <a:graphicData uri="http://schemas.microsoft.com/office/word/2010/wordprocessingShape">
                                <wps:wsp>
                                  <wps:cNvCnPr/>
                                  <wps:spPr>
                                    <a:xfrm>
                                      <a:off x="0" y="0"/>
                                      <a:ext cx="1428750" cy="4959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1pt;margin-top:1.85pt;height:39.05pt;width:112.5pt;z-index:251660288;mso-width-relative:page;mso-height-relative:page;" filled="f" stroked="t" coordsize="21600,21600" o:gfxdata="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8GGcHWAAAABwEAAA8AAAAAAAAAAQAgAAAAIgAAAGRycy9kb3ducmV2&#10;LnhtbFBLAQIUABQAAAAIAIdO4kAhhgfr/gEAAPcDAAAOAAAAAAAAAAEAIAAAACUBAABkcnMvZTJv&#10;RG9jLnhtbFBLBQYAAAAABgAGAFkBAACVBQAAAAA=&#10;">
                            <v:fill on="f" focussize="0,0"/>
                            <v:stroke color="#000000" joinstyle="round"/>
                            <v:imagedata o:title=""/>
                            <o:lock v:ext="edit" aspectratio="f"/>
                          </v:line>
                        </w:pict>
                      </mc:Fallback>
                    </mc:AlternateContent>
                  </w:r>
                  <w:r>
                    <w:rPr>
                      <w:rFonts w:hint="eastAsia" w:ascii="微软雅黑" w:hAnsi="微软雅黑" w:eastAsia="微软雅黑" w:cs="微软雅黑"/>
                      <w:snapToGrid w:val="0"/>
                      <w:color w:val="auto"/>
                      <w:szCs w:val="21"/>
                    </w:rPr>
                    <w:t xml:space="preserve">         </w:t>
                  </w:r>
                  <w:r>
                    <w:rPr>
                      <w:rFonts w:hint="eastAsia" w:ascii="宋体" w:hAnsi="宋体" w:cs="宋体"/>
                      <w:color w:val="auto"/>
                      <w:szCs w:val="21"/>
                    </w:rPr>
                    <w:t xml:space="preserve">  费率</w:t>
                  </w:r>
                </w:p>
                <w:p>
                  <w:pPr>
                    <w:tabs>
                      <w:tab w:val="center" w:pos="4153"/>
                      <w:tab w:val="right" w:pos="8306"/>
                    </w:tabs>
                    <w:snapToGrid w:val="0"/>
                    <w:spacing w:line="360" w:lineRule="auto"/>
                    <w:rPr>
                      <w:rFonts w:hint="eastAsia" w:ascii="微软雅黑" w:hAnsi="微软雅黑" w:eastAsia="微软雅黑" w:cs="微软雅黑"/>
                      <w:snapToGrid w:val="0"/>
                      <w:color w:val="auto"/>
                      <w:szCs w:val="21"/>
                    </w:rPr>
                  </w:pPr>
                  <w:r>
                    <w:rPr>
                      <w:rFonts w:hint="eastAsia" w:ascii="宋体" w:hAnsi="宋体" w:cs="宋体"/>
                      <w:color w:val="auto"/>
                      <w:szCs w:val="21"/>
                    </w:rPr>
                    <w:t>中标金额</w:t>
                  </w:r>
                </w:p>
              </w:tc>
              <w:tc>
                <w:tcPr>
                  <w:tcW w:w="1673" w:type="dxa"/>
                  <w:noWrap w:val="0"/>
                  <w:vAlign w:val="center"/>
                </w:tcPr>
                <w:p>
                  <w:pPr>
                    <w:snapToGrid w:val="0"/>
                    <w:spacing w:line="480" w:lineRule="exact"/>
                    <w:ind w:firstLine="210" w:firstLineChars="100"/>
                    <w:jc w:val="left"/>
                    <w:rPr>
                      <w:rFonts w:hint="eastAsia" w:ascii="宋体" w:hAnsi="宋体" w:cs="宋体"/>
                      <w:color w:val="auto"/>
                      <w:szCs w:val="21"/>
                    </w:rPr>
                  </w:pPr>
                  <w:r>
                    <w:rPr>
                      <w:rFonts w:hint="eastAsia" w:ascii="宋体" w:hAnsi="宋体" w:cs="宋体"/>
                      <w:color w:val="auto"/>
                      <w:szCs w:val="21"/>
                    </w:rPr>
                    <w:t>货物招标</w:t>
                  </w:r>
                </w:p>
              </w:tc>
              <w:tc>
                <w:tcPr>
                  <w:tcW w:w="1674" w:type="dxa"/>
                  <w:noWrap w:val="0"/>
                  <w:vAlign w:val="center"/>
                </w:tcPr>
                <w:p>
                  <w:pPr>
                    <w:snapToGrid w:val="0"/>
                    <w:spacing w:line="480" w:lineRule="exact"/>
                    <w:ind w:firstLine="210" w:firstLineChars="100"/>
                    <w:jc w:val="left"/>
                    <w:rPr>
                      <w:rFonts w:hint="eastAsia" w:ascii="宋体" w:hAnsi="宋体" w:cs="宋体"/>
                      <w:color w:val="auto"/>
                      <w:szCs w:val="21"/>
                    </w:rPr>
                  </w:pPr>
                  <w:r>
                    <w:rPr>
                      <w:rFonts w:hint="eastAsia" w:ascii="宋体" w:hAnsi="宋体" w:cs="宋体"/>
                      <w:color w:val="auto"/>
                      <w:szCs w:val="21"/>
                    </w:rPr>
                    <w:t>服务招标</w:t>
                  </w:r>
                </w:p>
              </w:tc>
              <w:tc>
                <w:tcPr>
                  <w:tcW w:w="1642" w:type="dxa"/>
                  <w:noWrap w:val="0"/>
                  <w:vAlign w:val="center"/>
                </w:tcPr>
                <w:p>
                  <w:pPr>
                    <w:snapToGrid w:val="0"/>
                    <w:spacing w:line="480" w:lineRule="exact"/>
                    <w:ind w:firstLine="210" w:firstLineChars="100"/>
                    <w:jc w:val="left"/>
                    <w:rPr>
                      <w:rFonts w:hint="eastAsia" w:ascii="宋体" w:hAnsi="宋体" w:cs="宋体"/>
                      <w:color w:val="auto"/>
                      <w:szCs w:val="21"/>
                    </w:rPr>
                  </w:pPr>
                  <w:r>
                    <w:rPr>
                      <w:rFonts w:hint="eastAsia" w:ascii="宋体" w:hAnsi="宋体" w:cs="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71" w:type="dxa"/>
                  <w:noWrap w:val="0"/>
                  <w:vAlign w:val="center"/>
                </w:tcPr>
                <w:p>
                  <w:pPr>
                    <w:tabs>
                      <w:tab w:val="center" w:pos="4153"/>
                      <w:tab w:val="right" w:pos="8306"/>
                    </w:tabs>
                    <w:snapToGrid w:val="0"/>
                    <w:spacing w:line="360" w:lineRule="auto"/>
                    <w:jc w:val="center"/>
                    <w:rPr>
                      <w:rFonts w:hint="eastAsia" w:ascii="微软雅黑" w:hAnsi="微软雅黑" w:eastAsia="微软雅黑" w:cs="微软雅黑"/>
                      <w:snapToGrid w:val="0"/>
                      <w:color w:val="auto"/>
                      <w:szCs w:val="21"/>
                    </w:rPr>
                  </w:pPr>
                  <w:r>
                    <w:rPr>
                      <w:rFonts w:hint="eastAsia" w:ascii="宋体" w:hAnsi="宋体" w:cs="宋体"/>
                      <w:color w:val="auto"/>
                      <w:szCs w:val="21"/>
                    </w:rPr>
                    <w:t>100万以下</w:t>
                  </w:r>
                </w:p>
              </w:tc>
              <w:tc>
                <w:tcPr>
                  <w:tcW w:w="1673" w:type="dxa"/>
                  <w:noWrap w:val="0"/>
                  <w:vAlign w:val="center"/>
                </w:tcPr>
                <w:p>
                  <w:pPr>
                    <w:tabs>
                      <w:tab w:val="center" w:pos="4153"/>
                      <w:tab w:val="right" w:pos="8306"/>
                    </w:tabs>
                    <w:snapToGrid w:val="0"/>
                    <w:spacing w:line="360" w:lineRule="auto"/>
                    <w:jc w:val="center"/>
                    <w:rPr>
                      <w:rFonts w:hint="eastAsia" w:ascii="宋体" w:hAnsi="宋体" w:cs="宋体"/>
                      <w:color w:val="auto"/>
                      <w:szCs w:val="21"/>
                    </w:rPr>
                  </w:pPr>
                  <w:r>
                    <w:rPr>
                      <w:rFonts w:hint="eastAsia" w:ascii="宋体" w:hAnsi="宋体" w:cs="宋体"/>
                      <w:color w:val="auto"/>
                      <w:szCs w:val="21"/>
                    </w:rPr>
                    <w:t>2.0%</w:t>
                  </w:r>
                </w:p>
              </w:tc>
              <w:tc>
                <w:tcPr>
                  <w:tcW w:w="1674" w:type="dxa"/>
                  <w:noWrap w:val="0"/>
                  <w:vAlign w:val="center"/>
                </w:tcPr>
                <w:p>
                  <w:pPr>
                    <w:tabs>
                      <w:tab w:val="center" w:pos="4153"/>
                      <w:tab w:val="right" w:pos="8306"/>
                    </w:tabs>
                    <w:snapToGrid w:val="0"/>
                    <w:spacing w:line="360" w:lineRule="auto"/>
                    <w:jc w:val="center"/>
                    <w:rPr>
                      <w:rFonts w:hint="eastAsia" w:ascii="宋体" w:hAnsi="宋体" w:cs="宋体"/>
                      <w:color w:val="auto"/>
                      <w:szCs w:val="21"/>
                    </w:rPr>
                  </w:pPr>
                  <w:r>
                    <w:rPr>
                      <w:rFonts w:hint="eastAsia" w:ascii="宋体" w:hAnsi="宋体" w:cs="宋体"/>
                      <w:color w:val="auto"/>
                      <w:szCs w:val="21"/>
                    </w:rPr>
                    <w:t>2.0%</w:t>
                  </w:r>
                </w:p>
              </w:tc>
              <w:tc>
                <w:tcPr>
                  <w:tcW w:w="1642" w:type="dxa"/>
                  <w:noWrap w:val="0"/>
                  <w:vAlign w:val="center"/>
                </w:tcPr>
                <w:p>
                  <w:pPr>
                    <w:tabs>
                      <w:tab w:val="center" w:pos="4153"/>
                      <w:tab w:val="right" w:pos="8306"/>
                    </w:tabs>
                    <w:snapToGrid w:val="0"/>
                    <w:spacing w:line="360" w:lineRule="auto"/>
                    <w:jc w:val="center"/>
                    <w:rPr>
                      <w:rFonts w:hint="eastAsia" w:ascii="宋体" w:hAnsi="宋体" w:cs="宋体"/>
                      <w:color w:val="auto"/>
                      <w:szCs w:val="21"/>
                    </w:rPr>
                  </w:pPr>
                  <w:r>
                    <w:rPr>
                      <w:rFonts w:hint="eastAsia" w:ascii="宋体" w:hAnsi="宋体" w:cs="宋体"/>
                      <w:color w:val="auto"/>
                      <w:szCs w:val="21"/>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71" w:type="dxa"/>
                  <w:noWrap w:val="0"/>
                  <w:vAlign w:val="center"/>
                </w:tcPr>
                <w:p>
                  <w:pPr>
                    <w:tabs>
                      <w:tab w:val="center" w:pos="4153"/>
                      <w:tab w:val="right" w:pos="8306"/>
                    </w:tabs>
                    <w:snapToGrid w:val="0"/>
                    <w:spacing w:line="360" w:lineRule="auto"/>
                    <w:jc w:val="center"/>
                    <w:rPr>
                      <w:rFonts w:hint="eastAsia" w:ascii="微软雅黑" w:hAnsi="微软雅黑" w:eastAsia="微软雅黑" w:cs="微软雅黑"/>
                      <w:snapToGrid w:val="0"/>
                      <w:color w:val="auto"/>
                      <w:szCs w:val="21"/>
                    </w:rPr>
                  </w:pPr>
                  <w:r>
                    <w:rPr>
                      <w:rFonts w:hint="eastAsia" w:ascii="宋体" w:hAnsi="宋体" w:cs="宋体"/>
                      <w:color w:val="auto"/>
                      <w:szCs w:val="21"/>
                    </w:rPr>
                    <w:t>100～500万</w:t>
                  </w:r>
                </w:p>
              </w:tc>
              <w:tc>
                <w:tcPr>
                  <w:tcW w:w="1673" w:type="dxa"/>
                  <w:noWrap w:val="0"/>
                  <w:vAlign w:val="center"/>
                </w:tcPr>
                <w:p>
                  <w:pPr>
                    <w:tabs>
                      <w:tab w:val="center" w:pos="4153"/>
                      <w:tab w:val="right" w:pos="8306"/>
                    </w:tabs>
                    <w:snapToGrid w:val="0"/>
                    <w:spacing w:line="360" w:lineRule="auto"/>
                    <w:jc w:val="center"/>
                    <w:rPr>
                      <w:rFonts w:hint="eastAsia" w:ascii="宋体" w:hAnsi="宋体" w:cs="宋体"/>
                      <w:color w:val="auto"/>
                      <w:szCs w:val="21"/>
                    </w:rPr>
                  </w:pPr>
                  <w:r>
                    <w:rPr>
                      <w:rFonts w:hint="eastAsia" w:ascii="宋体" w:hAnsi="宋体" w:cs="宋体"/>
                      <w:color w:val="auto"/>
                      <w:szCs w:val="21"/>
                    </w:rPr>
                    <w:t>1.4%</w:t>
                  </w:r>
                </w:p>
              </w:tc>
              <w:tc>
                <w:tcPr>
                  <w:tcW w:w="1674" w:type="dxa"/>
                  <w:noWrap w:val="0"/>
                  <w:vAlign w:val="center"/>
                </w:tcPr>
                <w:p>
                  <w:pPr>
                    <w:tabs>
                      <w:tab w:val="center" w:pos="4153"/>
                      <w:tab w:val="right" w:pos="8306"/>
                    </w:tabs>
                    <w:snapToGrid w:val="0"/>
                    <w:spacing w:line="360" w:lineRule="auto"/>
                    <w:jc w:val="center"/>
                    <w:rPr>
                      <w:rFonts w:hint="eastAsia" w:ascii="宋体" w:hAnsi="宋体" w:cs="宋体"/>
                      <w:color w:val="auto"/>
                      <w:szCs w:val="21"/>
                    </w:rPr>
                  </w:pPr>
                  <w:r>
                    <w:rPr>
                      <w:rFonts w:hint="eastAsia" w:ascii="宋体" w:hAnsi="宋体" w:cs="宋体"/>
                      <w:color w:val="auto"/>
                      <w:szCs w:val="21"/>
                    </w:rPr>
                    <w:t>1.1%</w:t>
                  </w:r>
                </w:p>
              </w:tc>
              <w:tc>
                <w:tcPr>
                  <w:tcW w:w="1642" w:type="dxa"/>
                  <w:noWrap w:val="0"/>
                  <w:vAlign w:val="center"/>
                </w:tcPr>
                <w:p>
                  <w:pPr>
                    <w:tabs>
                      <w:tab w:val="center" w:pos="4153"/>
                      <w:tab w:val="right" w:pos="8306"/>
                    </w:tabs>
                    <w:snapToGrid w:val="0"/>
                    <w:spacing w:line="360" w:lineRule="auto"/>
                    <w:jc w:val="center"/>
                    <w:rPr>
                      <w:rFonts w:hint="eastAsia" w:ascii="宋体" w:hAnsi="宋体" w:cs="宋体"/>
                      <w:color w:val="auto"/>
                      <w:szCs w:val="21"/>
                    </w:rPr>
                  </w:pPr>
                  <w:r>
                    <w:rPr>
                      <w:rFonts w:hint="eastAsia" w:ascii="宋体" w:hAnsi="宋体" w:cs="宋体"/>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71" w:type="dxa"/>
                  <w:noWrap w:val="0"/>
                  <w:vAlign w:val="center"/>
                </w:tcPr>
                <w:p>
                  <w:pPr>
                    <w:tabs>
                      <w:tab w:val="center" w:pos="4153"/>
                      <w:tab w:val="right" w:pos="8306"/>
                    </w:tabs>
                    <w:snapToGrid w:val="0"/>
                    <w:spacing w:line="360" w:lineRule="auto"/>
                    <w:jc w:val="center"/>
                    <w:rPr>
                      <w:rFonts w:hint="eastAsia" w:ascii="宋体" w:hAnsi="宋体" w:cs="宋体"/>
                      <w:color w:val="auto"/>
                      <w:szCs w:val="21"/>
                    </w:rPr>
                  </w:pPr>
                  <w:r>
                    <w:rPr>
                      <w:rFonts w:hint="eastAsia" w:ascii="宋体" w:hAnsi="宋体" w:cs="宋体"/>
                      <w:color w:val="auto"/>
                      <w:szCs w:val="21"/>
                    </w:rPr>
                    <w:t>500～1000万</w:t>
                  </w:r>
                </w:p>
              </w:tc>
              <w:tc>
                <w:tcPr>
                  <w:tcW w:w="1673" w:type="dxa"/>
                  <w:noWrap w:val="0"/>
                  <w:vAlign w:val="center"/>
                </w:tcPr>
                <w:p>
                  <w:pPr>
                    <w:tabs>
                      <w:tab w:val="center" w:pos="4153"/>
                      <w:tab w:val="right" w:pos="8306"/>
                    </w:tabs>
                    <w:snapToGrid w:val="0"/>
                    <w:spacing w:line="360" w:lineRule="auto"/>
                    <w:jc w:val="center"/>
                    <w:rPr>
                      <w:rFonts w:hint="eastAsia" w:ascii="宋体" w:hAnsi="宋体" w:cs="宋体"/>
                      <w:color w:val="auto"/>
                      <w:szCs w:val="21"/>
                    </w:rPr>
                  </w:pPr>
                  <w:r>
                    <w:rPr>
                      <w:rFonts w:hint="eastAsia" w:ascii="宋体" w:hAnsi="宋体" w:cs="宋体"/>
                      <w:color w:val="auto"/>
                      <w:szCs w:val="21"/>
                    </w:rPr>
                    <w:t>0.9%</w:t>
                  </w:r>
                </w:p>
              </w:tc>
              <w:tc>
                <w:tcPr>
                  <w:tcW w:w="1674" w:type="dxa"/>
                  <w:noWrap w:val="0"/>
                  <w:vAlign w:val="center"/>
                </w:tcPr>
                <w:p>
                  <w:pPr>
                    <w:tabs>
                      <w:tab w:val="center" w:pos="4153"/>
                      <w:tab w:val="right" w:pos="8306"/>
                    </w:tabs>
                    <w:snapToGrid w:val="0"/>
                    <w:spacing w:line="360" w:lineRule="auto"/>
                    <w:jc w:val="center"/>
                    <w:rPr>
                      <w:rFonts w:hint="eastAsia" w:ascii="宋体" w:hAnsi="宋体" w:cs="宋体"/>
                      <w:color w:val="auto"/>
                      <w:szCs w:val="21"/>
                    </w:rPr>
                  </w:pPr>
                  <w:r>
                    <w:rPr>
                      <w:rFonts w:hint="eastAsia" w:ascii="宋体" w:hAnsi="宋体" w:cs="宋体"/>
                      <w:color w:val="auto"/>
                      <w:szCs w:val="21"/>
                    </w:rPr>
                    <w:t>0.55%</w:t>
                  </w:r>
                </w:p>
              </w:tc>
              <w:tc>
                <w:tcPr>
                  <w:tcW w:w="1642" w:type="dxa"/>
                  <w:noWrap w:val="0"/>
                  <w:vAlign w:val="center"/>
                </w:tcPr>
                <w:p>
                  <w:pPr>
                    <w:tabs>
                      <w:tab w:val="center" w:pos="4153"/>
                      <w:tab w:val="right" w:pos="8306"/>
                    </w:tabs>
                    <w:snapToGrid w:val="0"/>
                    <w:spacing w:line="360" w:lineRule="auto"/>
                    <w:jc w:val="center"/>
                    <w:rPr>
                      <w:rFonts w:hint="eastAsia" w:ascii="宋体" w:hAnsi="宋体" w:cs="宋体"/>
                      <w:color w:val="auto"/>
                      <w:szCs w:val="21"/>
                    </w:rPr>
                  </w:pPr>
                  <w:r>
                    <w:rPr>
                      <w:rFonts w:hint="eastAsia" w:ascii="宋体" w:hAnsi="宋体" w:cs="宋体"/>
                      <w:color w:val="auto"/>
                      <w:szCs w:val="21"/>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71" w:type="dxa"/>
                  <w:noWrap w:val="0"/>
                  <w:vAlign w:val="center"/>
                </w:tcPr>
                <w:p>
                  <w:pPr>
                    <w:tabs>
                      <w:tab w:val="center" w:pos="4153"/>
                      <w:tab w:val="right" w:pos="8306"/>
                    </w:tabs>
                    <w:snapToGrid w:val="0"/>
                    <w:spacing w:line="360" w:lineRule="auto"/>
                    <w:jc w:val="center"/>
                    <w:rPr>
                      <w:rFonts w:hint="eastAsia" w:ascii="宋体" w:hAnsi="宋体" w:cs="宋体"/>
                      <w:color w:val="auto"/>
                      <w:szCs w:val="21"/>
                    </w:rPr>
                  </w:pPr>
                  <w:r>
                    <w:rPr>
                      <w:rFonts w:hint="eastAsia" w:ascii="宋体" w:hAnsi="宋体" w:cs="宋体"/>
                      <w:color w:val="auto"/>
                      <w:szCs w:val="21"/>
                    </w:rPr>
                    <w:t>1000～5000万</w:t>
                  </w:r>
                </w:p>
              </w:tc>
              <w:tc>
                <w:tcPr>
                  <w:tcW w:w="1673" w:type="dxa"/>
                  <w:noWrap w:val="0"/>
                  <w:vAlign w:val="center"/>
                </w:tcPr>
                <w:p>
                  <w:pPr>
                    <w:tabs>
                      <w:tab w:val="center" w:pos="4153"/>
                      <w:tab w:val="right" w:pos="8306"/>
                    </w:tabs>
                    <w:snapToGrid w:val="0"/>
                    <w:spacing w:line="360" w:lineRule="auto"/>
                    <w:jc w:val="center"/>
                    <w:rPr>
                      <w:rFonts w:hint="eastAsia" w:ascii="宋体" w:hAnsi="宋体" w:cs="宋体"/>
                      <w:color w:val="auto"/>
                      <w:szCs w:val="21"/>
                    </w:rPr>
                  </w:pPr>
                  <w:r>
                    <w:rPr>
                      <w:rFonts w:hint="eastAsia" w:ascii="宋体" w:hAnsi="宋体" w:cs="宋体"/>
                      <w:color w:val="auto"/>
                      <w:szCs w:val="21"/>
                    </w:rPr>
                    <w:t>0.55%</w:t>
                  </w:r>
                </w:p>
              </w:tc>
              <w:tc>
                <w:tcPr>
                  <w:tcW w:w="1674" w:type="dxa"/>
                  <w:noWrap w:val="0"/>
                  <w:vAlign w:val="center"/>
                </w:tcPr>
                <w:p>
                  <w:pPr>
                    <w:tabs>
                      <w:tab w:val="center" w:pos="4153"/>
                      <w:tab w:val="right" w:pos="8306"/>
                    </w:tabs>
                    <w:snapToGrid w:val="0"/>
                    <w:spacing w:line="360" w:lineRule="auto"/>
                    <w:jc w:val="center"/>
                    <w:rPr>
                      <w:rFonts w:hint="eastAsia" w:ascii="宋体" w:hAnsi="宋体" w:cs="宋体"/>
                      <w:color w:val="auto"/>
                      <w:szCs w:val="21"/>
                    </w:rPr>
                  </w:pPr>
                  <w:r>
                    <w:rPr>
                      <w:rFonts w:hint="eastAsia" w:ascii="宋体" w:hAnsi="宋体" w:cs="宋体"/>
                      <w:color w:val="auto"/>
                      <w:szCs w:val="21"/>
                    </w:rPr>
                    <w:t>0.3%</w:t>
                  </w:r>
                </w:p>
              </w:tc>
              <w:tc>
                <w:tcPr>
                  <w:tcW w:w="1642" w:type="dxa"/>
                  <w:noWrap w:val="0"/>
                  <w:vAlign w:val="center"/>
                </w:tcPr>
                <w:p>
                  <w:pPr>
                    <w:tabs>
                      <w:tab w:val="center" w:pos="4153"/>
                      <w:tab w:val="right" w:pos="8306"/>
                    </w:tabs>
                    <w:snapToGrid w:val="0"/>
                    <w:spacing w:line="360" w:lineRule="auto"/>
                    <w:jc w:val="center"/>
                    <w:rPr>
                      <w:rFonts w:hint="eastAsia" w:ascii="宋体" w:hAnsi="宋体" w:cs="宋体"/>
                      <w:color w:val="auto"/>
                      <w:szCs w:val="21"/>
                    </w:rPr>
                  </w:pPr>
                  <w:r>
                    <w:rPr>
                      <w:rFonts w:hint="eastAsia" w:ascii="宋体" w:hAnsi="宋体" w:cs="宋体"/>
                      <w:color w:val="auto"/>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71" w:type="dxa"/>
                  <w:noWrap w:val="0"/>
                  <w:vAlign w:val="center"/>
                </w:tcPr>
                <w:p>
                  <w:pPr>
                    <w:tabs>
                      <w:tab w:val="center" w:pos="4153"/>
                      <w:tab w:val="right" w:pos="8306"/>
                    </w:tabs>
                    <w:snapToGrid w:val="0"/>
                    <w:spacing w:line="360" w:lineRule="auto"/>
                    <w:jc w:val="center"/>
                    <w:rPr>
                      <w:rFonts w:hint="eastAsia" w:ascii="宋体" w:hAnsi="宋体" w:cs="宋体"/>
                      <w:color w:val="auto"/>
                      <w:szCs w:val="21"/>
                    </w:rPr>
                  </w:pPr>
                  <w:r>
                    <w:rPr>
                      <w:rFonts w:hint="eastAsia" w:ascii="宋体" w:hAnsi="宋体" w:cs="宋体"/>
                      <w:color w:val="auto"/>
                      <w:szCs w:val="21"/>
                    </w:rPr>
                    <w:t>5000万～1亿</w:t>
                  </w:r>
                </w:p>
              </w:tc>
              <w:tc>
                <w:tcPr>
                  <w:tcW w:w="1673" w:type="dxa"/>
                  <w:noWrap w:val="0"/>
                  <w:vAlign w:val="center"/>
                </w:tcPr>
                <w:p>
                  <w:pPr>
                    <w:tabs>
                      <w:tab w:val="center" w:pos="4153"/>
                      <w:tab w:val="right" w:pos="8306"/>
                    </w:tabs>
                    <w:snapToGrid w:val="0"/>
                    <w:spacing w:line="360" w:lineRule="auto"/>
                    <w:jc w:val="center"/>
                    <w:rPr>
                      <w:rFonts w:hint="eastAsia" w:ascii="宋体" w:hAnsi="宋体" w:cs="宋体"/>
                      <w:color w:val="auto"/>
                      <w:szCs w:val="21"/>
                    </w:rPr>
                  </w:pPr>
                  <w:r>
                    <w:rPr>
                      <w:rFonts w:hint="eastAsia" w:ascii="宋体" w:hAnsi="宋体" w:cs="宋体"/>
                      <w:color w:val="auto"/>
                      <w:szCs w:val="21"/>
                    </w:rPr>
                    <w:t>0.25%</w:t>
                  </w:r>
                </w:p>
              </w:tc>
              <w:tc>
                <w:tcPr>
                  <w:tcW w:w="1674" w:type="dxa"/>
                  <w:noWrap w:val="0"/>
                  <w:vAlign w:val="center"/>
                </w:tcPr>
                <w:p>
                  <w:pPr>
                    <w:tabs>
                      <w:tab w:val="center" w:pos="4153"/>
                      <w:tab w:val="right" w:pos="8306"/>
                    </w:tabs>
                    <w:snapToGrid w:val="0"/>
                    <w:spacing w:line="360" w:lineRule="auto"/>
                    <w:jc w:val="center"/>
                    <w:rPr>
                      <w:rFonts w:hint="eastAsia" w:ascii="宋体" w:hAnsi="宋体" w:cs="宋体"/>
                      <w:color w:val="auto"/>
                      <w:szCs w:val="21"/>
                    </w:rPr>
                  </w:pPr>
                  <w:r>
                    <w:rPr>
                      <w:rFonts w:hint="eastAsia" w:ascii="宋体" w:hAnsi="宋体" w:cs="宋体"/>
                      <w:color w:val="auto"/>
                      <w:szCs w:val="21"/>
                    </w:rPr>
                    <w:t>0.1%</w:t>
                  </w:r>
                </w:p>
              </w:tc>
              <w:tc>
                <w:tcPr>
                  <w:tcW w:w="1642" w:type="dxa"/>
                  <w:noWrap w:val="0"/>
                  <w:vAlign w:val="center"/>
                </w:tcPr>
                <w:p>
                  <w:pPr>
                    <w:tabs>
                      <w:tab w:val="center" w:pos="4153"/>
                      <w:tab w:val="right" w:pos="8306"/>
                    </w:tabs>
                    <w:snapToGrid w:val="0"/>
                    <w:spacing w:line="360" w:lineRule="auto"/>
                    <w:jc w:val="center"/>
                    <w:rPr>
                      <w:rFonts w:hint="eastAsia" w:ascii="宋体" w:hAnsi="宋体" w:cs="宋体"/>
                      <w:color w:val="auto"/>
                      <w:szCs w:val="21"/>
                    </w:rPr>
                  </w:pPr>
                  <w:r>
                    <w:rPr>
                      <w:rFonts w:hint="eastAsia" w:ascii="宋体" w:hAnsi="宋体" w:cs="宋体"/>
                      <w:color w:val="auto"/>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71" w:type="dxa"/>
                  <w:noWrap w:val="0"/>
                  <w:vAlign w:val="center"/>
                </w:tcPr>
                <w:p>
                  <w:pPr>
                    <w:tabs>
                      <w:tab w:val="center" w:pos="4153"/>
                      <w:tab w:val="right" w:pos="8306"/>
                    </w:tabs>
                    <w:snapToGrid w:val="0"/>
                    <w:spacing w:line="360" w:lineRule="auto"/>
                    <w:jc w:val="center"/>
                    <w:rPr>
                      <w:rFonts w:hint="eastAsia" w:ascii="宋体" w:hAnsi="宋体" w:cs="宋体"/>
                      <w:color w:val="auto"/>
                      <w:szCs w:val="21"/>
                    </w:rPr>
                  </w:pPr>
                  <w:r>
                    <w:rPr>
                      <w:rFonts w:hint="eastAsia" w:ascii="宋体" w:hAnsi="宋体" w:cs="宋体"/>
                      <w:color w:val="auto"/>
                      <w:szCs w:val="21"/>
                    </w:rPr>
                    <w:t>1～5亿</w:t>
                  </w:r>
                </w:p>
              </w:tc>
              <w:tc>
                <w:tcPr>
                  <w:tcW w:w="1673" w:type="dxa"/>
                  <w:noWrap w:val="0"/>
                  <w:vAlign w:val="center"/>
                </w:tcPr>
                <w:p>
                  <w:pPr>
                    <w:tabs>
                      <w:tab w:val="center" w:pos="4153"/>
                      <w:tab w:val="right" w:pos="8306"/>
                    </w:tabs>
                    <w:snapToGrid w:val="0"/>
                    <w:spacing w:line="360" w:lineRule="auto"/>
                    <w:jc w:val="center"/>
                    <w:rPr>
                      <w:rFonts w:hint="eastAsia" w:ascii="宋体" w:hAnsi="宋体" w:cs="宋体"/>
                      <w:color w:val="auto"/>
                      <w:szCs w:val="21"/>
                    </w:rPr>
                  </w:pPr>
                  <w:r>
                    <w:rPr>
                      <w:rFonts w:hint="eastAsia" w:ascii="宋体" w:hAnsi="宋体" w:cs="宋体"/>
                      <w:color w:val="auto"/>
                      <w:szCs w:val="21"/>
                    </w:rPr>
                    <w:t>0.05%</w:t>
                  </w:r>
                </w:p>
              </w:tc>
              <w:tc>
                <w:tcPr>
                  <w:tcW w:w="1674" w:type="dxa"/>
                  <w:noWrap w:val="0"/>
                  <w:vAlign w:val="center"/>
                </w:tcPr>
                <w:p>
                  <w:pPr>
                    <w:tabs>
                      <w:tab w:val="center" w:pos="4153"/>
                      <w:tab w:val="right" w:pos="8306"/>
                    </w:tabs>
                    <w:snapToGrid w:val="0"/>
                    <w:spacing w:line="360" w:lineRule="auto"/>
                    <w:jc w:val="center"/>
                    <w:rPr>
                      <w:rFonts w:hint="eastAsia" w:ascii="宋体" w:hAnsi="宋体" w:cs="宋体"/>
                      <w:color w:val="auto"/>
                      <w:szCs w:val="21"/>
                    </w:rPr>
                  </w:pPr>
                  <w:r>
                    <w:rPr>
                      <w:rFonts w:hint="eastAsia" w:ascii="宋体" w:hAnsi="宋体" w:cs="宋体"/>
                      <w:color w:val="auto"/>
                      <w:szCs w:val="21"/>
                    </w:rPr>
                    <w:t>0.05%</w:t>
                  </w:r>
                </w:p>
              </w:tc>
              <w:tc>
                <w:tcPr>
                  <w:tcW w:w="1642" w:type="dxa"/>
                  <w:noWrap w:val="0"/>
                  <w:vAlign w:val="center"/>
                </w:tcPr>
                <w:p>
                  <w:pPr>
                    <w:tabs>
                      <w:tab w:val="center" w:pos="4153"/>
                      <w:tab w:val="right" w:pos="8306"/>
                    </w:tabs>
                    <w:snapToGrid w:val="0"/>
                    <w:spacing w:line="360" w:lineRule="auto"/>
                    <w:jc w:val="center"/>
                    <w:rPr>
                      <w:rFonts w:hint="eastAsia" w:ascii="宋体" w:hAnsi="宋体" w:cs="宋体"/>
                      <w:color w:val="auto"/>
                      <w:szCs w:val="21"/>
                    </w:rPr>
                  </w:pPr>
                  <w:r>
                    <w:rPr>
                      <w:rFonts w:hint="eastAsia" w:ascii="宋体" w:hAnsi="宋体" w:cs="宋体"/>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271" w:type="dxa"/>
                  <w:noWrap w:val="0"/>
                  <w:vAlign w:val="center"/>
                </w:tcPr>
                <w:p>
                  <w:pPr>
                    <w:tabs>
                      <w:tab w:val="center" w:pos="4153"/>
                      <w:tab w:val="right" w:pos="8306"/>
                    </w:tabs>
                    <w:snapToGrid w:val="0"/>
                    <w:spacing w:line="360" w:lineRule="auto"/>
                    <w:jc w:val="center"/>
                    <w:rPr>
                      <w:rFonts w:hint="eastAsia" w:ascii="宋体" w:hAnsi="宋体" w:cs="宋体"/>
                      <w:color w:val="auto"/>
                      <w:szCs w:val="21"/>
                    </w:rPr>
                  </w:pPr>
                  <w:r>
                    <w:rPr>
                      <w:rFonts w:hint="eastAsia" w:ascii="宋体" w:hAnsi="宋体" w:cs="宋体"/>
                      <w:color w:val="auto"/>
                      <w:szCs w:val="21"/>
                    </w:rPr>
                    <w:t>5～10亿</w:t>
                  </w:r>
                </w:p>
              </w:tc>
              <w:tc>
                <w:tcPr>
                  <w:tcW w:w="1673" w:type="dxa"/>
                  <w:noWrap w:val="0"/>
                  <w:vAlign w:val="center"/>
                </w:tcPr>
                <w:p>
                  <w:pPr>
                    <w:tabs>
                      <w:tab w:val="center" w:pos="4153"/>
                      <w:tab w:val="right" w:pos="8306"/>
                    </w:tabs>
                    <w:snapToGrid w:val="0"/>
                    <w:spacing w:line="360" w:lineRule="auto"/>
                    <w:jc w:val="center"/>
                    <w:rPr>
                      <w:rFonts w:hint="eastAsia" w:ascii="宋体" w:hAnsi="宋体" w:cs="宋体"/>
                      <w:color w:val="auto"/>
                      <w:szCs w:val="21"/>
                    </w:rPr>
                  </w:pPr>
                  <w:r>
                    <w:rPr>
                      <w:rFonts w:hint="eastAsia" w:ascii="宋体" w:hAnsi="宋体" w:cs="宋体"/>
                      <w:color w:val="auto"/>
                      <w:szCs w:val="21"/>
                    </w:rPr>
                    <w:t>0.035%</w:t>
                  </w:r>
                </w:p>
              </w:tc>
              <w:tc>
                <w:tcPr>
                  <w:tcW w:w="1674" w:type="dxa"/>
                  <w:noWrap w:val="0"/>
                  <w:vAlign w:val="center"/>
                </w:tcPr>
                <w:p>
                  <w:pPr>
                    <w:tabs>
                      <w:tab w:val="center" w:pos="4153"/>
                      <w:tab w:val="right" w:pos="8306"/>
                    </w:tabs>
                    <w:snapToGrid w:val="0"/>
                    <w:spacing w:line="360" w:lineRule="auto"/>
                    <w:jc w:val="center"/>
                    <w:rPr>
                      <w:rFonts w:hint="eastAsia" w:ascii="宋体" w:hAnsi="宋体" w:cs="宋体"/>
                      <w:color w:val="auto"/>
                      <w:szCs w:val="21"/>
                    </w:rPr>
                  </w:pPr>
                  <w:r>
                    <w:rPr>
                      <w:rFonts w:hint="eastAsia" w:ascii="宋体" w:hAnsi="宋体" w:cs="宋体"/>
                      <w:color w:val="auto"/>
                      <w:szCs w:val="21"/>
                    </w:rPr>
                    <w:t>0.035%</w:t>
                  </w:r>
                </w:p>
              </w:tc>
              <w:tc>
                <w:tcPr>
                  <w:tcW w:w="1642" w:type="dxa"/>
                  <w:noWrap w:val="0"/>
                  <w:vAlign w:val="center"/>
                </w:tcPr>
                <w:p>
                  <w:pPr>
                    <w:tabs>
                      <w:tab w:val="center" w:pos="4153"/>
                      <w:tab w:val="right" w:pos="8306"/>
                    </w:tabs>
                    <w:snapToGrid w:val="0"/>
                    <w:spacing w:line="360" w:lineRule="auto"/>
                    <w:jc w:val="center"/>
                    <w:rPr>
                      <w:rFonts w:hint="eastAsia" w:ascii="宋体" w:hAnsi="宋体" w:cs="宋体"/>
                      <w:color w:val="auto"/>
                      <w:szCs w:val="21"/>
                    </w:rPr>
                  </w:pPr>
                  <w:r>
                    <w:rPr>
                      <w:rFonts w:hint="eastAsia" w:ascii="宋体" w:hAnsi="宋体" w:cs="宋体"/>
                      <w:color w:val="auto"/>
                      <w:szCs w:val="21"/>
                    </w:rPr>
                    <w:t>0.035%</w:t>
                  </w:r>
                </w:p>
              </w:tc>
            </w:tr>
          </w:tbl>
          <w:p>
            <w:pPr>
              <w:snapToGrid w:val="0"/>
              <w:spacing w:line="360" w:lineRule="auto"/>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7</w:t>
            </w:r>
          </w:p>
        </w:tc>
        <w:tc>
          <w:tcPr>
            <w:tcW w:w="821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80" w:lineRule="exact"/>
              <w:textAlignment w:val="bottom"/>
              <w:rPr>
                <w:rFonts w:hint="default" w:ascii="宋体" w:hAnsi="宋体" w:eastAsia="宋体" w:cs="宋体"/>
                <w:color w:val="auto"/>
                <w:szCs w:val="21"/>
                <w:lang w:val="en-US" w:eastAsia="zh-CN"/>
              </w:rPr>
            </w:pPr>
            <w:r>
              <w:rPr>
                <w:rFonts w:hint="eastAsia" w:ascii="宋体" w:hAnsi="宋体" w:cs="宋体"/>
                <w:color w:val="auto"/>
                <w:szCs w:val="21"/>
                <w:lang w:val="en-US" w:eastAsia="zh-CN"/>
              </w:rPr>
              <w:t>踏勘现场：绿化养护实际情况由投标人自行调查踏勘现场，决定是否投标，甲方不组织踏勘现场。（费用与安全由投标人自行承担）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8</w:t>
            </w:r>
          </w:p>
        </w:tc>
        <w:tc>
          <w:tcPr>
            <w:tcW w:w="821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80" w:lineRule="exact"/>
              <w:textAlignment w:val="bottom"/>
              <w:rPr>
                <w:rFonts w:ascii="宋体" w:hAnsi="宋体" w:cs="宋体"/>
                <w:color w:val="auto"/>
                <w:szCs w:val="21"/>
              </w:rPr>
            </w:pPr>
            <w:r>
              <w:rPr>
                <w:rFonts w:hint="eastAsia" w:ascii="宋体" w:hAnsi="宋体" w:cs="宋体"/>
                <w:color w:val="auto"/>
                <w:szCs w:val="21"/>
              </w:rPr>
              <w:t>评标办法及评分标准：综合评分法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9</w:t>
            </w:r>
          </w:p>
        </w:tc>
        <w:tc>
          <w:tcPr>
            <w:tcW w:w="82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lang w:val="en-US" w:eastAsia="zh-CN"/>
              </w:rPr>
            </w:pPr>
            <w:r>
              <w:rPr>
                <w:rFonts w:hint="eastAsia" w:ascii="宋体" w:hAnsi="宋体" w:cs="宋体"/>
                <w:color w:val="auto"/>
                <w:szCs w:val="21"/>
              </w:rPr>
              <w:t>中标公告及中标通知书：评标结束后5个工作日内，中标公告发布于宁海县公共资源交易信息网（</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"http://www.nhztb.gov.cn/" </w:instrText>
            </w:r>
            <w:r>
              <w:rPr>
                <w:rFonts w:hint="eastAsia" w:ascii="宋体" w:hAnsi="宋体" w:cs="宋体"/>
                <w:color w:val="auto"/>
                <w:szCs w:val="21"/>
              </w:rPr>
              <w:fldChar w:fldCharType="separate"/>
            </w:r>
            <w:r>
              <w:rPr>
                <w:rFonts w:hint="eastAsia" w:ascii="宋体" w:hAnsi="宋体" w:cs="宋体"/>
                <w:color w:val="auto"/>
                <w:szCs w:val="21"/>
              </w:rPr>
              <w:t>http://www.nhztb.gov.cn</w:t>
            </w:r>
            <w:r>
              <w:rPr>
                <w:rFonts w:hint="eastAsia" w:ascii="宋体" w:hAnsi="宋体" w:cs="宋体"/>
                <w:color w:val="auto"/>
                <w:szCs w:val="21"/>
              </w:rPr>
              <w:fldChar w:fldCharType="end"/>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s="宋体"/>
                <w:color w:val="auto"/>
                <w:szCs w:val="21"/>
              </w:rPr>
              <w:t>宁波政府采购网(http://www.nbzfcg.cn)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821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80" w:lineRule="exact"/>
              <w:textAlignment w:val="bottom"/>
              <w:rPr>
                <w:rFonts w:ascii="宋体" w:hAnsi="宋体" w:cs="宋体"/>
                <w:color w:val="auto"/>
                <w:szCs w:val="21"/>
              </w:rPr>
            </w:pPr>
            <w:r>
              <w:rPr>
                <w:rFonts w:hint="eastAsia" w:ascii="宋体" w:hAnsi="宋体" w:cs="宋体"/>
                <w:color w:val="auto"/>
                <w:szCs w:val="21"/>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11</w:t>
            </w:r>
          </w:p>
        </w:tc>
        <w:tc>
          <w:tcPr>
            <w:tcW w:w="821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80" w:lineRule="exact"/>
              <w:textAlignment w:val="bottom"/>
              <w:rPr>
                <w:rFonts w:hint="eastAsia" w:ascii="宋体" w:hAnsi="宋体" w:eastAsia="宋体" w:cs="宋体"/>
                <w:color w:val="auto"/>
                <w:szCs w:val="21"/>
                <w:lang w:eastAsia="zh-CN"/>
              </w:rPr>
            </w:pPr>
            <w:r>
              <w:rPr>
                <w:rFonts w:hint="eastAsia" w:ascii="宋体" w:hAnsi="宋体" w:cs="宋体"/>
                <w:color w:val="auto"/>
                <w:szCs w:val="21"/>
              </w:rPr>
              <w:t>采购资金来源：</w:t>
            </w:r>
            <w:r>
              <w:rPr>
                <w:rFonts w:hint="eastAsia" w:ascii="宋体" w:hAnsi="宋体" w:cs="宋体"/>
                <w:color w:val="auto"/>
                <w:szCs w:val="21"/>
                <w:lang w:eastAsia="zh-CN"/>
              </w:rPr>
              <w:t>财政预算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default" w:ascii="宋体" w:hAnsi="宋体" w:eastAsia="宋体" w:cs="宋体"/>
                <w:color w:val="auto"/>
                <w:szCs w:val="21"/>
                <w:lang w:val="en-US" w:eastAsia="zh-CN"/>
              </w:rPr>
            </w:pPr>
            <w:r>
              <w:rPr>
                <w:rFonts w:hint="eastAsia" w:ascii="宋体" w:hAnsi="宋体" w:cs="宋体"/>
                <w:color w:val="auto"/>
                <w:szCs w:val="21"/>
              </w:rPr>
              <w:t>★</w:t>
            </w:r>
            <w:r>
              <w:rPr>
                <w:rFonts w:hint="eastAsia" w:ascii="宋体" w:hAnsi="宋体" w:cs="宋体"/>
                <w:color w:val="auto"/>
                <w:szCs w:val="21"/>
                <w:lang w:val="en-US" w:eastAsia="zh-CN"/>
              </w:rPr>
              <w:t>12</w:t>
            </w:r>
          </w:p>
        </w:tc>
        <w:tc>
          <w:tcPr>
            <w:tcW w:w="821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宋体"/>
                <w:color w:val="auto"/>
                <w:szCs w:val="21"/>
              </w:rPr>
            </w:pPr>
            <w:r>
              <w:rPr>
                <w:rFonts w:hint="eastAsia" w:ascii="宋体" w:hAnsi="宋体" w:cs="宋体"/>
                <w:color w:val="auto"/>
                <w:szCs w:val="21"/>
              </w:rPr>
              <w:t>投标文件有效期：</w:t>
            </w:r>
            <w:r>
              <w:rPr>
                <w:rFonts w:hint="eastAsia" w:ascii="宋体" w:hAnsi="宋体" w:cs="宋体"/>
                <w:bCs/>
                <w:color w:val="auto"/>
                <w:szCs w:val="21"/>
              </w:rPr>
              <w:t>自开标之日起</w:t>
            </w:r>
            <w:r>
              <w:rPr>
                <w:rFonts w:hint="eastAsia" w:ascii="宋体" w:hAnsi="宋体" w:cs="宋体"/>
                <w:color w:val="auto"/>
                <w:szCs w:val="21"/>
                <w:u w:val="single"/>
              </w:rPr>
              <w:t>90</w:t>
            </w:r>
            <w:r>
              <w:rPr>
                <w:rFonts w:hint="eastAsia" w:ascii="宋体" w:hAnsi="宋体" w:cs="宋体"/>
                <w:color w:val="auto"/>
                <w:szCs w:val="21"/>
              </w:rPr>
              <w:t>天</w:t>
            </w:r>
          </w:p>
        </w:tc>
      </w:tr>
    </w:tbl>
    <w:p>
      <w:pPr>
        <w:pStyle w:val="14"/>
        <w:snapToGrid w:val="0"/>
        <w:spacing w:beforeLines="0" w:after="120" w:line="360" w:lineRule="auto"/>
        <w:rPr>
          <w:rFonts w:hint="eastAsia" w:hAnsi="宋体" w:cs="宋体"/>
          <w:b/>
          <w:color w:val="auto"/>
          <w:sz w:val="21"/>
          <w:szCs w:val="21"/>
        </w:rPr>
      </w:pPr>
    </w:p>
    <w:p>
      <w:pPr>
        <w:pStyle w:val="15"/>
        <w:rPr>
          <w:rFonts w:hint="eastAsia"/>
        </w:rPr>
      </w:pPr>
    </w:p>
    <w:p>
      <w:pPr>
        <w:pStyle w:val="14"/>
        <w:snapToGrid w:val="0"/>
        <w:spacing w:beforeLines="0" w:after="120" w:line="360" w:lineRule="auto"/>
        <w:rPr>
          <w:rFonts w:hAnsi="宋体" w:cs="宋体"/>
          <w:b/>
          <w:color w:val="auto"/>
          <w:sz w:val="21"/>
          <w:szCs w:val="21"/>
        </w:rPr>
      </w:pPr>
      <w:r>
        <w:rPr>
          <w:rFonts w:hint="eastAsia" w:hAnsi="宋体" w:cs="宋体"/>
          <w:b/>
          <w:color w:val="auto"/>
          <w:sz w:val="21"/>
          <w:szCs w:val="21"/>
        </w:rPr>
        <w:t>一、总则</w:t>
      </w:r>
    </w:p>
    <w:p>
      <w:pPr>
        <w:snapToGrid w:val="0"/>
        <w:spacing w:line="360" w:lineRule="auto"/>
        <w:ind w:firstLine="422" w:firstLineChars="200"/>
        <w:jc w:val="left"/>
        <w:outlineLvl w:val="1"/>
        <w:rPr>
          <w:rFonts w:ascii="宋体" w:cs="宋体"/>
          <w:b/>
          <w:color w:val="auto"/>
          <w:szCs w:val="21"/>
        </w:rPr>
      </w:pPr>
      <w:bookmarkStart w:id="41" w:name="_Toc8089"/>
      <w:r>
        <w:rPr>
          <w:rFonts w:hint="eastAsia" w:ascii="宋体" w:hAnsi="宋体" w:cs="宋体"/>
          <w:b/>
          <w:color w:val="auto"/>
          <w:szCs w:val="21"/>
        </w:rPr>
        <w:t>（一）适用范围</w:t>
      </w:r>
      <w:bookmarkEnd w:id="41"/>
    </w:p>
    <w:p>
      <w:pPr>
        <w:snapToGrid w:val="0"/>
        <w:spacing w:line="360" w:lineRule="auto"/>
        <w:ind w:firstLine="420" w:firstLineChars="200"/>
        <w:jc w:val="left"/>
        <w:rPr>
          <w:rFonts w:ascii="宋体" w:cs="宋体"/>
          <w:b/>
          <w:bCs/>
          <w:color w:val="auto"/>
          <w:szCs w:val="21"/>
          <w:u w:val="single"/>
          <w:lang w:val="zh-CN"/>
        </w:rPr>
      </w:pPr>
      <w:r>
        <w:rPr>
          <w:rFonts w:hint="eastAsia" w:ascii="宋体" w:hAnsi="宋体" w:cs="宋体"/>
          <w:color w:val="auto"/>
          <w:szCs w:val="21"/>
        </w:rPr>
        <w:t>本招标文件适用于</w:t>
      </w:r>
      <w:r>
        <w:rPr>
          <w:rFonts w:hint="eastAsia" w:ascii="宋体" w:hAnsi="宋体"/>
          <w:b/>
          <w:bCs/>
          <w:color w:val="auto"/>
          <w:szCs w:val="21"/>
          <w:u w:val="single"/>
          <w:lang w:eastAsia="zh-CN"/>
        </w:rPr>
        <w:t>宁海县公路与运输管理中心2023年公路绿化养护服务采购</w:t>
      </w:r>
      <w:r>
        <w:rPr>
          <w:rFonts w:hint="eastAsia" w:ascii="宋体" w:hAnsi="宋体" w:cs="宋体"/>
          <w:color w:val="auto"/>
          <w:szCs w:val="21"/>
        </w:rPr>
        <w:t>的招标、投标、评标、定标、验收、合同履约、付款等行为（法律、法规另有规定的，从其规定）。</w:t>
      </w:r>
    </w:p>
    <w:p>
      <w:pPr>
        <w:snapToGrid w:val="0"/>
        <w:spacing w:line="360" w:lineRule="auto"/>
        <w:ind w:firstLine="310" w:firstLineChars="147"/>
        <w:jc w:val="left"/>
        <w:outlineLvl w:val="1"/>
        <w:rPr>
          <w:rFonts w:ascii="宋体" w:cs="宋体"/>
          <w:b/>
          <w:color w:val="auto"/>
          <w:szCs w:val="21"/>
        </w:rPr>
      </w:pPr>
      <w:bookmarkStart w:id="42" w:name="_Toc11628"/>
      <w:r>
        <w:rPr>
          <w:rFonts w:hint="eastAsia" w:ascii="宋体" w:hAnsi="宋体" w:cs="宋体"/>
          <w:b/>
          <w:color w:val="auto"/>
          <w:szCs w:val="21"/>
        </w:rPr>
        <w:t>（二）定义</w:t>
      </w:r>
      <w:bookmarkEnd w:id="42"/>
    </w:p>
    <w:p>
      <w:pPr>
        <w:snapToGrid w:val="0"/>
        <w:spacing w:line="360" w:lineRule="auto"/>
        <w:ind w:firstLine="420" w:firstLineChars="200"/>
        <w:jc w:val="left"/>
        <w:rPr>
          <w:rFonts w:ascii="宋体" w:cs="宋体"/>
          <w:color w:val="auto"/>
          <w:szCs w:val="21"/>
        </w:rPr>
      </w:pPr>
      <w:r>
        <w:rPr>
          <w:rFonts w:ascii="宋体" w:hAnsi="宋体" w:cs="宋体"/>
          <w:color w:val="auto"/>
          <w:szCs w:val="21"/>
        </w:rPr>
        <w:t>1</w:t>
      </w:r>
      <w:r>
        <w:rPr>
          <w:rFonts w:hint="eastAsia" w:ascii="宋体" w:hAnsi="宋体" w:cs="宋体"/>
          <w:color w:val="auto"/>
          <w:szCs w:val="21"/>
        </w:rPr>
        <w:t>、招标采购单位系指组织本次招标的招标代理机构（“招标人”）和采购单位；</w:t>
      </w:r>
    </w:p>
    <w:p>
      <w:pPr>
        <w:snapToGrid w:val="0"/>
        <w:spacing w:line="360" w:lineRule="auto"/>
        <w:ind w:firstLine="420" w:firstLineChars="200"/>
        <w:jc w:val="left"/>
        <w:rPr>
          <w:rFonts w:ascii="宋体" w:cs="宋体"/>
          <w:color w:val="auto"/>
          <w:szCs w:val="21"/>
        </w:rPr>
      </w:pPr>
      <w:r>
        <w:rPr>
          <w:rFonts w:ascii="宋体" w:hAnsi="宋体" w:cs="宋体"/>
          <w:color w:val="auto"/>
          <w:szCs w:val="21"/>
        </w:rPr>
        <w:t>2</w:t>
      </w:r>
      <w:r>
        <w:rPr>
          <w:rFonts w:hint="eastAsia" w:ascii="宋体" w:hAnsi="宋体" w:cs="宋体"/>
          <w:color w:val="auto"/>
          <w:szCs w:val="21"/>
        </w:rPr>
        <w:t>、“投标人”系指向招标方提交投标文件的单位；</w:t>
      </w:r>
    </w:p>
    <w:p>
      <w:pPr>
        <w:snapToGrid w:val="0"/>
        <w:spacing w:line="360" w:lineRule="auto"/>
        <w:ind w:firstLine="420" w:firstLineChars="200"/>
        <w:jc w:val="left"/>
        <w:rPr>
          <w:rFonts w:ascii="宋体" w:cs="宋体"/>
          <w:color w:val="auto"/>
          <w:szCs w:val="21"/>
        </w:rPr>
      </w:pPr>
      <w:r>
        <w:rPr>
          <w:rFonts w:ascii="宋体" w:hAnsi="宋体" w:cs="宋体"/>
          <w:color w:val="auto"/>
          <w:szCs w:val="21"/>
        </w:rPr>
        <w:t>3</w:t>
      </w:r>
      <w:r>
        <w:rPr>
          <w:rFonts w:hint="eastAsia" w:ascii="宋体" w:hAnsi="宋体" w:cs="宋体"/>
          <w:color w:val="auto"/>
          <w:szCs w:val="21"/>
        </w:rPr>
        <w:t>、“服务”系指招标文件规定投标人须承担的安装、调试、技术协助、校准、培训、技术指导以及其他类似的义务；</w:t>
      </w:r>
    </w:p>
    <w:p>
      <w:pPr>
        <w:snapToGrid w:val="0"/>
        <w:spacing w:line="360" w:lineRule="auto"/>
        <w:ind w:firstLine="420" w:firstLineChars="200"/>
        <w:jc w:val="left"/>
        <w:rPr>
          <w:rFonts w:ascii="宋体" w:cs="宋体"/>
          <w:color w:val="auto"/>
          <w:szCs w:val="21"/>
        </w:rPr>
      </w:pPr>
      <w:r>
        <w:rPr>
          <w:rFonts w:ascii="宋体" w:hAnsi="宋体" w:cs="宋体"/>
          <w:color w:val="auto"/>
          <w:szCs w:val="21"/>
        </w:rPr>
        <w:t>4</w:t>
      </w:r>
      <w:r>
        <w:rPr>
          <w:rFonts w:hint="eastAsia" w:ascii="宋体" w:hAnsi="宋体" w:cs="宋体"/>
          <w:color w:val="auto"/>
          <w:szCs w:val="21"/>
        </w:rPr>
        <w:t>、“项目”系指投标人按招标文件规定向采购人提供的服务；</w:t>
      </w:r>
    </w:p>
    <w:p>
      <w:pPr>
        <w:snapToGrid w:val="0"/>
        <w:spacing w:line="360" w:lineRule="auto"/>
        <w:ind w:firstLine="420" w:firstLineChars="200"/>
        <w:jc w:val="left"/>
        <w:rPr>
          <w:rFonts w:ascii="宋体" w:cs="宋体"/>
          <w:color w:val="auto"/>
          <w:szCs w:val="21"/>
        </w:rPr>
      </w:pPr>
      <w:r>
        <w:rPr>
          <w:rFonts w:ascii="宋体" w:hAnsi="宋体" w:cs="宋体"/>
          <w:color w:val="auto"/>
          <w:szCs w:val="21"/>
        </w:rPr>
        <w:t>5</w:t>
      </w:r>
      <w:r>
        <w:rPr>
          <w:rFonts w:hint="eastAsia" w:ascii="宋体" w:hAnsi="宋体" w:cs="宋体"/>
          <w:color w:val="auto"/>
          <w:szCs w:val="21"/>
        </w:rPr>
        <w:t>、“书面形式”包括信函、传真、电报等；</w:t>
      </w:r>
    </w:p>
    <w:p>
      <w:pPr>
        <w:snapToGrid w:val="0"/>
        <w:spacing w:line="360" w:lineRule="auto"/>
        <w:ind w:firstLine="420" w:firstLineChars="200"/>
        <w:jc w:val="left"/>
        <w:rPr>
          <w:rFonts w:ascii="宋体" w:hAnsi="宋体" w:cs="宋体"/>
          <w:color w:val="auto"/>
          <w:szCs w:val="21"/>
        </w:rPr>
      </w:pPr>
      <w:r>
        <w:rPr>
          <w:rFonts w:ascii="宋体" w:hAnsi="宋体" w:cs="宋体"/>
          <w:color w:val="auto"/>
          <w:szCs w:val="21"/>
        </w:rPr>
        <w:t>6</w:t>
      </w:r>
      <w:r>
        <w:rPr>
          <w:rFonts w:hint="eastAsia" w:ascii="宋体" w:hAnsi="宋体" w:cs="宋体"/>
          <w:color w:val="auto"/>
          <w:szCs w:val="21"/>
        </w:rPr>
        <w:t>、“</w:t>
      </w:r>
      <w:r>
        <w:rPr>
          <w:rFonts w:hint="eastAsia" w:ascii="宋体" w:hAnsi="宋体" w:cs="宋体"/>
          <w:color w:val="auto"/>
          <w:sz w:val="24"/>
        </w:rPr>
        <w:t>★</w:t>
      </w:r>
      <w:r>
        <w:rPr>
          <w:rFonts w:hint="eastAsia" w:ascii="宋体" w:hAnsi="宋体" w:cs="宋体"/>
          <w:color w:val="auto"/>
          <w:szCs w:val="21"/>
        </w:rPr>
        <w:t>”系指实质性要求条款</w:t>
      </w:r>
      <w:r>
        <w:rPr>
          <w:rFonts w:hint="eastAsia" w:ascii="宋体" w:hAnsi="宋体" w:cs="宋体"/>
          <w:color w:val="auto"/>
          <w:szCs w:val="21"/>
          <w:lang w:eastAsia="zh-CN"/>
        </w:rPr>
        <w:t>，</w:t>
      </w:r>
      <w:r>
        <w:rPr>
          <w:rFonts w:hint="eastAsia" w:ascii="宋体" w:hAnsi="宋体" w:cs="宋体"/>
          <w:color w:val="auto"/>
          <w:szCs w:val="21"/>
          <w:lang w:val="en-US" w:eastAsia="zh-CN"/>
        </w:rPr>
        <w:t>如发生负偏离则作无效标处理</w:t>
      </w:r>
      <w:r>
        <w:rPr>
          <w:rFonts w:hint="eastAsia" w:ascii="宋体" w:hAnsi="宋体" w:cs="宋体"/>
          <w:color w:val="auto"/>
          <w:szCs w:val="21"/>
        </w:rPr>
        <w:t>。</w:t>
      </w:r>
    </w:p>
    <w:p>
      <w:pPr>
        <w:spacing w:line="360" w:lineRule="auto"/>
        <w:ind w:firstLine="211" w:firstLineChars="100"/>
        <w:rPr>
          <w:rFonts w:ascii="宋体" w:hAnsi="宋体" w:cs="宋体"/>
          <w:b/>
          <w:color w:val="auto"/>
          <w:szCs w:val="21"/>
        </w:rPr>
      </w:pPr>
      <w:r>
        <w:rPr>
          <w:rFonts w:hint="eastAsia" w:ascii="宋体" w:hAnsi="宋体" w:cs="宋体"/>
          <w:b/>
          <w:color w:val="auto"/>
          <w:szCs w:val="21"/>
        </w:rPr>
        <w:t>（三）合格的投标人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1、 合格的投标人应具备以下条件：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1.1 符合《政府采购法》第二十二条第一款规定的关于投标人基本资格条件和采购公告规定的特定条件。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1.2 投标人与采购人应无任何直接或间接的关联，包括接受采购人的委托为本次采购项目提供整体设计、规范编制或者项目管理、监理、检测等服务的投标人。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1.3 投标方与采购人有下列关系的，系直接或间接的关联，应当回避：</w:t>
      </w:r>
    </w:p>
    <w:p>
      <w:pPr>
        <w:spacing w:line="360" w:lineRule="auto"/>
        <w:ind w:firstLine="420" w:firstLineChars="200"/>
        <w:rPr>
          <w:rFonts w:ascii="宋体" w:hAnsi="宋体" w:cs="宋体"/>
          <w:color w:val="auto"/>
          <w:szCs w:val="21"/>
        </w:rPr>
      </w:pPr>
      <w:r>
        <w:rPr>
          <w:rFonts w:hint="eastAsia" w:ascii="宋体" w:hAnsi="宋体" w:cs="宋体"/>
          <w:color w:val="auto"/>
          <w:szCs w:val="21"/>
        </w:rPr>
        <w:t>（1）参加采购活动前三年内存在劳动关系；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（2）参加采购活动前3年内担任过投标方的董事、监事；</w:t>
      </w:r>
    </w:p>
    <w:p>
      <w:pPr>
        <w:spacing w:line="360" w:lineRule="auto"/>
        <w:ind w:firstLine="420" w:firstLineChars="200"/>
        <w:rPr>
          <w:rFonts w:ascii="宋体" w:hAnsi="宋体" w:cs="宋体"/>
          <w:color w:val="auto"/>
          <w:szCs w:val="21"/>
        </w:rPr>
      </w:pPr>
      <w:r>
        <w:rPr>
          <w:rFonts w:hint="eastAsia" w:ascii="宋体" w:hAnsi="宋体" w:cs="宋体"/>
          <w:color w:val="auto"/>
          <w:szCs w:val="21"/>
        </w:rPr>
        <w:t>（3）参加采购活动前3年内是投标方的控股股东或者实际控制人；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（4）与投标人的法定代表人或者负责人有夫妻、直系血亲、三代以内旁系血亲或者近姻亲关系；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（5）可能影响政府采购活动公平、公正进行的关系；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1.4 投标人之间存在下列关联关系情形之一的，不得同时参加同一合同项下的项目投标：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（1）单位负责人为同一人的两个及两个以上法人；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（2）有相互投资参股或管理与被管理的母子公司关系的投标人； </w:t>
      </w:r>
    </w:p>
    <w:p>
      <w:pPr>
        <w:spacing w:line="360" w:lineRule="auto"/>
        <w:ind w:firstLine="420" w:firstLineChars="200"/>
        <w:rPr>
          <w:rFonts w:ascii="宋体" w:hAnsi="宋体" w:cs="宋体"/>
          <w:color w:val="auto"/>
          <w:szCs w:val="21"/>
        </w:rPr>
      </w:pPr>
      <w:r>
        <w:rPr>
          <w:rFonts w:hint="eastAsia" w:ascii="宋体" w:hAnsi="宋体" w:cs="宋体"/>
          <w:color w:val="auto"/>
          <w:szCs w:val="21"/>
        </w:rPr>
        <w:t>（3）均为同一家母公司直接或间接持股50%及以上的被投资公司；</w:t>
      </w:r>
    </w:p>
    <w:p>
      <w:pPr>
        <w:spacing w:line="360" w:lineRule="auto"/>
        <w:ind w:firstLine="420" w:firstLineChars="200"/>
        <w:rPr>
          <w:rFonts w:ascii="宋体" w:hAnsi="宋体" w:cs="宋体"/>
          <w:color w:val="auto"/>
          <w:szCs w:val="21"/>
        </w:rPr>
      </w:pPr>
      <w:r>
        <w:rPr>
          <w:rFonts w:hint="eastAsia" w:ascii="宋体" w:hAnsi="宋体" w:cs="宋体"/>
          <w:color w:val="auto"/>
          <w:szCs w:val="21"/>
        </w:rPr>
        <w:t>1.5 一个投标人对一个项目只能提交一个投标文件。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1.6 投标人代理人只能接受一个投标方委托参加投标。</w:t>
      </w:r>
    </w:p>
    <w:p>
      <w:pPr>
        <w:spacing w:line="360" w:lineRule="auto"/>
        <w:ind w:firstLine="420" w:firstLineChars="200"/>
        <w:rPr>
          <w:color w:val="auto"/>
        </w:rPr>
      </w:pPr>
      <w:r>
        <w:rPr>
          <w:rFonts w:hint="eastAsia" w:ascii="宋体" w:hAnsi="宋体" w:cs="宋体"/>
          <w:color w:val="auto"/>
          <w:szCs w:val="21"/>
        </w:rPr>
        <w:t>1.7 如投标人代理人不是法定代表人，须持有《法定代表人授权书》（统一格式详见投标文件格式）</w:t>
      </w:r>
    </w:p>
    <w:p>
      <w:pPr>
        <w:snapToGrid w:val="0"/>
        <w:spacing w:line="360" w:lineRule="auto"/>
        <w:ind w:firstLine="413" w:firstLineChars="196"/>
        <w:jc w:val="left"/>
        <w:outlineLvl w:val="1"/>
        <w:rPr>
          <w:rFonts w:hint="eastAsia" w:ascii="宋体" w:hAnsi="宋体" w:cs="宋体"/>
          <w:b/>
          <w:color w:val="auto"/>
          <w:szCs w:val="21"/>
        </w:rPr>
      </w:pPr>
      <w:bookmarkStart w:id="43" w:name="_Toc29625"/>
      <w:r>
        <w:rPr>
          <w:rFonts w:hint="eastAsia" w:ascii="宋体" w:hAnsi="宋体" w:cs="宋体"/>
          <w:b/>
          <w:color w:val="auto"/>
          <w:szCs w:val="21"/>
        </w:rPr>
        <w:t>（四）招标方式</w:t>
      </w:r>
      <w:bookmarkEnd w:id="43"/>
    </w:p>
    <w:p>
      <w:pPr>
        <w:snapToGrid w:val="0"/>
        <w:spacing w:line="360" w:lineRule="auto"/>
        <w:ind w:firstLine="411" w:firstLineChars="196"/>
        <w:jc w:val="left"/>
        <w:outlineLvl w:val="1"/>
        <w:rPr>
          <w:rFonts w:ascii="宋体" w:cs="宋体"/>
          <w:color w:val="auto"/>
          <w:szCs w:val="21"/>
        </w:rPr>
      </w:pPr>
      <w:r>
        <w:rPr>
          <w:rFonts w:hint="eastAsia" w:ascii="宋体" w:hAnsi="宋体" w:cs="宋体"/>
          <w:color w:val="auto"/>
          <w:szCs w:val="21"/>
        </w:rPr>
        <w:t>本次招标采用公开招标方式进行。</w:t>
      </w:r>
    </w:p>
    <w:p>
      <w:pPr>
        <w:snapToGrid w:val="0"/>
        <w:spacing w:line="360" w:lineRule="auto"/>
        <w:ind w:firstLine="413" w:firstLineChars="196"/>
        <w:jc w:val="left"/>
        <w:outlineLvl w:val="1"/>
        <w:rPr>
          <w:rFonts w:ascii="宋体" w:cs="宋体"/>
          <w:b/>
          <w:color w:val="auto"/>
          <w:szCs w:val="21"/>
        </w:rPr>
      </w:pPr>
      <w:bookmarkStart w:id="44" w:name="_Toc13620"/>
      <w:r>
        <w:rPr>
          <w:rFonts w:hint="eastAsia" w:ascii="宋体" w:hAnsi="宋体" w:cs="宋体"/>
          <w:b/>
          <w:color w:val="auto"/>
          <w:szCs w:val="21"/>
        </w:rPr>
        <w:t>（五）投标委托</w:t>
      </w:r>
      <w:bookmarkEnd w:id="44"/>
    </w:p>
    <w:p>
      <w:pPr>
        <w:snapToGrid w:val="0"/>
        <w:spacing w:line="360" w:lineRule="auto"/>
        <w:ind w:firstLine="420" w:firstLineChars="200"/>
        <w:jc w:val="left"/>
        <w:rPr>
          <w:rFonts w:ascii="宋体" w:hAnsi="宋体" w:cs="宋体"/>
          <w:color w:val="auto"/>
          <w:szCs w:val="21"/>
        </w:rPr>
      </w:pPr>
      <w:bookmarkStart w:id="45" w:name="_Toc18576"/>
      <w:r>
        <w:rPr>
          <w:rFonts w:hint="eastAsia" w:ascii="宋体" w:hAnsi="宋体" w:cs="宋体"/>
          <w:color w:val="auto"/>
          <w:szCs w:val="21"/>
        </w:rPr>
        <w:t>投标人代表须携带有效身份证件。如投标人代表不是法定代表人，须有法定代表人出具的授权委托书并在投标文件中提供投标人代表的社保部门出具的开标前近一个月的社保证明（投标文件正本用原件，副本可用复印件），未按上述要求提供社保证明的作无效标处理。</w:t>
      </w:r>
    </w:p>
    <w:p>
      <w:pPr>
        <w:snapToGrid w:val="0"/>
        <w:spacing w:line="360" w:lineRule="auto"/>
        <w:ind w:firstLine="470" w:firstLineChars="196"/>
        <w:jc w:val="left"/>
        <w:outlineLvl w:val="1"/>
        <w:rPr>
          <w:rFonts w:ascii="宋体" w:cs="宋体"/>
          <w:b/>
          <w:color w:val="auto"/>
          <w:szCs w:val="21"/>
        </w:rPr>
      </w:pPr>
      <w:r>
        <w:rPr>
          <w:rFonts w:hint="eastAsia" w:ascii="宋体" w:hAnsi="宋体" w:cs="宋体"/>
          <w:color w:val="auto"/>
          <w:sz w:val="24"/>
        </w:rPr>
        <w:t>★</w:t>
      </w:r>
      <w:r>
        <w:rPr>
          <w:rFonts w:hint="eastAsia" w:ascii="宋体" w:hAnsi="宋体" w:cs="宋体"/>
          <w:b/>
          <w:color w:val="auto"/>
          <w:szCs w:val="21"/>
        </w:rPr>
        <w:t>（六）投标费用</w:t>
      </w:r>
      <w:bookmarkEnd w:id="45"/>
    </w:p>
    <w:p>
      <w:pPr>
        <w:snapToGrid w:val="0"/>
        <w:spacing w:line="360" w:lineRule="auto"/>
        <w:ind w:firstLine="420" w:firstLineChars="200"/>
        <w:jc w:val="left"/>
        <w:rPr>
          <w:rFonts w:ascii="宋体" w:cs="宋体"/>
          <w:color w:val="auto"/>
          <w:szCs w:val="21"/>
        </w:rPr>
      </w:pPr>
      <w:r>
        <w:rPr>
          <w:rFonts w:hint="eastAsia" w:ascii="宋体" w:hAnsi="宋体" w:cs="宋体"/>
          <w:color w:val="auto"/>
          <w:szCs w:val="21"/>
        </w:rPr>
        <w:t>不论投标结果如何，投标人均应自行承担所有与投标有关的全部费用（招标文件有相关规定除外）；</w:t>
      </w:r>
    </w:p>
    <w:p>
      <w:pPr>
        <w:snapToGrid w:val="0"/>
        <w:spacing w:line="360" w:lineRule="auto"/>
        <w:ind w:firstLine="413" w:firstLineChars="196"/>
        <w:jc w:val="left"/>
        <w:rPr>
          <w:rFonts w:ascii="宋体" w:cs="宋体"/>
          <w:b/>
          <w:color w:val="auto"/>
          <w:szCs w:val="21"/>
        </w:rPr>
      </w:pPr>
      <w:r>
        <w:rPr>
          <w:rFonts w:hint="eastAsia" w:ascii="宋体" w:hAnsi="宋体" w:cs="宋体"/>
          <w:b/>
          <w:color w:val="auto"/>
          <w:szCs w:val="21"/>
        </w:rPr>
        <w:t>（七）联合体投标</w:t>
      </w:r>
    </w:p>
    <w:p>
      <w:pPr>
        <w:snapToGrid w:val="0"/>
        <w:spacing w:line="360" w:lineRule="auto"/>
        <w:ind w:firstLine="630" w:firstLineChars="300"/>
        <w:jc w:val="left"/>
        <w:rPr>
          <w:rFonts w:ascii="宋体" w:cs="宋体"/>
          <w:color w:val="auto"/>
          <w:szCs w:val="21"/>
        </w:rPr>
      </w:pPr>
      <w:r>
        <w:rPr>
          <w:rFonts w:hint="eastAsia" w:ascii="宋体" w:hAnsi="宋体" w:cs="宋体"/>
          <w:color w:val="auto"/>
          <w:szCs w:val="21"/>
        </w:rPr>
        <w:t>本项目不接受联合体投标。</w:t>
      </w:r>
    </w:p>
    <w:p>
      <w:pPr>
        <w:snapToGrid w:val="0"/>
        <w:spacing w:line="360" w:lineRule="auto"/>
        <w:ind w:firstLine="413" w:firstLineChars="196"/>
        <w:rPr>
          <w:rFonts w:ascii="宋体" w:cs="宋体"/>
          <w:b/>
          <w:color w:val="auto"/>
          <w:kern w:val="0"/>
          <w:szCs w:val="21"/>
        </w:rPr>
      </w:pPr>
      <w:r>
        <w:rPr>
          <w:rFonts w:hint="eastAsia" w:ascii="宋体" w:hAnsi="宋体" w:cs="宋体"/>
          <w:b/>
          <w:color w:val="auto"/>
          <w:szCs w:val="21"/>
        </w:rPr>
        <w:t>（八）</w:t>
      </w:r>
      <w:r>
        <w:rPr>
          <w:rFonts w:hint="eastAsia" w:ascii="宋体" w:hAnsi="宋体" w:cs="宋体"/>
          <w:b/>
          <w:color w:val="auto"/>
          <w:kern w:val="0"/>
          <w:szCs w:val="21"/>
        </w:rPr>
        <w:t>转包与分包</w:t>
      </w:r>
    </w:p>
    <w:p>
      <w:pPr>
        <w:snapToGrid w:val="0"/>
        <w:spacing w:line="360" w:lineRule="auto"/>
        <w:ind w:firstLine="420" w:firstLineChars="200"/>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、本项目不允许转包；</w:t>
      </w:r>
    </w:p>
    <w:p>
      <w:pPr>
        <w:snapToGrid w:val="0"/>
        <w:spacing w:line="360" w:lineRule="auto"/>
        <w:ind w:firstLine="420" w:firstLineChars="200"/>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、本项目不可以分包。</w:t>
      </w:r>
    </w:p>
    <w:p>
      <w:pPr>
        <w:snapToGrid w:val="0"/>
        <w:spacing w:line="360" w:lineRule="auto"/>
        <w:ind w:firstLine="413" w:firstLineChars="196"/>
        <w:jc w:val="left"/>
        <w:outlineLvl w:val="1"/>
        <w:rPr>
          <w:rFonts w:ascii="宋体" w:cs="宋体"/>
          <w:b/>
          <w:color w:val="auto"/>
          <w:szCs w:val="21"/>
        </w:rPr>
      </w:pPr>
      <w:bookmarkStart w:id="46" w:name="_Toc2114"/>
      <w:r>
        <w:rPr>
          <w:rFonts w:hint="eastAsia" w:ascii="宋体" w:hAnsi="宋体" w:cs="宋体"/>
          <w:b/>
          <w:color w:val="auto"/>
          <w:szCs w:val="21"/>
        </w:rPr>
        <w:t>（九）特别说明</w:t>
      </w:r>
      <w:bookmarkEnd w:id="46"/>
    </w:p>
    <w:p>
      <w:pPr>
        <w:widowControl/>
        <w:spacing w:line="360" w:lineRule="auto"/>
        <w:ind w:firstLine="420" w:firstLineChars="200"/>
        <w:jc w:val="left"/>
        <w:rPr>
          <w:rFonts w:hAnsi="宋体" w:cs="宋体"/>
          <w:color w:val="auto"/>
          <w:szCs w:val="21"/>
        </w:rPr>
      </w:pPr>
      <w:r>
        <w:rPr>
          <w:rFonts w:ascii="宋体" w:hAnsi="宋体" w:cs="宋体"/>
          <w:color w:val="auto"/>
          <w:kern w:val="0"/>
          <w:szCs w:val="21"/>
        </w:rPr>
        <w:t>1</w:t>
      </w:r>
      <w:r>
        <w:rPr>
          <w:rFonts w:hint="eastAsia" w:ascii="宋体" w:hAnsi="宋体" w:cs="宋体"/>
          <w:color w:val="auto"/>
          <w:kern w:val="0"/>
          <w:szCs w:val="21"/>
        </w:rPr>
        <w:t>、</w:t>
      </w:r>
      <w:r>
        <w:rPr>
          <w:rFonts w:hint="eastAsia" w:hAnsi="宋体" w:cs="宋体"/>
          <w:color w:val="auto"/>
          <w:szCs w:val="21"/>
        </w:rPr>
        <w:t>投标人应仔细阅读招标文件的所有内容，按照招标文件的要求提交投标文件，并对所提供的全部资料的真实性承担法律责任；</w:t>
      </w:r>
    </w:p>
    <w:p>
      <w:pPr>
        <w:widowControl/>
        <w:spacing w:line="360" w:lineRule="auto"/>
        <w:ind w:firstLine="420" w:firstLineChars="200"/>
        <w:jc w:val="left"/>
        <w:rPr>
          <w:rFonts w:hAnsi="宋体" w:cs="宋体"/>
          <w:color w:val="auto"/>
          <w:szCs w:val="21"/>
        </w:rPr>
      </w:pPr>
      <w:r>
        <w:rPr>
          <w:rFonts w:ascii="宋体" w:hAnsi="宋体" w:cs="宋体"/>
          <w:color w:val="auto"/>
          <w:kern w:val="0"/>
          <w:szCs w:val="21"/>
        </w:rPr>
        <w:t>2</w:t>
      </w:r>
      <w:r>
        <w:rPr>
          <w:rFonts w:hint="eastAsia" w:ascii="宋体" w:hAnsi="宋体" w:cs="宋体"/>
          <w:color w:val="auto"/>
          <w:kern w:val="0"/>
          <w:szCs w:val="21"/>
        </w:rPr>
        <w:t>、</w:t>
      </w:r>
      <w:r>
        <w:rPr>
          <w:rFonts w:hint="eastAsia" w:hAnsi="宋体" w:cs="宋体"/>
          <w:color w:val="auto"/>
          <w:szCs w:val="21"/>
        </w:rPr>
        <w:t>投标人在投标活动中提供任何虚假材料，其投标无效，并报监管部门查处；</w:t>
      </w:r>
    </w:p>
    <w:p>
      <w:pPr>
        <w:snapToGrid w:val="0"/>
        <w:spacing w:line="360" w:lineRule="auto"/>
        <w:ind w:firstLine="413" w:firstLineChars="196"/>
        <w:jc w:val="left"/>
        <w:outlineLvl w:val="1"/>
        <w:rPr>
          <w:rFonts w:ascii="宋体" w:cs="宋体"/>
          <w:b/>
          <w:color w:val="auto"/>
          <w:szCs w:val="21"/>
        </w:rPr>
      </w:pPr>
      <w:r>
        <w:rPr>
          <w:rFonts w:hint="eastAsia" w:ascii="宋体" w:hAnsi="宋体" w:cs="宋体"/>
          <w:b/>
          <w:color w:val="auto"/>
          <w:szCs w:val="21"/>
        </w:rPr>
        <w:t>（十）关于知识产权</w:t>
      </w:r>
    </w:p>
    <w:p>
      <w:pPr>
        <w:widowControl/>
        <w:spacing w:line="360" w:lineRule="auto"/>
        <w:ind w:firstLine="420" w:firstLineChars="200"/>
        <w:jc w:val="left"/>
        <w:rPr>
          <w:rFonts w:hAnsi="宋体" w:cs="宋体"/>
          <w:color w:val="auto"/>
          <w:szCs w:val="21"/>
        </w:rPr>
      </w:pPr>
      <w:r>
        <w:rPr>
          <w:rFonts w:ascii="宋体" w:hAnsi="宋体" w:cs="宋体"/>
          <w:color w:val="auto"/>
          <w:kern w:val="0"/>
          <w:szCs w:val="21"/>
        </w:rPr>
        <w:t>1</w:t>
      </w:r>
      <w:r>
        <w:rPr>
          <w:rFonts w:hint="eastAsia" w:ascii="宋体" w:hAnsi="宋体" w:cs="宋体"/>
          <w:color w:val="auto"/>
          <w:kern w:val="0"/>
          <w:szCs w:val="21"/>
        </w:rPr>
        <w:t>、</w:t>
      </w:r>
      <w:r>
        <w:rPr>
          <w:rFonts w:hint="eastAsia" w:hAnsi="宋体" w:cs="宋体"/>
          <w:color w:val="auto"/>
          <w:szCs w:val="21"/>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idowControl/>
        <w:spacing w:line="360" w:lineRule="auto"/>
        <w:ind w:firstLine="420" w:firstLineChars="200"/>
        <w:jc w:val="left"/>
        <w:rPr>
          <w:rFonts w:hAnsi="宋体" w:cs="宋体"/>
          <w:color w:val="auto"/>
          <w:szCs w:val="21"/>
        </w:rPr>
      </w:pPr>
      <w:r>
        <w:rPr>
          <w:rFonts w:ascii="宋体" w:hAnsi="宋体" w:cs="宋体"/>
          <w:color w:val="auto"/>
          <w:kern w:val="0"/>
          <w:szCs w:val="21"/>
        </w:rPr>
        <w:t>2</w:t>
      </w:r>
      <w:r>
        <w:rPr>
          <w:rFonts w:hint="eastAsia" w:ascii="宋体" w:hAnsi="宋体" w:cs="宋体"/>
          <w:color w:val="auto"/>
          <w:kern w:val="0"/>
          <w:szCs w:val="21"/>
        </w:rPr>
        <w:t>、</w:t>
      </w:r>
      <w:r>
        <w:rPr>
          <w:rFonts w:hint="eastAsia" w:hAnsi="宋体" w:cs="宋体"/>
          <w:color w:val="auto"/>
          <w:szCs w:val="21"/>
        </w:rPr>
        <w:t>投标报价应包含所有应向所有权人支付的专利权、商标权或其它知识产权的一切相关费用；</w:t>
      </w:r>
    </w:p>
    <w:p>
      <w:pPr>
        <w:widowControl/>
        <w:spacing w:line="360" w:lineRule="auto"/>
        <w:ind w:firstLine="420" w:firstLineChars="200"/>
        <w:jc w:val="left"/>
        <w:rPr>
          <w:rFonts w:hAnsi="宋体" w:cs="宋体"/>
          <w:color w:val="auto"/>
          <w:szCs w:val="21"/>
        </w:rPr>
      </w:pPr>
      <w:r>
        <w:rPr>
          <w:rFonts w:ascii="宋体" w:hAnsi="宋体" w:cs="宋体"/>
          <w:color w:val="auto"/>
          <w:kern w:val="0"/>
          <w:szCs w:val="21"/>
        </w:rPr>
        <w:t>3</w:t>
      </w:r>
      <w:r>
        <w:rPr>
          <w:rFonts w:hint="eastAsia" w:ascii="宋体" w:hAnsi="宋体" w:cs="宋体"/>
          <w:color w:val="auto"/>
          <w:kern w:val="0"/>
          <w:szCs w:val="21"/>
        </w:rPr>
        <w:t>、</w:t>
      </w:r>
      <w:r>
        <w:rPr>
          <w:rFonts w:hint="eastAsia" w:hAnsi="宋体" w:cs="宋体"/>
          <w:color w:val="auto"/>
          <w:szCs w:val="21"/>
        </w:rPr>
        <w:t>系统软件、通用软件必须是具有在中国境内的合法使用权或版权的正版软件，涉及到第三方提出侵权或知识产权的起诉及支付版税等费用由投标人承担所有责任及费用。</w:t>
      </w:r>
    </w:p>
    <w:p>
      <w:pPr>
        <w:pStyle w:val="14"/>
        <w:snapToGrid w:val="0"/>
        <w:spacing w:beforeLines="0" w:after="120" w:line="360" w:lineRule="auto"/>
        <w:ind w:left="2" w:leftChars="1" w:firstLine="422" w:firstLineChars="200"/>
        <w:rPr>
          <w:rFonts w:hAnsi="宋体" w:cs="宋体"/>
          <w:b/>
          <w:bCs/>
          <w:color w:val="auto"/>
          <w:sz w:val="21"/>
          <w:szCs w:val="21"/>
        </w:rPr>
      </w:pPr>
      <w:r>
        <w:rPr>
          <w:rFonts w:hint="eastAsia" w:hAnsi="宋体" w:cs="宋体"/>
          <w:b/>
          <w:bCs/>
          <w:color w:val="auto"/>
          <w:sz w:val="21"/>
          <w:szCs w:val="21"/>
        </w:rPr>
        <w:t>（十一）质疑和投诉</w:t>
      </w:r>
    </w:p>
    <w:p>
      <w:pPr>
        <w:spacing w:line="360" w:lineRule="auto"/>
        <w:ind w:firstLine="420" w:firstLineChars="200"/>
        <w:rPr>
          <w:rFonts w:ascii="宋体" w:hAnsi="宋体" w:cs="宋体"/>
          <w:color w:val="auto"/>
          <w:szCs w:val="21"/>
        </w:rPr>
      </w:pPr>
      <w:bookmarkStart w:id="47" w:name="_Toc6223"/>
      <w:r>
        <w:rPr>
          <w:rFonts w:hint="eastAsia" w:ascii="宋体" w:hAnsi="宋体" w:cs="宋体"/>
          <w:color w:val="auto"/>
          <w:szCs w:val="21"/>
        </w:rPr>
        <w:t>1、投标人认为采购文件、采购过程、中标或者成交结果使自己的权益受到损害的，须在应知其利益受损之日起七个工作日内以书面形式向采购人、采购代理机构提出质疑。投标人应当在法定质疑期内一次性提出针对同一采购程序环节的质疑。</w:t>
      </w:r>
    </w:p>
    <w:p>
      <w:pPr>
        <w:spacing w:line="360" w:lineRule="auto"/>
        <w:ind w:firstLine="420" w:firstLineChars="200"/>
        <w:rPr>
          <w:rFonts w:ascii="宋体" w:hAnsi="宋体" w:cs="宋体"/>
          <w:color w:val="auto"/>
          <w:szCs w:val="21"/>
        </w:rPr>
      </w:pPr>
      <w:r>
        <w:rPr>
          <w:rFonts w:hint="eastAsia" w:ascii="宋体" w:hAnsi="宋体" w:cs="宋体"/>
          <w:color w:val="auto"/>
          <w:szCs w:val="21"/>
        </w:rPr>
        <w:t>2、提出质疑的投标人应当是参与所质疑项目采购活动的投标人。未依法获取采购文件的，不得就采购文件提出质疑；未提交投标文件的投标人，视为与采购结果没有利害关系，不得就采购响应截止时间后的采购过程、采购结果提出质疑。</w:t>
      </w:r>
    </w:p>
    <w:p>
      <w:pPr>
        <w:spacing w:line="360" w:lineRule="auto"/>
        <w:ind w:firstLine="420" w:firstLineChars="200"/>
        <w:rPr>
          <w:rFonts w:ascii="宋体" w:hAnsi="宋体" w:cs="宋体"/>
          <w:color w:val="auto"/>
          <w:szCs w:val="21"/>
        </w:rPr>
      </w:pPr>
      <w:r>
        <w:rPr>
          <w:rFonts w:hint="eastAsia" w:ascii="宋体" w:hAnsi="宋体" w:cs="宋体"/>
          <w:color w:val="auto"/>
          <w:szCs w:val="21"/>
        </w:rPr>
        <w:t>3、投标人提出质疑应当提交质疑函和必要的证明材料，质疑函应当面以书面形式提出，质疑函格式和内容须符合财政部《质疑函范本》要求，投标人可到中国政府采购网自行下载财政部《质疑函范本》。</w:t>
      </w:r>
    </w:p>
    <w:p>
      <w:pPr>
        <w:spacing w:line="360" w:lineRule="auto"/>
        <w:ind w:firstLine="420" w:firstLineChars="200"/>
        <w:rPr>
          <w:rFonts w:ascii="宋体" w:hAnsi="宋体" w:cs="宋体"/>
          <w:color w:val="auto"/>
          <w:szCs w:val="21"/>
        </w:rPr>
      </w:pPr>
      <w:r>
        <w:rPr>
          <w:rFonts w:hint="eastAsia" w:ascii="宋体" w:hAnsi="宋体" w:cs="宋体"/>
          <w:color w:val="auto"/>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spacing w:line="360" w:lineRule="auto"/>
        <w:ind w:firstLine="420" w:firstLineChars="200"/>
        <w:rPr>
          <w:rFonts w:ascii="宋体" w:hAnsi="宋体" w:cs="宋体"/>
          <w:color w:val="auto"/>
          <w:szCs w:val="21"/>
        </w:rPr>
      </w:pPr>
      <w:r>
        <w:rPr>
          <w:rFonts w:hint="eastAsia" w:ascii="宋体" w:hAnsi="宋体" w:cs="宋体"/>
          <w:color w:val="auto"/>
          <w:szCs w:val="21"/>
        </w:rPr>
        <w:t>5、投标人对采购人或采购代理机构的质疑答复不满意或者采购人或采购代理机构未在规定时间内作出答复的，可以在答复期满后十五个工作日内向同级采购监管部门投诉。</w:t>
      </w:r>
    </w:p>
    <w:p>
      <w:pPr>
        <w:pStyle w:val="14"/>
        <w:snapToGrid w:val="0"/>
        <w:spacing w:beforeLines="0" w:after="120" w:line="360" w:lineRule="auto"/>
        <w:ind w:firstLine="413" w:firstLineChars="196"/>
        <w:outlineLvl w:val="0"/>
        <w:rPr>
          <w:rFonts w:hAnsi="宋体" w:cs="宋体"/>
          <w:b/>
          <w:color w:val="auto"/>
          <w:sz w:val="21"/>
          <w:szCs w:val="21"/>
        </w:rPr>
      </w:pPr>
      <w:r>
        <w:rPr>
          <w:rFonts w:hint="eastAsia" w:hAnsi="宋体" w:cs="宋体"/>
          <w:b/>
          <w:color w:val="auto"/>
          <w:sz w:val="21"/>
          <w:szCs w:val="21"/>
        </w:rPr>
        <w:t>二</w:t>
      </w:r>
      <w:r>
        <w:rPr>
          <w:rFonts w:hint="eastAsia" w:hAnsi="宋体" w:cs="宋体"/>
          <w:b/>
          <w:color w:val="auto"/>
          <w:sz w:val="21"/>
          <w:szCs w:val="21"/>
          <w:lang w:eastAsia="zh-CN"/>
        </w:rPr>
        <w:t>、</w:t>
      </w:r>
      <w:r>
        <w:rPr>
          <w:rFonts w:hint="eastAsia" w:hAnsi="宋体" w:cs="宋体"/>
          <w:b/>
          <w:color w:val="auto"/>
          <w:sz w:val="21"/>
          <w:szCs w:val="21"/>
        </w:rPr>
        <w:t>招标文件</w:t>
      </w:r>
      <w:bookmarkEnd w:id="47"/>
    </w:p>
    <w:p>
      <w:pPr>
        <w:snapToGrid w:val="0"/>
        <w:spacing w:line="360" w:lineRule="auto"/>
        <w:ind w:firstLine="413" w:firstLineChars="196"/>
        <w:jc w:val="left"/>
        <w:rPr>
          <w:rFonts w:ascii="宋体" w:cs="宋体"/>
          <w:b/>
          <w:color w:val="auto"/>
          <w:szCs w:val="21"/>
        </w:rPr>
      </w:pPr>
      <w:r>
        <w:rPr>
          <w:rFonts w:hint="eastAsia" w:ascii="宋体" w:hAnsi="宋体" w:cs="宋体"/>
          <w:b/>
          <w:color w:val="auto"/>
          <w:szCs w:val="21"/>
        </w:rPr>
        <w:t>（一）招标文件的构成。本招标文件由以下部分组成：</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1、公开招标公告</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2、招标需求</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3、投标人须知</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4、评标办法及评分标准</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、投标文件格式</w:t>
      </w:r>
    </w:p>
    <w:p>
      <w:pPr>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6、投标文件格式</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7、本项目招标文件的澄清、答复、修改、补充的内容。</w:t>
      </w:r>
    </w:p>
    <w:p>
      <w:pPr>
        <w:snapToGrid w:val="0"/>
        <w:spacing w:line="360" w:lineRule="auto"/>
        <w:ind w:firstLine="413" w:firstLineChars="196"/>
        <w:jc w:val="left"/>
        <w:rPr>
          <w:rFonts w:ascii="宋体" w:cs="宋体"/>
          <w:b/>
          <w:color w:val="auto"/>
          <w:szCs w:val="21"/>
        </w:rPr>
      </w:pPr>
      <w:r>
        <w:rPr>
          <w:rFonts w:hint="eastAsia" w:ascii="宋体" w:hAnsi="宋体" w:cs="宋体"/>
          <w:b/>
          <w:color w:val="auto"/>
          <w:szCs w:val="21"/>
        </w:rPr>
        <w:t>（二）投标人的风险</w:t>
      </w:r>
    </w:p>
    <w:p>
      <w:pPr>
        <w:pStyle w:val="22"/>
        <w:spacing w:line="360" w:lineRule="auto"/>
        <w:ind w:firstLine="420"/>
        <w:rPr>
          <w:rFonts w:ascii="宋体" w:eastAsia="宋体" w:cs="宋体"/>
          <w:color w:val="auto"/>
          <w:sz w:val="21"/>
          <w:szCs w:val="21"/>
        </w:rPr>
      </w:pPr>
      <w:r>
        <w:rPr>
          <w:rFonts w:hint="eastAsia" w:ascii="宋体" w:eastAsia="宋体" w:cs="宋体"/>
          <w:color w:val="auto"/>
          <w:sz w:val="21"/>
          <w:szCs w:val="21"/>
        </w:rPr>
        <w:t>投标人没有按照招标文件要求提供全部资料，或者投标人没有对招标文件在各方面作出实质性响应是投标人的风险，并可能导致其投标被拒绝。</w:t>
      </w:r>
    </w:p>
    <w:p>
      <w:pPr>
        <w:pStyle w:val="22"/>
        <w:spacing w:line="360" w:lineRule="auto"/>
        <w:ind w:firstLine="422"/>
        <w:rPr>
          <w:rFonts w:ascii="宋体" w:eastAsia="宋体" w:cs="宋体"/>
          <w:b/>
          <w:color w:val="auto"/>
          <w:sz w:val="21"/>
          <w:szCs w:val="21"/>
        </w:rPr>
      </w:pPr>
      <w:r>
        <w:rPr>
          <w:rFonts w:hint="eastAsia" w:ascii="宋体" w:eastAsia="宋体" w:cs="宋体"/>
          <w:b/>
          <w:color w:val="auto"/>
          <w:sz w:val="21"/>
          <w:szCs w:val="21"/>
        </w:rPr>
        <w:t>（三）招标文件的澄清与修改</w:t>
      </w:r>
    </w:p>
    <w:p>
      <w:pPr>
        <w:pStyle w:val="14"/>
        <w:spacing w:beforeLines="0" w:afterLines="0" w:line="360" w:lineRule="auto"/>
        <w:ind w:firstLine="413"/>
        <w:rPr>
          <w:rFonts w:hAnsi="宋体" w:cs="宋体"/>
          <w:color w:val="auto"/>
          <w:sz w:val="21"/>
          <w:szCs w:val="21"/>
        </w:rPr>
      </w:pPr>
      <w:r>
        <w:rPr>
          <w:rFonts w:hint="eastAsia" w:hAnsi="宋体" w:cs="宋体"/>
          <w:color w:val="auto"/>
          <w:sz w:val="21"/>
          <w:szCs w:val="21"/>
        </w:rPr>
        <w:t>1、采购人对采购文件进行必要的澄清或者修改的，在发布招标公告的网站上发布更正公告。澄清或者修改的内容可能影响投标文件编制的，更正公告在投标截止时间至少15日前发出；不足15日的，顺延提交投标文件截止时间。</w:t>
      </w:r>
    </w:p>
    <w:p>
      <w:pPr>
        <w:pStyle w:val="14"/>
        <w:spacing w:beforeLines="0" w:afterLines="0" w:line="360" w:lineRule="auto"/>
        <w:ind w:firstLine="413"/>
        <w:rPr>
          <w:rFonts w:hAnsi="宋体" w:cs="宋体"/>
          <w:color w:val="auto"/>
          <w:sz w:val="21"/>
          <w:szCs w:val="21"/>
        </w:rPr>
      </w:pPr>
      <w:r>
        <w:rPr>
          <w:rFonts w:hint="eastAsia" w:hAnsi="宋体" w:cs="宋体"/>
          <w:color w:val="auto"/>
          <w:sz w:val="21"/>
          <w:szCs w:val="21"/>
        </w:rPr>
        <w:t>2、更正公告为采购文件的组成部分，一经在网站发布，视同已通知所有采购文件的收受人，不再采用其它方式传达相关信息, 若因未能及时了解到上述网站上发布的相关信息而导致的一切后果自行承担。</w:t>
      </w:r>
    </w:p>
    <w:p>
      <w:pPr>
        <w:pStyle w:val="14"/>
        <w:spacing w:beforeLines="0" w:afterLines="0" w:line="360" w:lineRule="auto"/>
        <w:ind w:firstLine="413"/>
        <w:rPr>
          <w:rFonts w:hAnsi="宋体" w:cs="宋体"/>
          <w:color w:val="auto"/>
          <w:sz w:val="21"/>
          <w:szCs w:val="21"/>
        </w:rPr>
      </w:pPr>
      <w:r>
        <w:rPr>
          <w:rFonts w:hint="eastAsia" w:hAnsi="宋体" w:cs="宋体"/>
          <w:color w:val="auto"/>
          <w:sz w:val="21"/>
          <w:szCs w:val="21"/>
        </w:rPr>
        <w:t>3、如更正公告有重新发布电子采购文件的，投标人应下载最新发布的电子招标文件制作投标文件。</w:t>
      </w:r>
    </w:p>
    <w:p>
      <w:pPr>
        <w:pStyle w:val="6"/>
        <w:numPr>
          <w:ilvl w:val="0"/>
          <w:numId w:val="0"/>
        </w:numPr>
        <w:tabs>
          <w:tab w:val="left" w:pos="720"/>
          <w:tab w:val="clear" w:pos="360"/>
        </w:tabs>
        <w:adjustRightInd w:val="0"/>
        <w:spacing w:line="360" w:lineRule="auto"/>
        <w:ind w:firstLine="420" w:firstLineChars="200"/>
        <w:rPr>
          <w:rFonts w:cs="宋体"/>
          <w:color w:val="auto"/>
          <w:szCs w:val="21"/>
        </w:rPr>
      </w:pPr>
      <w:r>
        <w:rPr>
          <w:rFonts w:hint="eastAsia" w:ascii="宋体" w:hAnsi="宋体" w:cs="宋体"/>
          <w:color w:val="auto"/>
          <w:szCs w:val="21"/>
        </w:rPr>
        <w:t>4、</w:t>
      </w:r>
      <w:r>
        <w:rPr>
          <w:rFonts w:hint="eastAsia" w:hAnsi="宋体" w:cs="宋体"/>
          <w:color w:val="auto"/>
          <w:szCs w:val="21"/>
        </w:rPr>
        <w:t>投标人在规定的时间内未对招标文件提出疑问、质疑或要求澄清的，将视其为无异议。对采购文件中描述有歧义或前后不一致的地方，评标委员会有权进行评判，但对同一条款的评判应适用于每个投标人。</w:t>
      </w:r>
    </w:p>
    <w:p>
      <w:pPr>
        <w:pStyle w:val="14"/>
        <w:snapToGrid w:val="0"/>
        <w:spacing w:beforeLines="0" w:after="120" w:line="360" w:lineRule="auto"/>
        <w:ind w:firstLine="413" w:firstLineChars="196"/>
        <w:outlineLvl w:val="1"/>
        <w:rPr>
          <w:rFonts w:hAnsi="宋体" w:cs="宋体"/>
          <w:b/>
          <w:color w:val="auto"/>
          <w:sz w:val="21"/>
          <w:szCs w:val="21"/>
        </w:rPr>
      </w:pPr>
      <w:bookmarkStart w:id="48" w:name="_Toc1389"/>
      <w:r>
        <w:rPr>
          <w:rFonts w:hint="eastAsia" w:hAnsi="宋体" w:cs="宋体"/>
          <w:b/>
          <w:color w:val="auto"/>
          <w:sz w:val="21"/>
          <w:szCs w:val="21"/>
        </w:rPr>
        <w:t>三、投标文件的编制</w:t>
      </w:r>
      <w:bookmarkEnd w:id="48"/>
    </w:p>
    <w:p>
      <w:pPr>
        <w:widowControl/>
        <w:tabs>
          <w:tab w:val="left" w:pos="645"/>
        </w:tabs>
        <w:snapToGrid w:val="0"/>
        <w:spacing w:line="360" w:lineRule="auto"/>
        <w:ind w:firstLine="211" w:firstLineChars="100"/>
        <w:rPr>
          <w:rFonts w:ascii="宋体" w:hAnsi="宋体"/>
          <w:b/>
          <w:bCs/>
          <w:color w:val="auto"/>
          <w:szCs w:val="21"/>
        </w:rPr>
      </w:pPr>
      <w:bookmarkStart w:id="49" w:name="_Toc1582"/>
      <w:r>
        <w:rPr>
          <w:rFonts w:hint="eastAsia" w:ascii="宋体" w:hAnsi="宋体"/>
          <w:b/>
          <w:bCs/>
          <w:color w:val="auto"/>
          <w:szCs w:val="21"/>
        </w:rPr>
        <w:t>（一）</w:t>
      </w:r>
      <w:r>
        <w:rPr>
          <w:rFonts w:hint="eastAsia" w:ascii="宋体" w:hAnsi="宋体"/>
          <w:b/>
          <w:bCs/>
          <w:color w:val="auto"/>
          <w:szCs w:val="21"/>
          <w:lang w:val="zh-CN"/>
        </w:rPr>
        <w:t>投标</w:t>
      </w:r>
      <w:r>
        <w:rPr>
          <w:rFonts w:ascii="宋体" w:hAnsi="宋体"/>
          <w:b/>
          <w:bCs/>
          <w:color w:val="auto"/>
          <w:szCs w:val="21"/>
          <w:lang w:val="zh-CN"/>
        </w:rPr>
        <w:t>文件</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1、</w:t>
      </w:r>
      <w:r>
        <w:rPr>
          <w:rFonts w:hint="eastAsia" w:ascii="宋体" w:hAnsi="宋体"/>
          <w:color w:val="auto"/>
          <w:szCs w:val="21"/>
          <w:lang w:val="zh-CN"/>
        </w:rPr>
        <w:t>投标</w:t>
      </w:r>
      <w:r>
        <w:rPr>
          <w:rFonts w:ascii="宋体" w:hAnsi="宋体"/>
          <w:color w:val="auto"/>
          <w:szCs w:val="21"/>
          <w:lang w:val="zh-CN"/>
        </w:rPr>
        <w:t>文件以及投标</w:t>
      </w:r>
      <w:r>
        <w:rPr>
          <w:rFonts w:hint="eastAsia" w:ascii="宋体" w:hAnsi="宋体"/>
          <w:color w:val="auto"/>
          <w:szCs w:val="21"/>
          <w:lang w:val="zh-CN"/>
        </w:rPr>
        <w:t>人</w:t>
      </w:r>
      <w:r>
        <w:rPr>
          <w:rFonts w:ascii="宋体" w:hAnsi="宋体"/>
          <w:color w:val="auto"/>
          <w:szCs w:val="21"/>
          <w:lang w:val="zh-CN"/>
        </w:rPr>
        <w:t>与采购代理机构就有关本次采购事宜的所有来往函电均应使用简体中文。</w:t>
      </w:r>
    </w:p>
    <w:p>
      <w:pPr>
        <w:widowControl/>
        <w:snapToGrid w:val="0"/>
        <w:spacing w:line="360" w:lineRule="auto"/>
        <w:ind w:firstLine="420" w:firstLineChars="200"/>
        <w:rPr>
          <w:rFonts w:ascii="宋体" w:hAnsi="宋体"/>
          <w:color w:val="auto"/>
          <w:szCs w:val="21"/>
          <w:lang w:val="zh-CN"/>
        </w:rPr>
      </w:pPr>
      <w:r>
        <w:rPr>
          <w:rFonts w:hint="eastAsia" w:ascii="宋体" w:hAnsi="宋体"/>
          <w:bCs/>
          <w:color w:val="auto"/>
          <w:szCs w:val="21"/>
        </w:rPr>
        <w:t>2、</w:t>
      </w:r>
      <w:r>
        <w:rPr>
          <w:rFonts w:ascii="宋体" w:hAnsi="宋体"/>
          <w:color w:val="auto"/>
          <w:szCs w:val="21"/>
          <w:lang w:val="zh-CN"/>
        </w:rPr>
        <w:t>除本文件中另有规定外，响应文件所使用的计量单位，均须采用国家法定计量单位。</w:t>
      </w:r>
    </w:p>
    <w:p>
      <w:pPr>
        <w:widowControl/>
        <w:snapToGrid w:val="0"/>
        <w:spacing w:line="360" w:lineRule="auto"/>
        <w:ind w:firstLine="211" w:firstLineChars="100"/>
        <w:rPr>
          <w:rFonts w:ascii="宋体" w:hAnsi="宋体"/>
          <w:bCs/>
          <w:color w:val="auto"/>
          <w:szCs w:val="21"/>
        </w:rPr>
      </w:pPr>
      <w:r>
        <w:rPr>
          <w:rFonts w:hint="eastAsia" w:ascii="宋体" w:hAnsi="宋体"/>
          <w:b/>
          <w:bCs/>
          <w:color w:val="auto"/>
          <w:szCs w:val="21"/>
        </w:rPr>
        <w:t>（二）投标文件的形式和效力</w:t>
      </w:r>
    </w:p>
    <w:p>
      <w:pPr>
        <w:snapToGrid w:val="0"/>
        <w:spacing w:line="360" w:lineRule="auto"/>
        <w:ind w:firstLine="411" w:firstLineChars="196"/>
        <w:jc w:val="left"/>
        <w:outlineLvl w:val="0"/>
        <w:rPr>
          <w:rFonts w:ascii="宋体" w:hAnsi="宋体"/>
          <w:color w:val="auto"/>
          <w:szCs w:val="21"/>
        </w:rPr>
      </w:pPr>
      <w:r>
        <w:rPr>
          <w:rFonts w:hint="eastAsia" w:ascii="宋体" w:hAnsi="宋体"/>
          <w:color w:val="auto"/>
          <w:szCs w:val="21"/>
        </w:rPr>
        <w:t>1、投标文件分为电子投标文件以及备份投标文件，备份投标文件包括以介质存储的数据电文形式的备份投标文件。</w:t>
      </w:r>
      <w:r>
        <w:rPr>
          <w:rFonts w:hint="eastAsia" w:ascii="宋体" w:hAnsi="宋体"/>
          <w:color w:val="auto"/>
          <w:szCs w:val="21"/>
        </w:rPr>
        <w:cr/>
      </w:r>
      <w:r>
        <w:rPr>
          <w:rFonts w:hint="eastAsia" w:ascii="宋体" w:hAnsi="宋体"/>
          <w:color w:val="auto"/>
          <w:szCs w:val="21"/>
          <w:lang w:val="en-US" w:eastAsia="zh-CN"/>
        </w:rPr>
        <w:t xml:space="preserve">   </w:t>
      </w:r>
      <w:r>
        <w:rPr>
          <w:rFonts w:hint="eastAsia" w:ascii="宋体" w:hAnsi="宋体"/>
          <w:color w:val="auto"/>
          <w:szCs w:val="21"/>
        </w:rPr>
        <w:t>2、电子投标文件，按“供应商-电子招投标操作指南”及本采购文件要求制作、加密并递交，所须加盖公章部分均采用CA签章。</w:t>
      </w:r>
      <w:r>
        <w:rPr>
          <w:rFonts w:hint="eastAsia" w:ascii="宋体" w:hAnsi="宋体"/>
          <w:color w:val="auto"/>
          <w:szCs w:val="21"/>
        </w:rPr>
        <w:cr/>
      </w:r>
      <w:r>
        <w:rPr>
          <w:rFonts w:hint="eastAsia" w:ascii="宋体" w:hAnsi="宋体"/>
          <w:color w:val="auto"/>
          <w:szCs w:val="21"/>
          <w:lang w:val="en-US" w:eastAsia="zh-CN"/>
        </w:rPr>
        <w:t xml:space="preserve">   </w:t>
      </w:r>
      <w:r>
        <w:rPr>
          <w:rFonts w:hint="eastAsia" w:ascii="宋体" w:hAnsi="宋体"/>
          <w:color w:val="auto"/>
          <w:szCs w:val="21"/>
        </w:rPr>
        <w:t>3、以介质存储的数据电文形式的备份投标文件，即电子投标文件按“供应商-电子招投标操作指南”制作的备份文件。</w:t>
      </w:r>
      <w:r>
        <w:rPr>
          <w:rFonts w:hint="eastAsia" w:ascii="宋体" w:hAnsi="宋体"/>
          <w:color w:val="auto"/>
          <w:szCs w:val="21"/>
        </w:rPr>
        <w:cr/>
      </w:r>
      <w:r>
        <w:rPr>
          <w:rFonts w:hint="eastAsia" w:ascii="宋体" w:hAnsi="宋体"/>
          <w:color w:val="auto"/>
          <w:szCs w:val="21"/>
        </w:rPr>
        <w:t xml:space="preserve"> </w:t>
      </w:r>
      <w:r>
        <w:rPr>
          <w:rFonts w:hint="eastAsia" w:ascii="宋体" w:hAnsi="宋体"/>
          <w:color w:val="auto"/>
          <w:szCs w:val="21"/>
          <w:lang w:val="en-US" w:eastAsia="zh-CN"/>
        </w:rPr>
        <w:t xml:space="preserve">  4</w:t>
      </w:r>
      <w:r>
        <w:rPr>
          <w:rFonts w:hint="eastAsia" w:ascii="宋体" w:hAnsi="宋体"/>
          <w:color w:val="auto"/>
          <w:szCs w:val="21"/>
        </w:rPr>
        <w:t>、投标文件的效力</w:t>
      </w:r>
      <w:r>
        <w:rPr>
          <w:rFonts w:hint="eastAsia" w:ascii="宋体" w:hAnsi="宋体"/>
          <w:color w:val="auto"/>
          <w:szCs w:val="21"/>
        </w:rPr>
        <w:cr/>
      </w:r>
      <w:r>
        <w:rPr>
          <w:rFonts w:hint="eastAsia" w:ascii="宋体" w:hAnsi="宋体"/>
          <w:color w:val="auto"/>
          <w:szCs w:val="21"/>
          <w:lang w:val="en-US" w:eastAsia="zh-CN"/>
        </w:rPr>
        <w:t xml:space="preserve">    </w:t>
      </w:r>
      <w:r>
        <w:rPr>
          <w:rFonts w:hint="eastAsia" w:ascii="宋体" w:hAnsi="宋体"/>
          <w:bCs/>
          <w:color w:val="auto"/>
          <w:szCs w:val="21"/>
        </w:rPr>
        <w:t>投标文件的启用，按先后顺位分别为电子响应文件、以介质存储的数据电文形式的备份投标文件。在下一顺位的投标文件启用时，前一顺位的投标文件自动失效。</w:t>
      </w:r>
      <w:r>
        <w:rPr>
          <w:rFonts w:hint="eastAsia" w:ascii="宋体" w:hAnsi="宋体"/>
          <w:bCs/>
          <w:color w:val="auto"/>
          <w:szCs w:val="21"/>
        </w:rPr>
        <w:cr/>
      </w:r>
      <w:r>
        <w:rPr>
          <w:rFonts w:hint="eastAsia" w:ascii="宋体" w:hAnsi="宋体"/>
          <w:bCs/>
          <w:color w:val="auto"/>
          <w:szCs w:val="21"/>
          <w:lang w:val="en-US" w:eastAsia="zh-CN"/>
        </w:rPr>
        <w:t xml:space="preserve">    </w:t>
      </w:r>
      <w:r>
        <w:rPr>
          <w:rFonts w:hint="eastAsia" w:ascii="宋体" w:hAnsi="宋体"/>
          <w:color w:val="auto"/>
          <w:szCs w:val="21"/>
        </w:rPr>
        <w:t>投标文件未按时解密，投标人提供了备份投标文件的，以备份投标文件作为依据，否则视为投标文件撤回。投标文件已按时解密的，备份投标文件自动失效。</w:t>
      </w:r>
    </w:p>
    <w:p>
      <w:pPr>
        <w:snapToGrid w:val="0"/>
        <w:spacing w:line="360" w:lineRule="auto"/>
        <w:ind w:firstLine="211" w:firstLineChars="100"/>
        <w:jc w:val="left"/>
        <w:outlineLvl w:val="0"/>
        <w:rPr>
          <w:rFonts w:ascii="宋体" w:cs="宋体"/>
          <w:b/>
          <w:color w:val="auto"/>
          <w:szCs w:val="21"/>
        </w:rPr>
      </w:pPr>
      <w:r>
        <w:rPr>
          <w:rFonts w:hint="eastAsia" w:ascii="宋体" w:hAnsi="宋体" w:cs="宋体"/>
          <w:b/>
          <w:color w:val="auto"/>
          <w:szCs w:val="21"/>
        </w:rPr>
        <w:t>（三）投标文件的组成</w:t>
      </w:r>
      <w:bookmarkEnd w:id="49"/>
    </w:p>
    <w:p>
      <w:pPr>
        <w:snapToGrid w:val="0"/>
        <w:spacing w:line="360" w:lineRule="auto"/>
        <w:ind w:firstLine="420" w:firstLineChars="200"/>
        <w:jc w:val="left"/>
        <w:rPr>
          <w:rFonts w:ascii="宋体" w:cs="宋体"/>
          <w:color w:val="auto"/>
          <w:szCs w:val="21"/>
        </w:rPr>
      </w:pPr>
      <w:bookmarkStart w:id="50" w:name="_Toc3020"/>
      <w:r>
        <w:rPr>
          <w:rFonts w:hint="eastAsia" w:ascii="宋体" w:hAnsi="宋体" w:cs="宋体"/>
          <w:color w:val="auto"/>
          <w:szCs w:val="21"/>
        </w:rPr>
        <w:t>投标文件由资格审查文件、商务技术文件、报价文件组成。</w:t>
      </w:r>
    </w:p>
    <w:p>
      <w:pPr>
        <w:snapToGrid w:val="0"/>
        <w:spacing w:line="360" w:lineRule="auto"/>
        <w:ind w:firstLine="422" w:firstLineChars="200"/>
        <w:jc w:val="left"/>
        <w:rPr>
          <w:rFonts w:ascii="宋体" w:cs="宋体"/>
          <w:b/>
          <w:bCs/>
          <w:color w:val="auto"/>
          <w:szCs w:val="21"/>
        </w:rPr>
      </w:pPr>
      <w:r>
        <w:rPr>
          <w:rFonts w:hint="eastAsia" w:ascii="宋体" w:hAnsi="宋体" w:cs="宋体"/>
          <w:b/>
          <w:bCs/>
          <w:color w:val="auto"/>
          <w:szCs w:val="21"/>
        </w:rPr>
        <w:t>1</w:t>
      </w:r>
      <w:r>
        <w:rPr>
          <w:rFonts w:ascii="宋体" w:hAnsi="宋体" w:cs="宋体"/>
          <w:b/>
          <w:bCs/>
          <w:color w:val="auto"/>
          <w:szCs w:val="21"/>
        </w:rPr>
        <w:t>.</w:t>
      </w:r>
      <w:r>
        <w:rPr>
          <w:rFonts w:hint="eastAsia" w:ascii="宋体" w:hAnsi="宋体" w:cs="宋体"/>
          <w:b/>
          <w:bCs/>
          <w:color w:val="auto"/>
          <w:szCs w:val="21"/>
        </w:rPr>
        <w:t>资格审查文件：</w:t>
      </w:r>
    </w:p>
    <w:p>
      <w:pPr>
        <w:pStyle w:val="22"/>
        <w:spacing w:line="360" w:lineRule="auto"/>
        <w:ind w:firstLine="420"/>
        <w:rPr>
          <w:rFonts w:ascii="宋体" w:eastAsia="宋体" w:cs="宋体"/>
          <w:color w:val="auto"/>
          <w:sz w:val="21"/>
          <w:szCs w:val="21"/>
        </w:rPr>
      </w:pPr>
      <w:r>
        <w:rPr>
          <w:rFonts w:hint="eastAsia" w:ascii="宋体" w:eastAsia="宋体" w:cs="宋体"/>
          <w:color w:val="auto"/>
          <w:sz w:val="21"/>
          <w:szCs w:val="21"/>
        </w:rPr>
        <w:t>（</w:t>
      </w:r>
      <w:r>
        <w:rPr>
          <w:rFonts w:ascii="宋体" w:eastAsia="宋体" w:cs="宋体"/>
          <w:color w:val="auto"/>
          <w:sz w:val="21"/>
          <w:szCs w:val="21"/>
        </w:rPr>
        <w:t>1</w:t>
      </w:r>
      <w:r>
        <w:rPr>
          <w:rFonts w:hint="eastAsia" w:ascii="宋体" w:eastAsia="宋体" w:cs="宋体"/>
          <w:color w:val="auto"/>
          <w:sz w:val="21"/>
          <w:szCs w:val="21"/>
        </w:rPr>
        <w:t>）资格条件自查表（格式见第五章）；</w:t>
      </w:r>
    </w:p>
    <w:p>
      <w:pPr>
        <w:pStyle w:val="22"/>
        <w:spacing w:line="360" w:lineRule="auto"/>
        <w:ind w:firstLine="420"/>
        <w:rPr>
          <w:rFonts w:ascii="宋体" w:eastAsia="宋体" w:cs="宋体"/>
          <w:color w:val="auto"/>
          <w:sz w:val="21"/>
          <w:szCs w:val="21"/>
        </w:rPr>
      </w:pPr>
      <w:r>
        <w:rPr>
          <w:rFonts w:hint="eastAsia" w:ascii="宋体" w:eastAsia="宋体" w:cs="宋体"/>
          <w:color w:val="auto"/>
          <w:sz w:val="21"/>
          <w:szCs w:val="21"/>
        </w:rPr>
        <w:t>（</w:t>
      </w:r>
      <w:r>
        <w:rPr>
          <w:rFonts w:ascii="宋体" w:eastAsia="宋体" w:cs="宋体"/>
          <w:color w:val="auto"/>
          <w:sz w:val="21"/>
          <w:szCs w:val="21"/>
        </w:rPr>
        <w:t>2</w:t>
      </w:r>
      <w:r>
        <w:rPr>
          <w:rFonts w:hint="eastAsia" w:ascii="宋体" w:eastAsia="宋体" w:cs="宋体"/>
          <w:color w:val="auto"/>
          <w:sz w:val="21"/>
          <w:szCs w:val="21"/>
        </w:rPr>
        <w:t>）投标声明书（格式见第五章）；</w:t>
      </w:r>
    </w:p>
    <w:p>
      <w:pPr>
        <w:pStyle w:val="22"/>
        <w:spacing w:line="360" w:lineRule="auto"/>
        <w:ind w:firstLine="420"/>
        <w:rPr>
          <w:rFonts w:ascii="宋体" w:eastAsia="宋体" w:cs="宋体"/>
          <w:color w:val="auto"/>
          <w:sz w:val="21"/>
          <w:szCs w:val="21"/>
        </w:rPr>
      </w:pPr>
      <w:r>
        <w:rPr>
          <w:rFonts w:hint="eastAsia" w:ascii="宋体" w:eastAsia="宋体" w:cs="宋体"/>
          <w:color w:val="auto"/>
          <w:sz w:val="21"/>
          <w:szCs w:val="21"/>
        </w:rPr>
        <w:t>（</w:t>
      </w:r>
      <w:r>
        <w:rPr>
          <w:rFonts w:ascii="宋体" w:eastAsia="宋体" w:cs="宋体"/>
          <w:color w:val="auto"/>
          <w:sz w:val="21"/>
          <w:szCs w:val="21"/>
        </w:rPr>
        <w:t>3</w:t>
      </w:r>
      <w:r>
        <w:rPr>
          <w:rFonts w:hint="eastAsia" w:ascii="宋体" w:eastAsia="宋体" w:cs="宋体"/>
          <w:color w:val="auto"/>
          <w:sz w:val="21"/>
          <w:szCs w:val="21"/>
        </w:rPr>
        <w:t>）符合《中华人民共和国政府采购法》第二十二条规定的投标人资格条件，提供以下材料（格式见第五章）：</w:t>
      </w:r>
    </w:p>
    <w:p>
      <w:pPr>
        <w:snapToGrid w:val="0"/>
        <w:spacing w:line="360" w:lineRule="auto"/>
        <w:ind w:firstLine="630" w:firstLineChars="300"/>
        <w:jc w:val="left"/>
        <w:rPr>
          <w:rFonts w:ascii="宋体" w:cs="宋体"/>
          <w:color w:val="auto"/>
          <w:szCs w:val="21"/>
        </w:rPr>
      </w:pPr>
      <w:r>
        <w:rPr>
          <w:rFonts w:hint="eastAsia" w:ascii="宋体" w:hAnsi="宋体" w:cs="宋体"/>
          <w:color w:val="auto"/>
          <w:szCs w:val="21"/>
        </w:rPr>
        <w:t>企业法人营业执照或事业单位法人证书；</w:t>
      </w:r>
    </w:p>
    <w:p>
      <w:pPr>
        <w:snapToGrid w:val="0"/>
        <w:spacing w:line="360" w:lineRule="auto"/>
        <w:ind w:firstLine="630" w:firstLineChars="300"/>
        <w:jc w:val="left"/>
        <w:rPr>
          <w:rFonts w:ascii="宋体" w:cs="宋体"/>
          <w:color w:val="auto"/>
          <w:szCs w:val="21"/>
        </w:rPr>
      </w:pPr>
      <w:r>
        <w:rPr>
          <w:rFonts w:hint="eastAsia" w:ascii="宋体" w:hAnsi="宋体" w:cs="宋体"/>
          <w:color w:val="auto"/>
          <w:szCs w:val="21"/>
          <w:lang w:val="en-US" w:eastAsia="zh-CN"/>
        </w:rPr>
        <w:t>2021</w:t>
      </w:r>
      <w:r>
        <w:rPr>
          <w:rFonts w:hint="eastAsia" w:ascii="宋体" w:hAnsi="宋体" w:cs="宋体"/>
          <w:color w:val="auto"/>
          <w:szCs w:val="21"/>
        </w:rPr>
        <w:t>年财务状况报告复印件，其他组织或投标人新成立不足一年，提供银行出具的资信证明材料复印件；</w:t>
      </w:r>
    </w:p>
    <w:p>
      <w:pPr>
        <w:snapToGrid w:val="0"/>
        <w:spacing w:line="360" w:lineRule="auto"/>
        <w:ind w:firstLine="630" w:firstLineChars="300"/>
        <w:jc w:val="left"/>
        <w:rPr>
          <w:rFonts w:ascii="宋体" w:cs="宋体"/>
          <w:color w:val="auto"/>
          <w:szCs w:val="21"/>
        </w:rPr>
      </w:pPr>
      <w:r>
        <w:rPr>
          <w:rFonts w:hint="eastAsia" w:ascii="宋体" w:hAnsi="宋体" w:cs="宋体"/>
          <w:color w:val="auto"/>
          <w:szCs w:val="21"/>
        </w:rPr>
        <w:t>202</w:t>
      </w:r>
      <w:r>
        <w:rPr>
          <w:rFonts w:hint="eastAsia" w:ascii="宋体" w:hAnsi="宋体" w:cs="宋体"/>
          <w:color w:val="auto"/>
          <w:szCs w:val="21"/>
          <w:lang w:val="en-US" w:eastAsia="zh-CN"/>
        </w:rPr>
        <w:t>2</w:t>
      </w:r>
      <w:r>
        <w:rPr>
          <w:rFonts w:hint="eastAsia" w:ascii="宋体" w:hAnsi="宋体" w:cs="宋体"/>
          <w:color w:val="auto"/>
          <w:szCs w:val="21"/>
        </w:rPr>
        <w:t>年开具的缴纳税收的凭据证明材料复印件；如依法免税的，应提供相应文件证明其依法免税；</w:t>
      </w:r>
    </w:p>
    <w:p>
      <w:pPr>
        <w:snapToGrid w:val="0"/>
        <w:spacing w:line="360" w:lineRule="auto"/>
        <w:ind w:firstLine="630" w:firstLineChars="300"/>
        <w:jc w:val="left"/>
        <w:rPr>
          <w:rFonts w:ascii="宋体" w:cs="宋体"/>
          <w:color w:val="auto"/>
          <w:szCs w:val="21"/>
        </w:rPr>
      </w:pPr>
      <w:r>
        <w:rPr>
          <w:rFonts w:hint="eastAsia" w:ascii="宋体" w:hAnsi="宋体" w:cs="宋体"/>
          <w:color w:val="auto"/>
          <w:szCs w:val="21"/>
        </w:rPr>
        <w:t>202</w:t>
      </w:r>
      <w:r>
        <w:rPr>
          <w:rFonts w:hint="eastAsia" w:ascii="宋体" w:hAnsi="宋体" w:cs="宋体"/>
          <w:color w:val="auto"/>
          <w:szCs w:val="21"/>
          <w:lang w:val="en-US" w:eastAsia="zh-CN"/>
        </w:rPr>
        <w:t>2</w:t>
      </w:r>
      <w:r>
        <w:rPr>
          <w:rFonts w:hint="eastAsia" w:ascii="宋体" w:hAnsi="宋体" w:cs="宋体"/>
          <w:color w:val="auto"/>
          <w:szCs w:val="21"/>
        </w:rPr>
        <w:t>年开具的缴纳社会保险的凭据证明材料复印件；如依法不需要缴纳社会保障资的，应提供相应文件证明其依法不需要缴纳社会保障资金；</w:t>
      </w:r>
    </w:p>
    <w:p>
      <w:pPr>
        <w:snapToGrid w:val="0"/>
        <w:spacing w:line="360" w:lineRule="auto"/>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）提供具有履行合同所必需的设备和专业技术能力的书面声明；</w:t>
      </w:r>
    </w:p>
    <w:p>
      <w:pPr>
        <w:snapToGrid w:val="0"/>
        <w:spacing w:line="360" w:lineRule="auto"/>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）提供参加政府采购活动前</w:t>
      </w:r>
      <w:r>
        <w:rPr>
          <w:rFonts w:ascii="宋体" w:hAnsi="宋体" w:cs="宋体"/>
          <w:color w:val="auto"/>
          <w:szCs w:val="21"/>
        </w:rPr>
        <w:t>3</w:t>
      </w:r>
      <w:r>
        <w:rPr>
          <w:rFonts w:hint="eastAsia" w:ascii="宋体" w:hAnsi="宋体" w:cs="宋体"/>
          <w:color w:val="auto"/>
          <w:szCs w:val="21"/>
        </w:rPr>
        <w:t>年内在经营活动中没有重大违法记录；</w:t>
      </w:r>
    </w:p>
    <w:p>
      <w:pPr>
        <w:snapToGrid w:val="0"/>
        <w:spacing w:line="360" w:lineRule="auto"/>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）投标人特定资格条件的证明文件；</w:t>
      </w:r>
    </w:p>
    <w:p>
      <w:pPr>
        <w:snapToGrid w:val="0"/>
        <w:spacing w:line="360" w:lineRule="auto"/>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）招标文件要求及投标人认为需要提供的其他资料。</w:t>
      </w:r>
    </w:p>
    <w:p>
      <w:pPr>
        <w:snapToGrid w:val="0"/>
        <w:spacing w:line="360" w:lineRule="auto"/>
        <w:ind w:firstLine="422" w:firstLineChars="200"/>
        <w:jc w:val="left"/>
        <w:rPr>
          <w:rFonts w:ascii="宋体" w:cs="宋体"/>
          <w:b/>
          <w:bCs/>
          <w:color w:val="auto"/>
          <w:szCs w:val="21"/>
        </w:rPr>
      </w:pPr>
      <w:r>
        <w:rPr>
          <w:rFonts w:hint="eastAsia" w:ascii="宋体" w:hAnsi="宋体" w:cs="宋体"/>
          <w:b/>
          <w:bCs/>
          <w:color w:val="auto"/>
          <w:szCs w:val="21"/>
        </w:rPr>
        <w:t>2</w:t>
      </w:r>
      <w:r>
        <w:rPr>
          <w:rFonts w:ascii="宋体" w:hAnsi="宋体" w:cs="宋体"/>
          <w:b/>
          <w:bCs/>
          <w:color w:val="auto"/>
          <w:szCs w:val="21"/>
        </w:rPr>
        <w:t>.</w:t>
      </w:r>
      <w:r>
        <w:rPr>
          <w:rFonts w:hint="eastAsia" w:ascii="宋体" w:hAnsi="宋体" w:cs="宋体"/>
          <w:b/>
          <w:bCs/>
          <w:color w:val="auto"/>
          <w:szCs w:val="21"/>
        </w:rPr>
        <w:t>商务技术文件：</w:t>
      </w:r>
    </w:p>
    <w:p>
      <w:pPr>
        <w:numPr>
          <w:ilvl w:val="0"/>
          <w:numId w:val="6"/>
        </w:numPr>
        <w:snapToGrid w:val="0"/>
        <w:spacing w:line="360" w:lineRule="auto"/>
        <w:ind w:firstLine="420" w:firstLineChars="200"/>
        <w:jc w:val="left"/>
        <w:rPr>
          <w:rFonts w:ascii="宋体" w:cs="宋体"/>
          <w:color w:val="auto"/>
          <w:szCs w:val="21"/>
        </w:rPr>
      </w:pPr>
      <w:r>
        <w:rPr>
          <w:rFonts w:hint="eastAsia" w:ascii="宋体" w:hAnsi="宋体" w:cs="宋体"/>
          <w:color w:val="auto"/>
          <w:szCs w:val="21"/>
        </w:rPr>
        <w:t>符合性自查表（</w:t>
      </w:r>
      <w:r>
        <w:rPr>
          <w:rFonts w:hint="eastAsia" w:ascii="宋体" w:cs="宋体"/>
          <w:color w:val="auto"/>
          <w:szCs w:val="21"/>
        </w:rPr>
        <w:t>格式见第五章</w:t>
      </w:r>
      <w:r>
        <w:rPr>
          <w:rFonts w:hint="eastAsia" w:ascii="宋体" w:hAnsi="宋体" w:cs="宋体"/>
          <w:color w:val="auto"/>
          <w:szCs w:val="21"/>
        </w:rPr>
        <w:t>）；</w:t>
      </w:r>
    </w:p>
    <w:p>
      <w:pPr>
        <w:numPr>
          <w:ilvl w:val="0"/>
          <w:numId w:val="6"/>
        </w:numPr>
        <w:snapToGrid w:val="0"/>
        <w:spacing w:line="360" w:lineRule="auto"/>
        <w:ind w:firstLine="420" w:firstLineChars="200"/>
        <w:jc w:val="left"/>
        <w:rPr>
          <w:rFonts w:ascii="宋体" w:cs="宋体"/>
          <w:color w:val="auto"/>
          <w:szCs w:val="21"/>
        </w:rPr>
      </w:pPr>
      <w:r>
        <w:rPr>
          <w:rFonts w:hint="eastAsia" w:ascii="宋体" w:hAnsi="宋体" w:cs="宋体"/>
          <w:color w:val="auto"/>
          <w:szCs w:val="21"/>
        </w:rPr>
        <w:t>投标人响应表（</w:t>
      </w:r>
      <w:r>
        <w:rPr>
          <w:rFonts w:hint="eastAsia" w:ascii="宋体" w:cs="宋体"/>
          <w:color w:val="auto"/>
          <w:szCs w:val="21"/>
        </w:rPr>
        <w:t>格式见第五章</w:t>
      </w:r>
      <w:r>
        <w:rPr>
          <w:rFonts w:hint="eastAsia" w:ascii="宋体" w:hAnsi="宋体" w:cs="宋体"/>
          <w:color w:val="auto"/>
          <w:szCs w:val="21"/>
        </w:rPr>
        <w:t>）；</w:t>
      </w:r>
    </w:p>
    <w:p>
      <w:pPr>
        <w:numPr>
          <w:ilvl w:val="0"/>
          <w:numId w:val="6"/>
        </w:numPr>
        <w:snapToGrid w:val="0"/>
        <w:spacing w:line="360" w:lineRule="auto"/>
        <w:ind w:firstLine="420" w:firstLineChars="200"/>
        <w:jc w:val="left"/>
        <w:rPr>
          <w:rFonts w:ascii="宋体" w:cs="宋体"/>
          <w:color w:val="auto"/>
          <w:szCs w:val="21"/>
        </w:rPr>
      </w:pPr>
      <w:r>
        <w:rPr>
          <w:rFonts w:hint="eastAsia" w:ascii="宋体" w:hAnsi="宋体" w:cs="宋体"/>
          <w:color w:val="auto"/>
          <w:szCs w:val="21"/>
        </w:rPr>
        <w:t>投标函（</w:t>
      </w:r>
      <w:r>
        <w:rPr>
          <w:rFonts w:hint="eastAsia" w:ascii="宋体" w:cs="宋体"/>
          <w:color w:val="auto"/>
          <w:szCs w:val="21"/>
        </w:rPr>
        <w:t>格式见第五章</w:t>
      </w:r>
      <w:r>
        <w:rPr>
          <w:rFonts w:hint="eastAsia" w:ascii="宋体" w:hAnsi="宋体" w:cs="宋体"/>
          <w:color w:val="auto"/>
          <w:szCs w:val="21"/>
        </w:rPr>
        <w:t>）；</w:t>
      </w:r>
    </w:p>
    <w:p>
      <w:pPr>
        <w:snapToGrid w:val="0"/>
        <w:spacing w:line="360" w:lineRule="auto"/>
        <w:ind w:firstLine="420" w:firstLineChars="200"/>
        <w:jc w:val="left"/>
        <w:rPr>
          <w:rFonts w:ascii="宋体" w:cs="宋体"/>
          <w:color w:val="auto"/>
          <w:szCs w:val="21"/>
        </w:rPr>
      </w:pPr>
      <w:r>
        <w:rPr>
          <w:rFonts w:hint="eastAsia" w:ascii="宋体" w:hAnsi="宋体" w:cs="宋体"/>
          <w:color w:val="auto"/>
          <w:szCs w:val="21"/>
        </w:rPr>
        <w:t>（4）法定代表人的身份证明或法定代表人授权书（投标人的代表若为非法定代表人的，必须提交法定代表人授权书），并提供法定代表人和授权代表的身份证正反两面复印件（格式见附件）；</w:t>
      </w:r>
    </w:p>
    <w:p>
      <w:pPr>
        <w:snapToGrid w:val="0"/>
        <w:spacing w:line="360" w:lineRule="auto"/>
        <w:ind w:firstLine="420" w:firstLineChars="200"/>
        <w:jc w:val="left"/>
        <w:rPr>
          <w:rFonts w:ascii="宋体" w:cs="宋体"/>
          <w:color w:val="auto"/>
          <w:szCs w:val="21"/>
        </w:rPr>
      </w:pPr>
      <w:r>
        <w:rPr>
          <w:rFonts w:hint="eastAsia" w:ascii="宋体" w:hAnsi="宋体" w:cs="宋体"/>
          <w:color w:val="auto"/>
          <w:szCs w:val="21"/>
        </w:rPr>
        <w:t>（5）投标人基本情况表（格式见</w:t>
      </w:r>
      <w:r>
        <w:rPr>
          <w:rFonts w:hint="eastAsia" w:ascii="宋体" w:cs="宋体"/>
          <w:color w:val="auto"/>
          <w:szCs w:val="21"/>
        </w:rPr>
        <w:t>第五章</w:t>
      </w:r>
      <w:r>
        <w:rPr>
          <w:rFonts w:hint="eastAsia" w:ascii="宋体" w:hAnsi="宋体" w:cs="宋体"/>
          <w:color w:val="auto"/>
          <w:szCs w:val="21"/>
        </w:rPr>
        <w:t>）；</w:t>
      </w:r>
    </w:p>
    <w:p>
      <w:pPr>
        <w:snapToGrid w:val="0"/>
        <w:spacing w:line="360" w:lineRule="auto"/>
        <w:ind w:firstLine="420" w:firstLineChars="200"/>
        <w:jc w:val="left"/>
        <w:rPr>
          <w:rFonts w:asci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）以往业绩一览表（格式见</w:t>
      </w:r>
      <w:r>
        <w:rPr>
          <w:rFonts w:hint="eastAsia" w:ascii="宋体" w:cs="宋体"/>
          <w:color w:val="auto"/>
          <w:szCs w:val="21"/>
        </w:rPr>
        <w:t>第五章</w:t>
      </w:r>
      <w:r>
        <w:rPr>
          <w:rFonts w:hint="eastAsia" w:ascii="宋体" w:hAnsi="宋体" w:cs="宋体"/>
          <w:color w:val="auto"/>
          <w:szCs w:val="21"/>
        </w:rPr>
        <w:t>）；</w:t>
      </w:r>
    </w:p>
    <w:p>
      <w:pPr>
        <w:snapToGrid w:val="0"/>
        <w:spacing w:line="360" w:lineRule="auto"/>
        <w:ind w:firstLine="420" w:firstLineChars="200"/>
        <w:jc w:val="left"/>
        <w:rPr>
          <w:rFonts w:asci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）商务条款偏离表（格式见</w:t>
      </w:r>
      <w:r>
        <w:rPr>
          <w:rFonts w:hint="eastAsia" w:ascii="宋体" w:cs="宋体"/>
          <w:color w:val="auto"/>
          <w:szCs w:val="21"/>
        </w:rPr>
        <w:t>第五章</w:t>
      </w:r>
      <w:r>
        <w:rPr>
          <w:rFonts w:hint="eastAsia" w:ascii="宋体" w:hAnsi="宋体" w:cs="宋体"/>
          <w:color w:val="auto"/>
          <w:szCs w:val="21"/>
        </w:rPr>
        <w:t>）；</w:t>
      </w:r>
    </w:p>
    <w:p>
      <w:pPr>
        <w:snapToGrid w:val="0"/>
        <w:spacing w:line="360" w:lineRule="auto"/>
        <w:ind w:firstLine="420" w:firstLineChars="200"/>
        <w:jc w:val="left"/>
        <w:rPr>
          <w:rFonts w:asci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）技术条款偏离表（格式见</w:t>
      </w:r>
      <w:r>
        <w:rPr>
          <w:rFonts w:hint="eastAsia" w:ascii="宋体" w:cs="宋体"/>
          <w:color w:val="auto"/>
          <w:szCs w:val="21"/>
        </w:rPr>
        <w:t>第五章</w:t>
      </w:r>
      <w:r>
        <w:rPr>
          <w:rFonts w:hint="eastAsia" w:ascii="宋体" w:hAnsi="宋体" w:cs="宋体"/>
          <w:color w:val="auto"/>
          <w:szCs w:val="21"/>
        </w:rPr>
        <w:t>）；</w:t>
      </w:r>
    </w:p>
    <w:p>
      <w:pPr>
        <w:snapToGrid w:val="0"/>
        <w:spacing w:line="360" w:lineRule="auto"/>
        <w:ind w:firstLine="420" w:firstLineChars="200"/>
        <w:jc w:val="left"/>
        <w:rPr>
          <w:rFonts w:asci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）评分标准、招标文件资格要求及投标人认为需要提供的其它投标文件资料（如有）。</w:t>
      </w:r>
    </w:p>
    <w:p>
      <w:pPr>
        <w:snapToGrid w:val="0"/>
        <w:spacing w:line="360" w:lineRule="auto"/>
        <w:ind w:firstLine="422" w:firstLineChars="200"/>
        <w:jc w:val="left"/>
        <w:rPr>
          <w:rFonts w:ascii="宋体" w:cs="宋体"/>
          <w:b/>
          <w:bCs/>
          <w:color w:val="auto"/>
          <w:szCs w:val="21"/>
        </w:rPr>
      </w:pPr>
      <w:r>
        <w:rPr>
          <w:rFonts w:hint="eastAsia" w:ascii="宋体" w:hAnsi="宋体" w:cs="宋体"/>
          <w:b/>
          <w:bCs/>
          <w:color w:val="auto"/>
          <w:szCs w:val="21"/>
        </w:rPr>
        <w:t>3</w:t>
      </w:r>
      <w:r>
        <w:rPr>
          <w:rFonts w:ascii="宋体" w:hAnsi="宋体" w:cs="宋体"/>
          <w:b/>
          <w:bCs/>
          <w:color w:val="auto"/>
          <w:szCs w:val="21"/>
        </w:rPr>
        <w:t>.</w:t>
      </w:r>
      <w:r>
        <w:rPr>
          <w:rFonts w:hint="eastAsia" w:ascii="宋体" w:hAnsi="宋体" w:cs="宋体"/>
          <w:b/>
          <w:bCs/>
          <w:color w:val="auto"/>
          <w:szCs w:val="21"/>
        </w:rPr>
        <w:t>报价部分：</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）开标一览表（格式见第五章）；</w:t>
      </w:r>
    </w:p>
    <w:p>
      <w:pPr>
        <w:pStyle w:val="2"/>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（2）分项报价表（格式见第五章）；</w:t>
      </w:r>
    </w:p>
    <w:p>
      <w:pPr>
        <w:snapToGrid w:val="0"/>
        <w:spacing w:line="360" w:lineRule="auto"/>
        <w:ind w:firstLine="420" w:firstLineChars="200"/>
        <w:jc w:val="left"/>
        <w:rPr>
          <w:rFonts w:asci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）小微企业声明函（如有）；</w:t>
      </w:r>
    </w:p>
    <w:p>
      <w:pPr>
        <w:snapToGrid w:val="0"/>
        <w:spacing w:line="360" w:lineRule="auto"/>
        <w:ind w:firstLine="420" w:firstLineChars="200"/>
        <w:jc w:val="left"/>
        <w:rPr>
          <w:rFonts w:asci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）残疾人福利性单位声明函（如有）（格式见第五章）；</w:t>
      </w:r>
    </w:p>
    <w:p>
      <w:pPr>
        <w:snapToGrid w:val="0"/>
        <w:spacing w:line="360" w:lineRule="auto"/>
        <w:ind w:firstLine="420" w:firstLineChars="200"/>
        <w:jc w:val="left"/>
        <w:rPr>
          <w:rFonts w:asci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）投标人针对报价需要说明的其他文件和说明（格式自拟）。</w:t>
      </w:r>
    </w:p>
    <w:bookmarkEnd w:id="50"/>
    <w:p>
      <w:pPr>
        <w:tabs>
          <w:tab w:val="left" w:pos="525"/>
        </w:tabs>
        <w:snapToGrid w:val="0"/>
        <w:spacing w:line="360" w:lineRule="auto"/>
        <w:ind w:firstLine="422" w:firstLineChars="200"/>
        <w:jc w:val="left"/>
        <w:rPr>
          <w:rFonts w:ascii="宋体" w:cs="宋体"/>
          <w:b/>
          <w:bCs/>
          <w:color w:val="auto"/>
          <w:szCs w:val="21"/>
        </w:rPr>
      </w:pPr>
      <w:r>
        <w:rPr>
          <w:rFonts w:hint="eastAsia" w:ascii="宋体" w:hAnsi="宋体" w:cs="宋体"/>
          <w:b/>
          <w:bCs/>
          <w:color w:val="auto"/>
          <w:szCs w:val="21"/>
        </w:rPr>
        <w:t>（四）投标报价</w:t>
      </w:r>
    </w:p>
    <w:p>
      <w:pPr>
        <w:snapToGrid w:val="0"/>
        <w:spacing w:line="360" w:lineRule="auto"/>
        <w:ind w:firstLine="420" w:firstLineChars="200"/>
        <w:jc w:val="left"/>
        <w:rPr>
          <w:rFonts w:ascii="宋体" w:cs="宋体"/>
          <w:color w:val="auto"/>
          <w:szCs w:val="21"/>
        </w:rPr>
      </w:pPr>
      <w:r>
        <w:rPr>
          <w:rFonts w:ascii="宋体" w:hAnsi="宋体" w:cs="宋体"/>
          <w:color w:val="auto"/>
          <w:szCs w:val="21"/>
        </w:rPr>
        <w:t>1</w:t>
      </w:r>
      <w:r>
        <w:rPr>
          <w:rFonts w:hint="eastAsia" w:ascii="宋体" w:hAnsi="宋体" w:cs="宋体"/>
          <w:color w:val="auto"/>
          <w:szCs w:val="21"/>
        </w:rPr>
        <w:t>、投标报价应按采购文件中相关附表格式填写；</w:t>
      </w:r>
    </w:p>
    <w:p>
      <w:pPr>
        <w:snapToGrid w:val="0"/>
        <w:spacing w:line="360" w:lineRule="auto"/>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、投标报价是履行合同的最终价格，具体详见第三章投标人须知《前附表》；</w:t>
      </w:r>
    </w:p>
    <w:p>
      <w:pPr>
        <w:snapToGrid w:val="0"/>
        <w:spacing w:line="360" w:lineRule="auto"/>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、投标文件只允许有一个报价，有选择的或有条件的报价将不予接受。</w:t>
      </w:r>
    </w:p>
    <w:p>
      <w:pPr>
        <w:tabs>
          <w:tab w:val="left" w:pos="525"/>
        </w:tabs>
        <w:snapToGrid w:val="0"/>
        <w:spacing w:line="360" w:lineRule="auto"/>
        <w:ind w:firstLine="422" w:firstLineChars="200"/>
        <w:jc w:val="left"/>
        <w:rPr>
          <w:rFonts w:ascii="宋体" w:cs="宋体"/>
          <w:b/>
          <w:color w:val="auto"/>
          <w:szCs w:val="21"/>
        </w:rPr>
      </w:pPr>
      <w:r>
        <w:rPr>
          <w:rFonts w:hint="eastAsia" w:ascii="宋体" w:hAnsi="宋体" w:cs="宋体"/>
          <w:b/>
          <w:bCs/>
          <w:color w:val="auto"/>
          <w:szCs w:val="21"/>
        </w:rPr>
        <w:t>（五）</w:t>
      </w:r>
      <w:r>
        <w:rPr>
          <w:rFonts w:hint="eastAsia" w:ascii="宋体" w:hAnsi="宋体" w:cs="宋体"/>
          <w:b/>
          <w:color w:val="auto"/>
          <w:szCs w:val="21"/>
        </w:rPr>
        <w:t>投标文件的有效期</w:t>
      </w:r>
    </w:p>
    <w:p>
      <w:pPr>
        <w:tabs>
          <w:tab w:val="left" w:pos="525"/>
        </w:tabs>
        <w:snapToGrid w:val="0"/>
        <w:spacing w:line="360" w:lineRule="auto"/>
        <w:ind w:firstLine="480" w:firstLineChars="200"/>
        <w:jc w:val="left"/>
        <w:rPr>
          <w:rFonts w:ascii="宋体" w:cs="宋体"/>
          <w:color w:val="auto"/>
          <w:kern w:val="0"/>
          <w:szCs w:val="21"/>
        </w:rPr>
      </w:pPr>
      <w:r>
        <w:rPr>
          <w:rFonts w:hint="eastAsia" w:ascii="宋体" w:hAnsi="宋体" w:cs="宋体"/>
          <w:color w:val="auto"/>
          <w:sz w:val="24"/>
        </w:rPr>
        <w:t>★</w:t>
      </w:r>
      <w:r>
        <w:rPr>
          <w:rFonts w:ascii="宋体" w:hAnsi="宋体" w:cs="宋体"/>
          <w:color w:val="auto"/>
          <w:kern w:val="0"/>
          <w:szCs w:val="21"/>
        </w:rPr>
        <w:t>1</w:t>
      </w:r>
      <w:r>
        <w:rPr>
          <w:rFonts w:hint="eastAsia" w:ascii="宋体" w:hAnsi="宋体" w:cs="宋体"/>
          <w:color w:val="auto"/>
          <w:kern w:val="0"/>
          <w:szCs w:val="21"/>
        </w:rPr>
        <w:t>、自投标截止日起</w:t>
      </w:r>
      <w:r>
        <w:rPr>
          <w:rFonts w:ascii="宋体" w:hAnsi="宋体" w:cs="宋体"/>
          <w:b/>
          <w:bCs/>
          <w:color w:val="auto"/>
          <w:kern w:val="0"/>
          <w:szCs w:val="21"/>
          <w:u w:val="single"/>
        </w:rPr>
        <w:t xml:space="preserve"> 90 </w:t>
      </w:r>
      <w:r>
        <w:rPr>
          <w:rFonts w:hint="eastAsia" w:ascii="宋体" w:hAnsi="宋体" w:cs="宋体"/>
          <w:color w:val="auto"/>
          <w:kern w:val="0"/>
          <w:szCs w:val="21"/>
        </w:rPr>
        <w:t>天投标文件应保持有效。有效期不足的投标文件将被拒绝；</w:t>
      </w:r>
    </w:p>
    <w:p>
      <w:pPr>
        <w:tabs>
          <w:tab w:val="left" w:pos="525"/>
        </w:tabs>
        <w:snapToGrid w:val="0"/>
        <w:spacing w:line="360" w:lineRule="auto"/>
        <w:ind w:firstLine="420" w:firstLineChars="200"/>
        <w:jc w:val="left"/>
        <w:rPr>
          <w:rFonts w:ascii="宋体" w:cs="宋体"/>
          <w:color w:val="auto"/>
          <w:szCs w:val="21"/>
        </w:rPr>
      </w:pPr>
      <w:r>
        <w:rPr>
          <w:rFonts w:ascii="宋体" w:hAnsi="宋体" w:cs="宋体"/>
          <w:color w:val="auto"/>
          <w:szCs w:val="21"/>
        </w:rPr>
        <w:t>2</w:t>
      </w:r>
      <w:r>
        <w:rPr>
          <w:rFonts w:hint="eastAsia" w:ascii="宋体" w:hAnsi="宋体" w:cs="宋体"/>
          <w:color w:val="auto"/>
          <w:szCs w:val="21"/>
        </w:rPr>
        <w:t>、在特殊情况下，招标人可与投标人协商延长投标书的有效期，这种要求和答复均以书面形式进行；</w:t>
      </w:r>
    </w:p>
    <w:p>
      <w:pPr>
        <w:snapToGrid w:val="0"/>
        <w:spacing w:line="360" w:lineRule="auto"/>
        <w:ind w:firstLine="420" w:firstLineChars="200"/>
        <w:jc w:val="left"/>
        <w:outlineLvl w:val="0"/>
        <w:rPr>
          <w:rFonts w:ascii="宋体" w:cs="宋体"/>
          <w:b/>
          <w:color w:val="auto"/>
          <w:szCs w:val="21"/>
        </w:rPr>
      </w:pPr>
      <w:bookmarkStart w:id="51" w:name="_Toc26675"/>
      <w:r>
        <w:rPr>
          <w:rFonts w:ascii="宋体" w:hAnsi="宋体" w:cs="宋体"/>
          <w:color w:val="auto"/>
          <w:szCs w:val="21"/>
        </w:rPr>
        <w:t>3</w:t>
      </w:r>
      <w:r>
        <w:rPr>
          <w:rFonts w:hint="eastAsia" w:ascii="宋体" w:hAnsi="宋体" w:cs="宋体"/>
          <w:color w:val="auto"/>
          <w:szCs w:val="21"/>
        </w:rPr>
        <w:t>、同意延长有效期的投标人不能修改投标文件</w:t>
      </w:r>
      <w:bookmarkEnd w:id="51"/>
      <w:r>
        <w:rPr>
          <w:rFonts w:hint="eastAsia" w:ascii="宋体" w:hAnsi="宋体" w:cs="宋体"/>
          <w:color w:val="auto"/>
          <w:szCs w:val="21"/>
        </w:rPr>
        <w:t>；</w:t>
      </w:r>
    </w:p>
    <w:p>
      <w:pPr>
        <w:snapToGrid w:val="0"/>
        <w:spacing w:line="360" w:lineRule="auto"/>
        <w:ind w:firstLine="420" w:firstLineChars="200"/>
        <w:jc w:val="left"/>
        <w:outlineLvl w:val="0"/>
        <w:rPr>
          <w:rFonts w:ascii="宋体" w:cs="宋体"/>
          <w:b/>
          <w:color w:val="auto"/>
          <w:szCs w:val="21"/>
        </w:rPr>
      </w:pPr>
      <w:bookmarkStart w:id="52" w:name="_Toc29670"/>
      <w:r>
        <w:rPr>
          <w:rFonts w:ascii="宋体" w:hAnsi="宋体" w:cs="宋体"/>
          <w:color w:val="auto"/>
          <w:szCs w:val="21"/>
        </w:rPr>
        <w:t>4</w:t>
      </w:r>
      <w:r>
        <w:rPr>
          <w:rFonts w:hint="eastAsia" w:ascii="宋体" w:hAnsi="宋体" w:cs="宋体"/>
          <w:color w:val="auto"/>
          <w:szCs w:val="21"/>
        </w:rPr>
        <w:t>、中标人的投标文件自开标之日起至合同履行完毕止均应保持有效。</w:t>
      </w:r>
      <w:bookmarkEnd w:id="52"/>
    </w:p>
    <w:p>
      <w:pPr>
        <w:snapToGrid w:val="0"/>
        <w:spacing w:line="360" w:lineRule="auto"/>
        <w:ind w:firstLine="413" w:firstLineChars="196"/>
        <w:jc w:val="left"/>
        <w:outlineLvl w:val="0"/>
        <w:rPr>
          <w:rFonts w:ascii="宋体" w:cs="宋体"/>
          <w:b/>
          <w:color w:val="auto"/>
          <w:szCs w:val="21"/>
        </w:rPr>
      </w:pPr>
      <w:bookmarkStart w:id="53" w:name="_Toc1449"/>
      <w:r>
        <w:rPr>
          <w:rFonts w:hint="eastAsia" w:ascii="宋体" w:hAnsi="宋体" w:cs="宋体"/>
          <w:b/>
          <w:color w:val="auto"/>
          <w:szCs w:val="21"/>
        </w:rPr>
        <w:t>（六）投标文件的签署和份数</w:t>
      </w:r>
      <w:bookmarkEnd w:id="53"/>
    </w:p>
    <w:p>
      <w:pPr>
        <w:snapToGrid w:val="0"/>
        <w:spacing w:line="360" w:lineRule="auto"/>
        <w:ind w:firstLine="411" w:firstLineChars="196"/>
        <w:rPr>
          <w:rFonts w:ascii="宋体" w:hAnsi="宋体" w:cs="宋体"/>
          <w:bCs/>
          <w:color w:val="auto"/>
          <w:szCs w:val="21"/>
        </w:rPr>
      </w:pPr>
      <w:r>
        <w:rPr>
          <w:rFonts w:ascii="宋体" w:hAnsi="宋体" w:cs="宋体"/>
          <w:bCs/>
          <w:color w:val="auto"/>
          <w:szCs w:val="21"/>
        </w:rPr>
        <w:t>1</w:t>
      </w:r>
      <w:r>
        <w:rPr>
          <w:rFonts w:hint="eastAsia" w:ascii="宋体" w:hAnsi="宋体" w:cs="宋体"/>
          <w:bCs/>
          <w:color w:val="auto"/>
          <w:szCs w:val="21"/>
        </w:rPr>
        <w:t>、投标人应按本采购文件规定的格式和顺序编制、装订投标文件，投标文件要求有目录并标注页码，投标文件内容不完整、编排混乱导致投标文件被误读、漏读或者查找不到相关内容的，是投标人的责任；</w:t>
      </w:r>
    </w:p>
    <w:p>
      <w:pPr>
        <w:snapToGrid w:val="0"/>
        <w:spacing w:line="360" w:lineRule="auto"/>
        <w:ind w:firstLine="411" w:firstLineChars="196"/>
        <w:rPr>
          <w:rFonts w:ascii="宋体" w:hAnsi="宋体" w:cs="宋体"/>
          <w:bCs/>
          <w:color w:val="auto"/>
          <w:szCs w:val="21"/>
        </w:rPr>
      </w:pPr>
      <w:r>
        <w:rPr>
          <w:rFonts w:hint="eastAsia" w:ascii="宋体" w:hAnsi="宋体" w:cs="宋体"/>
          <w:bCs/>
          <w:color w:val="auto"/>
          <w:szCs w:val="21"/>
        </w:rPr>
        <w:t>2、本项目实行网上投标，投标人应准备以下投标文件：</w:t>
      </w:r>
    </w:p>
    <w:p>
      <w:pPr>
        <w:snapToGrid w:val="0"/>
        <w:spacing w:line="360" w:lineRule="auto"/>
        <w:ind w:firstLine="411" w:firstLineChars="196"/>
        <w:rPr>
          <w:rFonts w:ascii="宋体" w:hAnsi="宋体" w:cs="宋体"/>
          <w:bCs/>
          <w:color w:val="auto"/>
          <w:szCs w:val="21"/>
        </w:rPr>
      </w:pPr>
      <w:r>
        <w:rPr>
          <w:rFonts w:hint="eastAsia" w:ascii="宋体" w:hAnsi="宋体" w:cs="宋体"/>
          <w:bCs/>
          <w:color w:val="auto"/>
          <w:szCs w:val="21"/>
        </w:rPr>
        <w:t>（1）投标人于“政采云”上提供电子响应文件；</w:t>
      </w:r>
    </w:p>
    <w:p>
      <w:pPr>
        <w:snapToGrid w:val="0"/>
        <w:spacing w:line="360" w:lineRule="auto"/>
        <w:ind w:firstLine="411" w:firstLineChars="196"/>
        <w:rPr>
          <w:rFonts w:ascii="宋体" w:hAnsi="宋体" w:cs="宋体"/>
          <w:bCs/>
          <w:color w:val="auto"/>
          <w:szCs w:val="21"/>
        </w:rPr>
      </w:pPr>
      <w:r>
        <w:rPr>
          <w:rFonts w:hint="eastAsia" w:ascii="宋体" w:hAnsi="宋体" w:cs="宋体"/>
          <w:bCs/>
          <w:color w:val="auto"/>
          <w:szCs w:val="21"/>
        </w:rPr>
        <w:t>（2）以U盘或DVD光盘等介质存储的数据电文形式的备份电子投标文件，数量1份；</w:t>
      </w:r>
    </w:p>
    <w:p>
      <w:pPr>
        <w:snapToGrid w:val="0"/>
        <w:spacing w:line="360" w:lineRule="auto"/>
        <w:ind w:firstLine="411" w:firstLineChars="196"/>
        <w:rPr>
          <w:rFonts w:ascii="宋体" w:cs="宋体"/>
          <w:bCs/>
          <w:color w:val="auto"/>
          <w:szCs w:val="21"/>
        </w:rPr>
      </w:pPr>
      <w:r>
        <w:rPr>
          <w:rFonts w:hint="eastAsia" w:ascii="宋体" w:hAnsi="宋体" w:cs="宋体"/>
          <w:bCs/>
          <w:color w:val="auto"/>
          <w:szCs w:val="21"/>
          <w:lang w:val="en-US" w:eastAsia="zh-CN"/>
        </w:rPr>
        <w:t>3</w:t>
      </w:r>
      <w:r>
        <w:rPr>
          <w:rFonts w:hint="eastAsia" w:ascii="宋体" w:hAnsi="宋体" w:cs="宋体"/>
          <w:bCs/>
          <w:color w:val="auto"/>
          <w:szCs w:val="21"/>
        </w:rPr>
        <w:t>、投标文件须由投标人在规定位置盖章并由法定代表人或法定代表人的授权委托人签署，投标人应写全称；</w:t>
      </w:r>
    </w:p>
    <w:p>
      <w:pPr>
        <w:snapToGrid w:val="0"/>
        <w:spacing w:line="360" w:lineRule="auto"/>
        <w:ind w:firstLine="411" w:firstLineChars="196"/>
        <w:rPr>
          <w:rFonts w:ascii="宋体" w:cs="宋体"/>
          <w:bCs/>
          <w:color w:val="auto"/>
          <w:szCs w:val="21"/>
        </w:rPr>
      </w:pPr>
      <w:r>
        <w:rPr>
          <w:rFonts w:hint="eastAsia" w:ascii="宋体" w:hAnsi="宋体" w:cs="宋体"/>
          <w:bCs/>
          <w:color w:val="auto"/>
          <w:szCs w:val="21"/>
          <w:lang w:val="en-US" w:eastAsia="zh-CN"/>
        </w:rPr>
        <w:t>4</w:t>
      </w:r>
      <w:r>
        <w:rPr>
          <w:rFonts w:hint="eastAsia" w:ascii="宋体" w:hAnsi="宋体" w:cs="宋体"/>
          <w:bCs/>
          <w:color w:val="auto"/>
          <w:szCs w:val="21"/>
        </w:rPr>
        <w:t>、投标文件不得涂改，若有修改错漏处，须加盖单位公章或者法定代表人或授权委托人签字或盖章。投标文件因字迹潦草或表达不清所引起的后果由投标人负责。</w:t>
      </w:r>
    </w:p>
    <w:p>
      <w:pPr>
        <w:pStyle w:val="12"/>
        <w:snapToGrid w:val="0"/>
        <w:spacing w:line="360" w:lineRule="auto"/>
        <w:ind w:firstLine="398" w:firstLineChars="196"/>
        <w:outlineLvl w:val="1"/>
        <w:rPr>
          <w:rFonts w:hAnsi="宋体" w:cs="宋体"/>
          <w:b/>
          <w:snapToGrid w:val="0"/>
          <w:color w:val="auto"/>
          <w:sz w:val="21"/>
          <w:szCs w:val="21"/>
        </w:rPr>
      </w:pPr>
      <w:bookmarkStart w:id="54" w:name="_Toc12832"/>
      <w:r>
        <w:rPr>
          <w:rFonts w:hint="eastAsia" w:hAnsi="宋体" w:cs="宋体"/>
          <w:b/>
          <w:color w:val="auto"/>
          <w:sz w:val="21"/>
          <w:szCs w:val="21"/>
        </w:rPr>
        <w:t>四、开标</w:t>
      </w:r>
      <w:bookmarkEnd w:id="54"/>
    </w:p>
    <w:p>
      <w:pPr>
        <w:spacing w:line="400" w:lineRule="exact"/>
        <w:ind w:firstLine="420" w:firstLineChars="200"/>
        <w:jc w:val="left"/>
        <w:rPr>
          <w:rFonts w:hint="default" w:ascii="宋体" w:hAnsi="宋体" w:eastAsia="宋体" w:cs="宋体"/>
          <w:bCs/>
          <w:color w:val="auto"/>
          <w:szCs w:val="21"/>
          <w:lang w:val="en-US" w:eastAsia="zh-CN"/>
        </w:rPr>
      </w:pPr>
      <w:bookmarkStart w:id="55" w:name="_Toc22883"/>
      <w:r>
        <w:rPr>
          <w:rFonts w:hint="eastAsia" w:ascii="宋体" w:hAnsi="宋体" w:cs="宋体"/>
          <w:bCs/>
          <w:color w:val="auto"/>
          <w:szCs w:val="21"/>
        </w:rPr>
        <w:t>1、电子招投标开标程序：</w:t>
      </w:r>
      <w:r>
        <w:rPr>
          <w:rFonts w:hint="eastAsia" w:ascii="宋体" w:hAnsi="宋体" w:cs="宋体"/>
          <w:bCs/>
          <w:color w:val="auto"/>
          <w:szCs w:val="21"/>
          <w:lang w:val="en-US" w:eastAsia="zh-CN"/>
        </w:rPr>
        <w:t>各标段按顺序依次评标</w:t>
      </w:r>
    </w:p>
    <w:p>
      <w:pPr>
        <w:spacing w:line="400" w:lineRule="exact"/>
        <w:ind w:firstLine="420" w:firstLineChars="200"/>
        <w:jc w:val="left"/>
        <w:rPr>
          <w:rFonts w:ascii="宋体" w:hAnsi="宋体"/>
          <w:color w:val="auto"/>
          <w:szCs w:val="21"/>
        </w:rPr>
      </w:pPr>
      <w:r>
        <w:rPr>
          <w:rFonts w:hint="eastAsia" w:ascii="宋体" w:hAnsi="宋体"/>
          <w:color w:val="auto"/>
          <w:szCs w:val="21"/>
        </w:rPr>
        <w:t>第一阶段：</w:t>
      </w:r>
    </w:p>
    <w:p>
      <w:pPr>
        <w:numPr>
          <w:ilvl w:val="0"/>
          <w:numId w:val="7"/>
        </w:numPr>
        <w:spacing w:line="400" w:lineRule="exact"/>
        <w:ind w:firstLine="420" w:firstLineChars="200"/>
        <w:jc w:val="left"/>
        <w:rPr>
          <w:rFonts w:ascii="宋体" w:hAnsi="宋体"/>
          <w:color w:val="auto"/>
          <w:szCs w:val="21"/>
        </w:rPr>
      </w:pPr>
      <w:r>
        <w:rPr>
          <w:rFonts w:hint="eastAsia" w:ascii="宋体" w:hAnsi="宋体"/>
          <w:color w:val="auto"/>
          <w:szCs w:val="21"/>
        </w:rPr>
        <w:t>投标截止时间后，投标人登录政府采购云平台，用“项目采购-开标评标”功能对电子投标文件</w:t>
      </w:r>
      <w:r>
        <w:rPr>
          <w:rFonts w:hint="eastAsia" w:ascii="宋体" w:hAnsi="宋体"/>
          <w:color w:val="auto"/>
          <w:szCs w:val="21"/>
          <w:lang w:val="en-US" w:eastAsia="zh-CN"/>
        </w:rPr>
        <w:t>对各标段</w:t>
      </w:r>
      <w:r>
        <w:rPr>
          <w:rFonts w:hint="eastAsia" w:ascii="宋体" w:hAnsi="宋体"/>
          <w:color w:val="auto"/>
          <w:szCs w:val="21"/>
        </w:rPr>
        <w:t>进行在线解密，在线解密电子投标文件时间为开标时间后30分钟内。</w:t>
      </w:r>
    </w:p>
    <w:p>
      <w:pPr>
        <w:numPr>
          <w:ilvl w:val="0"/>
          <w:numId w:val="7"/>
        </w:numPr>
        <w:spacing w:line="400" w:lineRule="exact"/>
        <w:ind w:firstLine="420" w:firstLineChars="200"/>
        <w:jc w:val="left"/>
        <w:rPr>
          <w:rFonts w:ascii="宋体" w:hAnsi="宋体"/>
          <w:color w:val="auto"/>
          <w:szCs w:val="21"/>
        </w:rPr>
      </w:pPr>
      <w:r>
        <w:rPr>
          <w:rFonts w:hint="eastAsia" w:ascii="宋体" w:hAnsi="宋体"/>
          <w:color w:val="auto"/>
          <w:szCs w:val="21"/>
        </w:rPr>
        <w:t>在政府采购云平台开启已解密投标人的“资格文件、商务技术文件”，并做开标记录；</w:t>
      </w:r>
    </w:p>
    <w:p>
      <w:pPr>
        <w:spacing w:line="400" w:lineRule="exact"/>
        <w:ind w:firstLine="420" w:firstLineChars="200"/>
        <w:jc w:val="left"/>
        <w:rPr>
          <w:rFonts w:ascii="宋体" w:hAnsi="宋体"/>
          <w:color w:val="auto"/>
          <w:szCs w:val="21"/>
        </w:rPr>
      </w:pPr>
      <w:r>
        <w:rPr>
          <w:rFonts w:hint="eastAsia" w:ascii="宋体" w:hAnsi="宋体"/>
          <w:color w:val="auto"/>
          <w:szCs w:val="21"/>
        </w:rPr>
        <w:t>第二阶段：</w:t>
      </w:r>
    </w:p>
    <w:p>
      <w:pPr>
        <w:spacing w:line="360" w:lineRule="auto"/>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）在</w:t>
      </w:r>
      <w:r>
        <w:rPr>
          <w:rFonts w:hint="eastAsia" w:ascii="宋体" w:hAnsi="宋体" w:cs="宋体"/>
          <w:color w:val="auto"/>
          <w:kern w:val="0"/>
          <w:szCs w:val="21"/>
        </w:rPr>
        <w:t>政府采购云平台</w:t>
      </w:r>
      <w:r>
        <w:rPr>
          <w:rFonts w:hint="eastAsia" w:ascii="宋体" w:hAnsi="宋体"/>
          <w:color w:val="auto"/>
          <w:szCs w:val="21"/>
        </w:rPr>
        <w:t>宣告第一阶段评审无效投标人名单及理由；</w:t>
      </w:r>
    </w:p>
    <w:p>
      <w:pPr>
        <w:spacing w:line="360" w:lineRule="auto"/>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）公布经第一阶段评审符合采购文件要求的投标人的商务技术得分情况；</w:t>
      </w:r>
    </w:p>
    <w:p>
      <w:pPr>
        <w:spacing w:line="360" w:lineRule="auto"/>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）在</w:t>
      </w:r>
      <w:r>
        <w:rPr>
          <w:rFonts w:hint="eastAsia" w:ascii="宋体" w:hAnsi="宋体" w:cs="宋体"/>
          <w:color w:val="auto"/>
          <w:kern w:val="0"/>
          <w:szCs w:val="21"/>
        </w:rPr>
        <w:t>政府采购云平台</w:t>
      </w:r>
      <w:r>
        <w:rPr>
          <w:rFonts w:hint="eastAsia" w:ascii="宋体" w:hAnsi="宋体"/>
          <w:color w:val="auto"/>
          <w:szCs w:val="21"/>
        </w:rPr>
        <w:t>开启除第一阶段无效标外的投标人的“报价文件”，并做开标记录；</w:t>
      </w:r>
    </w:p>
    <w:p>
      <w:pPr>
        <w:spacing w:line="360" w:lineRule="auto"/>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）在</w:t>
      </w:r>
      <w:r>
        <w:rPr>
          <w:rFonts w:hint="eastAsia" w:ascii="宋体" w:hAnsi="宋体" w:cs="宋体"/>
          <w:color w:val="auto"/>
          <w:kern w:val="0"/>
          <w:szCs w:val="21"/>
        </w:rPr>
        <w:t>政府采购云平台</w:t>
      </w:r>
      <w:r>
        <w:rPr>
          <w:rFonts w:hint="eastAsia" w:ascii="宋体" w:hAnsi="宋体"/>
          <w:color w:val="auto"/>
          <w:szCs w:val="21"/>
        </w:rPr>
        <w:t>公布评审结果。</w:t>
      </w:r>
    </w:p>
    <w:p>
      <w:pPr>
        <w:autoSpaceDE w:val="0"/>
        <w:autoSpaceDN w:val="0"/>
        <w:snapToGrid w:val="0"/>
        <w:spacing w:line="360" w:lineRule="auto"/>
        <w:ind w:left="875" w:leftChars="200" w:hanging="455" w:hangingChars="217"/>
        <w:contextualSpacing/>
        <w:rPr>
          <w:rFonts w:hint="eastAsia" w:ascii="宋体" w:hAnsi="宋体"/>
          <w:color w:val="auto"/>
          <w:szCs w:val="21"/>
        </w:rPr>
      </w:pPr>
      <w:r>
        <w:rPr>
          <w:rFonts w:hint="eastAsia" w:ascii="宋体" w:hAnsi="宋体"/>
          <w:color w:val="auto"/>
          <w:szCs w:val="21"/>
        </w:rPr>
        <w:t>（5）开标会议结束。</w:t>
      </w:r>
    </w:p>
    <w:p>
      <w:pPr>
        <w:spacing w:line="360" w:lineRule="auto"/>
        <w:ind w:firstLine="420" w:firstLineChars="200"/>
        <w:jc w:val="left"/>
        <w:rPr>
          <w:color w:val="auto"/>
        </w:rPr>
      </w:pPr>
      <w:r>
        <w:rPr>
          <w:rFonts w:hint="eastAsia"/>
          <w:color w:val="auto"/>
          <w:szCs w:val="24"/>
          <w:highlight w:val="none"/>
          <w:lang w:val="en-US" w:eastAsia="zh-CN"/>
        </w:rPr>
        <w:t>2、</w:t>
      </w:r>
      <w:r>
        <w:rPr>
          <w:rFonts w:hint="eastAsia"/>
          <w:b/>
          <w:bCs/>
          <w:color w:val="auto"/>
          <w:szCs w:val="24"/>
          <w:highlight w:val="none"/>
        </w:rPr>
        <w:t>评审顺序按标段序号依次评审，各标段选择不同的中标人，即投标人获得一个标段的第一中标候选人资格后，不得参与</w:t>
      </w:r>
      <w:r>
        <w:rPr>
          <w:rFonts w:hint="eastAsia"/>
          <w:b/>
          <w:bCs/>
          <w:color w:val="auto"/>
          <w:szCs w:val="24"/>
          <w:highlight w:val="none"/>
          <w:lang w:val="en-US" w:eastAsia="zh-CN"/>
        </w:rPr>
        <w:t>后续</w:t>
      </w:r>
      <w:r>
        <w:rPr>
          <w:rFonts w:hint="eastAsia"/>
          <w:b/>
          <w:bCs/>
          <w:color w:val="auto"/>
          <w:szCs w:val="24"/>
          <w:highlight w:val="none"/>
        </w:rPr>
        <w:t>标段的</w:t>
      </w:r>
      <w:r>
        <w:rPr>
          <w:rFonts w:hint="eastAsia"/>
          <w:b/>
          <w:bCs/>
          <w:color w:val="auto"/>
          <w:szCs w:val="24"/>
          <w:highlight w:val="none"/>
          <w:lang w:val="en-US" w:eastAsia="zh-CN"/>
        </w:rPr>
        <w:t>评审</w:t>
      </w:r>
      <w:r>
        <w:rPr>
          <w:rFonts w:hint="eastAsia"/>
          <w:b/>
          <w:bCs/>
          <w:color w:val="auto"/>
          <w:szCs w:val="24"/>
          <w:highlight w:val="none"/>
        </w:rPr>
        <w:t>。</w:t>
      </w:r>
    </w:p>
    <w:p>
      <w:pP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、特别说明：</w:t>
      </w:r>
      <w:r>
        <w:rPr>
          <w:rFonts w:hint="eastAsia" w:ascii="宋体" w:hAnsi="宋体" w:cs="宋体"/>
          <w:color w:val="auto"/>
          <w:kern w:val="0"/>
          <w:szCs w:val="21"/>
        </w:rPr>
        <w:t>政府采购云平台</w:t>
      </w:r>
      <w:r>
        <w:rPr>
          <w:rFonts w:hint="eastAsia" w:ascii="宋体" w:hAnsi="宋体"/>
          <w:color w:val="auto"/>
          <w:szCs w:val="21"/>
        </w:rPr>
        <w:t>如对电子化开标及评审程序有调整的，按调整后的程序操作。</w:t>
      </w:r>
    </w:p>
    <w:p>
      <w:pPr>
        <w:spacing w:line="400" w:lineRule="exact"/>
        <w:ind w:firstLine="420" w:firstLineChars="200"/>
        <w:jc w:val="left"/>
        <w:rPr>
          <w:rFonts w:ascii="宋体" w:hAnsi="宋体"/>
          <w:color w:val="auto"/>
          <w:szCs w:val="21"/>
        </w:rPr>
      </w:pPr>
      <w:r>
        <w:rPr>
          <w:rFonts w:hint="eastAsia" w:ascii="宋体" w:hAnsi="宋体"/>
          <w:color w:val="auto"/>
          <w:szCs w:val="21"/>
        </w:rPr>
        <w:t>本项目原则上采用政采云</w:t>
      </w:r>
      <w:r>
        <w:rPr>
          <w:rFonts w:hint="eastAsia" w:ascii="宋体" w:hAnsi="宋体" w:cs="宋体"/>
          <w:bCs/>
          <w:color w:val="auto"/>
          <w:szCs w:val="21"/>
        </w:rPr>
        <w:t>电子招投标开标程序</w:t>
      </w:r>
      <w:r>
        <w:rPr>
          <w:rFonts w:hint="eastAsia" w:ascii="宋体" w:hAnsi="宋体"/>
          <w:color w:val="auto"/>
          <w:szCs w:val="21"/>
        </w:rPr>
        <w:t>，但有下情形之一的，按以下情况处理：</w:t>
      </w:r>
    </w:p>
    <w:p>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）若有投标人在规定时间内无法解密或解密失败，代理机构将开启该投标人递交的</w:t>
      </w:r>
      <w:r>
        <w:rPr>
          <w:rFonts w:hint="eastAsia" w:ascii="宋体" w:hAnsi="宋体" w:cs="宋体"/>
          <w:color w:val="auto"/>
          <w:kern w:val="0"/>
          <w:szCs w:val="21"/>
        </w:rPr>
        <w:t>以U盘存储的电子备份投标文件</w:t>
      </w:r>
      <w:r>
        <w:rPr>
          <w:rFonts w:hint="eastAsia" w:ascii="宋体" w:hAnsi="宋体"/>
          <w:color w:val="auto"/>
          <w:szCs w:val="21"/>
        </w:rPr>
        <w:t>，上传至政采云平台项目采购模块，以完成开标，电子投标文件自动失效。</w:t>
      </w:r>
    </w:p>
    <w:p>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ascii="宋体" w:hAnsi="宋体"/>
          <w:color w:val="auto"/>
          <w:szCs w:val="21"/>
        </w:rPr>
      </w:pPr>
      <w:r>
        <w:rPr>
          <w:rFonts w:hint="eastAsia" w:ascii="宋体" w:hAnsi="宋体"/>
          <w:color w:val="auto"/>
          <w:szCs w:val="21"/>
        </w:rPr>
        <w:t xml:space="preserve">3.1电子交易平台发生故障而无法登录访问的； </w:t>
      </w:r>
    </w:p>
    <w:p>
      <w:pPr>
        <w:spacing w:line="400" w:lineRule="exact"/>
        <w:ind w:firstLine="420" w:firstLineChars="200"/>
        <w:jc w:val="left"/>
        <w:rPr>
          <w:rFonts w:ascii="宋体" w:hAnsi="宋体"/>
          <w:color w:val="auto"/>
          <w:szCs w:val="21"/>
        </w:rPr>
      </w:pPr>
      <w:r>
        <w:rPr>
          <w:rFonts w:hint="eastAsia" w:ascii="宋体" w:hAnsi="宋体"/>
          <w:color w:val="auto"/>
          <w:szCs w:val="21"/>
        </w:rPr>
        <w:t>3.2电子交易平台应用或数据库出现错误，不能进行正常操作的；</w:t>
      </w:r>
    </w:p>
    <w:p>
      <w:pPr>
        <w:spacing w:line="400" w:lineRule="exact"/>
        <w:ind w:firstLine="420" w:firstLineChars="200"/>
        <w:jc w:val="left"/>
        <w:rPr>
          <w:rFonts w:ascii="宋体" w:hAnsi="宋体"/>
          <w:color w:val="auto"/>
          <w:szCs w:val="21"/>
        </w:rPr>
      </w:pPr>
      <w:r>
        <w:rPr>
          <w:rFonts w:hint="eastAsia" w:ascii="宋体" w:hAnsi="宋体"/>
          <w:color w:val="auto"/>
          <w:szCs w:val="21"/>
        </w:rPr>
        <w:t>3.3电子交易平台发现严重安全漏洞，有潜在泄密危险的；</w:t>
      </w:r>
    </w:p>
    <w:p>
      <w:pPr>
        <w:spacing w:line="400" w:lineRule="exact"/>
        <w:ind w:firstLine="420" w:firstLineChars="200"/>
        <w:jc w:val="left"/>
        <w:rPr>
          <w:rFonts w:ascii="宋体" w:hAnsi="宋体"/>
          <w:color w:val="auto"/>
          <w:szCs w:val="21"/>
        </w:rPr>
      </w:pPr>
      <w:r>
        <w:rPr>
          <w:rFonts w:hint="eastAsia" w:ascii="宋体" w:hAnsi="宋体"/>
          <w:color w:val="auto"/>
          <w:szCs w:val="21"/>
        </w:rPr>
        <w:t xml:space="preserve">3.4病毒发作导致不能进行正常操作的； </w:t>
      </w:r>
    </w:p>
    <w:p>
      <w:pPr>
        <w:spacing w:line="400" w:lineRule="exact"/>
        <w:ind w:firstLine="420" w:firstLineChars="200"/>
        <w:jc w:val="left"/>
        <w:rPr>
          <w:rFonts w:ascii="宋体" w:hAnsi="宋体"/>
          <w:color w:val="auto"/>
          <w:szCs w:val="21"/>
        </w:rPr>
      </w:pPr>
      <w:r>
        <w:rPr>
          <w:rFonts w:hint="eastAsia" w:ascii="宋体" w:hAnsi="宋体"/>
          <w:color w:val="auto"/>
          <w:szCs w:val="21"/>
        </w:rPr>
        <w:t>3.5其他无法保证电子交易的公平、公正和安全的情况。</w:t>
      </w:r>
    </w:p>
    <w:p>
      <w:pPr>
        <w:spacing w:line="400" w:lineRule="exact"/>
        <w:ind w:firstLine="420" w:firstLineChars="200"/>
        <w:jc w:val="left"/>
        <w:rPr>
          <w:rFonts w:ascii="宋体" w:hAnsi="宋体"/>
          <w:color w:val="auto"/>
          <w:szCs w:val="21"/>
        </w:rPr>
      </w:pPr>
      <w:r>
        <w:rPr>
          <w:rFonts w:hint="eastAsia" w:ascii="宋体" w:hAnsi="宋体"/>
          <w:color w:val="auto"/>
          <w:szCs w:val="21"/>
        </w:rPr>
        <w:t>出现前款规定情形，不影响采购公平、公正性的，采购人（或代理机构）可以待上述情形消除后继续组织电子交易活动。</w:t>
      </w:r>
    </w:p>
    <w:p>
      <w:pPr>
        <w:pStyle w:val="14"/>
        <w:snapToGrid w:val="0"/>
        <w:spacing w:before="120" w:after="120" w:line="360" w:lineRule="auto"/>
        <w:ind w:left="772" w:leftChars="267" w:hanging="211" w:hangingChars="100"/>
        <w:outlineLvl w:val="1"/>
        <w:rPr>
          <w:rFonts w:hAnsi="宋体" w:cs="宋体"/>
          <w:b/>
          <w:color w:val="auto"/>
          <w:sz w:val="21"/>
          <w:szCs w:val="21"/>
        </w:rPr>
      </w:pPr>
      <w:r>
        <w:rPr>
          <w:rFonts w:hint="eastAsia" w:hAnsi="宋体" w:cs="宋体"/>
          <w:b/>
          <w:color w:val="auto"/>
          <w:sz w:val="21"/>
          <w:szCs w:val="21"/>
        </w:rPr>
        <w:t>五、评标</w:t>
      </w:r>
      <w:bookmarkEnd w:id="55"/>
    </w:p>
    <w:p>
      <w:pPr>
        <w:pStyle w:val="14"/>
        <w:snapToGrid w:val="0"/>
        <w:spacing w:before="120" w:after="120" w:line="360" w:lineRule="auto"/>
        <w:ind w:left="690" w:leftChars="228" w:hanging="211" w:hangingChars="100"/>
        <w:rPr>
          <w:rFonts w:hAnsi="宋体" w:cs="宋体"/>
          <w:b/>
          <w:color w:val="auto"/>
          <w:sz w:val="21"/>
          <w:szCs w:val="21"/>
        </w:rPr>
      </w:pPr>
      <w:r>
        <w:rPr>
          <w:rFonts w:hint="eastAsia" w:hAnsi="宋体" w:cs="宋体"/>
          <w:b/>
          <w:color w:val="auto"/>
          <w:sz w:val="21"/>
          <w:szCs w:val="21"/>
        </w:rPr>
        <w:t>（一）组建评标委员会</w:t>
      </w:r>
    </w:p>
    <w:p>
      <w:pPr>
        <w:pStyle w:val="14"/>
        <w:snapToGrid w:val="0"/>
        <w:spacing w:before="120" w:after="120" w:line="360" w:lineRule="auto"/>
        <w:ind w:firstLine="420" w:firstLineChars="200"/>
        <w:rPr>
          <w:rFonts w:hAnsi="宋体" w:cs="宋体"/>
          <w:color w:val="auto"/>
          <w:sz w:val="21"/>
          <w:szCs w:val="21"/>
        </w:rPr>
      </w:pPr>
      <w:r>
        <w:rPr>
          <w:rFonts w:hint="eastAsia" w:hAnsi="宋体" w:cs="宋体"/>
          <w:color w:val="auto"/>
          <w:sz w:val="21"/>
          <w:szCs w:val="21"/>
        </w:rPr>
        <w:t>本项目评标委员会按照相关法律规定组成。</w:t>
      </w:r>
    </w:p>
    <w:p>
      <w:pPr>
        <w:pStyle w:val="14"/>
        <w:snapToGrid w:val="0"/>
        <w:spacing w:before="120" w:after="120" w:line="360" w:lineRule="auto"/>
        <w:ind w:left="690" w:leftChars="228" w:hanging="211" w:hangingChars="100"/>
        <w:rPr>
          <w:rFonts w:hAnsi="宋体" w:cs="宋体"/>
          <w:b/>
          <w:color w:val="auto"/>
          <w:sz w:val="21"/>
          <w:szCs w:val="21"/>
        </w:rPr>
      </w:pPr>
      <w:r>
        <w:rPr>
          <w:rFonts w:hint="eastAsia" w:hAnsi="宋体" w:cs="宋体"/>
          <w:b/>
          <w:color w:val="auto"/>
          <w:sz w:val="21"/>
          <w:szCs w:val="21"/>
        </w:rPr>
        <w:t>（二）评标的方式</w:t>
      </w:r>
    </w:p>
    <w:p>
      <w:pPr>
        <w:pStyle w:val="14"/>
        <w:snapToGrid w:val="0"/>
        <w:spacing w:before="120" w:after="120" w:line="360" w:lineRule="auto"/>
        <w:ind w:firstLine="420" w:firstLineChars="200"/>
        <w:rPr>
          <w:rFonts w:hAnsi="宋体" w:cs="宋体"/>
          <w:color w:val="auto"/>
          <w:sz w:val="21"/>
          <w:szCs w:val="21"/>
        </w:rPr>
      </w:pPr>
      <w:r>
        <w:rPr>
          <w:rFonts w:hint="eastAsia" w:hAnsi="宋体" w:cs="宋体"/>
          <w:color w:val="auto"/>
          <w:sz w:val="21"/>
          <w:szCs w:val="21"/>
        </w:rPr>
        <w:t>本项目评标的依据为采购文件和投标文件。</w:t>
      </w:r>
    </w:p>
    <w:p>
      <w:pPr>
        <w:pStyle w:val="14"/>
        <w:snapToGrid w:val="0"/>
        <w:spacing w:before="120" w:after="120" w:line="360" w:lineRule="auto"/>
        <w:ind w:left="690" w:leftChars="228" w:hanging="211" w:hangingChars="100"/>
        <w:rPr>
          <w:rFonts w:hAnsi="宋体" w:cs="宋体"/>
          <w:b/>
          <w:color w:val="auto"/>
          <w:sz w:val="21"/>
          <w:szCs w:val="21"/>
        </w:rPr>
      </w:pPr>
      <w:r>
        <w:rPr>
          <w:rFonts w:hint="eastAsia" w:hAnsi="宋体" w:cs="宋体"/>
          <w:b/>
          <w:color w:val="auto"/>
          <w:sz w:val="21"/>
          <w:szCs w:val="21"/>
        </w:rPr>
        <w:t>（三）</w:t>
      </w:r>
      <w:r>
        <w:rPr>
          <w:rFonts w:hint="eastAsia" w:hAnsi="宋体" w:cs="宋体"/>
          <w:b/>
          <w:bCs/>
          <w:color w:val="auto"/>
          <w:sz w:val="21"/>
          <w:szCs w:val="21"/>
        </w:rPr>
        <w:t>评标程序</w:t>
      </w:r>
    </w:p>
    <w:p>
      <w:pPr>
        <w:spacing w:line="360" w:lineRule="auto"/>
        <w:ind w:firstLine="420" w:firstLineChars="200"/>
        <w:rPr>
          <w:rFonts w:ascii="宋体" w:cs="宋体"/>
          <w:b/>
          <w:color w:val="auto"/>
          <w:szCs w:val="21"/>
        </w:rPr>
      </w:pPr>
      <w:r>
        <w:rPr>
          <w:rFonts w:ascii="宋体" w:hAnsi="宋体" w:cs="宋体"/>
          <w:color w:val="auto"/>
          <w:szCs w:val="21"/>
        </w:rPr>
        <w:t>1.</w:t>
      </w:r>
      <w:r>
        <w:rPr>
          <w:rFonts w:hint="eastAsia" w:ascii="宋体" w:hAnsi="宋体" w:cs="宋体"/>
          <w:b/>
          <w:color w:val="auto"/>
          <w:szCs w:val="21"/>
        </w:rPr>
        <w:t>资格条件审查</w:t>
      </w:r>
    </w:p>
    <w:p>
      <w:pPr>
        <w:spacing w:line="360" w:lineRule="auto"/>
        <w:ind w:firstLine="522" w:firstLineChars="249"/>
        <w:rPr>
          <w:rFonts w:ascii="宋体" w:cs="宋体"/>
          <w:color w:val="auto"/>
          <w:szCs w:val="21"/>
        </w:rPr>
      </w:pPr>
      <w:r>
        <w:rPr>
          <w:rFonts w:hint="eastAsia" w:ascii="宋体" w:hAnsi="宋体" w:cs="宋体"/>
          <w:color w:val="auto"/>
          <w:szCs w:val="21"/>
        </w:rPr>
        <w:t>由采购人或代理机构对投标人的资格进行审查。</w:t>
      </w:r>
    </w:p>
    <w:tbl>
      <w:tblPr>
        <w:tblStyle w:val="29"/>
        <w:tblW w:w="8790"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spacing w:line="360" w:lineRule="auto"/>
              <w:jc w:val="center"/>
              <w:rPr>
                <w:rFonts w:ascii="宋体" w:cs="宋体"/>
                <w:color w:val="auto"/>
                <w:szCs w:val="21"/>
              </w:rPr>
            </w:pPr>
            <w:r>
              <w:rPr>
                <w:rFonts w:hint="eastAsia" w:ascii="宋体" w:hAnsi="宋体" w:cs="宋体"/>
                <w:color w:val="auto"/>
                <w:szCs w:val="21"/>
              </w:rPr>
              <w:t>审查类别</w:t>
            </w:r>
          </w:p>
        </w:tc>
        <w:tc>
          <w:tcPr>
            <w:tcW w:w="7440" w:type="dxa"/>
          </w:tcPr>
          <w:p>
            <w:pPr>
              <w:spacing w:line="360" w:lineRule="auto"/>
              <w:jc w:val="center"/>
              <w:rPr>
                <w:rFonts w:ascii="宋体" w:cs="宋体"/>
                <w:color w:val="auto"/>
                <w:szCs w:val="21"/>
              </w:rPr>
            </w:pPr>
            <w:r>
              <w:rPr>
                <w:rFonts w:hint="eastAsia" w:ascii="宋体" w:hAnsi="宋体" w:cs="宋体"/>
                <w:color w:val="auto"/>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restart"/>
            <w:vAlign w:val="center"/>
          </w:tcPr>
          <w:p>
            <w:pPr>
              <w:spacing w:line="360" w:lineRule="auto"/>
              <w:jc w:val="center"/>
              <w:rPr>
                <w:rFonts w:ascii="宋体" w:cs="宋体"/>
                <w:color w:val="auto"/>
                <w:szCs w:val="21"/>
              </w:rPr>
            </w:pPr>
            <w:r>
              <w:rPr>
                <w:rFonts w:hint="eastAsia" w:ascii="宋体" w:hAnsi="宋体" w:cs="宋体"/>
                <w:color w:val="auto"/>
                <w:szCs w:val="21"/>
              </w:rPr>
              <w:t>资格条件审查</w:t>
            </w:r>
          </w:p>
        </w:tc>
        <w:tc>
          <w:tcPr>
            <w:tcW w:w="7440" w:type="dxa"/>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（一）符合《中华人民共和国政府采购法》第二十二条规定的投标人资格条件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continue"/>
          </w:tcPr>
          <w:p>
            <w:pPr>
              <w:spacing w:line="360" w:lineRule="auto"/>
              <w:rPr>
                <w:rFonts w:ascii="宋体" w:cs="宋体"/>
                <w:color w:val="auto"/>
                <w:szCs w:val="21"/>
              </w:rPr>
            </w:pPr>
          </w:p>
        </w:tc>
        <w:tc>
          <w:tcPr>
            <w:tcW w:w="7440" w:type="dxa"/>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二）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continue"/>
          </w:tcPr>
          <w:p>
            <w:pPr>
              <w:spacing w:line="360" w:lineRule="auto"/>
              <w:rPr>
                <w:rFonts w:ascii="宋体" w:cs="宋体"/>
                <w:color w:val="auto"/>
                <w:szCs w:val="21"/>
              </w:rPr>
            </w:pPr>
          </w:p>
        </w:tc>
        <w:tc>
          <w:tcPr>
            <w:tcW w:w="7440" w:type="dxa"/>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cs="宋体"/>
                <w:color w:val="auto"/>
                <w:szCs w:val="21"/>
                <w:lang w:val="en-US" w:eastAsia="zh-CN"/>
              </w:rPr>
              <w:t>三</w:t>
            </w:r>
            <w:r>
              <w:rPr>
                <w:rFonts w:hint="eastAsia" w:ascii="宋体" w:hAnsi="宋体" w:eastAsia="宋体" w:cs="宋体"/>
                <w:color w:val="auto"/>
                <w:szCs w:val="21"/>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continue"/>
          </w:tcPr>
          <w:p>
            <w:pPr>
              <w:spacing w:line="360" w:lineRule="auto"/>
              <w:rPr>
                <w:rFonts w:ascii="宋体" w:cs="宋体"/>
                <w:color w:val="auto"/>
                <w:szCs w:val="21"/>
              </w:rPr>
            </w:pPr>
          </w:p>
        </w:tc>
        <w:tc>
          <w:tcPr>
            <w:tcW w:w="7440" w:type="dxa"/>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cs="宋体"/>
                <w:color w:val="auto"/>
                <w:szCs w:val="21"/>
                <w:lang w:val="en-US" w:eastAsia="zh-CN"/>
              </w:rPr>
              <w:t>四</w:t>
            </w:r>
            <w:r>
              <w:rPr>
                <w:rFonts w:hint="eastAsia" w:ascii="宋体" w:hAnsi="宋体" w:eastAsia="宋体" w:cs="宋体"/>
                <w:color w:val="auto"/>
                <w:szCs w:val="21"/>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spacing w:line="360" w:lineRule="auto"/>
              <w:rPr>
                <w:rFonts w:ascii="宋体" w:cs="宋体"/>
                <w:color w:val="auto"/>
                <w:szCs w:val="21"/>
              </w:rPr>
            </w:pPr>
          </w:p>
        </w:tc>
        <w:tc>
          <w:tcPr>
            <w:tcW w:w="7440" w:type="dxa"/>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cs="宋体"/>
                <w:color w:val="auto"/>
                <w:szCs w:val="21"/>
                <w:lang w:val="en-US" w:eastAsia="zh-CN"/>
              </w:rPr>
              <w:t>五</w:t>
            </w:r>
            <w:r>
              <w:rPr>
                <w:rFonts w:hint="eastAsia" w:ascii="宋体" w:hAnsi="宋体" w:eastAsia="宋体" w:cs="宋体"/>
                <w:color w:val="auto"/>
                <w:szCs w:val="21"/>
              </w:rPr>
              <w:t>）采购文件要求的其他资格条件（如有）</w:t>
            </w:r>
          </w:p>
        </w:tc>
      </w:tr>
    </w:tbl>
    <w:p>
      <w:pPr>
        <w:spacing w:line="360" w:lineRule="auto"/>
        <w:ind w:firstLine="422" w:firstLineChars="200"/>
        <w:rPr>
          <w:rFonts w:ascii="宋体" w:cs="宋体"/>
          <w:b/>
          <w:color w:val="auto"/>
          <w:szCs w:val="21"/>
        </w:rPr>
      </w:pPr>
      <w:r>
        <w:rPr>
          <w:rFonts w:ascii="宋体" w:hAnsi="宋体" w:cs="宋体"/>
          <w:b/>
          <w:color w:val="auto"/>
          <w:szCs w:val="21"/>
        </w:rPr>
        <w:t>2.</w:t>
      </w:r>
      <w:r>
        <w:rPr>
          <w:rFonts w:hint="eastAsia" w:ascii="宋体" w:hAnsi="宋体" w:cs="宋体"/>
          <w:b/>
          <w:color w:val="auto"/>
          <w:szCs w:val="21"/>
        </w:rPr>
        <w:t>符合性审查</w:t>
      </w:r>
    </w:p>
    <w:p>
      <w:pPr>
        <w:spacing w:line="360" w:lineRule="auto"/>
        <w:ind w:firstLine="420" w:firstLineChars="200"/>
        <w:rPr>
          <w:rFonts w:ascii="宋体" w:cs="宋体"/>
          <w:color w:val="auto"/>
          <w:szCs w:val="21"/>
        </w:rPr>
      </w:pPr>
      <w:r>
        <w:rPr>
          <w:rFonts w:hint="eastAsia" w:ascii="宋体" w:hAnsi="宋体" w:cs="宋体"/>
          <w:color w:val="auto"/>
          <w:kern w:val="0"/>
          <w:szCs w:val="21"/>
        </w:rPr>
        <w:t>评标委员会应当对符合资格的投标人的投标文件进行符合性审查，以确定其是否满足采购文件的实质性要求。</w:t>
      </w:r>
    </w:p>
    <w:tbl>
      <w:tblPr>
        <w:tblStyle w:val="29"/>
        <w:tblW w:w="8745"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spacing w:line="360" w:lineRule="auto"/>
              <w:jc w:val="center"/>
              <w:rPr>
                <w:rFonts w:ascii="宋体" w:cs="宋体"/>
                <w:color w:val="auto"/>
                <w:szCs w:val="21"/>
              </w:rPr>
            </w:pPr>
            <w:r>
              <w:rPr>
                <w:rFonts w:hint="eastAsia" w:ascii="宋体" w:hAnsi="宋体" w:cs="宋体"/>
                <w:color w:val="auto"/>
                <w:szCs w:val="21"/>
              </w:rPr>
              <w:t>审查类别</w:t>
            </w:r>
          </w:p>
        </w:tc>
        <w:tc>
          <w:tcPr>
            <w:tcW w:w="7308" w:type="dxa"/>
          </w:tcPr>
          <w:p>
            <w:pPr>
              <w:spacing w:line="360" w:lineRule="auto"/>
              <w:jc w:val="center"/>
              <w:rPr>
                <w:rFonts w:ascii="宋体" w:cs="宋体"/>
                <w:color w:val="auto"/>
                <w:szCs w:val="21"/>
              </w:rPr>
            </w:pPr>
            <w:r>
              <w:rPr>
                <w:rFonts w:hint="eastAsia" w:ascii="宋体" w:hAnsi="宋体" w:cs="宋体"/>
                <w:color w:val="auto"/>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37" w:type="dxa"/>
            <w:vMerge w:val="restart"/>
            <w:vAlign w:val="center"/>
          </w:tcPr>
          <w:p>
            <w:pPr>
              <w:spacing w:line="360" w:lineRule="auto"/>
              <w:jc w:val="center"/>
              <w:rPr>
                <w:rFonts w:ascii="宋体" w:cs="宋体"/>
                <w:color w:val="auto"/>
                <w:szCs w:val="21"/>
              </w:rPr>
            </w:pPr>
            <w:r>
              <w:rPr>
                <w:rFonts w:hint="eastAsia" w:ascii="宋体" w:hAnsi="宋体" w:cs="宋体"/>
                <w:color w:val="auto"/>
                <w:szCs w:val="21"/>
              </w:rPr>
              <w:t>符合性审查</w:t>
            </w:r>
          </w:p>
        </w:tc>
        <w:tc>
          <w:tcPr>
            <w:tcW w:w="7308" w:type="dxa"/>
            <w:vAlign w:val="center"/>
          </w:tcPr>
          <w:p>
            <w:pPr>
              <w:tabs>
                <w:tab w:val="left" w:pos="612"/>
              </w:tabs>
              <w:spacing w:beforeLines="50" w:afterLines="50" w:line="360" w:lineRule="auto"/>
              <w:rPr>
                <w:rFonts w:ascii="宋体" w:cs="宋体"/>
                <w:color w:val="auto"/>
                <w:szCs w:val="21"/>
              </w:rPr>
            </w:pPr>
            <w:r>
              <w:rPr>
                <w:rFonts w:hint="eastAsia" w:ascii="宋体" w:hAnsi="宋体" w:cs="宋体"/>
                <w:color w:val="auto"/>
                <w:szCs w:val="21"/>
              </w:rPr>
              <w:t>投标函已提交并符合采购文件要求的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pPr>
              <w:spacing w:line="360" w:lineRule="auto"/>
              <w:rPr>
                <w:rFonts w:ascii="宋体" w:cs="宋体"/>
                <w:color w:val="auto"/>
                <w:szCs w:val="21"/>
              </w:rPr>
            </w:pPr>
          </w:p>
        </w:tc>
        <w:tc>
          <w:tcPr>
            <w:tcW w:w="7308" w:type="dxa"/>
            <w:vAlign w:val="center"/>
          </w:tcPr>
          <w:p>
            <w:pPr>
              <w:tabs>
                <w:tab w:val="left" w:pos="612"/>
              </w:tabs>
              <w:spacing w:beforeLines="50" w:afterLines="50" w:line="360" w:lineRule="auto"/>
              <w:rPr>
                <w:rFonts w:ascii="宋体" w:cs="宋体"/>
                <w:color w:val="auto"/>
                <w:szCs w:val="21"/>
              </w:rPr>
            </w:pPr>
            <w:r>
              <w:rPr>
                <w:rFonts w:hint="eastAsia" w:ascii="宋体" w:hAnsi="宋体" w:cs="宋体"/>
                <w:color w:val="auto"/>
                <w:szCs w:val="21"/>
              </w:rPr>
              <w:t>按照采购文件规定要求签署、盖章且投标文件有法定代表人</w:t>
            </w:r>
            <w:r>
              <w:rPr>
                <w:rFonts w:hint="eastAsia" w:ascii="宋体" w:hAnsi="宋体" w:cs="宋体"/>
                <w:color w:val="auto"/>
                <w:szCs w:val="21"/>
                <w:lang w:eastAsia="zh-TW"/>
              </w:rPr>
              <w:t>签署本人姓名（或印盖本人姓名章）</w:t>
            </w:r>
            <w:r>
              <w:rPr>
                <w:rFonts w:hint="eastAsia" w:ascii="宋体" w:hAnsi="宋体" w:cs="宋体"/>
                <w:color w:val="auto"/>
                <w:szCs w:val="21"/>
              </w:rPr>
              <w:t>，或</w:t>
            </w:r>
            <w:r>
              <w:rPr>
                <w:rFonts w:hint="eastAsia" w:ascii="宋体" w:hAnsi="宋体" w:cs="宋体"/>
                <w:color w:val="auto"/>
                <w:szCs w:val="21"/>
                <w:lang w:eastAsia="zh-TW"/>
              </w:rPr>
              <w:t>签署</w:t>
            </w:r>
            <w:r>
              <w:rPr>
                <w:rFonts w:hint="eastAsia" w:ascii="宋体" w:hAnsi="宋体" w:cs="宋体"/>
                <w:color w:val="auto"/>
                <w:szCs w:val="21"/>
              </w:rPr>
              <w:t>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pPr>
              <w:spacing w:line="360" w:lineRule="auto"/>
              <w:rPr>
                <w:rFonts w:ascii="宋体" w:cs="宋体"/>
                <w:color w:val="auto"/>
                <w:szCs w:val="21"/>
              </w:rPr>
            </w:pPr>
          </w:p>
        </w:tc>
        <w:tc>
          <w:tcPr>
            <w:tcW w:w="7308" w:type="dxa"/>
            <w:vAlign w:val="center"/>
          </w:tcPr>
          <w:p>
            <w:pPr>
              <w:tabs>
                <w:tab w:val="left" w:pos="612"/>
              </w:tabs>
              <w:spacing w:beforeLines="50" w:afterLines="50" w:line="360" w:lineRule="auto"/>
              <w:rPr>
                <w:rFonts w:ascii="宋体" w:cs="宋体"/>
                <w:color w:val="auto"/>
                <w:kern w:val="0"/>
                <w:szCs w:val="21"/>
              </w:rPr>
            </w:pPr>
            <w:r>
              <w:rPr>
                <w:rFonts w:hint="eastAsia" w:ascii="宋体" w:hAnsi="宋体" w:cs="宋体"/>
                <w:color w:val="auto"/>
                <w:szCs w:val="21"/>
              </w:rPr>
              <w:t>投标文件完全满足采购文件的实质性条款（即标注</w:t>
            </w:r>
            <w:r>
              <w:rPr>
                <w:rFonts w:hint="eastAsia" w:ascii="宋体" w:hAnsi="宋体" w:cs="宋体"/>
                <w:color w:val="auto"/>
                <w:sz w:val="24"/>
              </w:rPr>
              <w:t>★</w:t>
            </w:r>
            <w:r>
              <w:rPr>
                <w:rFonts w:hint="eastAsia" w:ascii="宋体" w:hAnsi="宋体" w:cs="宋体"/>
                <w:color w:val="auto"/>
                <w:szCs w:val="21"/>
              </w:rPr>
              <w:t>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pPr>
              <w:spacing w:line="360" w:lineRule="auto"/>
              <w:rPr>
                <w:rFonts w:ascii="宋体" w:cs="宋体"/>
                <w:color w:val="auto"/>
                <w:szCs w:val="21"/>
              </w:rPr>
            </w:pPr>
          </w:p>
        </w:tc>
        <w:tc>
          <w:tcPr>
            <w:tcW w:w="7308" w:type="dxa"/>
            <w:vAlign w:val="center"/>
          </w:tcPr>
          <w:p>
            <w:pPr>
              <w:spacing w:beforeLines="50" w:afterLines="50" w:line="360" w:lineRule="auto"/>
              <w:rPr>
                <w:rFonts w:ascii="宋体" w:cs="宋体"/>
                <w:color w:val="auto"/>
                <w:szCs w:val="21"/>
              </w:rPr>
            </w:pPr>
            <w:r>
              <w:rPr>
                <w:rFonts w:hint="eastAsia" w:ascii="宋体" w:hAnsi="宋体" w:cs="宋体"/>
                <w:color w:val="auto"/>
                <w:szCs w:val="21"/>
              </w:rPr>
              <w:t>投标文件没有采购文件中规定的其它无效投标条款的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pPr>
              <w:spacing w:line="360" w:lineRule="auto"/>
              <w:rPr>
                <w:rFonts w:ascii="宋体" w:cs="宋体"/>
                <w:color w:val="auto"/>
                <w:szCs w:val="21"/>
              </w:rPr>
            </w:pPr>
          </w:p>
        </w:tc>
        <w:tc>
          <w:tcPr>
            <w:tcW w:w="7308" w:type="dxa"/>
            <w:vAlign w:val="center"/>
          </w:tcPr>
          <w:p>
            <w:pPr>
              <w:spacing w:beforeLines="50" w:afterLines="50" w:line="360" w:lineRule="auto"/>
              <w:rPr>
                <w:rFonts w:ascii="宋体" w:cs="宋体"/>
                <w:color w:val="auto"/>
                <w:szCs w:val="21"/>
              </w:rPr>
            </w:pPr>
            <w:r>
              <w:rPr>
                <w:rFonts w:hint="eastAsia" w:ascii="宋体" w:hAnsi="宋体" w:cs="宋体"/>
                <w:color w:val="auto"/>
                <w:szCs w:val="21"/>
              </w:rPr>
              <w:t>按有关法律、法规、规章不属于投标无效的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pPr>
              <w:spacing w:line="360" w:lineRule="auto"/>
              <w:rPr>
                <w:rFonts w:ascii="宋体" w:cs="宋体"/>
                <w:color w:val="auto"/>
                <w:szCs w:val="21"/>
              </w:rPr>
            </w:pPr>
          </w:p>
        </w:tc>
        <w:tc>
          <w:tcPr>
            <w:tcW w:w="7308" w:type="dxa"/>
            <w:vAlign w:val="center"/>
          </w:tcPr>
          <w:p>
            <w:pPr>
              <w:spacing w:beforeLines="50" w:afterLines="50" w:line="360" w:lineRule="auto"/>
              <w:rPr>
                <w:rFonts w:ascii="宋体" w:cs="宋体"/>
                <w:color w:val="auto"/>
                <w:szCs w:val="21"/>
              </w:rPr>
            </w:pPr>
            <w:r>
              <w:rPr>
                <w:rFonts w:hint="eastAsia" w:ascii="宋体" w:hAnsi="宋体" w:cs="宋体"/>
                <w:color w:val="auto"/>
                <w:szCs w:val="21"/>
              </w:rPr>
              <w:t>按照采购文件要求提供其他证明材料（如有）</w:t>
            </w:r>
          </w:p>
        </w:tc>
      </w:tr>
    </w:tbl>
    <w:p>
      <w:pPr>
        <w:spacing w:line="360" w:lineRule="auto"/>
        <w:ind w:firstLine="422" w:firstLineChars="200"/>
        <w:rPr>
          <w:rFonts w:ascii="宋体" w:cs="宋体"/>
          <w:b/>
          <w:color w:val="auto"/>
          <w:szCs w:val="21"/>
        </w:rPr>
      </w:pPr>
      <w:r>
        <w:rPr>
          <w:rFonts w:ascii="宋体" w:hAnsi="宋体" w:cs="宋体"/>
          <w:b/>
          <w:color w:val="auto"/>
          <w:szCs w:val="21"/>
        </w:rPr>
        <w:t>3.</w:t>
      </w:r>
      <w:r>
        <w:rPr>
          <w:rFonts w:hint="eastAsia" w:ascii="宋体" w:hAnsi="宋体" w:cs="宋体"/>
          <w:b/>
          <w:color w:val="auto"/>
          <w:szCs w:val="21"/>
        </w:rPr>
        <w:t>详细评审</w:t>
      </w:r>
    </w:p>
    <w:p>
      <w:pPr>
        <w:spacing w:line="360" w:lineRule="auto"/>
        <w:ind w:firstLine="420" w:firstLineChars="200"/>
        <w:rPr>
          <w:rFonts w:ascii="宋体" w:cs="宋体"/>
          <w:color w:val="auto"/>
          <w:kern w:val="0"/>
          <w:szCs w:val="21"/>
        </w:rPr>
      </w:pPr>
      <w:r>
        <w:rPr>
          <w:rFonts w:hint="eastAsia" w:ascii="宋体" w:hAnsi="宋体" w:cs="宋体"/>
          <w:color w:val="auto"/>
          <w:kern w:val="0"/>
          <w:szCs w:val="21"/>
        </w:rPr>
        <w:t>评标委员会对资格审查、符合性审查合格的投标文件，依照本办法对投标文件作进一步评审、比较。评标委员会成员经过阅标、审标和询标，对各投标人进行打分；</w:t>
      </w:r>
    </w:p>
    <w:p>
      <w:pPr>
        <w:spacing w:line="360" w:lineRule="auto"/>
        <w:ind w:firstLine="420" w:firstLineChars="200"/>
        <w:rPr>
          <w:rFonts w:ascii="宋体" w:cs="宋体"/>
          <w:color w:val="auto"/>
          <w:kern w:val="0"/>
          <w:szCs w:val="21"/>
        </w:rPr>
      </w:pPr>
      <w:r>
        <w:rPr>
          <w:rFonts w:hint="eastAsia" w:ascii="宋体" w:hAnsi="宋体" w:cs="宋体"/>
          <w:color w:val="auto"/>
          <w:kern w:val="0"/>
          <w:szCs w:val="21"/>
        </w:rPr>
        <w:t>评委打分参照本部分《</w:t>
      </w:r>
      <w:r>
        <w:rPr>
          <w:rFonts w:hint="eastAsia" w:ascii="宋体" w:hAnsi="宋体" w:cs="宋体"/>
          <w:color w:val="auto"/>
          <w:kern w:val="0"/>
          <w:szCs w:val="21"/>
          <w:lang w:val="zh-CN"/>
        </w:rPr>
        <w:t>宁海县公路与运输管理中心2023年公路绿化养护服务采购评分</w:t>
      </w:r>
      <w:r>
        <w:rPr>
          <w:rFonts w:hint="eastAsia" w:ascii="宋体" w:hAnsi="宋体" w:cs="宋体"/>
          <w:color w:val="auto"/>
          <w:kern w:val="0"/>
          <w:szCs w:val="21"/>
        </w:rPr>
        <w:t>表》。由各评标委员会成员根据投标人的投标文件及相关澄清文件，进行独立打分。评委打分采用记名方式，取算术平均分（小数点后保留一位小数）。</w:t>
      </w:r>
    </w:p>
    <w:p>
      <w:pPr>
        <w:snapToGrid w:val="0"/>
        <w:spacing w:beforeLines="50" w:line="360" w:lineRule="auto"/>
        <w:ind w:firstLine="413" w:firstLineChars="196"/>
        <w:outlineLvl w:val="2"/>
        <w:rPr>
          <w:rFonts w:ascii="宋体" w:cs="宋体"/>
          <w:b/>
          <w:color w:val="auto"/>
          <w:szCs w:val="21"/>
        </w:rPr>
      </w:pPr>
      <w:bookmarkStart w:id="56" w:name="_Toc13921"/>
      <w:r>
        <w:rPr>
          <w:rFonts w:ascii="宋体" w:hAnsi="宋体" w:cs="宋体"/>
          <w:b/>
          <w:color w:val="auto"/>
          <w:szCs w:val="21"/>
        </w:rPr>
        <w:t>4.</w:t>
      </w:r>
      <w:r>
        <w:rPr>
          <w:rFonts w:hint="eastAsia" w:ascii="宋体" w:hAnsi="宋体" w:cs="宋体"/>
          <w:b/>
          <w:color w:val="auto"/>
          <w:szCs w:val="21"/>
        </w:rPr>
        <w:t>投标无效的情形</w:t>
      </w:r>
      <w:bookmarkEnd w:id="56"/>
    </w:p>
    <w:p>
      <w:pPr>
        <w:snapToGrid w:val="0"/>
        <w:spacing w:line="360" w:lineRule="auto"/>
        <w:ind w:firstLine="420" w:firstLineChars="200"/>
        <w:rPr>
          <w:rFonts w:ascii="宋体" w:cs="宋体"/>
          <w:bCs/>
          <w:color w:val="auto"/>
          <w:szCs w:val="21"/>
        </w:rPr>
      </w:pPr>
      <w:r>
        <w:rPr>
          <w:rFonts w:hint="eastAsia" w:ascii="宋体" w:hAnsi="宋体" w:cs="宋体"/>
          <w:bCs/>
          <w:color w:val="auto"/>
          <w:szCs w:val="21"/>
        </w:rPr>
        <w:t>实质上没有响应采购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12"/>
        <w:snapToGrid w:val="0"/>
        <w:spacing w:line="360" w:lineRule="auto"/>
        <w:ind w:left="420" w:firstLine="0"/>
        <w:rPr>
          <w:rFonts w:hAnsi="宋体" w:cs="宋体"/>
          <w:b/>
          <w:bCs/>
          <w:color w:val="auto"/>
          <w:sz w:val="21"/>
          <w:szCs w:val="21"/>
        </w:rPr>
      </w:pPr>
      <w:r>
        <w:rPr>
          <w:rFonts w:hint="eastAsia" w:hAnsi="宋体" w:cs="宋体"/>
          <w:b/>
          <w:bCs/>
          <w:color w:val="auto"/>
          <w:sz w:val="21"/>
          <w:szCs w:val="21"/>
        </w:rPr>
        <w:t>在资格审查中，如发现下列情形之一的，投标文件将被视为无效：</w:t>
      </w:r>
    </w:p>
    <w:p>
      <w:pPr>
        <w:numPr>
          <w:ilvl w:val="0"/>
          <w:numId w:val="8"/>
        </w:numPr>
        <w:snapToGrid w:val="0"/>
        <w:spacing w:line="360" w:lineRule="auto"/>
        <w:ind w:firstLine="411" w:firstLineChars="196"/>
        <w:rPr>
          <w:rFonts w:ascii="宋体" w:cs="宋体"/>
          <w:color w:val="auto"/>
          <w:szCs w:val="21"/>
        </w:rPr>
      </w:pPr>
      <w:r>
        <w:rPr>
          <w:rFonts w:hint="eastAsia" w:ascii="宋体" w:hAnsi="宋体" w:cs="宋体"/>
          <w:color w:val="auto"/>
          <w:szCs w:val="21"/>
        </w:rPr>
        <w:t>资格证明文件不全的，或者不符合采购文件标明的资格要求的；</w:t>
      </w:r>
    </w:p>
    <w:p>
      <w:pPr>
        <w:pStyle w:val="12"/>
        <w:snapToGrid w:val="0"/>
        <w:spacing w:line="360" w:lineRule="auto"/>
        <w:ind w:left="420" w:firstLine="0"/>
        <w:rPr>
          <w:rFonts w:hAnsi="宋体" w:cs="宋体"/>
          <w:b/>
          <w:bCs/>
          <w:color w:val="auto"/>
          <w:sz w:val="21"/>
          <w:szCs w:val="21"/>
        </w:rPr>
      </w:pPr>
      <w:r>
        <w:rPr>
          <w:rFonts w:hint="eastAsia" w:hAnsi="宋体" w:cs="宋体"/>
          <w:b/>
          <w:bCs/>
          <w:color w:val="auto"/>
          <w:sz w:val="21"/>
          <w:szCs w:val="21"/>
        </w:rPr>
        <w:t>在符合性审查和商务评审时，如发现下列情形之一的，投标文件将被视为无效：</w:t>
      </w:r>
    </w:p>
    <w:p>
      <w:pPr>
        <w:snapToGrid w:val="0"/>
        <w:spacing w:line="360" w:lineRule="auto"/>
        <w:ind w:firstLine="411" w:firstLineChars="196"/>
        <w:rPr>
          <w:rFonts w:ascii="宋体" w:cs="宋体"/>
          <w:bCs/>
          <w:color w:val="auto"/>
          <w:kern w:val="0"/>
          <w:szCs w:val="21"/>
        </w:rPr>
      </w:pPr>
      <w:r>
        <w:rPr>
          <w:rFonts w:hint="eastAsia" w:ascii="宋体" w:hAnsi="宋体" w:cs="宋体"/>
          <w:color w:val="auto"/>
          <w:szCs w:val="21"/>
        </w:rPr>
        <w:t>（1）投标文件无法定代表人签字</w:t>
      </w:r>
      <w:r>
        <w:rPr>
          <w:rFonts w:ascii="宋体" w:hAnsi="宋体" w:cs="宋体"/>
          <w:color w:val="auto"/>
          <w:szCs w:val="21"/>
        </w:rPr>
        <w:t>,</w:t>
      </w:r>
      <w:r>
        <w:rPr>
          <w:rFonts w:hint="eastAsia" w:ascii="宋体" w:hAnsi="宋体" w:cs="宋体"/>
          <w:color w:val="auto"/>
          <w:szCs w:val="21"/>
        </w:rPr>
        <w:t>或未</w:t>
      </w:r>
      <w:r>
        <w:rPr>
          <w:rFonts w:hint="eastAsia" w:ascii="宋体" w:hAnsi="宋体" w:cs="宋体"/>
          <w:bCs/>
          <w:color w:val="auto"/>
          <w:kern w:val="0"/>
          <w:szCs w:val="21"/>
        </w:rPr>
        <w:t>提供法定代表人授权委托书、投标声明书或者填写项目不齐全的；</w:t>
      </w:r>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（2）投标代表人未能出具身份证明或与法定代表人授权委托人身份不符的；</w:t>
      </w:r>
    </w:p>
    <w:p>
      <w:pPr>
        <w:pStyle w:val="12"/>
        <w:snapToGrid w:val="0"/>
        <w:spacing w:line="360" w:lineRule="auto"/>
        <w:ind w:firstLine="395" w:firstLineChars="196"/>
        <w:rPr>
          <w:rFonts w:hAnsi="宋体" w:cs="宋体"/>
          <w:snapToGrid w:val="0"/>
          <w:color w:val="auto"/>
          <w:sz w:val="21"/>
          <w:szCs w:val="21"/>
        </w:rPr>
      </w:pPr>
      <w:r>
        <w:rPr>
          <w:rFonts w:hint="eastAsia" w:hAnsi="宋体" w:cs="宋体"/>
          <w:color w:val="auto"/>
          <w:sz w:val="21"/>
          <w:szCs w:val="21"/>
        </w:rPr>
        <w:t>（</w:t>
      </w:r>
      <w:r>
        <w:rPr>
          <w:rFonts w:hint="eastAsia" w:hAnsi="宋体" w:cs="宋体"/>
          <w:snapToGrid w:val="0"/>
          <w:color w:val="auto"/>
          <w:sz w:val="21"/>
          <w:szCs w:val="21"/>
        </w:rPr>
        <w:t>3）</w:t>
      </w:r>
      <w:r>
        <w:rPr>
          <w:rFonts w:hint="eastAsia" w:hAnsi="宋体" w:cs="宋体"/>
          <w:color w:val="auto"/>
          <w:sz w:val="21"/>
          <w:szCs w:val="21"/>
        </w:rPr>
        <w:t>投标文件格式不规范、项目不齐全或者内容虚假的；</w:t>
      </w:r>
    </w:p>
    <w:p>
      <w:pPr>
        <w:pStyle w:val="12"/>
        <w:snapToGrid w:val="0"/>
        <w:spacing w:line="360" w:lineRule="auto"/>
        <w:ind w:firstLine="395" w:firstLineChars="196"/>
        <w:rPr>
          <w:rFonts w:hAnsi="宋体" w:cs="宋体"/>
          <w:snapToGrid w:val="0"/>
          <w:color w:val="auto"/>
          <w:sz w:val="21"/>
          <w:szCs w:val="21"/>
        </w:rPr>
      </w:pPr>
      <w:r>
        <w:rPr>
          <w:rFonts w:hint="eastAsia" w:hAnsi="宋体" w:cs="宋体"/>
          <w:color w:val="auto"/>
          <w:sz w:val="21"/>
          <w:szCs w:val="21"/>
        </w:rPr>
        <w:t>（4）投标文件的实质性内容未使用中文表述、意思表述不明确、前后矛盾或者使用计量单位不符合采购文件要求的（经评标委员会认定并允许其当场更正的笔误除外）；</w:t>
      </w:r>
    </w:p>
    <w:p>
      <w:pPr>
        <w:pStyle w:val="12"/>
        <w:snapToGrid w:val="0"/>
        <w:spacing w:line="360" w:lineRule="auto"/>
        <w:ind w:firstLine="398" w:firstLineChars="196"/>
        <w:rPr>
          <w:rFonts w:hAnsi="宋体" w:cs="宋体"/>
          <w:b/>
          <w:snapToGrid w:val="0"/>
          <w:color w:val="auto"/>
          <w:sz w:val="21"/>
          <w:szCs w:val="21"/>
        </w:rPr>
      </w:pPr>
      <w:r>
        <w:rPr>
          <w:rFonts w:hint="eastAsia" w:hAnsi="宋体" w:cs="宋体"/>
          <w:b/>
          <w:color w:val="auto"/>
          <w:sz w:val="21"/>
          <w:szCs w:val="21"/>
        </w:rPr>
        <w:t>（</w:t>
      </w:r>
      <w:r>
        <w:rPr>
          <w:rFonts w:hint="eastAsia" w:hAnsi="宋体" w:cs="宋体"/>
          <w:b/>
          <w:snapToGrid w:val="0"/>
          <w:color w:val="auto"/>
          <w:sz w:val="21"/>
          <w:szCs w:val="21"/>
        </w:rPr>
        <w:t>5）投标有效期、交货时间、质保期等商务条款不能满足采购文件要求的；</w:t>
      </w:r>
    </w:p>
    <w:p>
      <w:pPr>
        <w:pStyle w:val="12"/>
        <w:snapToGrid w:val="0"/>
        <w:spacing w:line="360" w:lineRule="auto"/>
        <w:ind w:firstLine="395" w:firstLineChars="196"/>
        <w:rPr>
          <w:rFonts w:hAnsi="宋体" w:cs="宋体"/>
          <w:color w:val="auto"/>
          <w:sz w:val="21"/>
          <w:szCs w:val="21"/>
        </w:rPr>
      </w:pPr>
      <w:r>
        <w:rPr>
          <w:rFonts w:hint="eastAsia" w:hAnsi="宋体" w:cs="宋体"/>
          <w:color w:val="auto"/>
          <w:sz w:val="21"/>
          <w:szCs w:val="21"/>
        </w:rPr>
        <w:t>（6）未实质性响应采购文件要求或者投标文件有招标方不能接受的附加条件的；</w:t>
      </w:r>
    </w:p>
    <w:p>
      <w:pPr>
        <w:pStyle w:val="12"/>
        <w:snapToGrid w:val="0"/>
        <w:spacing w:line="360" w:lineRule="auto"/>
        <w:ind w:firstLine="395" w:firstLineChars="196"/>
        <w:rPr>
          <w:rFonts w:hAnsi="宋体" w:cs="宋体"/>
          <w:color w:val="auto"/>
          <w:sz w:val="21"/>
          <w:szCs w:val="21"/>
        </w:rPr>
      </w:pPr>
      <w:r>
        <w:rPr>
          <w:rFonts w:hint="eastAsia" w:hAnsi="宋体" w:cs="宋体"/>
          <w:color w:val="auto"/>
          <w:sz w:val="21"/>
          <w:szCs w:val="21"/>
        </w:rPr>
        <w:t>（7）未按规定签章的；</w:t>
      </w:r>
    </w:p>
    <w:p>
      <w:pPr>
        <w:pStyle w:val="12"/>
        <w:snapToGrid w:val="0"/>
        <w:spacing w:line="360" w:lineRule="auto"/>
        <w:ind w:firstLine="395" w:firstLineChars="196"/>
        <w:rPr>
          <w:rFonts w:hAnsi="宋体" w:cs="宋体"/>
          <w:color w:val="auto"/>
          <w:sz w:val="21"/>
          <w:szCs w:val="21"/>
        </w:rPr>
      </w:pPr>
      <w:r>
        <w:rPr>
          <w:rFonts w:hint="eastAsia" w:hAnsi="宋体" w:cs="宋体"/>
          <w:color w:val="auto"/>
          <w:sz w:val="21"/>
          <w:szCs w:val="21"/>
        </w:rPr>
        <w:t>（8）投标文件的关键内容字迹模糊、无法辨认的，或者投标文件中经修正的内容字迹模糊难以辩认或者修改处未按规定签名盖章。</w:t>
      </w:r>
    </w:p>
    <w:p>
      <w:pPr>
        <w:pStyle w:val="12"/>
        <w:snapToGrid w:val="0"/>
        <w:spacing w:line="360" w:lineRule="auto"/>
        <w:ind w:left="420" w:firstLine="0"/>
        <w:rPr>
          <w:rFonts w:hAnsi="宋体" w:cs="宋体"/>
          <w:b/>
          <w:bCs/>
          <w:color w:val="auto"/>
          <w:sz w:val="21"/>
          <w:szCs w:val="21"/>
        </w:rPr>
      </w:pPr>
      <w:r>
        <w:rPr>
          <w:rFonts w:hint="eastAsia" w:hAnsi="宋体" w:cs="宋体"/>
          <w:b/>
          <w:bCs/>
          <w:color w:val="auto"/>
          <w:sz w:val="21"/>
          <w:szCs w:val="21"/>
        </w:rPr>
        <w:t>在技术评审时，如发现下列情形之一的，投标文件将被视为无效：</w:t>
      </w:r>
    </w:p>
    <w:p>
      <w:pPr>
        <w:pStyle w:val="12"/>
        <w:snapToGrid w:val="0"/>
        <w:spacing w:line="360" w:lineRule="auto"/>
        <w:ind w:firstLine="395" w:firstLineChars="196"/>
        <w:rPr>
          <w:rFonts w:hAnsi="宋体" w:cs="宋体"/>
          <w:color w:val="auto"/>
          <w:sz w:val="21"/>
          <w:szCs w:val="21"/>
        </w:rPr>
      </w:pPr>
      <w:r>
        <w:rPr>
          <w:rFonts w:hint="eastAsia" w:hAnsi="宋体" w:cs="宋体"/>
          <w:color w:val="auto"/>
          <w:sz w:val="21"/>
          <w:szCs w:val="21"/>
        </w:rPr>
        <w:t>（</w:t>
      </w:r>
      <w:r>
        <w:rPr>
          <w:rFonts w:hAnsi="宋体" w:cs="宋体"/>
          <w:color w:val="auto"/>
          <w:sz w:val="21"/>
          <w:szCs w:val="21"/>
        </w:rPr>
        <w:t>1</w:t>
      </w:r>
      <w:r>
        <w:rPr>
          <w:rFonts w:hint="eastAsia" w:hAnsi="宋体" w:cs="宋体"/>
          <w:color w:val="auto"/>
          <w:sz w:val="21"/>
          <w:szCs w:val="21"/>
        </w:rPr>
        <w:t>）未提供或未如实提供投标货物或服务的技术参数，或者投标文件标明的响应或偏离与事实不符或虚假投标的；</w:t>
      </w:r>
    </w:p>
    <w:p>
      <w:pPr>
        <w:pStyle w:val="12"/>
        <w:snapToGrid w:val="0"/>
        <w:spacing w:line="360" w:lineRule="auto"/>
        <w:ind w:firstLine="395" w:firstLineChars="196"/>
        <w:rPr>
          <w:rFonts w:hAnsi="宋体" w:cs="宋体"/>
          <w:color w:val="auto"/>
          <w:sz w:val="21"/>
          <w:szCs w:val="21"/>
        </w:rPr>
      </w:pPr>
      <w:r>
        <w:rPr>
          <w:rFonts w:hint="eastAsia" w:hAnsi="宋体" w:cs="宋体"/>
          <w:color w:val="auto"/>
          <w:sz w:val="21"/>
          <w:szCs w:val="21"/>
        </w:rPr>
        <w:t>（</w:t>
      </w:r>
      <w:r>
        <w:rPr>
          <w:rFonts w:hAnsi="宋体" w:cs="宋体"/>
          <w:color w:val="auto"/>
          <w:sz w:val="21"/>
          <w:szCs w:val="21"/>
        </w:rPr>
        <w:t>2</w:t>
      </w:r>
      <w:r>
        <w:rPr>
          <w:rFonts w:hint="eastAsia" w:hAnsi="宋体" w:cs="宋体"/>
          <w:color w:val="auto"/>
          <w:sz w:val="21"/>
          <w:szCs w:val="21"/>
        </w:rPr>
        <w:t>）</w:t>
      </w:r>
      <w:r>
        <w:rPr>
          <w:rFonts w:hint="eastAsia" w:hAnsi="宋体" w:cs="宋体"/>
          <w:snapToGrid w:val="0"/>
          <w:color w:val="auto"/>
          <w:sz w:val="21"/>
          <w:szCs w:val="21"/>
        </w:rPr>
        <w:t>明显不符合采购文件要求的规格型号、质量标准，或者与</w:t>
      </w:r>
      <w:r>
        <w:rPr>
          <w:rFonts w:hint="eastAsia" w:hAnsi="宋体" w:cs="宋体"/>
          <w:color w:val="auto"/>
          <w:sz w:val="21"/>
          <w:szCs w:val="21"/>
        </w:rPr>
        <w:t>采购文件中标“</w:t>
      </w:r>
      <w:r>
        <w:rPr>
          <w:rFonts w:hint="eastAsia" w:hAnsi="宋体" w:cs="宋体"/>
          <w:color w:val="auto"/>
          <w:sz w:val="24"/>
        </w:rPr>
        <w:t>★</w:t>
      </w:r>
      <w:r>
        <w:rPr>
          <w:rFonts w:hint="eastAsia" w:hAnsi="宋体" w:cs="宋体"/>
          <w:color w:val="auto"/>
          <w:sz w:val="21"/>
          <w:szCs w:val="21"/>
        </w:rPr>
        <w:t>”的技术指标、主要功能项目发生实质性偏离的；</w:t>
      </w:r>
    </w:p>
    <w:p>
      <w:pPr>
        <w:pStyle w:val="12"/>
        <w:snapToGrid w:val="0"/>
        <w:spacing w:line="360" w:lineRule="auto"/>
        <w:ind w:firstLine="395" w:firstLineChars="196"/>
        <w:rPr>
          <w:rFonts w:hAnsi="宋体" w:cs="宋体"/>
          <w:color w:val="auto"/>
          <w:sz w:val="21"/>
          <w:szCs w:val="21"/>
        </w:rPr>
      </w:pPr>
      <w:r>
        <w:rPr>
          <w:rFonts w:hint="eastAsia" w:hAnsi="宋体" w:cs="宋体"/>
          <w:color w:val="auto"/>
          <w:sz w:val="21"/>
          <w:szCs w:val="21"/>
        </w:rPr>
        <w:t>（</w:t>
      </w:r>
      <w:r>
        <w:rPr>
          <w:rFonts w:hAnsi="宋体" w:cs="宋体"/>
          <w:color w:val="auto"/>
          <w:sz w:val="21"/>
          <w:szCs w:val="21"/>
        </w:rPr>
        <w:t>3</w:t>
      </w:r>
      <w:r>
        <w:rPr>
          <w:rFonts w:hint="eastAsia" w:hAnsi="宋体" w:cs="宋体"/>
          <w:color w:val="auto"/>
          <w:sz w:val="21"/>
          <w:szCs w:val="21"/>
        </w:rPr>
        <w:t>）投标技术方案不明确，存在一个或一个以上备选（替代）投标方案的；</w:t>
      </w:r>
    </w:p>
    <w:p>
      <w:pPr>
        <w:pStyle w:val="12"/>
        <w:snapToGrid w:val="0"/>
        <w:spacing w:line="360" w:lineRule="auto"/>
        <w:ind w:firstLine="404" w:firstLineChars="200"/>
        <w:rPr>
          <w:rFonts w:hAnsi="宋体" w:cs="宋体"/>
          <w:color w:val="auto"/>
          <w:sz w:val="21"/>
          <w:szCs w:val="21"/>
        </w:rPr>
      </w:pPr>
      <w:r>
        <w:rPr>
          <w:rFonts w:hint="eastAsia" w:hAnsi="宋体" w:cs="宋体"/>
          <w:color w:val="auto"/>
          <w:sz w:val="21"/>
          <w:szCs w:val="21"/>
        </w:rPr>
        <w:t>（</w:t>
      </w:r>
      <w:r>
        <w:rPr>
          <w:rFonts w:hAnsi="宋体" w:cs="宋体"/>
          <w:color w:val="auto"/>
          <w:sz w:val="21"/>
          <w:szCs w:val="21"/>
        </w:rPr>
        <w:t>4</w:t>
      </w:r>
      <w:r>
        <w:rPr>
          <w:rFonts w:hint="eastAsia" w:hAnsi="宋体" w:cs="宋体"/>
          <w:color w:val="auto"/>
          <w:sz w:val="21"/>
          <w:szCs w:val="21"/>
        </w:rPr>
        <w:t>）与其他参加本次投标投标人的投标文件（技术文件）的文字表述内容相同连续</w:t>
      </w:r>
      <w:r>
        <w:rPr>
          <w:rFonts w:hAnsi="宋体" w:cs="宋体"/>
          <w:color w:val="auto"/>
          <w:sz w:val="21"/>
          <w:szCs w:val="21"/>
        </w:rPr>
        <w:t>20</w:t>
      </w:r>
      <w:r>
        <w:rPr>
          <w:rFonts w:hint="eastAsia" w:hAnsi="宋体" w:cs="宋体"/>
          <w:color w:val="auto"/>
          <w:sz w:val="21"/>
          <w:szCs w:val="21"/>
        </w:rPr>
        <w:t>行以上或者差错相同</w:t>
      </w:r>
      <w:r>
        <w:rPr>
          <w:rFonts w:hAnsi="宋体" w:cs="宋体"/>
          <w:color w:val="auto"/>
          <w:sz w:val="21"/>
          <w:szCs w:val="21"/>
        </w:rPr>
        <w:t>2</w:t>
      </w:r>
      <w:r>
        <w:rPr>
          <w:rFonts w:hint="eastAsia" w:hAnsi="宋体" w:cs="宋体"/>
          <w:color w:val="auto"/>
          <w:sz w:val="21"/>
          <w:szCs w:val="21"/>
        </w:rPr>
        <w:t>处以上的。</w:t>
      </w:r>
    </w:p>
    <w:p>
      <w:pPr>
        <w:pStyle w:val="12"/>
        <w:snapToGrid w:val="0"/>
        <w:spacing w:line="360" w:lineRule="auto"/>
        <w:ind w:left="420" w:firstLine="0"/>
        <w:rPr>
          <w:rFonts w:hAnsi="宋体" w:cs="宋体"/>
          <w:b/>
          <w:bCs/>
          <w:color w:val="auto"/>
          <w:sz w:val="21"/>
          <w:szCs w:val="21"/>
        </w:rPr>
      </w:pPr>
      <w:r>
        <w:rPr>
          <w:rFonts w:hint="eastAsia" w:hAnsi="宋体" w:cs="宋体"/>
          <w:b/>
          <w:bCs/>
          <w:color w:val="auto"/>
          <w:sz w:val="21"/>
          <w:szCs w:val="21"/>
        </w:rPr>
        <w:t>在报价评审时，如发现下列情形之一的，投标文件将被视为无效：</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）未采用人民币报价或者未按照采购文件标明的币种报价的；</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）报价超出最高限价，或者超出采购预算金额</w:t>
      </w:r>
      <w:r>
        <w:rPr>
          <w:rFonts w:ascii="宋体" w:hAnsi="宋体" w:cs="宋体"/>
          <w:color w:val="auto"/>
          <w:szCs w:val="21"/>
        </w:rPr>
        <w:t>(</w:t>
      </w:r>
      <w:r>
        <w:rPr>
          <w:rFonts w:hint="eastAsia" w:ascii="宋体" w:hAnsi="宋体" w:cs="宋体"/>
          <w:color w:val="auto"/>
          <w:szCs w:val="21"/>
        </w:rPr>
        <w:t>自主创新产品除外</w:t>
      </w:r>
      <w:r>
        <w:rPr>
          <w:rFonts w:ascii="宋体" w:hAnsi="宋体" w:cs="宋体"/>
          <w:color w:val="auto"/>
          <w:szCs w:val="21"/>
        </w:rPr>
        <w:t>)</w:t>
      </w:r>
      <w:r>
        <w:rPr>
          <w:rFonts w:hint="eastAsia" w:ascii="宋体" w:hAnsi="宋体" w:cs="宋体"/>
          <w:color w:val="auto"/>
          <w:szCs w:val="21"/>
        </w:rPr>
        <w:t>，采购人不能支付的；</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）投标报价具有选择性；</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）投标报价中出现重大缺项、漏项；</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）评标委员会认为投标人的报价明显低于其他通过符合性审查投标人的报价，有可能影响产品质量或者不能诚信履约的，且不能在评标现场合理时间内提供相关证明材料说明其报价的合理性的。</w:t>
      </w:r>
    </w:p>
    <w:p>
      <w:pPr>
        <w:pStyle w:val="12"/>
        <w:snapToGrid w:val="0"/>
        <w:spacing w:line="360" w:lineRule="auto"/>
        <w:ind w:left="420" w:firstLine="0"/>
        <w:rPr>
          <w:rFonts w:hAnsi="宋体" w:cs="宋体"/>
          <w:b/>
          <w:color w:val="auto"/>
          <w:sz w:val="21"/>
          <w:szCs w:val="21"/>
        </w:rPr>
      </w:pPr>
      <w:r>
        <w:rPr>
          <w:rFonts w:hint="eastAsia" w:hAnsi="宋体" w:cs="宋体"/>
          <w:b/>
          <w:color w:val="auto"/>
          <w:sz w:val="21"/>
          <w:szCs w:val="21"/>
        </w:rPr>
        <w:t>法律、法规和采购文件规定的其他无效情形。</w:t>
      </w:r>
    </w:p>
    <w:p>
      <w:pPr>
        <w:snapToGrid w:val="0"/>
        <w:spacing w:line="360" w:lineRule="auto"/>
        <w:ind w:firstLine="422" w:firstLineChars="200"/>
        <w:rPr>
          <w:rFonts w:ascii="宋体" w:cs="宋体"/>
          <w:b/>
          <w:color w:val="auto"/>
          <w:szCs w:val="21"/>
        </w:rPr>
      </w:pPr>
      <w:r>
        <w:rPr>
          <w:rFonts w:hint="eastAsia" w:ascii="宋体" w:hAnsi="宋体" w:cs="宋体"/>
          <w:b/>
          <w:color w:val="auto"/>
          <w:szCs w:val="21"/>
        </w:rPr>
        <w:t>（四）澄清问题的形式</w:t>
      </w:r>
    </w:p>
    <w:p>
      <w:pPr>
        <w:spacing w:line="360" w:lineRule="auto"/>
        <w:ind w:firstLine="420" w:firstLineChars="200"/>
        <w:rPr>
          <w:rFonts w:ascii="宋体" w:cs="宋体"/>
          <w:b/>
          <w:bCs/>
          <w:color w:val="auto"/>
          <w:szCs w:val="21"/>
        </w:rPr>
      </w:pPr>
      <w:r>
        <w:rPr>
          <w:rFonts w:hint="eastAsia" w:ascii="宋体" w:hAnsi="宋体" w:cs="宋体"/>
          <w:color w:val="auto"/>
          <w:szCs w:val="21"/>
        </w:rPr>
        <w:t>对于投标文件中含义不明确、同类问题表述不一致或者有明显文字和计算错误的内容，</w:t>
      </w:r>
      <w:r>
        <w:rPr>
          <w:rFonts w:hint="eastAsia" w:ascii="宋体" w:hAnsi="宋体" w:cs="宋体"/>
          <w:b/>
          <w:bCs/>
          <w:color w:val="auto"/>
          <w:szCs w:val="21"/>
        </w:rPr>
        <w:t>评标委员会应当以书面形式要求投标人作出必要的澄清、说明或者补正。</w:t>
      </w:r>
      <w:r>
        <w:rPr>
          <w:rFonts w:hint="eastAsia" w:ascii="宋体" w:hAnsi="宋体" w:cs="宋体"/>
          <w:color w:val="auto"/>
          <w:szCs w:val="21"/>
        </w:rPr>
        <w:t>投标人的澄清、说明或者补正应当采用书面形式，并加盖公章，或者由法定代表人或其授权的代表签字。</w:t>
      </w:r>
      <w:r>
        <w:rPr>
          <w:rFonts w:hint="eastAsia" w:ascii="宋体" w:hAnsi="宋体" w:cs="宋体"/>
          <w:b/>
          <w:bCs/>
          <w:color w:val="auto"/>
          <w:szCs w:val="21"/>
        </w:rPr>
        <w:t>投标人的澄清、说明或者补正不得超出投标文件的范围或者改变投标文件的实质性内容。</w:t>
      </w:r>
    </w:p>
    <w:p>
      <w:pPr>
        <w:pStyle w:val="14"/>
        <w:snapToGrid w:val="0"/>
        <w:spacing w:before="120" w:after="120" w:line="360" w:lineRule="auto"/>
        <w:ind w:left="690" w:leftChars="228" w:hanging="211" w:hangingChars="100"/>
        <w:rPr>
          <w:rFonts w:hAnsi="宋体" w:cs="宋体"/>
          <w:b/>
          <w:color w:val="auto"/>
          <w:sz w:val="21"/>
          <w:szCs w:val="21"/>
        </w:rPr>
      </w:pPr>
      <w:r>
        <w:rPr>
          <w:rFonts w:hint="eastAsia" w:hAnsi="宋体" w:cs="宋体"/>
          <w:b/>
          <w:bCs/>
          <w:color w:val="auto"/>
          <w:sz w:val="21"/>
          <w:szCs w:val="21"/>
        </w:rPr>
        <w:t>（五）</w:t>
      </w:r>
      <w:r>
        <w:rPr>
          <w:rFonts w:hint="eastAsia" w:hAnsi="宋体" w:cs="宋体"/>
          <w:b/>
          <w:color w:val="auto"/>
          <w:sz w:val="21"/>
          <w:szCs w:val="21"/>
        </w:rPr>
        <w:t>错误修正</w:t>
      </w:r>
    </w:p>
    <w:p>
      <w:pPr>
        <w:snapToGrid w:val="0"/>
        <w:spacing w:line="360" w:lineRule="auto"/>
        <w:ind w:firstLine="420" w:firstLineChars="200"/>
        <w:rPr>
          <w:rFonts w:ascii="宋体" w:cs="宋体"/>
          <w:color w:val="auto"/>
          <w:szCs w:val="21"/>
        </w:rPr>
      </w:pPr>
      <w:r>
        <w:rPr>
          <w:rFonts w:hint="eastAsia" w:ascii="宋体" w:hAnsi="宋体" w:cs="宋体"/>
          <w:color w:val="auto"/>
          <w:szCs w:val="21"/>
        </w:rPr>
        <w:t>投标文件报价出现前后不一致的，除采购文件另有规定外，按照下列规定修正：</w:t>
      </w:r>
    </w:p>
    <w:p>
      <w:pPr>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、投标文件中开标一览表（报价表）内容与投标文件中相应内容不一致的，以开标一览表（报价表）为准；</w:t>
      </w:r>
    </w:p>
    <w:p>
      <w:pPr>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、大写金额和小写金额不一致的，以大写金额为准；</w:t>
      </w:r>
    </w:p>
    <w:p>
      <w:pPr>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、单价金额小数点或者百分比有明显错位的，以开标一览表的总价为准，并修改单价；</w:t>
      </w:r>
    </w:p>
    <w:p>
      <w:pPr>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、总价金额与按单价汇总金额不一致的，以单价金额计算结果为准。</w:t>
      </w:r>
    </w:p>
    <w:p>
      <w:pPr>
        <w:snapToGrid w:val="0"/>
        <w:spacing w:line="360" w:lineRule="auto"/>
        <w:ind w:firstLine="422" w:firstLineChars="200"/>
        <w:rPr>
          <w:rFonts w:ascii="宋体" w:cs="宋体"/>
          <w:b/>
          <w:bCs/>
          <w:color w:val="auto"/>
          <w:szCs w:val="21"/>
        </w:rPr>
      </w:pPr>
      <w:r>
        <w:rPr>
          <w:rFonts w:hint="eastAsia" w:ascii="宋体" w:hAnsi="宋体" w:cs="宋体"/>
          <w:b/>
          <w:bCs/>
          <w:color w:val="auto"/>
          <w:szCs w:val="21"/>
        </w:rPr>
        <w:t>同时出现两种以上不一致的，按照前款规定的顺序修正。修正后的报价经投标人确认后产生约束力，投标人不确认的，其投标无效。</w:t>
      </w:r>
    </w:p>
    <w:p>
      <w:pPr>
        <w:pStyle w:val="14"/>
        <w:tabs>
          <w:tab w:val="left" w:pos="630"/>
        </w:tabs>
        <w:snapToGrid w:val="0"/>
        <w:spacing w:before="120" w:after="120" w:line="360" w:lineRule="auto"/>
        <w:ind w:firstLine="413" w:firstLineChars="196"/>
        <w:rPr>
          <w:rFonts w:hAnsi="宋体" w:cs="宋体"/>
          <w:b/>
          <w:color w:val="auto"/>
          <w:sz w:val="21"/>
          <w:szCs w:val="21"/>
        </w:rPr>
      </w:pPr>
      <w:r>
        <w:rPr>
          <w:rFonts w:hint="eastAsia" w:hAnsi="宋体" w:cs="宋体"/>
          <w:b/>
          <w:color w:val="auto"/>
          <w:sz w:val="21"/>
          <w:szCs w:val="21"/>
        </w:rPr>
        <w:t>（六）评标原则和评标办法</w:t>
      </w:r>
    </w:p>
    <w:p>
      <w:pPr>
        <w:pStyle w:val="14"/>
        <w:snapToGrid w:val="0"/>
        <w:spacing w:before="120" w:after="120" w:line="360" w:lineRule="auto"/>
        <w:ind w:firstLine="420" w:firstLineChars="200"/>
        <w:rPr>
          <w:rFonts w:hAnsi="宋体" w:cs="宋体"/>
          <w:color w:val="auto"/>
          <w:sz w:val="21"/>
          <w:szCs w:val="21"/>
        </w:rPr>
      </w:pPr>
      <w:r>
        <w:rPr>
          <w:rFonts w:hAnsi="宋体" w:cs="宋体"/>
          <w:color w:val="auto"/>
          <w:sz w:val="21"/>
          <w:szCs w:val="21"/>
        </w:rPr>
        <w:t>1</w:t>
      </w:r>
      <w:r>
        <w:rPr>
          <w:rFonts w:hint="eastAsia" w:hAnsi="宋体" w:cs="宋体"/>
          <w:color w:val="auto"/>
          <w:sz w:val="21"/>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4"/>
        <w:snapToGrid w:val="0"/>
        <w:spacing w:before="120" w:after="120" w:line="360" w:lineRule="auto"/>
        <w:ind w:firstLine="420" w:firstLineChars="200"/>
        <w:rPr>
          <w:rFonts w:hAnsi="宋体" w:cs="宋体"/>
          <w:color w:val="auto"/>
          <w:sz w:val="21"/>
          <w:szCs w:val="21"/>
        </w:rPr>
      </w:pPr>
      <w:r>
        <w:rPr>
          <w:rFonts w:hAnsi="宋体" w:cs="宋体"/>
          <w:color w:val="auto"/>
          <w:sz w:val="21"/>
          <w:szCs w:val="21"/>
        </w:rPr>
        <w:t>2</w:t>
      </w:r>
      <w:r>
        <w:rPr>
          <w:rFonts w:hint="eastAsia" w:hAnsi="宋体" w:cs="宋体"/>
          <w:color w:val="auto"/>
          <w:sz w:val="21"/>
          <w:szCs w:val="21"/>
        </w:rPr>
        <w:t>、评标办法。本项目评标办法是</w:t>
      </w:r>
      <w:r>
        <w:rPr>
          <w:rFonts w:hint="eastAsia" w:hAnsi="宋体" w:cs="宋体"/>
          <w:color w:val="auto"/>
          <w:sz w:val="21"/>
          <w:szCs w:val="21"/>
          <w:u w:val="single"/>
        </w:rPr>
        <w:t>综合评分法</w:t>
      </w:r>
      <w:r>
        <w:rPr>
          <w:rFonts w:hint="eastAsia" w:hAnsi="宋体" w:cs="宋体"/>
          <w:color w:val="auto"/>
          <w:sz w:val="21"/>
          <w:szCs w:val="21"/>
        </w:rPr>
        <w:t>，具体评标内容及评分标准等详见《第四章：评标办法及评分标准》。</w:t>
      </w:r>
    </w:p>
    <w:p>
      <w:pPr>
        <w:pStyle w:val="14"/>
        <w:tabs>
          <w:tab w:val="left" w:pos="630"/>
        </w:tabs>
        <w:snapToGrid w:val="0"/>
        <w:spacing w:before="120" w:after="120" w:line="360" w:lineRule="auto"/>
        <w:ind w:firstLine="413" w:firstLineChars="196"/>
        <w:rPr>
          <w:rFonts w:hAnsi="宋体" w:cs="宋体"/>
          <w:b/>
          <w:color w:val="auto"/>
          <w:sz w:val="21"/>
          <w:szCs w:val="21"/>
        </w:rPr>
      </w:pPr>
      <w:r>
        <w:rPr>
          <w:rFonts w:hint="eastAsia" w:hAnsi="宋体" w:cs="宋体"/>
          <w:b/>
          <w:color w:val="auto"/>
          <w:sz w:val="21"/>
          <w:szCs w:val="21"/>
        </w:rPr>
        <w:t>（七）评审专家有下列情形之一的，受到邀请应主动提出回避，采购当事人也可以要求该评审专家回避：</w:t>
      </w:r>
    </w:p>
    <w:p>
      <w:pPr>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、本人、配偶或直系亲属</w:t>
      </w:r>
      <w:r>
        <w:rPr>
          <w:rFonts w:ascii="宋体" w:hAnsi="宋体" w:cs="宋体"/>
          <w:color w:val="auto"/>
          <w:szCs w:val="21"/>
        </w:rPr>
        <w:t>3</w:t>
      </w:r>
      <w:r>
        <w:rPr>
          <w:rFonts w:hint="eastAsia" w:ascii="宋体" w:hAnsi="宋体" w:cs="宋体"/>
          <w:color w:val="auto"/>
          <w:szCs w:val="21"/>
        </w:rPr>
        <w:t>年内曾在参加该采购项目的投标人中任职（包括一般工作）或担任顾问，或与参加该采购项目的投标人发生过法律纠纷；</w:t>
      </w:r>
    </w:p>
    <w:p>
      <w:pPr>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、任职单位与采购人或参加该采购项目投标人存在行政隶属关系；</w:t>
      </w:r>
    </w:p>
    <w:p>
      <w:pPr>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、曾经参加过该采购项目的进口产品或采购文件、采购需求、采购方式的论证和咨询服务工作；</w:t>
      </w:r>
    </w:p>
    <w:p>
      <w:pPr>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、是参加该采购项目投标人的上级主管部门、控股或参股单位的工作人员，或与该投标人存在其他经济利益关系；</w:t>
      </w:r>
    </w:p>
    <w:p>
      <w:pPr>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、评审委员会成员之间具有配偶、近亲属关系；</w:t>
      </w:r>
    </w:p>
    <w:p>
      <w:pPr>
        <w:spacing w:line="360" w:lineRule="auto"/>
        <w:ind w:firstLine="420" w:firstLineChars="200"/>
        <w:rPr>
          <w:rFonts w:ascii="宋体" w:cs="宋体"/>
          <w:color w:val="auto"/>
          <w:szCs w:val="21"/>
        </w:rPr>
      </w:pPr>
      <w:r>
        <w:rPr>
          <w:rFonts w:ascii="宋体" w:hAnsi="宋体" w:cs="宋体"/>
          <w:color w:val="auto"/>
          <w:szCs w:val="21"/>
        </w:rPr>
        <w:t>6</w:t>
      </w:r>
      <w:r>
        <w:rPr>
          <w:rFonts w:hint="eastAsia" w:ascii="宋体" w:hAnsi="宋体" w:cs="宋体"/>
          <w:color w:val="auto"/>
          <w:szCs w:val="21"/>
        </w:rPr>
        <w:t>、法律、法规、规章规定应当回避以及其他可能影响公正评审的。</w:t>
      </w:r>
    </w:p>
    <w:p>
      <w:pPr>
        <w:spacing w:line="360" w:lineRule="auto"/>
        <w:ind w:firstLine="422" w:firstLineChars="200"/>
        <w:rPr>
          <w:rFonts w:ascii="宋体" w:cs="宋体"/>
          <w:color w:val="auto"/>
          <w:szCs w:val="21"/>
        </w:rPr>
      </w:pPr>
      <w:r>
        <w:rPr>
          <w:rFonts w:hint="eastAsia" w:ascii="宋体" w:hAnsi="宋体" w:cs="宋体"/>
          <w:b/>
          <w:color w:val="auto"/>
          <w:szCs w:val="21"/>
        </w:rPr>
        <w:t>（八）评标委员会判断投标文件的有效性、合格性和响应情况，仅依据投标人所递交一切文件的真实表述，不受与本项目无直接关联的外部信息、传言而影响自身的专业判断。</w:t>
      </w:r>
    </w:p>
    <w:p>
      <w:pPr>
        <w:pStyle w:val="14"/>
        <w:tabs>
          <w:tab w:val="left" w:pos="630"/>
        </w:tabs>
        <w:snapToGrid w:val="0"/>
        <w:spacing w:before="120" w:after="120" w:line="360" w:lineRule="auto"/>
        <w:ind w:firstLine="413" w:firstLineChars="196"/>
        <w:rPr>
          <w:rFonts w:hint="eastAsia" w:hAnsi="宋体" w:cs="宋体"/>
          <w:b/>
          <w:color w:val="auto"/>
          <w:sz w:val="21"/>
          <w:szCs w:val="21"/>
        </w:rPr>
      </w:pPr>
      <w:r>
        <w:rPr>
          <w:rFonts w:hint="eastAsia" w:hAnsi="宋体" w:cs="宋体"/>
          <w:b/>
          <w:color w:val="auto"/>
          <w:sz w:val="21"/>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14"/>
        <w:snapToGrid w:val="0"/>
        <w:spacing w:before="120" w:after="120" w:line="360" w:lineRule="auto"/>
        <w:ind w:firstLine="420"/>
        <w:rPr>
          <w:rFonts w:hint="eastAsia" w:hAnsi="宋体" w:cs="宋体"/>
          <w:b/>
          <w:color w:val="auto"/>
          <w:sz w:val="21"/>
          <w:szCs w:val="21"/>
        </w:rPr>
      </w:pPr>
      <w:r>
        <w:rPr>
          <w:rFonts w:hint="eastAsia" w:hAnsi="宋体" w:cs="宋体"/>
          <w:b/>
          <w:color w:val="auto"/>
          <w:sz w:val="21"/>
          <w:szCs w:val="21"/>
          <w:lang w:eastAsia="zh-CN"/>
        </w:rPr>
        <w:t>（</w:t>
      </w:r>
      <w:r>
        <w:rPr>
          <w:rFonts w:hint="eastAsia" w:hAnsi="宋体" w:cs="宋体"/>
          <w:b/>
          <w:color w:val="auto"/>
          <w:sz w:val="21"/>
          <w:szCs w:val="21"/>
          <w:lang w:val="en-US" w:eastAsia="zh-CN"/>
        </w:rPr>
        <w:t>十</w:t>
      </w:r>
      <w:r>
        <w:rPr>
          <w:rFonts w:hint="eastAsia" w:hAnsi="宋体" w:cs="宋体"/>
          <w:b/>
          <w:color w:val="auto"/>
          <w:sz w:val="21"/>
          <w:szCs w:val="21"/>
          <w:lang w:eastAsia="zh-CN"/>
        </w:rPr>
        <w:t>）</w:t>
      </w:r>
      <w:r>
        <w:rPr>
          <w:rFonts w:hint="eastAsia" w:hAnsi="宋体" w:cs="宋体"/>
          <w:b/>
          <w:color w:val="auto"/>
          <w:sz w:val="21"/>
          <w:szCs w:val="21"/>
        </w:rPr>
        <w:t>评标委员会的组建</w:t>
      </w:r>
    </w:p>
    <w:p>
      <w:pPr>
        <w:pStyle w:val="14"/>
        <w:snapToGrid w:val="0"/>
        <w:spacing w:before="120" w:after="120" w:line="360" w:lineRule="auto"/>
        <w:ind w:firstLine="630" w:firstLineChars="300"/>
        <w:rPr>
          <w:rFonts w:hint="eastAsia" w:hAnsi="宋体" w:eastAsia="宋体" w:cs="宋体"/>
          <w:b/>
          <w:color w:val="auto"/>
          <w:sz w:val="21"/>
          <w:szCs w:val="21"/>
          <w:highlight w:val="none"/>
          <w:lang w:eastAsia="zh-CN"/>
        </w:rPr>
      </w:pPr>
      <w:r>
        <w:rPr>
          <w:rFonts w:hint="eastAsia" w:hAnsi="宋体" w:cs="宋体"/>
          <w:color w:val="auto"/>
          <w:sz w:val="21"/>
          <w:szCs w:val="21"/>
          <w:highlight w:val="none"/>
        </w:rPr>
        <w:t xml:space="preserve">评标委员会构成: </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 xml:space="preserve"> 人，其中招标人代表：</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人，专家</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人。</w:t>
      </w:r>
    </w:p>
    <w:p>
      <w:pPr>
        <w:pStyle w:val="14"/>
        <w:tabs>
          <w:tab w:val="left" w:pos="630"/>
        </w:tabs>
        <w:snapToGrid w:val="0"/>
        <w:spacing w:before="120" w:after="120" w:line="360" w:lineRule="auto"/>
        <w:ind w:firstLine="413" w:firstLineChars="196"/>
        <w:rPr>
          <w:rFonts w:hAnsi="宋体" w:cs="宋体"/>
          <w:b/>
          <w:color w:val="auto"/>
          <w:sz w:val="21"/>
          <w:szCs w:val="21"/>
        </w:rPr>
      </w:pPr>
      <w:r>
        <w:rPr>
          <w:rFonts w:hint="eastAsia" w:hAnsi="宋体" w:cs="宋体"/>
          <w:b/>
          <w:color w:val="auto"/>
          <w:sz w:val="21"/>
          <w:szCs w:val="21"/>
        </w:rPr>
        <w:t>（十</w:t>
      </w:r>
      <w:r>
        <w:rPr>
          <w:rFonts w:hint="eastAsia" w:hAnsi="宋体" w:cs="宋体"/>
          <w:b/>
          <w:color w:val="auto"/>
          <w:sz w:val="21"/>
          <w:szCs w:val="21"/>
          <w:lang w:val="en-US" w:eastAsia="zh-CN"/>
        </w:rPr>
        <w:t>一</w:t>
      </w:r>
      <w:r>
        <w:rPr>
          <w:rFonts w:hint="eastAsia" w:hAnsi="宋体" w:cs="宋体"/>
          <w:b/>
          <w:color w:val="auto"/>
          <w:sz w:val="21"/>
          <w:szCs w:val="21"/>
        </w:rPr>
        <w:t>）评标过程的监控</w:t>
      </w:r>
    </w:p>
    <w:p>
      <w:pPr>
        <w:pStyle w:val="14"/>
        <w:snapToGrid w:val="0"/>
        <w:spacing w:before="120" w:after="120" w:line="360" w:lineRule="auto"/>
        <w:ind w:firstLine="420"/>
        <w:rPr>
          <w:rFonts w:hAnsi="宋体" w:cs="宋体"/>
          <w:color w:val="auto"/>
          <w:sz w:val="21"/>
          <w:szCs w:val="21"/>
        </w:rPr>
      </w:pPr>
      <w:r>
        <w:rPr>
          <w:rFonts w:hAnsi="宋体" w:cs="宋体"/>
          <w:color w:val="auto"/>
          <w:sz w:val="21"/>
          <w:szCs w:val="21"/>
        </w:rPr>
        <w:t>1</w:t>
      </w:r>
      <w:r>
        <w:rPr>
          <w:rFonts w:hint="eastAsia" w:hAnsi="宋体" w:cs="宋体"/>
          <w:color w:val="auto"/>
          <w:sz w:val="21"/>
          <w:szCs w:val="21"/>
        </w:rPr>
        <w:t>、本项目评标过程实行全程录音、录像监控，投标人在评标过程中所进行的试图影响评标结果的不公正活动，可能导致其投标被拒绝；</w:t>
      </w:r>
    </w:p>
    <w:p>
      <w:pPr>
        <w:pStyle w:val="14"/>
        <w:snapToGrid w:val="0"/>
        <w:spacing w:before="120" w:after="120" w:line="360" w:lineRule="auto"/>
        <w:ind w:firstLine="420"/>
        <w:rPr>
          <w:rFonts w:hAnsi="宋体" w:cs="宋体"/>
          <w:b/>
          <w:color w:val="auto"/>
          <w:sz w:val="21"/>
          <w:szCs w:val="21"/>
        </w:rPr>
      </w:pPr>
      <w:r>
        <w:rPr>
          <w:rFonts w:hAnsi="宋体" w:cs="宋体"/>
          <w:color w:val="auto"/>
          <w:sz w:val="21"/>
          <w:szCs w:val="21"/>
        </w:rPr>
        <w:t>2</w:t>
      </w:r>
      <w:r>
        <w:rPr>
          <w:rFonts w:hint="eastAsia" w:hAnsi="宋体" w:cs="宋体"/>
          <w:color w:val="auto"/>
          <w:sz w:val="21"/>
          <w:szCs w:val="21"/>
        </w:rPr>
        <w:t>、开标后到中标通知书发出之前，所有涉及评标委员会名单以及对投标文件的澄清、评价、比较等情况，评标委员会成员、采购人和采购代理机构的有关人员均不得向投标人或其他无关人员透露。</w:t>
      </w:r>
      <w:bookmarkStart w:id="57" w:name="_Toc16897"/>
      <w:bookmarkStart w:id="58" w:name="_Toc317685590"/>
    </w:p>
    <w:p>
      <w:pPr>
        <w:pStyle w:val="14"/>
        <w:snapToGrid w:val="0"/>
        <w:spacing w:before="120" w:after="120" w:line="360" w:lineRule="auto"/>
        <w:ind w:left="772" w:leftChars="267" w:hanging="211" w:hangingChars="100"/>
        <w:outlineLvl w:val="1"/>
        <w:rPr>
          <w:rFonts w:hAnsi="宋体" w:cs="宋体"/>
          <w:b/>
          <w:color w:val="auto"/>
          <w:sz w:val="21"/>
          <w:szCs w:val="21"/>
        </w:rPr>
      </w:pPr>
      <w:r>
        <w:rPr>
          <w:rFonts w:hint="eastAsia" w:hAnsi="宋体" w:cs="宋体"/>
          <w:b/>
          <w:color w:val="auto"/>
          <w:sz w:val="21"/>
          <w:szCs w:val="21"/>
        </w:rPr>
        <w:t>六、采购方式变更</w:t>
      </w:r>
      <w:bookmarkEnd w:id="57"/>
      <w:bookmarkEnd w:id="58"/>
    </w:p>
    <w:p>
      <w:pPr>
        <w:pStyle w:val="26"/>
        <w:widowControl w:val="0"/>
        <w:snapToGrid w:val="0"/>
        <w:spacing w:beforeLines="50" w:beforeAutospacing="0" w:afterLines="50" w:afterAutospacing="0" w:line="360" w:lineRule="auto"/>
        <w:ind w:firstLine="420" w:firstLineChars="200"/>
        <w:jc w:val="both"/>
        <w:rPr>
          <w:color w:val="auto"/>
          <w:sz w:val="21"/>
          <w:szCs w:val="21"/>
        </w:rPr>
      </w:pPr>
      <w:r>
        <w:rPr>
          <w:rFonts w:hint="eastAsia"/>
          <w:color w:val="auto"/>
          <w:kern w:val="2"/>
          <w:sz w:val="21"/>
          <w:szCs w:val="21"/>
        </w:rPr>
        <w:t>政府采购的国内公开招标，采购响应截至时间至或评审期间，出现参与采购响应或者对采购文件作出实质性响应的投标人不足</w:t>
      </w:r>
      <w:r>
        <w:rPr>
          <w:color w:val="auto"/>
          <w:kern w:val="2"/>
          <w:sz w:val="21"/>
          <w:szCs w:val="21"/>
        </w:rPr>
        <w:t>3</w:t>
      </w:r>
      <w:r>
        <w:rPr>
          <w:rFonts w:hint="eastAsia"/>
          <w:color w:val="auto"/>
          <w:kern w:val="2"/>
          <w:sz w:val="21"/>
          <w:szCs w:val="21"/>
        </w:rPr>
        <w:t>家的情况，则重新招标。</w:t>
      </w:r>
    </w:p>
    <w:p>
      <w:pPr>
        <w:pStyle w:val="14"/>
        <w:snapToGrid w:val="0"/>
        <w:spacing w:before="120" w:after="120" w:line="360" w:lineRule="auto"/>
        <w:ind w:left="772" w:leftChars="267" w:hanging="211" w:hangingChars="100"/>
        <w:outlineLvl w:val="1"/>
        <w:rPr>
          <w:rFonts w:hAnsi="宋体" w:cs="宋体"/>
          <w:b/>
          <w:color w:val="auto"/>
          <w:sz w:val="21"/>
          <w:szCs w:val="21"/>
        </w:rPr>
      </w:pPr>
      <w:bookmarkStart w:id="59" w:name="_Toc9029"/>
      <w:r>
        <w:rPr>
          <w:rFonts w:hint="eastAsia" w:hAnsi="宋体" w:cs="宋体"/>
          <w:b/>
          <w:color w:val="auto"/>
          <w:sz w:val="21"/>
          <w:szCs w:val="21"/>
        </w:rPr>
        <w:t>七、定标</w:t>
      </w:r>
      <w:bookmarkEnd w:id="59"/>
    </w:p>
    <w:p>
      <w:pPr>
        <w:pStyle w:val="14"/>
        <w:snapToGrid w:val="0"/>
        <w:spacing w:beforeLines="0" w:afterLines="0" w:line="360" w:lineRule="auto"/>
        <w:ind w:firstLine="413" w:firstLineChars="196"/>
        <w:rPr>
          <w:rFonts w:hAnsi="宋体" w:cs="宋体"/>
          <w:b/>
          <w:bCs/>
          <w:color w:val="auto"/>
          <w:sz w:val="21"/>
          <w:szCs w:val="21"/>
        </w:rPr>
      </w:pPr>
      <w:r>
        <w:rPr>
          <w:rFonts w:hint="eastAsia" w:hAnsi="宋体" w:cs="宋体"/>
          <w:b/>
          <w:bCs/>
          <w:color w:val="auto"/>
          <w:sz w:val="21"/>
          <w:szCs w:val="21"/>
        </w:rPr>
        <w:t>（一）确定中标投标人。本项目由采购人（或采购人事先授权评标委员会）确定中标投标人。</w:t>
      </w:r>
    </w:p>
    <w:p>
      <w:pPr>
        <w:pStyle w:val="14"/>
        <w:snapToGrid w:val="0"/>
        <w:spacing w:before="120" w:after="120" w:line="360" w:lineRule="auto"/>
        <w:ind w:firstLine="420"/>
        <w:rPr>
          <w:rFonts w:hAnsi="宋体" w:cs="宋体"/>
          <w:color w:val="auto"/>
          <w:sz w:val="21"/>
          <w:szCs w:val="21"/>
        </w:rPr>
      </w:pPr>
      <w:r>
        <w:rPr>
          <w:rFonts w:hAnsi="宋体" w:cs="宋体"/>
          <w:color w:val="auto"/>
          <w:sz w:val="21"/>
          <w:szCs w:val="21"/>
        </w:rPr>
        <w:t>1</w:t>
      </w:r>
      <w:r>
        <w:rPr>
          <w:rFonts w:hint="eastAsia" w:hAnsi="宋体" w:cs="宋体"/>
          <w:color w:val="auto"/>
          <w:sz w:val="21"/>
          <w:szCs w:val="21"/>
        </w:rPr>
        <w:t>、采购代理机构应当在评标结束后</w:t>
      </w:r>
      <w:r>
        <w:rPr>
          <w:rFonts w:hAnsi="宋体" w:cs="宋体"/>
          <w:color w:val="auto"/>
          <w:sz w:val="21"/>
          <w:szCs w:val="21"/>
        </w:rPr>
        <w:t>2</w:t>
      </w:r>
      <w:r>
        <w:rPr>
          <w:rFonts w:hint="eastAsia" w:hAnsi="宋体" w:cs="宋体"/>
          <w:color w:val="auto"/>
          <w:sz w:val="21"/>
          <w:szCs w:val="21"/>
        </w:rPr>
        <w:t>个工作日内将评标报告送采购人；</w:t>
      </w:r>
    </w:p>
    <w:p>
      <w:pPr>
        <w:pStyle w:val="14"/>
        <w:snapToGrid w:val="0"/>
        <w:spacing w:before="120" w:after="120" w:line="360" w:lineRule="auto"/>
        <w:ind w:firstLine="420"/>
        <w:rPr>
          <w:rFonts w:hAnsi="宋体" w:cs="宋体"/>
          <w:color w:val="auto"/>
          <w:sz w:val="21"/>
          <w:szCs w:val="21"/>
        </w:rPr>
      </w:pPr>
      <w:r>
        <w:rPr>
          <w:rFonts w:hAnsi="宋体" w:cs="宋体"/>
          <w:color w:val="auto"/>
          <w:sz w:val="21"/>
          <w:szCs w:val="21"/>
        </w:rPr>
        <w:t>2</w:t>
      </w:r>
      <w:r>
        <w:rPr>
          <w:rFonts w:hint="eastAsia" w:hAnsi="宋体" w:cs="宋体"/>
          <w:color w:val="auto"/>
          <w:sz w:val="21"/>
          <w:szCs w:val="21"/>
        </w:rPr>
        <w:t>、采购人应当自收到评标报告之日起</w:t>
      </w:r>
      <w:r>
        <w:rPr>
          <w:rFonts w:hAnsi="宋体" w:cs="宋体"/>
          <w:color w:val="auto"/>
          <w:sz w:val="21"/>
          <w:szCs w:val="21"/>
        </w:rPr>
        <w:t>5</w:t>
      </w:r>
      <w:r>
        <w:rPr>
          <w:rFonts w:hint="eastAsia" w:hAnsi="宋体" w:cs="宋体"/>
          <w:color w:val="auto"/>
          <w:sz w:val="21"/>
          <w:szCs w:val="21"/>
        </w:rPr>
        <w:t>个工作日内，在评标报告确定的中标候选人名单中按顺序确定中标人。中标候选人并列的，由采购人或者采购人委托评标委员会按照采购文件规定的方式确定中标人；采购文件未规定的，采取随机抽取的方式确定；</w:t>
      </w:r>
    </w:p>
    <w:p>
      <w:pPr>
        <w:pStyle w:val="14"/>
        <w:snapToGrid w:val="0"/>
        <w:spacing w:before="120" w:after="120" w:line="360" w:lineRule="auto"/>
        <w:ind w:firstLine="420"/>
        <w:rPr>
          <w:rFonts w:hAnsi="宋体" w:cs="宋体"/>
          <w:color w:val="auto"/>
          <w:sz w:val="21"/>
          <w:szCs w:val="21"/>
        </w:rPr>
      </w:pPr>
      <w:r>
        <w:rPr>
          <w:rFonts w:hAnsi="宋体" w:cs="宋体"/>
          <w:color w:val="auto"/>
          <w:sz w:val="21"/>
          <w:szCs w:val="21"/>
        </w:rPr>
        <w:t>3</w:t>
      </w:r>
      <w:r>
        <w:rPr>
          <w:rFonts w:hint="eastAsia" w:hAnsi="宋体" w:cs="宋体"/>
          <w:color w:val="auto"/>
          <w:sz w:val="21"/>
          <w:szCs w:val="21"/>
        </w:rPr>
        <w:t>、采购人依法确定中标人后</w:t>
      </w:r>
      <w:r>
        <w:rPr>
          <w:rFonts w:hAnsi="宋体" w:cs="宋体"/>
          <w:color w:val="auto"/>
          <w:sz w:val="21"/>
          <w:szCs w:val="21"/>
        </w:rPr>
        <w:t>2</w:t>
      </w:r>
      <w:r>
        <w:rPr>
          <w:rFonts w:hint="eastAsia" w:hAnsi="宋体" w:cs="宋体"/>
          <w:color w:val="auto"/>
          <w:sz w:val="21"/>
          <w:szCs w:val="21"/>
        </w:rPr>
        <w:t>个工作日内，采购代理机构以书面形式发出《中标通知书》</w:t>
      </w:r>
      <w:r>
        <w:rPr>
          <w:rFonts w:hAnsi="宋体" w:cs="宋体"/>
          <w:color w:val="auto"/>
          <w:sz w:val="21"/>
          <w:szCs w:val="21"/>
        </w:rPr>
        <w:t>,</w:t>
      </w:r>
      <w:r>
        <w:rPr>
          <w:rFonts w:hint="eastAsia" w:hAnsi="宋体" w:cs="宋体"/>
          <w:color w:val="auto"/>
          <w:sz w:val="21"/>
          <w:szCs w:val="21"/>
        </w:rPr>
        <w:t>并同时在相关网站上发布中标公告。不在中标名单之列者即为落标人，采购代理机构不再以其它方式另行通知；</w:t>
      </w:r>
    </w:p>
    <w:p>
      <w:pPr>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、各参加政府采购活动的投标人认为该中标结果和采购过程等使自己的权益受到损害的，可以自本公告期限届满之日（自本公告发布之日起至第</w:t>
      </w:r>
      <w:r>
        <w:rPr>
          <w:rFonts w:ascii="宋体" w:hAnsi="宋体" w:cs="宋体"/>
          <w:color w:val="auto"/>
          <w:szCs w:val="21"/>
        </w:rPr>
        <w:t>2</w:t>
      </w:r>
      <w:r>
        <w:rPr>
          <w:rFonts w:hint="eastAsia" w:ascii="宋体" w:hAnsi="宋体" w:cs="宋体"/>
          <w:color w:val="auto"/>
          <w:szCs w:val="21"/>
        </w:rPr>
        <w:t>日</w:t>
      </w:r>
      <w:r>
        <w:rPr>
          <w:rFonts w:ascii="宋体" w:hAnsi="宋体" w:cs="宋体"/>
          <w:color w:val="auto"/>
          <w:szCs w:val="21"/>
        </w:rPr>
        <w:t>24</w:t>
      </w:r>
      <w:r>
        <w:rPr>
          <w:rFonts w:hint="eastAsia" w:ascii="宋体" w:hAnsi="宋体" w:cs="宋体"/>
          <w:color w:val="auto"/>
          <w:szCs w:val="21"/>
        </w:rPr>
        <w:t>时止）起</w:t>
      </w:r>
      <w:r>
        <w:rPr>
          <w:rFonts w:ascii="宋体" w:hAnsi="宋体" w:cs="宋体"/>
          <w:color w:val="auto"/>
          <w:szCs w:val="21"/>
        </w:rPr>
        <w:t>7</w:t>
      </w:r>
      <w:r>
        <w:rPr>
          <w:rFonts w:hint="eastAsia" w:ascii="宋体" w:hAnsi="宋体" w:cs="宋体"/>
          <w:color w:val="auto"/>
          <w:szCs w:val="21"/>
        </w:rPr>
        <w:t>个工作日内，以书面形式向采购人提出质疑。质疑投标人对采购人、采购代理机构的答复不满意或者采购人、采购代理机构未在规定的时间内作出答复的，可以再答复期满后十五个工作日内向同级政府采购监督管理部门投诉；</w:t>
      </w:r>
    </w:p>
    <w:p>
      <w:pPr>
        <w:pStyle w:val="14"/>
        <w:snapToGrid w:val="0"/>
        <w:spacing w:before="120" w:after="120" w:line="360" w:lineRule="auto"/>
        <w:ind w:firstLine="211" w:firstLineChars="100"/>
        <w:outlineLvl w:val="1"/>
        <w:rPr>
          <w:rFonts w:hAnsi="宋体" w:cs="宋体"/>
          <w:b/>
          <w:color w:val="auto"/>
          <w:sz w:val="21"/>
          <w:szCs w:val="21"/>
        </w:rPr>
      </w:pPr>
      <w:bookmarkStart w:id="60" w:name="_Toc17747"/>
      <w:r>
        <w:rPr>
          <w:rFonts w:hint="eastAsia" w:hAnsi="宋体" w:cs="宋体"/>
          <w:b/>
          <w:color w:val="auto"/>
          <w:sz w:val="21"/>
          <w:szCs w:val="21"/>
        </w:rPr>
        <w:t>八、合同授予</w:t>
      </w:r>
      <w:bookmarkEnd w:id="60"/>
    </w:p>
    <w:p>
      <w:pPr>
        <w:snapToGrid w:val="0"/>
        <w:spacing w:line="360" w:lineRule="auto"/>
        <w:ind w:firstLine="413" w:firstLineChars="196"/>
        <w:rPr>
          <w:rFonts w:ascii="宋体" w:cs="宋体"/>
          <w:b/>
          <w:bCs/>
          <w:color w:val="auto"/>
          <w:szCs w:val="21"/>
        </w:rPr>
      </w:pPr>
      <w:r>
        <w:rPr>
          <w:rFonts w:hint="eastAsia" w:ascii="宋体" w:hAnsi="宋体" w:cs="宋体"/>
          <w:b/>
          <w:bCs/>
          <w:color w:val="auto"/>
          <w:szCs w:val="21"/>
        </w:rPr>
        <w:t>（一）签订合同</w:t>
      </w:r>
    </w:p>
    <w:p>
      <w:pPr>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、采购人与中标投标人应当在《中标通知书》发出之日起</w:t>
      </w:r>
      <w:r>
        <w:rPr>
          <w:rFonts w:ascii="宋体" w:hAnsi="宋体" w:cs="宋体"/>
          <w:b/>
          <w:color w:val="auto"/>
          <w:szCs w:val="21"/>
          <w:u w:val="single"/>
        </w:rPr>
        <w:t>30</w:t>
      </w:r>
      <w:r>
        <w:rPr>
          <w:rFonts w:hint="eastAsia" w:ascii="宋体" w:hAnsi="宋体" w:cs="宋体"/>
          <w:color w:val="auto"/>
          <w:szCs w:val="21"/>
        </w:rPr>
        <w:t>日内签订政府采购合同。同时，采购代理机构对合同内容进行审查，如发现与采购结果和投标承诺内容不一致的，应予以纠正；</w:t>
      </w:r>
    </w:p>
    <w:p>
      <w:pPr>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、中标投标人拖延、拒签合同的，将被取消中标资格。</w:t>
      </w:r>
    </w:p>
    <w:p>
      <w:pPr>
        <w:pStyle w:val="14"/>
        <w:snapToGrid w:val="0"/>
        <w:spacing w:before="120" w:after="120" w:line="360" w:lineRule="auto"/>
        <w:ind w:firstLine="211" w:firstLineChars="100"/>
        <w:outlineLvl w:val="1"/>
        <w:rPr>
          <w:rFonts w:hAnsi="宋体" w:cs="宋体"/>
          <w:b/>
          <w:color w:val="auto"/>
          <w:sz w:val="21"/>
          <w:szCs w:val="21"/>
        </w:rPr>
      </w:pPr>
      <w:bookmarkStart w:id="61" w:name="_Toc2054"/>
      <w:r>
        <w:rPr>
          <w:rFonts w:hint="eastAsia" w:hAnsi="宋体" w:cs="宋体"/>
          <w:b/>
          <w:color w:val="auto"/>
          <w:sz w:val="21"/>
          <w:szCs w:val="21"/>
        </w:rPr>
        <w:t>九、特别说明</w:t>
      </w:r>
      <w:bookmarkEnd w:id="61"/>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1、本项目</w:t>
      </w:r>
      <w:r>
        <w:rPr>
          <w:rFonts w:hint="eastAsia" w:ascii="宋体" w:hAnsi="宋体" w:eastAsia="宋体" w:cs="宋体"/>
          <w:color w:val="auto"/>
          <w:szCs w:val="21"/>
          <w:highlight w:val="none"/>
          <w:u w:val="single"/>
          <w:lang w:val="zh-CN"/>
        </w:rPr>
        <w:t xml:space="preserve"> 非</w:t>
      </w:r>
      <w:r>
        <w:rPr>
          <w:rFonts w:hint="eastAsia"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zh-CN"/>
        </w:rPr>
        <w:t>专门面向中小企业采购。</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2、本项目对应的中小企业划分标准所属行业：</w:t>
      </w:r>
      <w:r>
        <w:rPr>
          <w:rFonts w:hint="eastAsia" w:hAnsi="宋体" w:eastAsia="宋体" w:cs="宋体"/>
          <w:color w:val="auto"/>
          <w:szCs w:val="21"/>
          <w:highlight w:val="none"/>
          <w:u w:val="single"/>
          <w:lang w:val="en-US" w:eastAsia="zh-CN"/>
        </w:rPr>
        <w:t xml:space="preserve"> 其他未列明行业 </w:t>
      </w:r>
      <w:r>
        <w:rPr>
          <w:rFonts w:hint="eastAsia" w:ascii="宋体" w:hAnsi="宋体" w:eastAsia="宋体" w:cs="宋体"/>
          <w:color w:val="auto"/>
          <w:szCs w:val="21"/>
          <w:highlight w:val="none"/>
          <w:lang w:val="zh-CN"/>
        </w:rPr>
        <w:t xml:space="preserve">。 </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3、小微企业是指中华人民共和国境内依法设立，依据国务院批准的中小企业划分标准确定的小型企业和微型企业，但与大企业的负责人为同一人，或者与大企业存在直接控股、管理关系的除外。</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符合中小企业划分标准的个体工商户，在政府采购活动中视同中小企业。</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国务院批准的中小企业划分标准：具体见工信部联企业[2011]300号。</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4、在政府采购活动中，供应商提供的货物、工程或者服务符合下列情形的，可享受小型、微型企业（以下简称小微企业）的价格扣除：</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（1）在货物采购项目中，货物由小微企业制造，即货物由小微企业生产且使用该小微企业商号或者注册商标；</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（2）在工程采购项目中，工程由小微企业承建，即工程施工单位为小微企业；</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（3）在服务采购项目中，服务由小微企业承接，即提供服务的人员为小微企业依照《中华人民共和国劳动合同法》订立劳动合同的从业人员。</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以联合体形式参加政府采购活动，联合体各方均为小微企业的，联合体视同小微企业。</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5、在货物采购项目中，供应商提供的货物既有中小企业制造货物，也有大型企业制造货物的，不享受小微企业价格扣除。</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6、本项目对符合《政府采购促进中小企业发展管理办法》（财库﹝2020﹞46号）规定的小微企业报价给予</w:t>
      </w:r>
      <w:r>
        <w:rPr>
          <w:rFonts w:hint="eastAsia" w:ascii="宋体" w:hAnsi="宋体" w:eastAsia="宋体" w:cs="宋体"/>
          <w:b/>
          <w:bCs/>
          <w:color w:val="auto"/>
          <w:szCs w:val="21"/>
          <w:highlight w:val="none"/>
          <w:lang w:val="en-US" w:eastAsia="zh-CN"/>
        </w:rPr>
        <w:t>10</w:t>
      </w:r>
      <w:r>
        <w:rPr>
          <w:rFonts w:hint="eastAsia" w:ascii="宋体" w:hAnsi="宋体" w:eastAsia="宋体" w:cs="宋体"/>
          <w:b/>
          <w:bCs/>
          <w:color w:val="auto"/>
          <w:szCs w:val="21"/>
          <w:highlight w:val="none"/>
          <w:lang w:val="zh-CN"/>
        </w:rPr>
        <w:t>%</w:t>
      </w:r>
      <w:r>
        <w:rPr>
          <w:rFonts w:hint="eastAsia" w:ascii="宋体" w:hAnsi="宋体" w:eastAsia="宋体" w:cs="宋体"/>
          <w:color w:val="auto"/>
          <w:szCs w:val="21"/>
          <w:highlight w:val="none"/>
          <w:lang w:val="zh-CN"/>
        </w:rPr>
        <w:t>（工程项目为</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lang w:val="zh-CN"/>
        </w:rPr>
        <w:t>%</w:t>
      </w:r>
      <w:r>
        <w:rPr>
          <w:rFonts w:hint="eastAsia" w:ascii="宋体" w:hAnsi="宋体" w:eastAsia="宋体" w:cs="宋体"/>
          <w:color w:val="auto"/>
          <w:szCs w:val="21"/>
          <w:highlight w:val="none"/>
          <w:lang w:val="zh-CN"/>
        </w:rPr>
        <w:t>）的扣除，用扣除后的价格参加评审。</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val="zh-CN"/>
        </w:rPr>
        <w:t>%</w:t>
      </w:r>
      <w:r>
        <w:rPr>
          <w:rFonts w:hint="eastAsia" w:ascii="宋体" w:hAnsi="宋体" w:eastAsia="宋体" w:cs="宋体"/>
          <w:color w:val="auto"/>
          <w:szCs w:val="21"/>
          <w:highlight w:val="none"/>
          <w:lang w:val="zh-CN"/>
        </w:rPr>
        <w:t xml:space="preserve">（工程项目为 </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lang w:val="zh-CN"/>
        </w:rPr>
        <w:t>%</w:t>
      </w:r>
      <w:r>
        <w:rPr>
          <w:rFonts w:hint="eastAsia" w:ascii="宋体" w:hAnsi="宋体" w:eastAsia="宋体" w:cs="宋体"/>
          <w:color w:val="auto"/>
          <w:szCs w:val="21"/>
          <w:highlight w:val="none"/>
          <w:lang w:val="zh-CN"/>
        </w:rPr>
        <w:t>）的扣除，用扣除后的价格参加评审。组成联合体或者接受分包的小微企业与联合体内其他企业、分包企业之间存在直接控股、管理关系的，不享受价格扣除优惠政策。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7、小微企业应按照招标文件格式要求提供《中小企业声明函》。</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根据《关于促进残疾人就业政府采购政策的通知》（财库[2017]141号）规定，在政府采购活动中，残疾人福利性单位视同小型、微型企业。残疾人福利性单位参加政府采购活动时，提供《残疾人福利性单位声明函》。</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10、按规定享受扶持政策获得政府采购合同的，小微企业不得将合同分包给大中型企业，中型企业不得将合同分包给大型企业。</w:t>
      </w:r>
    </w:p>
    <w:p>
      <w:pPr>
        <w:spacing w:line="360" w:lineRule="auto"/>
        <w:jc w:val="both"/>
        <w:outlineLvl w:val="0"/>
        <w:rPr>
          <w:rFonts w:hint="eastAsia"/>
          <w:b/>
          <w:bCs/>
          <w:color w:val="auto"/>
          <w:sz w:val="32"/>
          <w:szCs w:val="40"/>
        </w:rPr>
      </w:pPr>
      <w:r>
        <w:rPr>
          <w:rFonts w:hint="eastAsia" w:ascii="宋体" w:hAnsi="宋体" w:eastAsia="宋体" w:cs="宋体"/>
          <w:color w:val="auto"/>
          <w:szCs w:val="21"/>
          <w:highlight w:val="none"/>
          <w:lang w:val="zh-CN"/>
        </w:rPr>
        <w:t>11、供应商按照《政府采购促进中小企业发展管理办法》（财库﹝2020﹞46号）规定提供声明函内容不实的，属于提供虚假材料谋取中标、成交，依照《中华人民共和国政府采购法》等国家有关规定追究相应责任。</w:t>
      </w:r>
    </w:p>
    <w:p>
      <w:pPr>
        <w:snapToGrid w:val="0"/>
        <w:spacing w:line="360" w:lineRule="auto"/>
        <w:ind w:firstLine="420" w:firstLineChars="200"/>
        <w:rPr>
          <w:rFonts w:ascii="宋体" w:cs="宋体"/>
          <w:color w:val="auto"/>
          <w:szCs w:val="21"/>
        </w:rPr>
      </w:pPr>
    </w:p>
    <w:p>
      <w:pPr>
        <w:snapToGrid w:val="0"/>
        <w:spacing w:line="360" w:lineRule="auto"/>
        <w:ind w:firstLine="420" w:firstLineChars="200"/>
        <w:rPr>
          <w:rFonts w:ascii="宋体" w:cs="宋体"/>
          <w:color w:val="auto"/>
          <w:szCs w:val="21"/>
        </w:rPr>
      </w:pPr>
    </w:p>
    <w:p>
      <w:pPr>
        <w:pStyle w:val="14"/>
        <w:snapToGrid w:val="0"/>
        <w:spacing w:beforeLines="0" w:after="120" w:line="360" w:lineRule="auto"/>
        <w:jc w:val="center"/>
        <w:outlineLvl w:val="0"/>
        <w:rPr>
          <w:rFonts w:hAnsi="宋体" w:cs="宋体"/>
          <w:b/>
          <w:color w:val="auto"/>
          <w:sz w:val="30"/>
          <w:szCs w:val="30"/>
        </w:rPr>
      </w:pPr>
      <w:r>
        <w:rPr>
          <w:rFonts w:hAnsi="宋体" w:cs="宋体"/>
          <w:b/>
          <w:color w:val="auto"/>
          <w:sz w:val="30"/>
          <w:szCs w:val="30"/>
        </w:rPr>
        <w:br w:type="page"/>
      </w:r>
      <w:bookmarkStart w:id="62" w:name="_Toc275"/>
      <w:r>
        <w:rPr>
          <w:rFonts w:hint="eastAsia" w:hAnsi="宋体" w:cs="宋体"/>
          <w:b/>
          <w:color w:val="auto"/>
          <w:sz w:val="30"/>
          <w:szCs w:val="30"/>
        </w:rPr>
        <w:t>第四章</w:t>
      </w:r>
      <w:r>
        <w:rPr>
          <w:rFonts w:hint="eastAsia" w:hAnsi="宋体" w:cs="宋体"/>
          <w:b/>
          <w:color w:val="auto"/>
          <w:sz w:val="30"/>
          <w:szCs w:val="30"/>
          <w:lang w:val="en-US" w:eastAsia="zh-CN"/>
        </w:rPr>
        <w:t xml:space="preserve"> </w:t>
      </w:r>
      <w:r>
        <w:rPr>
          <w:rFonts w:hint="eastAsia" w:hAnsi="宋体" w:cs="宋体"/>
          <w:b/>
          <w:color w:val="auto"/>
          <w:sz w:val="30"/>
          <w:szCs w:val="30"/>
        </w:rPr>
        <w:t>评标办法及评分标准</w:t>
      </w:r>
      <w:bookmarkEnd w:id="62"/>
    </w:p>
    <w:p>
      <w:pPr>
        <w:snapToGrid w:val="0"/>
        <w:spacing w:line="480" w:lineRule="exact"/>
        <w:ind w:firstLine="420" w:firstLineChars="200"/>
        <w:rPr>
          <w:rFonts w:hint="eastAsia" w:ascii="宋体" w:hAnsi="宋体" w:cs="宋体"/>
          <w:color w:val="auto"/>
          <w:szCs w:val="21"/>
        </w:rPr>
      </w:pPr>
      <w:r>
        <w:rPr>
          <w:rFonts w:hint="eastAsia" w:ascii="宋体" w:hAnsi="宋体" w:cs="宋体"/>
          <w:color w:val="auto"/>
          <w:szCs w:val="21"/>
        </w:rPr>
        <w:t>本办法严格遵照《中华人民共和国政府采购法》、《政府采购货物和服务招标投标管理办法》、《中华人民共和国政府采购法实施条例》等规定，结合项目所在地政府有关政府采购规定和项目的实际情况制定。本次采购为非专门面向中小企业，本次评标将对中小企业声明函满足采购文件要求的小型和微型企业产品的价格给予</w:t>
      </w:r>
      <w:r>
        <w:rPr>
          <w:rFonts w:hint="eastAsia" w:ascii="宋体" w:hAnsi="宋体" w:cs="宋体"/>
          <w:color w:val="auto"/>
          <w:szCs w:val="21"/>
          <w:lang w:val="en-US" w:eastAsia="zh-CN"/>
        </w:rPr>
        <w:t>10</w:t>
      </w:r>
      <w:r>
        <w:rPr>
          <w:rFonts w:hint="eastAsia" w:ascii="宋体" w:hAnsi="宋体" w:cs="宋体"/>
          <w:color w:val="auto"/>
          <w:szCs w:val="21"/>
        </w:rPr>
        <w:t>%的扣除，对联合体投标（如有）中小企业声明函满足采购文件要求的小型和微型企业产品的价格给予</w:t>
      </w:r>
      <w:r>
        <w:rPr>
          <w:rFonts w:hint="eastAsia" w:ascii="宋体" w:hAnsi="宋体" w:cs="宋体"/>
          <w:color w:val="auto"/>
          <w:szCs w:val="21"/>
          <w:lang w:val="en-US" w:eastAsia="zh-CN"/>
        </w:rPr>
        <w:t>3</w:t>
      </w:r>
      <w:r>
        <w:rPr>
          <w:rFonts w:hint="eastAsia" w:ascii="宋体" w:hAnsi="宋体" w:cs="宋体"/>
          <w:color w:val="auto"/>
          <w:szCs w:val="21"/>
        </w:rPr>
        <w:t>%的扣除，用扣除后的价格参与评审。</w:t>
      </w:r>
    </w:p>
    <w:p>
      <w:pPr>
        <w:snapToGrid w:val="0"/>
        <w:spacing w:line="480" w:lineRule="exact"/>
        <w:ind w:firstLine="422" w:firstLineChars="200"/>
        <w:rPr>
          <w:rFonts w:ascii="宋体" w:cs="宋体"/>
          <w:b/>
          <w:color w:val="auto"/>
          <w:szCs w:val="21"/>
        </w:rPr>
      </w:pPr>
      <w:r>
        <w:rPr>
          <w:rFonts w:hint="eastAsia" w:ascii="宋体" w:hAnsi="宋体" w:cs="宋体"/>
          <w:b/>
          <w:color w:val="auto"/>
          <w:szCs w:val="21"/>
        </w:rPr>
        <w:t>一、总则</w:t>
      </w:r>
    </w:p>
    <w:p>
      <w:pPr>
        <w:snapToGrid w:val="0"/>
        <w:spacing w:line="480" w:lineRule="exact"/>
        <w:ind w:firstLine="420" w:firstLineChars="200"/>
        <w:rPr>
          <w:rFonts w:ascii="宋体" w:cs="宋体"/>
          <w:color w:val="auto"/>
          <w:szCs w:val="21"/>
        </w:rPr>
      </w:pPr>
      <w:r>
        <w:rPr>
          <w:rFonts w:hint="eastAsia" w:ascii="宋体" w:hAnsi="宋体" w:cs="宋体"/>
          <w:color w:val="auto"/>
          <w:szCs w:val="21"/>
        </w:rPr>
        <w:t>招标活动遵循公平、公正、科学、择优的原则依法进行，招标活动及当事人接受依法实施的监督。本次招标采用综合评分法。</w:t>
      </w:r>
    </w:p>
    <w:p>
      <w:pPr>
        <w:snapToGrid w:val="0"/>
        <w:spacing w:line="360" w:lineRule="auto"/>
        <w:ind w:firstLine="422" w:firstLineChars="200"/>
        <w:rPr>
          <w:rFonts w:ascii="宋体" w:cs="宋体"/>
          <w:b/>
          <w:color w:val="auto"/>
          <w:szCs w:val="21"/>
        </w:rPr>
      </w:pPr>
      <w:r>
        <w:rPr>
          <w:rFonts w:hint="eastAsia" w:ascii="宋体" w:hAnsi="宋体" w:cs="宋体"/>
          <w:b/>
          <w:color w:val="auto"/>
          <w:szCs w:val="21"/>
        </w:rPr>
        <w:t>二、评标组织</w:t>
      </w:r>
    </w:p>
    <w:p>
      <w:pPr>
        <w:snapToGrid w:val="0"/>
        <w:spacing w:line="360" w:lineRule="auto"/>
        <w:ind w:firstLine="420" w:firstLineChars="200"/>
        <w:rPr>
          <w:rFonts w:ascii="宋体" w:cs="宋体"/>
          <w:color w:val="auto"/>
          <w:szCs w:val="21"/>
        </w:rPr>
      </w:pPr>
      <w:r>
        <w:rPr>
          <w:rFonts w:hint="eastAsia" w:ascii="宋体" w:hAnsi="宋体" w:cs="宋体"/>
          <w:color w:val="auto"/>
          <w:szCs w:val="21"/>
        </w:rPr>
        <w:t>评标委员会：依法组建评标委员会。评标委员会由采购人、技术、经济方面专家等有关人员组成。</w:t>
      </w:r>
    </w:p>
    <w:p>
      <w:pPr>
        <w:numPr>
          <w:ilvl w:val="0"/>
          <w:numId w:val="4"/>
        </w:numPr>
        <w:snapToGrid w:val="0"/>
        <w:spacing w:line="360" w:lineRule="auto"/>
        <w:ind w:left="0" w:leftChars="0" w:firstLine="422" w:firstLineChars="200"/>
        <w:rPr>
          <w:rFonts w:hint="eastAsia" w:ascii="宋体" w:hAnsi="宋体" w:cs="宋体"/>
          <w:b/>
          <w:color w:val="auto"/>
          <w:szCs w:val="21"/>
        </w:rPr>
      </w:pPr>
      <w:r>
        <w:rPr>
          <w:rFonts w:hint="eastAsia" w:ascii="宋体" w:hAnsi="宋体" w:cs="宋体"/>
          <w:b/>
          <w:color w:val="auto"/>
          <w:szCs w:val="21"/>
        </w:rPr>
        <w:t>评标程序</w:t>
      </w:r>
    </w:p>
    <w:p>
      <w:pPr>
        <w:tabs>
          <w:tab w:val="left" w:pos="2160"/>
        </w:tabs>
        <w:spacing w:line="360" w:lineRule="auto"/>
        <w:ind w:firstLine="420" w:firstLineChars="200"/>
        <w:rPr>
          <w:color w:val="auto"/>
          <w:szCs w:val="24"/>
          <w:highlight w:val="none"/>
        </w:rPr>
      </w:pPr>
      <w:r>
        <w:rPr>
          <w:rFonts w:hint="eastAsia"/>
          <w:color w:val="auto"/>
          <w:szCs w:val="24"/>
          <w:highlight w:val="none"/>
        </w:rPr>
        <w:t>（1）</w:t>
      </w:r>
      <w:r>
        <w:rPr>
          <w:color w:val="auto"/>
          <w:szCs w:val="24"/>
          <w:highlight w:val="none"/>
        </w:rPr>
        <w:t>按照投标的顺序依次开标，按照招标内容分类分段依次唱标</w:t>
      </w:r>
      <w:r>
        <w:rPr>
          <w:rFonts w:hint="eastAsia"/>
          <w:color w:val="auto"/>
          <w:szCs w:val="24"/>
          <w:highlight w:val="none"/>
        </w:rPr>
        <w:t>；</w:t>
      </w:r>
    </w:p>
    <w:p>
      <w:pPr>
        <w:autoSpaceDE w:val="0"/>
        <w:autoSpaceDN w:val="0"/>
        <w:snapToGrid w:val="0"/>
        <w:spacing w:line="360" w:lineRule="auto"/>
        <w:contextualSpacing/>
        <w:rPr>
          <w:color w:val="auto"/>
          <w:szCs w:val="24"/>
          <w:highlight w:val="none"/>
        </w:rPr>
      </w:pPr>
      <w:r>
        <w:rPr>
          <w:color w:val="auto"/>
          <w:szCs w:val="24"/>
          <w:highlight w:val="none"/>
        </w:rPr>
        <w:t>开标时，先开</w:t>
      </w:r>
      <w:r>
        <w:rPr>
          <w:rFonts w:hint="eastAsia" w:ascii="宋体" w:hAnsi="宋体" w:cs="宋体"/>
          <w:color w:val="auto"/>
          <w:szCs w:val="21"/>
          <w:highlight w:val="none"/>
        </w:rPr>
        <w:t>资格审查文件</w:t>
      </w:r>
      <w:r>
        <w:rPr>
          <w:rFonts w:hint="eastAsia" w:ascii="宋体" w:hAnsi="宋体" w:cs="宋体"/>
          <w:color w:val="auto"/>
          <w:szCs w:val="21"/>
          <w:highlight w:val="none"/>
          <w:lang w:eastAsia="zh-CN"/>
        </w:rPr>
        <w:t>、</w:t>
      </w:r>
      <w:r>
        <w:rPr>
          <w:color w:val="auto"/>
          <w:szCs w:val="24"/>
          <w:highlight w:val="none"/>
        </w:rPr>
        <w:t>技术商务文件，待技术商务文件</w:t>
      </w:r>
      <w:r>
        <w:rPr>
          <w:rFonts w:hint="eastAsia"/>
          <w:color w:val="auto"/>
          <w:szCs w:val="24"/>
          <w:highlight w:val="none"/>
        </w:rPr>
        <w:t>、</w:t>
      </w:r>
      <w:r>
        <w:rPr>
          <w:rFonts w:hint="eastAsia" w:ascii="宋体" w:hAnsi="宋体" w:cs="宋体"/>
          <w:color w:val="auto"/>
          <w:szCs w:val="21"/>
          <w:highlight w:val="none"/>
        </w:rPr>
        <w:t>资格审查文件</w:t>
      </w:r>
      <w:r>
        <w:rPr>
          <w:color w:val="auto"/>
          <w:szCs w:val="24"/>
          <w:highlight w:val="none"/>
        </w:rPr>
        <w:t>评审结束后开启投标报价文件。如技术商务文件</w:t>
      </w:r>
      <w:r>
        <w:rPr>
          <w:rFonts w:hint="eastAsia"/>
          <w:color w:val="auto"/>
          <w:szCs w:val="24"/>
          <w:highlight w:val="none"/>
        </w:rPr>
        <w:t>、</w:t>
      </w:r>
      <w:r>
        <w:rPr>
          <w:rFonts w:hint="eastAsia" w:ascii="宋体" w:hAnsi="宋体" w:cs="宋体"/>
          <w:color w:val="auto"/>
          <w:szCs w:val="21"/>
          <w:highlight w:val="none"/>
        </w:rPr>
        <w:t>资格审查文件</w:t>
      </w:r>
      <w:r>
        <w:rPr>
          <w:color w:val="auto"/>
          <w:szCs w:val="24"/>
          <w:highlight w:val="none"/>
        </w:rPr>
        <w:t>经评审确定为无效</w:t>
      </w:r>
      <w:r>
        <w:rPr>
          <w:rFonts w:hint="eastAsia"/>
          <w:color w:val="auto"/>
          <w:szCs w:val="24"/>
          <w:highlight w:val="none"/>
        </w:rPr>
        <w:t>标</w:t>
      </w:r>
      <w:r>
        <w:rPr>
          <w:color w:val="auto"/>
          <w:szCs w:val="24"/>
          <w:highlight w:val="none"/>
        </w:rPr>
        <w:t>的投标单位则不能进行报价文件的评审，作为无效标处理</w:t>
      </w:r>
      <w:r>
        <w:rPr>
          <w:rFonts w:hint="eastAsia"/>
          <w:color w:val="auto"/>
          <w:szCs w:val="24"/>
          <w:highlight w:val="none"/>
        </w:rPr>
        <w:t>；</w:t>
      </w:r>
    </w:p>
    <w:p>
      <w:pPr>
        <w:snapToGrid w:val="0"/>
        <w:spacing w:line="480" w:lineRule="exact"/>
        <w:ind w:firstLine="420" w:firstLineChars="200"/>
      </w:pPr>
      <w:r>
        <w:rPr>
          <w:rFonts w:hint="eastAsia"/>
          <w:color w:val="auto"/>
          <w:szCs w:val="24"/>
          <w:highlight w:val="none"/>
        </w:rPr>
        <w:t>（</w:t>
      </w:r>
      <w:r>
        <w:rPr>
          <w:color w:val="auto"/>
          <w:szCs w:val="24"/>
          <w:highlight w:val="none"/>
        </w:rPr>
        <w:t>2</w:t>
      </w:r>
      <w:r>
        <w:rPr>
          <w:rFonts w:hint="eastAsia"/>
          <w:color w:val="auto"/>
          <w:szCs w:val="24"/>
          <w:highlight w:val="none"/>
        </w:rPr>
        <w:t>）评审顺序按标段序号依次评审，各标段选择不同的中标人，即投标人获得一个标段的第一中标候选人资格后，不得参与</w:t>
      </w:r>
      <w:r>
        <w:rPr>
          <w:rFonts w:hint="eastAsia"/>
          <w:color w:val="auto"/>
          <w:szCs w:val="24"/>
          <w:highlight w:val="none"/>
          <w:lang w:val="en-US" w:eastAsia="zh-CN"/>
        </w:rPr>
        <w:t>后续</w:t>
      </w:r>
      <w:r>
        <w:rPr>
          <w:rFonts w:hint="eastAsia"/>
          <w:color w:val="auto"/>
          <w:szCs w:val="24"/>
          <w:highlight w:val="none"/>
        </w:rPr>
        <w:t>标段的</w:t>
      </w:r>
      <w:r>
        <w:rPr>
          <w:rFonts w:hint="eastAsia"/>
          <w:color w:val="auto"/>
          <w:szCs w:val="24"/>
          <w:highlight w:val="none"/>
          <w:lang w:val="en-US" w:eastAsia="zh-CN"/>
        </w:rPr>
        <w:t>评审</w:t>
      </w:r>
      <w:r>
        <w:rPr>
          <w:rFonts w:hint="eastAsia"/>
          <w:color w:val="auto"/>
          <w:szCs w:val="24"/>
          <w:highlight w:val="none"/>
        </w:rPr>
        <w:t>。</w:t>
      </w:r>
    </w:p>
    <w:p>
      <w:pPr>
        <w:spacing w:line="360" w:lineRule="exact"/>
        <w:ind w:firstLine="378" w:firstLineChars="180"/>
        <w:rPr>
          <w:rFonts w:ascii="宋体"/>
          <w:color w:val="auto"/>
        </w:rPr>
      </w:pPr>
      <w:r>
        <w:rPr>
          <w:rFonts w:hint="eastAsia" w:ascii="宋体" w:hAnsi="宋体"/>
          <w:color w:val="auto"/>
        </w:rPr>
        <w:t>详见第三章《投标人须知》</w:t>
      </w:r>
    </w:p>
    <w:p>
      <w:pPr>
        <w:snapToGrid w:val="0"/>
        <w:spacing w:line="480" w:lineRule="exact"/>
        <w:ind w:firstLine="422" w:firstLineChars="200"/>
        <w:rPr>
          <w:rFonts w:ascii="宋体" w:cs="宋体"/>
          <w:b/>
          <w:color w:val="auto"/>
          <w:szCs w:val="21"/>
        </w:rPr>
      </w:pPr>
      <w:r>
        <w:rPr>
          <w:rFonts w:hint="eastAsia" w:ascii="宋体" w:hAnsi="宋体" w:cs="宋体"/>
          <w:b/>
          <w:color w:val="auto"/>
          <w:szCs w:val="21"/>
        </w:rPr>
        <w:t>四、评标过程</w:t>
      </w:r>
    </w:p>
    <w:p>
      <w:pPr>
        <w:spacing w:line="360" w:lineRule="exact"/>
        <w:ind w:firstLine="378" w:firstLineChars="180"/>
        <w:rPr>
          <w:rFonts w:ascii="宋体" w:cs="宋体"/>
          <w:color w:val="auto"/>
          <w:szCs w:val="21"/>
        </w:rPr>
      </w:pPr>
      <w:r>
        <w:rPr>
          <w:rFonts w:hint="eastAsia" w:ascii="宋体" w:hAnsi="宋体"/>
          <w:color w:val="auto"/>
        </w:rPr>
        <w:t>详见第三章《投标人须知》</w:t>
      </w:r>
    </w:p>
    <w:p>
      <w:pPr>
        <w:snapToGrid w:val="0"/>
        <w:spacing w:line="480" w:lineRule="exact"/>
        <w:ind w:firstLine="422" w:firstLineChars="200"/>
        <w:rPr>
          <w:rFonts w:ascii="宋体" w:cs="宋体"/>
          <w:b/>
          <w:color w:val="auto"/>
          <w:szCs w:val="21"/>
        </w:rPr>
      </w:pPr>
      <w:r>
        <w:rPr>
          <w:rFonts w:hint="eastAsia" w:ascii="宋体" w:hAnsi="宋体" w:cs="宋体"/>
          <w:b/>
          <w:color w:val="auto"/>
          <w:szCs w:val="21"/>
        </w:rPr>
        <w:t>五、中标原则</w:t>
      </w:r>
    </w:p>
    <w:p>
      <w:pPr>
        <w:snapToGrid w:val="0"/>
        <w:spacing w:line="480" w:lineRule="exact"/>
        <w:ind w:firstLine="420" w:firstLineChars="200"/>
        <w:rPr>
          <w:rFonts w:ascii="宋体" w:cs="宋体"/>
          <w:color w:val="auto"/>
          <w:szCs w:val="21"/>
        </w:rPr>
      </w:pPr>
      <w:r>
        <w:rPr>
          <w:rFonts w:hint="eastAsia" w:ascii="宋体" w:hAnsi="宋体" w:cs="宋体"/>
          <w:color w:val="auto"/>
          <w:szCs w:val="21"/>
        </w:rPr>
        <w:t>评标小组在审标、询标的基础上根据事先制定的评标办法对各投标人的投标文件进行评定，推荐综合得分</w:t>
      </w:r>
      <w:r>
        <w:rPr>
          <w:rFonts w:hint="eastAsia" w:ascii="宋体" w:hAnsi="宋体" w:cs="宋体"/>
          <w:color w:val="auto"/>
          <w:szCs w:val="21"/>
          <w:lang w:val="en-US" w:eastAsia="zh-CN"/>
        </w:rPr>
        <w:t>第一</w:t>
      </w:r>
      <w:r>
        <w:rPr>
          <w:rFonts w:hint="eastAsia" w:ascii="宋体" w:hAnsi="宋体" w:cs="宋体"/>
          <w:color w:val="auto"/>
          <w:szCs w:val="21"/>
        </w:rPr>
        <w:t>的投标人为中标候选人。</w:t>
      </w:r>
    </w:p>
    <w:p>
      <w:pPr>
        <w:snapToGrid w:val="0"/>
        <w:spacing w:line="480" w:lineRule="exact"/>
        <w:ind w:firstLine="420" w:firstLineChars="200"/>
        <w:rPr>
          <w:rFonts w:ascii="宋体" w:cs="宋体"/>
          <w:color w:val="auto"/>
          <w:szCs w:val="21"/>
        </w:rPr>
      </w:pPr>
      <w:r>
        <w:rPr>
          <w:rFonts w:hint="eastAsia" w:ascii="宋体" w:hAnsi="宋体" w:cs="宋体"/>
          <w:color w:val="auto"/>
          <w:szCs w:val="21"/>
        </w:rPr>
        <w:t>六、中标结果</w:t>
      </w:r>
    </w:p>
    <w:p>
      <w:pPr>
        <w:snapToGrid w:val="0"/>
        <w:spacing w:line="480" w:lineRule="exact"/>
        <w:ind w:firstLine="420" w:firstLineChars="200"/>
        <w:rPr>
          <w:rFonts w:ascii="宋体" w:cs="宋体"/>
          <w:color w:val="auto"/>
          <w:szCs w:val="21"/>
        </w:rPr>
      </w:pPr>
      <w:r>
        <w:rPr>
          <w:rFonts w:hint="eastAsia" w:ascii="宋体" w:hAnsi="宋体" w:cs="宋体"/>
          <w:color w:val="auto"/>
          <w:szCs w:val="21"/>
        </w:rPr>
        <w:t>采购机构将中标结果在招标公告发布的网站上公示，根据公示和决标结果，向中标人发出中标通知书。</w:t>
      </w:r>
    </w:p>
    <w:p>
      <w:pPr>
        <w:snapToGrid w:val="0"/>
        <w:spacing w:line="480" w:lineRule="exact"/>
        <w:ind w:firstLine="422" w:firstLineChars="200"/>
        <w:rPr>
          <w:rFonts w:ascii="宋体" w:cs="宋体"/>
          <w:b/>
          <w:color w:val="auto"/>
          <w:szCs w:val="21"/>
        </w:rPr>
      </w:pPr>
      <w:r>
        <w:rPr>
          <w:rFonts w:hint="eastAsia" w:ascii="宋体" w:hAnsi="宋体" w:cs="宋体"/>
          <w:b/>
          <w:color w:val="auto"/>
          <w:szCs w:val="21"/>
        </w:rPr>
        <w:t>如中标人因自身原因放弃中标或因不可抗力不能履行合同的，则重新招标。</w:t>
      </w:r>
    </w:p>
    <w:p>
      <w:pPr>
        <w:snapToGrid w:val="0"/>
        <w:spacing w:line="480" w:lineRule="exact"/>
        <w:rPr>
          <w:rFonts w:ascii="宋体" w:cs="宋体"/>
          <w:b/>
          <w:color w:val="auto"/>
          <w:szCs w:val="21"/>
        </w:rPr>
      </w:pPr>
    </w:p>
    <w:p>
      <w:pPr>
        <w:snapToGrid w:val="0"/>
        <w:spacing w:line="480" w:lineRule="exact"/>
        <w:jc w:val="center"/>
        <w:rPr>
          <w:rFonts w:hint="eastAsia" w:ascii="宋体" w:hAnsi="宋体" w:cs="宋体"/>
          <w:b/>
          <w:color w:val="auto"/>
          <w:sz w:val="24"/>
        </w:rPr>
      </w:pPr>
      <w:r>
        <w:rPr>
          <w:rFonts w:hint="eastAsia" w:ascii="宋体" w:hAnsi="宋体" w:cs="宋体"/>
          <w:b/>
          <w:color w:val="auto"/>
          <w:sz w:val="24"/>
          <w:lang w:val="zh-CN"/>
        </w:rPr>
        <w:t>宁海县公路与运输管理中心2023年公路绿化养护服务采购</w:t>
      </w:r>
      <w:r>
        <w:rPr>
          <w:rFonts w:hint="eastAsia" w:ascii="宋体" w:hAnsi="宋体" w:cs="宋体"/>
          <w:b/>
          <w:color w:val="auto"/>
          <w:sz w:val="24"/>
        </w:rPr>
        <w:t>评分表</w:t>
      </w:r>
    </w:p>
    <w:p>
      <w:pPr>
        <w:pStyle w:val="2"/>
        <w:jc w:val="center"/>
        <w:rPr>
          <w:rFonts w:hint="eastAsia" w:ascii="宋体" w:hAnsi="宋体" w:eastAsia="宋体" w:cs="宋体"/>
          <w:b/>
          <w:color w:val="auto"/>
          <w:kern w:val="2"/>
          <w:sz w:val="24"/>
          <w:szCs w:val="24"/>
          <w:lang w:val="zh-CN" w:eastAsia="zh-CN" w:bidi="ar-SA"/>
        </w:rPr>
      </w:pPr>
      <w:r>
        <w:rPr>
          <w:rFonts w:hint="eastAsia" w:ascii="宋体" w:hAnsi="宋体" w:eastAsia="宋体" w:cs="宋体"/>
          <w:b/>
          <w:color w:val="auto"/>
          <w:kern w:val="2"/>
          <w:sz w:val="24"/>
          <w:szCs w:val="24"/>
          <w:lang w:val="zh-CN" w:eastAsia="zh-CN" w:bidi="ar-SA"/>
        </w:rPr>
        <w:t>（</w:t>
      </w:r>
      <w:r>
        <w:rPr>
          <w:rFonts w:hint="eastAsia" w:ascii="宋体" w:hAnsi="宋体" w:eastAsia="宋体" w:cs="宋体"/>
          <w:b/>
          <w:color w:val="auto"/>
          <w:kern w:val="2"/>
          <w:sz w:val="24"/>
          <w:szCs w:val="24"/>
          <w:lang w:val="en-US" w:eastAsia="zh-CN" w:bidi="ar-SA"/>
        </w:rPr>
        <w:t>一标段、二标段、三标段</w:t>
      </w:r>
      <w:r>
        <w:rPr>
          <w:rFonts w:hint="eastAsia" w:ascii="宋体" w:hAnsi="宋体" w:eastAsia="宋体" w:cs="宋体"/>
          <w:b/>
          <w:color w:val="auto"/>
          <w:kern w:val="2"/>
          <w:sz w:val="24"/>
          <w:szCs w:val="24"/>
          <w:lang w:val="zh-CN" w:eastAsia="zh-CN" w:bidi="ar-SA"/>
        </w:rPr>
        <w:t>）</w:t>
      </w:r>
    </w:p>
    <w:tbl>
      <w:tblPr>
        <w:tblStyle w:val="29"/>
        <w:tblpPr w:leftFromText="180" w:rightFromText="180" w:vertAnchor="text" w:horzAnchor="page" w:tblpX="920" w:tblpY="481"/>
        <w:tblOverlap w:val="never"/>
        <w:tblW w:w="9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877"/>
        <w:gridCol w:w="8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9792" w:type="dxa"/>
            <w:gridSpan w:val="3"/>
            <w:tcBorders>
              <w:left w:val="single" w:color="auto" w:sz="4" w:space="0"/>
              <w:right w:val="single" w:color="auto" w:sz="2" w:space="0"/>
            </w:tcBorders>
            <w:vAlign w:val="center"/>
          </w:tcPr>
          <w:p>
            <w:pPr>
              <w:spacing w:line="320" w:lineRule="exact"/>
              <w:ind w:right="162"/>
              <w:jc w:val="center"/>
              <w:rPr>
                <w:color w:val="auto"/>
                <w:szCs w:val="21"/>
              </w:rPr>
            </w:pPr>
            <w:r>
              <w:rPr>
                <w:color w:val="auto"/>
                <w:szCs w:val="21"/>
              </w:rPr>
              <w:t>评分项及分值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8" w:hRule="atLeast"/>
        </w:trPr>
        <w:tc>
          <w:tcPr>
            <w:tcW w:w="570" w:type="dxa"/>
            <w:vMerge w:val="restart"/>
            <w:tcBorders>
              <w:left w:val="single" w:color="auto" w:sz="4" w:space="0"/>
              <w:right w:val="single" w:color="auto" w:sz="2" w:space="0"/>
            </w:tcBorders>
            <w:vAlign w:val="center"/>
          </w:tcPr>
          <w:p>
            <w:pPr>
              <w:spacing w:line="320" w:lineRule="exact"/>
              <w:ind w:right="162"/>
              <w:jc w:val="center"/>
              <w:rPr>
                <w:color w:val="auto"/>
                <w:szCs w:val="21"/>
              </w:rPr>
            </w:pPr>
            <w:r>
              <w:rPr>
                <w:color w:val="auto"/>
                <w:szCs w:val="21"/>
              </w:rPr>
              <w:t>技术</w:t>
            </w:r>
            <w:r>
              <w:rPr>
                <w:rFonts w:hint="eastAsia"/>
                <w:color w:val="auto"/>
                <w:szCs w:val="21"/>
              </w:rPr>
              <w:t>商务</w:t>
            </w:r>
          </w:p>
          <w:p>
            <w:pPr>
              <w:spacing w:line="320" w:lineRule="exact"/>
              <w:ind w:right="162"/>
              <w:jc w:val="center"/>
              <w:rPr>
                <w:color w:val="auto"/>
                <w:szCs w:val="21"/>
              </w:rPr>
            </w:pPr>
            <w:r>
              <w:rPr>
                <w:rFonts w:hint="eastAsia"/>
                <w:color w:val="auto"/>
                <w:szCs w:val="21"/>
              </w:rPr>
              <w:t>资信分80</w:t>
            </w:r>
            <w:r>
              <w:rPr>
                <w:color w:val="auto"/>
                <w:szCs w:val="21"/>
              </w:rPr>
              <w:t>分</w:t>
            </w:r>
          </w:p>
        </w:tc>
        <w:tc>
          <w:tcPr>
            <w:tcW w:w="877" w:type="dxa"/>
            <w:tcBorders>
              <w:top w:val="single" w:color="auto" w:sz="2" w:space="0"/>
              <w:left w:val="single" w:color="auto" w:sz="2" w:space="0"/>
              <w:bottom w:val="single" w:color="auto" w:sz="2" w:space="0"/>
              <w:right w:val="single" w:color="auto" w:sz="2" w:space="0"/>
            </w:tcBorders>
            <w:vAlign w:val="center"/>
          </w:tcPr>
          <w:p>
            <w:pPr>
              <w:numPr>
                <w:ilvl w:val="0"/>
                <w:numId w:val="0"/>
              </w:numPr>
              <w:spacing w:line="276" w:lineRule="auto"/>
              <w:ind w:right="162" w:rightChars="0"/>
              <w:jc w:val="left"/>
              <w:rPr>
                <w:rFonts w:hint="eastAsia"/>
                <w:color w:val="auto"/>
                <w:lang w:val="en-US" w:eastAsia="zh-CN"/>
              </w:rPr>
            </w:pPr>
            <w:r>
              <w:rPr>
                <w:rFonts w:hint="eastAsia"/>
                <w:color w:val="auto"/>
                <w:lang w:val="en-US" w:eastAsia="zh-CN"/>
              </w:rPr>
              <w:t>招标需求的</w:t>
            </w:r>
            <w:r>
              <w:rPr>
                <w:rFonts w:hint="eastAsia" w:ascii="宋体" w:hAnsi="宋体" w:eastAsia="宋体" w:cs="Times New Roman"/>
                <w:bCs/>
                <w:color w:val="auto"/>
                <w:kern w:val="2"/>
                <w:sz w:val="21"/>
                <w:szCs w:val="21"/>
                <w:highlight w:val="none"/>
                <w:lang w:val="en-US" w:eastAsia="zh-CN" w:bidi="ar-SA"/>
              </w:rPr>
              <w:t>响应情况（</w:t>
            </w:r>
            <w:r>
              <w:rPr>
                <w:rFonts w:hint="eastAsia" w:ascii="宋体" w:hAnsi="宋体" w:cs="Times New Roman"/>
                <w:bCs/>
                <w:color w:val="auto"/>
                <w:kern w:val="2"/>
                <w:sz w:val="21"/>
                <w:szCs w:val="21"/>
                <w:highlight w:val="none"/>
                <w:lang w:val="en-US" w:eastAsia="zh-CN" w:bidi="ar-SA"/>
              </w:rPr>
              <w:t>8</w:t>
            </w:r>
            <w:r>
              <w:rPr>
                <w:rFonts w:hint="eastAsia" w:ascii="宋体" w:hAnsi="宋体" w:eastAsia="宋体" w:cs="Times New Roman"/>
                <w:bCs/>
                <w:color w:val="auto"/>
                <w:kern w:val="2"/>
                <w:sz w:val="21"/>
                <w:szCs w:val="21"/>
                <w:highlight w:val="none"/>
                <w:lang w:val="en-US" w:eastAsia="zh-CN" w:bidi="ar-SA"/>
              </w:rPr>
              <w:t>分）</w:t>
            </w:r>
          </w:p>
        </w:tc>
        <w:tc>
          <w:tcPr>
            <w:tcW w:w="8345" w:type="dxa"/>
            <w:tcBorders>
              <w:top w:val="single" w:color="auto" w:sz="2" w:space="0"/>
              <w:left w:val="single" w:color="auto" w:sz="2" w:space="0"/>
              <w:bottom w:val="single" w:color="auto" w:sz="2" w:space="0"/>
              <w:right w:val="single" w:color="auto" w:sz="2" w:space="0"/>
            </w:tcBorders>
            <w:vAlign w:val="center"/>
          </w:tcPr>
          <w:p>
            <w:pPr>
              <w:numPr>
                <w:ilvl w:val="0"/>
                <w:numId w:val="0"/>
              </w:numPr>
              <w:spacing w:line="276" w:lineRule="auto"/>
              <w:ind w:right="162" w:rightChars="0"/>
              <w:jc w:val="left"/>
              <w:rPr>
                <w:rFonts w:hint="eastAsia"/>
                <w:color w:val="auto"/>
              </w:rPr>
            </w:pPr>
            <w:r>
              <w:rPr>
                <w:rFonts w:hint="eastAsia"/>
                <w:color w:val="auto"/>
                <w:lang w:val="en-US" w:eastAsia="zh-CN"/>
              </w:rPr>
              <w:t>1、招标需求的响</w:t>
            </w:r>
            <w:r>
              <w:rPr>
                <w:rFonts w:hint="default"/>
                <w:color w:val="auto"/>
                <w:lang w:val="en-US" w:eastAsia="zh-CN"/>
              </w:rPr>
              <w:t>应</w:t>
            </w:r>
            <w:r>
              <w:rPr>
                <w:rFonts w:hint="eastAsia"/>
                <w:color w:val="auto"/>
                <w:lang w:val="en-US" w:eastAsia="zh-CN"/>
              </w:rPr>
              <w:t xml:space="preserve">情况（8 分） </w:t>
            </w:r>
          </w:p>
          <w:p>
            <w:pPr>
              <w:numPr>
                <w:ilvl w:val="0"/>
                <w:numId w:val="0"/>
              </w:numPr>
              <w:spacing w:line="276" w:lineRule="auto"/>
              <w:ind w:right="162" w:rightChars="0"/>
              <w:jc w:val="left"/>
              <w:rPr>
                <w:rFonts w:hint="eastAsia"/>
                <w:color w:val="auto"/>
                <w:lang w:val="en-US" w:eastAsia="zh-CN"/>
              </w:rPr>
            </w:pPr>
            <w:r>
              <w:rPr>
                <w:rFonts w:hint="eastAsia" w:ascii="宋体" w:hAnsi="宋体" w:eastAsia="宋体" w:cs="Times New Roman"/>
                <w:bCs/>
                <w:color w:val="auto"/>
                <w:kern w:val="2"/>
                <w:sz w:val="21"/>
                <w:szCs w:val="21"/>
                <w:highlight w:val="none"/>
                <w:lang w:val="en-US" w:eastAsia="zh-CN" w:bidi="ar-SA"/>
              </w:rPr>
              <w:t>投标人须根据采购需求等逐条列出响应及偏离情况，若未提供或未列明偏离情况的对应项按负偏离处理。经评标委员会讨论认可，</w:t>
            </w:r>
            <w:r>
              <w:rPr>
                <w:rFonts w:hint="eastAsia"/>
                <w:color w:val="auto"/>
                <w:lang w:val="en-US" w:eastAsia="zh-CN"/>
              </w:rPr>
              <w:t>完全</w:t>
            </w:r>
            <w:r>
              <w:rPr>
                <w:rFonts w:hint="default"/>
                <w:color w:val="auto"/>
                <w:lang w:val="en-US" w:eastAsia="zh-CN"/>
              </w:rPr>
              <w:t>满</w:t>
            </w:r>
            <w:r>
              <w:rPr>
                <w:rFonts w:hint="eastAsia"/>
                <w:color w:val="auto"/>
                <w:lang w:val="en-US" w:eastAsia="zh-CN"/>
              </w:rPr>
              <w:t>足的得</w:t>
            </w:r>
            <w:r>
              <w:rPr>
                <w:rFonts w:hint="default"/>
                <w:color w:val="auto"/>
                <w:lang w:val="en-US" w:eastAsia="zh-CN"/>
              </w:rPr>
              <w:t>满</w:t>
            </w:r>
            <w:r>
              <w:rPr>
                <w:rFonts w:hint="eastAsia"/>
                <w:color w:val="auto"/>
                <w:lang w:val="en-US" w:eastAsia="zh-CN"/>
              </w:rPr>
              <w:t>分 8 分，“★”条款存在偏离的作无效</w:t>
            </w:r>
            <w:r>
              <w:rPr>
                <w:rFonts w:hint="default"/>
                <w:color w:val="auto"/>
                <w:lang w:val="en-US" w:eastAsia="zh-CN"/>
              </w:rPr>
              <w:t>标处</w:t>
            </w:r>
            <w:r>
              <w:rPr>
                <w:rFonts w:hint="eastAsia"/>
                <w:color w:val="auto"/>
                <w:lang w:val="en-US" w:eastAsia="zh-CN"/>
              </w:rPr>
              <w:t>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40" w:hRule="atLeast"/>
        </w:trPr>
        <w:tc>
          <w:tcPr>
            <w:tcW w:w="570" w:type="dxa"/>
            <w:vMerge w:val="continue"/>
            <w:tcBorders>
              <w:left w:val="single" w:color="auto" w:sz="4" w:space="0"/>
              <w:right w:val="single" w:color="auto" w:sz="2" w:space="0"/>
            </w:tcBorders>
            <w:vAlign w:val="center"/>
          </w:tcPr>
          <w:p>
            <w:pPr>
              <w:spacing w:line="320" w:lineRule="exact"/>
              <w:ind w:right="162"/>
              <w:jc w:val="center"/>
              <w:rPr>
                <w:color w:val="auto"/>
                <w:szCs w:val="21"/>
              </w:rPr>
            </w:pPr>
          </w:p>
        </w:tc>
        <w:tc>
          <w:tcPr>
            <w:tcW w:w="877" w:type="dxa"/>
            <w:vMerge w:val="restart"/>
            <w:tcBorders>
              <w:top w:val="single" w:color="auto" w:sz="2" w:space="0"/>
              <w:left w:val="single" w:color="auto" w:sz="2" w:space="0"/>
              <w:right w:val="single" w:color="auto" w:sz="2" w:space="0"/>
            </w:tcBorders>
            <w:vAlign w:val="center"/>
          </w:tcPr>
          <w:p>
            <w:pPr>
              <w:numPr>
                <w:ilvl w:val="0"/>
                <w:numId w:val="0"/>
              </w:numPr>
              <w:spacing w:line="276" w:lineRule="auto"/>
              <w:ind w:leftChars="0" w:right="162" w:rightChars="0"/>
              <w:jc w:val="left"/>
              <w:rPr>
                <w:rFonts w:hint="default" w:eastAsia="宋体"/>
                <w:color w:val="auto"/>
                <w:szCs w:val="21"/>
                <w:lang w:val="en-US" w:eastAsia="zh-CN"/>
              </w:rPr>
            </w:pPr>
            <w:r>
              <w:rPr>
                <w:rFonts w:hint="eastAsia"/>
                <w:color w:val="auto"/>
                <w:szCs w:val="21"/>
                <w:lang w:val="en-US" w:eastAsia="zh-CN"/>
              </w:rPr>
              <w:t>规章制度（23分）</w:t>
            </w:r>
          </w:p>
        </w:tc>
        <w:tc>
          <w:tcPr>
            <w:tcW w:w="8345" w:type="dxa"/>
            <w:tcBorders>
              <w:top w:val="single" w:color="auto" w:sz="2" w:space="0"/>
              <w:left w:val="single" w:color="auto" w:sz="2" w:space="0"/>
              <w:bottom w:val="single" w:color="auto" w:sz="2" w:space="0"/>
              <w:right w:val="single" w:color="auto" w:sz="2" w:space="0"/>
            </w:tcBorders>
            <w:vAlign w:val="center"/>
          </w:tcPr>
          <w:p>
            <w:pPr>
              <w:numPr>
                <w:ilvl w:val="0"/>
                <w:numId w:val="0"/>
              </w:numPr>
              <w:spacing w:line="276" w:lineRule="auto"/>
              <w:ind w:right="162" w:rightChars="0"/>
              <w:jc w:val="left"/>
              <w:rPr>
                <w:color w:val="auto"/>
              </w:rPr>
            </w:pPr>
            <w:r>
              <w:rPr>
                <w:rFonts w:hint="eastAsia"/>
                <w:color w:val="auto"/>
                <w:lang w:val="en-US" w:eastAsia="zh-CN"/>
              </w:rPr>
              <w:t>2、</w:t>
            </w:r>
            <w:r>
              <w:rPr>
                <w:color w:val="auto"/>
              </w:rPr>
              <w:t>各项管理制度与内部考核细则</w:t>
            </w:r>
            <w:r>
              <w:rPr>
                <w:rFonts w:hint="eastAsia"/>
                <w:color w:val="auto"/>
              </w:rPr>
              <w:t>（</w:t>
            </w:r>
            <w:r>
              <w:rPr>
                <w:rFonts w:hint="eastAsia"/>
                <w:color w:val="auto"/>
                <w:lang w:val="en-US" w:eastAsia="zh-CN"/>
              </w:rPr>
              <w:t>9</w:t>
            </w:r>
            <w:r>
              <w:rPr>
                <w:rFonts w:hint="eastAsia"/>
                <w:color w:val="auto"/>
              </w:rPr>
              <w:t>分）</w:t>
            </w:r>
            <w:r>
              <w:rPr>
                <w:color w:val="auto"/>
              </w:rPr>
              <w:tab/>
            </w:r>
          </w:p>
          <w:p>
            <w:pPr>
              <w:numPr>
                <w:ilvl w:val="0"/>
                <w:numId w:val="9"/>
              </w:numPr>
              <w:spacing w:line="276" w:lineRule="auto"/>
              <w:ind w:right="162"/>
              <w:jc w:val="left"/>
              <w:rPr>
                <w:color w:val="auto"/>
              </w:rPr>
            </w:pPr>
            <w:r>
              <w:rPr>
                <w:rFonts w:hint="eastAsia"/>
                <w:color w:val="auto"/>
              </w:rPr>
              <w:t>依据考核要求制定切实可行的考核办法等方面内容进行评比。</w:t>
            </w:r>
            <w:r>
              <w:rPr>
                <w:rFonts w:hint="eastAsia"/>
                <w:color w:val="auto"/>
                <w:lang w:eastAsia="zh-CN"/>
              </w:rPr>
              <w:t>（</w:t>
            </w:r>
            <w:r>
              <w:rPr>
                <w:rFonts w:hint="eastAsia"/>
                <w:color w:val="auto"/>
                <w:lang w:val="en-US" w:eastAsia="zh-CN"/>
              </w:rPr>
              <w:t>3分</w:t>
            </w:r>
            <w:r>
              <w:rPr>
                <w:rFonts w:hint="eastAsia"/>
                <w:color w:val="auto"/>
                <w:lang w:eastAsia="zh-CN"/>
              </w:rPr>
              <w:t>）</w:t>
            </w:r>
          </w:p>
          <w:p>
            <w:pPr>
              <w:numPr>
                <w:ilvl w:val="0"/>
                <w:numId w:val="9"/>
              </w:numPr>
              <w:spacing w:line="276" w:lineRule="auto"/>
              <w:ind w:right="162"/>
              <w:jc w:val="left"/>
              <w:rPr>
                <w:color w:val="auto"/>
              </w:rPr>
            </w:pPr>
            <w:r>
              <w:rPr>
                <w:rFonts w:hint="eastAsia"/>
                <w:color w:val="auto"/>
              </w:rPr>
              <w:t>针对全年度具体养护方案（月度、季度、年度）、是否切合实际、养护目标、针对性、关注点等方面内容进行评比。</w:t>
            </w:r>
            <w:r>
              <w:rPr>
                <w:rFonts w:hint="eastAsia"/>
                <w:color w:val="auto"/>
                <w:lang w:eastAsia="zh-CN"/>
              </w:rPr>
              <w:t>（</w:t>
            </w:r>
            <w:r>
              <w:rPr>
                <w:rFonts w:hint="eastAsia"/>
                <w:color w:val="auto"/>
                <w:lang w:val="en-US" w:eastAsia="zh-CN"/>
              </w:rPr>
              <w:t>3分</w:t>
            </w:r>
            <w:r>
              <w:rPr>
                <w:rFonts w:hint="eastAsia"/>
                <w:color w:val="auto"/>
                <w:lang w:eastAsia="zh-CN"/>
              </w:rPr>
              <w:t>）</w:t>
            </w:r>
          </w:p>
          <w:p>
            <w:pPr>
              <w:numPr>
                <w:ilvl w:val="0"/>
                <w:numId w:val="9"/>
              </w:numPr>
              <w:spacing w:line="276" w:lineRule="auto"/>
              <w:ind w:left="0" w:leftChars="0" w:right="162" w:firstLine="0" w:firstLineChars="0"/>
              <w:jc w:val="left"/>
              <w:rPr>
                <w:rFonts w:hint="eastAsia"/>
                <w:color w:val="auto"/>
              </w:rPr>
            </w:pPr>
            <w:r>
              <w:rPr>
                <w:rFonts w:hint="eastAsia"/>
                <w:color w:val="auto"/>
              </w:rPr>
              <w:t>拟成立考核组织、针对考核结果制定切实可行的补救措施和奖罚办法等方面内容进行评比。</w:t>
            </w:r>
            <w:r>
              <w:rPr>
                <w:rFonts w:hint="eastAsia"/>
                <w:color w:val="auto"/>
                <w:lang w:eastAsia="zh-CN"/>
              </w:rPr>
              <w:t>（</w:t>
            </w:r>
            <w:r>
              <w:rPr>
                <w:rFonts w:hint="eastAsia"/>
                <w:color w:val="auto"/>
                <w:lang w:val="en-US" w:eastAsia="zh-CN"/>
              </w:rPr>
              <w:t>3分</w:t>
            </w:r>
            <w:r>
              <w:rPr>
                <w:rFonts w:hint="eastAsia"/>
                <w:color w:val="auto"/>
                <w:lang w:eastAsia="zh-CN"/>
              </w:rPr>
              <w:t>）</w:t>
            </w:r>
          </w:p>
          <w:p>
            <w:pPr>
              <w:numPr>
                <w:ilvl w:val="0"/>
                <w:numId w:val="0"/>
              </w:numPr>
              <w:spacing w:line="276" w:lineRule="auto"/>
              <w:ind w:leftChars="0" w:right="162" w:rightChars="0"/>
              <w:jc w:val="left"/>
              <w:rPr>
                <w:rFonts w:hint="default"/>
                <w:color w:val="auto"/>
                <w:lang w:val="en-US"/>
              </w:rPr>
            </w:pPr>
            <w:r>
              <w:rPr>
                <w:rFonts w:hint="eastAsia"/>
                <w:color w:val="auto"/>
                <w:lang w:val="en-US" w:eastAsia="zh-CN"/>
              </w:rPr>
              <w:t>针对</w:t>
            </w:r>
            <w:r>
              <w:rPr>
                <w:color w:val="auto"/>
              </w:rPr>
              <w:t>管理制度与内部考核细则</w:t>
            </w:r>
            <w:r>
              <w:rPr>
                <w:rFonts w:hint="eastAsia"/>
                <w:color w:val="auto"/>
                <w:lang w:val="en-US" w:eastAsia="zh-CN"/>
              </w:rPr>
              <w:t>进行综合评审，酌情打分。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25" w:hRule="atLeast"/>
        </w:trPr>
        <w:tc>
          <w:tcPr>
            <w:tcW w:w="570" w:type="dxa"/>
            <w:vMerge w:val="continue"/>
            <w:tcBorders>
              <w:left w:val="single" w:color="auto" w:sz="4" w:space="0"/>
              <w:right w:val="single" w:color="auto" w:sz="2" w:space="0"/>
            </w:tcBorders>
            <w:vAlign w:val="center"/>
          </w:tcPr>
          <w:p>
            <w:pPr>
              <w:spacing w:line="320" w:lineRule="exact"/>
              <w:ind w:right="162"/>
              <w:jc w:val="center"/>
              <w:rPr>
                <w:rFonts w:hint="eastAsia"/>
                <w:color w:val="auto"/>
                <w:szCs w:val="21"/>
              </w:rPr>
            </w:pPr>
          </w:p>
        </w:tc>
        <w:tc>
          <w:tcPr>
            <w:tcW w:w="877" w:type="dxa"/>
            <w:vMerge w:val="continue"/>
            <w:tcBorders>
              <w:left w:val="single" w:color="auto" w:sz="2" w:space="0"/>
              <w:right w:val="single" w:color="auto" w:sz="2" w:space="0"/>
            </w:tcBorders>
            <w:vAlign w:val="center"/>
          </w:tcPr>
          <w:p>
            <w:pPr>
              <w:numPr>
                <w:ilvl w:val="0"/>
                <w:numId w:val="0"/>
              </w:numPr>
              <w:spacing w:line="276" w:lineRule="auto"/>
              <w:ind w:leftChars="0" w:right="162" w:rightChars="0"/>
              <w:jc w:val="left"/>
              <w:rPr>
                <w:rFonts w:hint="eastAsia"/>
                <w:color w:val="auto"/>
                <w:szCs w:val="21"/>
                <w:lang w:val="en-US" w:eastAsia="zh-CN"/>
              </w:rPr>
            </w:pPr>
          </w:p>
        </w:tc>
        <w:tc>
          <w:tcPr>
            <w:tcW w:w="8345" w:type="dxa"/>
            <w:tcBorders>
              <w:top w:val="single" w:color="auto" w:sz="2" w:space="0"/>
              <w:left w:val="single" w:color="auto" w:sz="2" w:space="0"/>
              <w:bottom w:val="single" w:color="auto" w:sz="2" w:space="0"/>
              <w:right w:val="single" w:color="auto" w:sz="2" w:space="0"/>
            </w:tcBorders>
            <w:vAlign w:val="center"/>
          </w:tcPr>
          <w:p>
            <w:pPr>
              <w:spacing w:line="276" w:lineRule="auto"/>
              <w:rPr>
                <w:color w:val="auto"/>
                <w:szCs w:val="21"/>
              </w:rPr>
            </w:pPr>
            <w:r>
              <w:rPr>
                <w:rFonts w:hint="eastAsia" w:ascii="宋体" w:hAnsi="宋体"/>
                <w:color w:val="auto"/>
                <w:szCs w:val="21"/>
                <w:lang w:val="en-US" w:eastAsia="zh-CN"/>
              </w:rPr>
              <w:t>3</w:t>
            </w:r>
            <w:r>
              <w:rPr>
                <w:rFonts w:hint="eastAsia" w:ascii="宋体" w:hAnsi="宋体"/>
                <w:color w:val="auto"/>
                <w:szCs w:val="21"/>
              </w:rPr>
              <w:t>、</w:t>
            </w:r>
            <w:r>
              <w:rPr>
                <w:rFonts w:hint="eastAsia"/>
                <w:color w:val="auto"/>
                <w:szCs w:val="21"/>
              </w:rPr>
              <w:t>特殊时期的应急保障措施（</w:t>
            </w:r>
            <w:r>
              <w:rPr>
                <w:rFonts w:hint="eastAsia"/>
                <w:color w:val="auto"/>
                <w:szCs w:val="21"/>
                <w:lang w:val="en-US" w:eastAsia="zh-CN"/>
              </w:rPr>
              <w:t>7</w:t>
            </w:r>
            <w:r>
              <w:rPr>
                <w:rFonts w:hint="eastAsia"/>
                <w:color w:val="auto"/>
                <w:szCs w:val="21"/>
              </w:rPr>
              <w:t>分）</w:t>
            </w:r>
          </w:p>
          <w:p>
            <w:pPr>
              <w:spacing w:line="276" w:lineRule="auto"/>
              <w:ind w:right="162"/>
              <w:jc w:val="left"/>
              <w:rPr>
                <w:rFonts w:hint="eastAsia"/>
                <w:color w:val="auto"/>
                <w:szCs w:val="21"/>
              </w:rPr>
            </w:pPr>
            <w:r>
              <w:rPr>
                <w:rFonts w:hint="eastAsia"/>
                <w:color w:val="auto"/>
                <w:szCs w:val="21"/>
              </w:rPr>
              <w:t>投标人针对大型活动、节庆假日、防台防汛期间、创优评优和突击检查、突发事件等特殊时期的应急保障措施进行评议。</w:t>
            </w:r>
          </w:p>
          <w:p>
            <w:pPr>
              <w:spacing w:line="276" w:lineRule="auto"/>
              <w:ind w:right="162"/>
              <w:jc w:val="left"/>
              <w:rPr>
                <w:rFonts w:hint="eastAsia" w:ascii="宋体" w:hAnsi="宋体"/>
                <w:color w:val="auto"/>
                <w:szCs w:val="21"/>
                <w:lang w:val="en-US" w:eastAsia="zh-CN"/>
              </w:rPr>
            </w:pPr>
            <w:r>
              <w:rPr>
                <w:rFonts w:hint="eastAsia" w:ascii="宋体" w:hAnsi="宋体" w:cs="宋体"/>
                <w:bCs/>
                <w:color w:val="auto"/>
                <w:szCs w:val="21"/>
              </w:rPr>
              <w:t>解决方法及措施</w:t>
            </w:r>
            <w:r>
              <w:rPr>
                <w:rFonts w:hint="eastAsia" w:ascii="宋体" w:hAnsi="宋体" w:cs="宋体"/>
                <w:bCs/>
                <w:color w:val="auto"/>
                <w:szCs w:val="21"/>
                <w:lang w:val="en-US" w:eastAsia="zh-CN"/>
              </w:rPr>
              <w:t>是否</w:t>
            </w:r>
            <w:r>
              <w:rPr>
                <w:rFonts w:hint="eastAsia" w:ascii="宋体" w:hAnsi="宋体"/>
                <w:color w:val="auto"/>
                <w:szCs w:val="21"/>
              </w:rPr>
              <w:t>内容完整，有针对性、突出性，</w:t>
            </w:r>
            <w:r>
              <w:rPr>
                <w:rFonts w:hint="eastAsia"/>
                <w:color w:val="auto"/>
                <w:lang w:val="en-US" w:eastAsia="zh-CN"/>
              </w:rPr>
              <w:t>请评委进行综合评审，酌情打分。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5" w:hRule="atLeast"/>
        </w:trPr>
        <w:tc>
          <w:tcPr>
            <w:tcW w:w="570" w:type="dxa"/>
            <w:vMerge w:val="continue"/>
            <w:tcBorders>
              <w:left w:val="single" w:color="auto" w:sz="4" w:space="0"/>
              <w:right w:val="single" w:color="auto" w:sz="2" w:space="0"/>
            </w:tcBorders>
            <w:vAlign w:val="center"/>
          </w:tcPr>
          <w:p>
            <w:pPr>
              <w:spacing w:line="320" w:lineRule="exact"/>
              <w:ind w:right="162"/>
              <w:jc w:val="center"/>
              <w:rPr>
                <w:rFonts w:hint="eastAsia"/>
                <w:color w:val="auto"/>
                <w:szCs w:val="21"/>
              </w:rPr>
            </w:pPr>
          </w:p>
        </w:tc>
        <w:tc>
          <w:tcPr>
            <w:tcW w:w="877" w:type="dxa"/>
            <w:vMerge w:val="continue"/>
            <w:tcBorders>
              <w:left w:val="single" w:color="auto" w:sz="2" w:space="0"/>
              <w:bottom w:val="single" w:color="auto" w:sz="2" w:space="0"/>
              <w:right w:val="single" w:color="auto" w:sz="2" w:space="0"/>
            </w:tcBorders>
            <w:vAlign w:val="center"/>
          </w:tcPr>
          <w:p>
            <w:pPr>
              <w:numPr>
                <w:ilvl w:val="0"/>
                <w:numId w:val="0"/>
              </w:numPr>
              <w:spacing w:line="276" w:lineRule="auto"/>
              <w:ind w:leftChars="0" w:right="162" w:rightChars="0"/>
              <w:jc w:val="left"/>
              <w:rPr>
                <w:rFonts w:hint="eastAsia"/>
                <w:color w:val="auto"/>
                <w:szCs w:val="21"/>
                <w:lang w:val="en-US" w:eastAsia="zh-CN"/>
              </w:rPr>
            </w:pPr>
          </w:p>
        </w:tc>
        <w:tc>
          <w:tcPr>
            <w:tcW w:w="8345" w:type="dxa"/>
            <w:tcBorders>
              <w:top w:val="single" w:color="auto" w:sz="2" w:space="0"/>
              <w:left w:val="single" w:color="auto" w:sz="2" w:space="0"/>
              <w:bottom w:val="single" w:color="auto" w:sz="2" w:space="0"/>
              <w:right w:val="single" w:color="auto" w:sz="2" w:space="0"/>
            </w:tcBorders>
            <w:vAlign w:val="center"/>
          </w:tcPr>
          <w:p>
            <w:pPr>
              <w:spacing w:line="276" w:lineRule="auto"/>
              <w:rPr>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、安全生产、文明作业、环保措施（</w:t>
            </w:r>
            <w:r>
              <w:rPr>
                <w:rFonts w:hint="eastAsia" w:ascii="宋体" w:hAnsi="宋体" w:cs="宋体"/>
                <w:color w:val="auto"/>
                <w:szCs w:val="21"/>
                <w:lang w:val="en-US" w:eastAsia="zh-CN"/>
              </w:rPr>
              <w:t>7</w:t>
            </w:r>
            <w:r>
              <w:rPr>
                <w:rFonts w:hint="eastAsia" w:ascii="宋体" w:hAnsi="宋体" w:cs="宋体"/>
                <w:color w:val="auto"/>
                <w:szCs w:val="21"/>
              </w:rPr>
              <w:t>分）</w:t>
            </w:r>
          </w:p>
          <w:p>
            <w:pPr>
              <w:pStyle w:val="28"/>
              <w:spacing w:line="276" w:lineRule="auto"/>
              <w:ind w:left="0" w:leftChars="0" w:firstLine="0" w:firstLineChars="0"/>
              <w:rPr>
                <w:rFonts w:hint="eastAsia" w:ascii="Calibri" w:hAnsi="Calibri" w:eastAsia="宋体" w:cs="黑体"/>
                <w:color w:val="auto"/>
                <w:kern w:val="2"/>
                <w:sz w:val="21"/>
                <w:szCs w:val="21"/>
                <w:lang w:val="en-US" w:eastAsia="zh-CN" w:bidi="ar-SA"/>
              </w:rPr>
            </w:pPr>
            <w:r>
              <w:rPr>
                <w:rFonts w:hint="eastAsia" w:ascii="Calibri" w:hAnsi="Calibri" w:eastAsia="宋体" w:cs="黑体"/>
                <w:color w:val="auto"/>
                <w:kern w:val="2"/>
                <w:sz w:val="21"/>
                <w:szCs w:val="21"/>
                <w:lang w:val="en-US" w:eastAsia="zh-CN" w:bidi="ar-SA"/>
              </w:rPr>
              <w:t>投标人拟对本项目的措施、保证、流程等方案。</w:t>
            </w:r>
          </w:p>
          <w:p>
            <w:pPr>
              <w:spacing w:line="276" w:lineRule="auto"/>
              <w:ind w:right="162"/>
              <w:jc w:val="left"/>
              <w:rPr>
                <w:rFonts w:hint="eastAsia" w:ascii="宋体" w:hAnsi="宋体"/>
                <w:color w:val="auto"/>
                <w:szCs w:val="21"/>
                <w:lang w:val="en-US" w:eastAsia="zh-CN"/>
              </w:rPr>
            </w:pPr>
            <w:r>
              <w:rPr>
                <w:rFonts w:hint="eastAsia" w:ascii="宋体" w:hAnsi="宋体" w:cs="宋体"/>
                <w:bCs/>
                <w:color w:val="auto"/>
                <w:szCs w:val="21"/>
              </w:rPr>
              <w:t>解决方法及措施</w:t>
            </w:r>
            <w:r>
              <w:rPr>
                <w:rFonts w:hint="eastAsia" w:ascii="宋体" w:hAnsi="宋体" w:cs="宋体"/>
                <w:bCs/>
                <w:color w:val="auto"/>
                <w:szCs w:val="21"/>
                <w:lang w:val="en-US" w:eastAsia="zh-CN"/>
              </w:rPr>
              <w:t>是否</w:t>
            </w:r>
            <w:r>
              <w:rPr>
                <w:rFonts w:hint="eastAsia" w:ascii="宋体" w:hAnsi="宋体"/>
                <w:color w:val="auto"/>
                <w:szCs w:val="21"/>
              </w:rPr>
              <w:t>内容完整，有针对性、突出性，</w:t>
            </w:r>
            <w:r>
              <w:rPr>
                <w:rFonts w:hint="eastAsia"/>
                <w:color w:val="auto"/>
                <w:lang w:val="en-US" w:eastAsia="zh-CN"/>
              </w:rPr>
              <w:t>请评委进行综合评审，酌情打分。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trPr>
        <w:tc>
          <w:tcPr>
            <w:tcW w:w="570" w:type="dxa"/>
            <w:vMerge w:val="continue"/>
            <w:tcBorders>
              <w:left w:val="single" w:color="auto" w:sz="4" w:space="0"/>
              <w:right w:val="single" w:color="auto" w:sz="2" w:space="0"/>
            </w:tcBorders>
            <w:textDirection w:val="tbRlV"/>
            <w:vAlign w:val="center"/>
          </w:tcPr>
          <w:p>
            <w:pPr>
              <w:spacing w:line="320" w:lineRule="exact"/>
              <w:ind w:right="162"/>
              <w:jc w:val="left"/>
              <w:rPr>
                <w:color w:val="auto"/>
                <w:szCs w:val="21"/>
              </w:rPr>
            </w:pPr>
          </w:p>
        </w:tc>
        <w:tc>
          <w:tcPr>
            <w:tcW w:w="877" w:type="dxa"/>
            <w:vMerge w:val="restart"/>
            <w:tcBorders>
              <w:top w:val="single" w:color="auto" w:sz="2" w:space="0"/>
              <w:left w:val="single" w:color="auto" w:sz="2" w:space="0"/>
              <w:right w:val="single" w:color="auto" w:sz="2" w:space="0"/>
            </w:tcBorders>
            <w:vAlign w:val="center"/>
          </w:tcPr>
          <w:p>
            <w:pPr>
              <w:spacing w:line="276" w:lineRule="auto"/>
              <w:ind w:right="162"/>
              <w:jc w:val="left"/>
              <w:rPr>
                <w:rFonts w:hint="default" w:eastAsia="宋体"/>
                <w:color w:val="auto"/>
                <w:szCs w:val="21"/>
                <w:lang w:val="en-US" w:eastAsia="zh-CN"/>
              </w:rPr>
            </w:pPr>
            <w:r>
              <w:rPr>
                <w:rFonts w:hint="eastAsia"/>
                <w:color w:val="auto"/>
                <w:szCs w:val="21"/>
                <w:lang w:val="en-US" w:eastAsia="zh-CN"/>
              </w:rPr>
              <w:t>管理体系（24分）</w:t>
            </w:r>
          </w:p>
        </w:tc>
        <w:tc>
          <w:tcPr>
            <w:tcW w:w="8345" w:type="dxa"/>
            <w:tcBorders>
              <w:top w:val="single" w:color="auto" w:sz="2" w:space="0"/>
              <w:left w:val="single" w:color="auto" w:sz="2" w:space="0"/>
              <w:bottom w:val="single" w:color="auto" w:sz="2" w:space="0"/>
              <w:right w:val="single" w:color="auto" w:sz="2" w:space="0"/>
            </w:tcBorders>
            <w:vAlign w:val="center"/>
          </w:tcPr>
          <w:p>
            <w:pPr>
              <w:spacing w:line="276" w:lineRule="auto"/>
              <w:ind w:right="162"/>
              <w:jc w:val="left"/>
              <w:rPr>
                <w:color w:val="auto"/>
              </w:rPr>
            </w:pPr>
            <w:r>
              <w:rPr>
                <w:rFonts w:hint="eastAsia"/>
                <w:color w:val="auto"/>
                <w:lang w:val="en-US" w:eastAsia="zh-CN"/>
              </w:rPr>
              <w:t>5、</w:t>
            </w:r>
            <w:r>
              <w:rPr>
                <w:rFonts w:hint="eastAsia"/>
                <w:color w:val="auto"/>
              </w:rPr>
              <w:t>养护管理</w:t>
            </w:r>
            <w:r>
              <w:rPr>
                <w:rFonts w:hint="eastAsia"/>
                <w:color w:val="auto"/>
                <w:lang w:val="en-US" w:eastAsia="zh-CN"/>
              </w:rPr>
              <w:t>体系</w:t>
            </w:r>
            <w:r>
              <w:rPr>
                <w:rFonts w:hint="eastAsia"/>
                <w:color w:val="auto"/>
              </w:rPr>
              <w:t>（</w:t>
            </w:r>
            <w:r>
              <w:rPr>
                <w:rFonts w:hint="eastAsia"/>
                <w:color w:val="auto"/>
                <w:lang w:val="en-US" w:eastAsia="zh-CN"/>
              </w:rPr>
              <w:t>6</w:t>
            </w:r>
            <w:r>
              <w:rPr>
                <w:rFonts w:hint="eastAsia"/>
                <w:color w:val="auto"/>
              </w:rPr>
              <w:t>分）</w:t>
            </w:r>
            <w:r>
              <w:rPr>
                <w:color w:val="auto"/>
              </w:rPr>
              <w:tab/>
            </w:r>
          </w:p>
          <w:p>
            <w:pPr>
              <w:spacing w:line="276" w:lineRule="auto"/>
              <w:ind w:right="162"/>
              <w:jc w:val="left"/>
              <w:rPr>
                <w:rFonts w:hint="eastAsia" w:eastAsia="宋体"/>
                <w:color w:val="auto"/>
                <w:lang w:eastAsia="zh-CN"/>
              </w:rPr>
            </w:pPr>
            <w:r>
              <w:rPr>
                <w:rFonts w:hint="eastAsia"/>
                <w:color w:val="auto"/>
              </w:rPr>
              <w:t>（1）养护管理体系完善、有保障，养护管理制度、规程齐全等方面内容进行评比。</w:t>
            </w:r>
            <w:r>
              <w:rPr>
                <w:rFonts w:hint="eastAsia"/>
                <w:color w:val="auto"/>
                <w:lang w:eastAsia="zh-CN"/>
              </w:rPr>
              <w:t>（</w:t>
            </w:r>
            <w:r>
              <w:rPr>
                <w:rFonts w:hint="eastAsia"/>
                <w:color w:val="auto"/>
                <w:lang w:val="en-US" w:eastAsia="zh-CN"/>
              </w:rPr>
              <w:t>3分</w:t>
            </w:r>
            <w:r>
              <w:rPr>
                <w:rFonts w:hint="eastAsia"/>
                <w:color w:val="auto"/>
                <w:lang w:eastAsia="zh-CN"/>
              </w:rPr>
              <w:t>）</w:t>
            </w:r>
          </w:p>
          <w:p>
            <w:pPr>
              <w:spacing w:line="276" w:lineRule="auto"/>
              <w:ind w:right="162"/>
              <w:jc w:val="left"/>
              <w:rPr>
                <w:rFonts w:hint="eastAsia"/>
                <w:color w:val="auto"/>
              </w:rPr>
            </w:pPr>
            <w:r>
              <w:rPr>
                <w:rFonts w:hint="eastAsia"/>
                <w:color w:val="auto"/>
              </w:rPr>
              <w:t>（2）是否有养护管理房，管理用房的面积、设施完善程度等方面内容进行评比。</w:t>
            </w:r>
            <w:r>
              <w:rPr>
                <w:rFonts w:hint="eastAsia"/>
                <w:color w:val="auto"/>
                <w:lang w:eastAsia="zh-CN"/>
              </w:rPr>
              <w:t>（</w:t>
            </w:r>
            <w:r>
              <w:rPr>
                <w:rFonts w:hint="eastAsia"/>
                <w:color w:val="auto"/>
                <w:lang w:val="en-US" w:eastAsia="zh-CN"/>
              </w:rPr>
              <w:t>3分</w:t>
            </w:r>
            <w:r>
              <w:rPr>
                <w:rFonts w:hint="eastAsia"/>
                <w:color w:val="auto"/>
                <w:lang w:eastAsia="zh-CN"/>
              </w:rPr>
              <w:t>）</w:t>
            </w:r>
          </w:p>
          <w:p>
            <w:pPr>
              <w:spacing w:line="276" w:lineRule="auto"/>
              <w:ind w:right="162"/>
              <w:jc w:val="left"/>
              <w:rPr>
                <w:rFonts w:hint="eastAsia"/>
                <w:color w:val="auto"/>
              </w:rPr>
            </w:pPr>
            <w:r>
              <w:rPr>
                <w:rFonts w:hint="eastAsia"/>
                <w:color w:val="auto"/>
              </w:rPr>
              <w:t>养护管理</w:t>
            </w:r>
            <w:r>
              <w:rPr>
                <w:rFonts w:hint="eastAsia"/>
                <w:color w:val="auto"/>
                <w:lang w:val="en-US" w:eastAsia="zh-CN"/>
              </w:rPr>
              <w:t>体系是否</w:t>
            </w:r>
            <w:r>
              <w:rPr>
                <w:rFonts w:hint="eastAsia"/>
                <w:color w:val="auto"/>
              </w:rPr>
              <w:t>完善、有保障，制度齐全</w:t>
            </w:r>
            <w:r>
              <w:rPr>
                <w:rFonts w:hint="eastAsia"/>
                <w:color w:val="auto"/>
                <w:lang w:eastAsia="zh-CN"/>
              </w:rPr>
              <w:t>；</w:t>
            </w:r>
            <w:r>
              <w:rPr>
                <w:rFonts w:hint="eastAsia"/>
                <w:color w:val="auto"/>
                <w:lang w:val="en-US" w:eastAsia="zh-CN"/>
              </w:rPr>
              <w:t>是否</w:t>
            </w:r>
            <w:r>
              <w:rPr>
                <w:rFonts w:hint="eastAsia"/>
                <w:color w:val="auto"/>
              </w:rPr>
              <w:t>有养护管理房，管理用房的面积、设施</w:t>
            </w:r>
            <w:r>
              <w:rPr>
                <w:rFonts w:hint="eastAsia"/>
                <w:color w:val="auto"/>
                <w:lang w:val="en-US" w:eastAsia="zh-CN"/>
              </w:rPr>
              <w:t>是否</w:t>
            </w:r>
            <w:r>
              <w:rPr>
                <w:rFonts w:hint="eastAsia"/>
                <w:color w:val="auto"/>
              </w:rPr>
              <w:t>完善</w:t>
            </w:r>
            <w:r>
              <w:rPr>
                <w:rFonts w:hint="eastAsia"/>
                <w:color w:val="auto"/>
                <w:lang w:eastAsia="zh-CN"/>
              </w:rPr>
              <w:t>，</w:t>
            </w:r>
            <w:r>
              <w:rPr>
                <w:rFonts w:hint="eastAsia"/>
                <w:color w:val="auto"/>
                <w:lang w:val="en-US" w:eastAsia="zh-CN"/>
              </w:rPr>
              <w:t>请评委进行综合评审，酌情打分。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1" w:hRule="atLeast"/>
        </w:trPr>
        <w:tc>
          <w:tcPr>
            <w:tcW w:w="570" w:type="dxa"/>
            <w:vMerge w:val="continue"/>
            <w:tcBorders>
              <w:left w:val="single" w:color="auto" w:sz="4" w:space="0"/>
              <w:right w:val="single" w:color="auto" w:sz="2" w:space="0"/>
            </w:tcBorders>
            <w:textDirection w:val="tbRlV"/>
            <w:vAlign w:val="center"/>
          </w:tcPr>
          <w:p>
            <w:pPr>
              <w:spacing w:line="320" w:lineRule="exact"/>
              <w:ind w:right="162"/>
              <w:jc w:val="left"/>
              <w:rPr>
                <w:color w:val="auto"/>
                <w:szCs w:val="21"/>
              </w:rPr>
            </w:pPr>
          </w:p>
        </w:tc>
        <w:tc>
          <w:tcPr>
            <w:tcW w:w="877" w:type="dxa"/>
            <w:vMerge w:val="continue"/>
            <w:tcBorders>
              <w:left w:val="single" w:color="auto" w:sz="2" w:space="0"/>
              <w:right w:val="single" w:color="auto" w:sz="2" w:space="0"/>
            </w:tcBorders>
            <w:vAlign w:val="center"/>
          </w:tcPr>
          <w:p>
            <w:pPr>
              <w:pStyle w:val="36"/>
              <w:ind w:left="0" w:leftChars="0" w:firstLine="0" w:firstLineChars="0"/>
              <w:rPr>
                <w:color w:val="auto"/>
              </w:rPr>
            </w:pPr>
          </w:p>
        </w:tc>
        <w:tc>
          <w:tcPr>
            <w:tcW w:w="8345" w:type="dxa"/>
            <w:tcBorders>
              <w:top w:val="single" w:color="auto" w:sz="2" w:space="0"/>
              <w:left w:val="single" w:color="auto" w:sz="2" w:space="0"/>
              <w:bottom w:val="single" w:color="auto" w:sz="2" w:space="0"/>
              <w:right w:val="single" w:color="auto" w:sz="2" w:space="0"/>
            </w:tcBorders>
            <w:vAlign w:val="center"/>
          </w:tcPr>
          <w:p>
            <w:pPr>
              <w:spacing w:line="276" w:lineRule="auto"/>
              <w:ind w:right="162"/>
              <w:jc w:val="left"/>
              <w:rPr>
                <w:color w:val="auto"/>
              </w:rPr>
            </w:pPr>
            <w:r>
              <w:rPr>
                <w:rFonts w:hint="eastAsia"/>
                <w:color w:val="auto"/>
                <w:lang w:val="en-US" w:eastAsia="zh-CN"/>
              </w:rPr>
              <w:t>6</w:t>
            </w:r>
            <w:r>
              <w:rPr>
                <w:rFonts w:hint="eastAsia"/>
                <w:color w:val="auto"/>
              </w:rPr>
              <w:t>、</w:t>
            </w:r>
            <w:r>
              <w:rPr>
                <w:color w:val="auto"/>
              </w:rPr>
              <w:t>养护</w:t>
            </w:r>
            <w:r>
              <w:rPr>
                <w:rFonts w:hint="eastAsia"/>
                <w:color w:val="auto"/>
              </w:rPr>
              <w:t>质量承诺</w:t>
            </w:r>
            <w:r>
              <w:rPr>
                <w:color w:val="auto"/>
              </w:rPr>
              <w:t>与执行保证</w:t>
            </w:r>
            <w:r>
              <w:rPr>
                <w:rFonts w:hint="eastAsia"/>
                <w:color w:val="auto"/>
              </w:rPr>
              <w:t>（</w:t>
            </w:r>
            <w:r>
              <w:rPr>
                <w:rFonts w:hint="eastAsia"/>
                <w:color w:val="auto"/>
                <w:lang w:val="en-US" w:eastAsia="zh-CN"/>
              </w:rPr>
              <w:t>5</w:t>
            </w:r>
            <w:r>
              <w:rPr>
                <w:rFonts w:hint="eastAsia"/>
                <w:color w:val="auto"/>
              </w:rPr>
              <w:t>分）</w:t>
            </w:r>
            <w:r>
              <w:rPr>
                <w:color w:val="auto"/>
              </w:rPr>
              <w:tab/>
            </w:r>
          </w:p>
          <w:p>
            <w:pPr>
              <w:spacing w:line="276" w:lineRule="auto"/>
              <w:ind w:right="162"/>
              <w:jc w:val="left"/>
              <w:rPr>
                <w:rFonts w:hint="eastAsia"/>
                <w:color w:val="auto"/>
              </w:rPr>
            </w:pPr>
            <w:r>
              <w:rPr>
                <w:rFonts w:hint="eastAsia"/>
                <w:color w:val="auto"/>
              </w:rPr>
              <w:t>养护质量</w:t>
            </w:r>
            <w:r>
              <w:rPr>
                <w:color w:val="auto"/>
              </w:rPr>
              <w:t>保证</w:t>
            </w:r>
            <w:r>
              <w:rPr>
                <w:rFonts w:hint="eastAsia"/>
                <w:color w:val="auto"/>
              </w:rPr>
              <w:t>承诺</w:t>
            </w:r>
            <w:r>
              <w:rPr>
                <w:color w:val="auto"/>
              </w:rPr>
              <w:t>、措施力度、软硬件条件、监督考核</w:t>
            </w:r>
            <w:r>
              <w:rPr>
                <w:rFonts w:hint="eastAsia"/>
                <w:color w:val="auto"/>
              </w:rPr>
              <w:t>等方面内容进行评比，由评委打分。</w:t>
            </w:r>
          </w:p>
          <w:p>
            <w:pPr>
              <w:pStyle w:val="36"/>
              <w:ind w:left="0" w:leftChars="0" w:firstLine="0" w:firstLineChars="0"/>
              <w:rPr>
                <w:rFonts w:hint="eastAsia"/>
                <w:color w:val="auto"/>
                <w:lang w:val="en-US" w:eastAsia="zh-CN"/>
              </w:rPr>
            </w:pPr>
            <w:r>
              <w:rPr>
                <w:rFonts w:hint="eastAsia" w:ascii="宋体" w:hAnsi="宋体" w:cs="宋体"/>
                <w:color w:val="auto"/>
                <w:szCs w:val="21"/>
              </w:rPr>
              <w:t>质量控制</w:t>
            </w:r>
            <w:r>
              <w:rPr>
                <w:rFonts w:hint="eastAsia" w:ascii="宋体" w:hAnsi="宋体" w:cs="宋体"/>
                <w:color w:val="auto"/>
                <w:szCs w:val="21"/>
                <w:lang w:val="en-US" w:eastAsia="zh-CN"/>
              </w:rPr>
              <w:t>是否</w:t>
            </w:r>
            <w:r>
              <w:rPr>
                <w:rFonts w:hint="eastAsia" w:ascii="宋体" w:hAnsi="宋体" w:cs="宋体"/>
                <w:color w:val="auto"/>
                <w:szCs w:val="21"/>
              </w:rPr>
              <w:t>目标明确，有针对性，科学合理，</w:t>
            </w:r>
            <w:r>
              <w:rPr>
                <w:rFonts w:hint="eastAsia" w:ascii="宋体" w:hAnsi="宋体" w:cs="宋体"/>
                <w:color w:val="auto"/>
                <w:szCs w:val="21"/>
                <w:lang w:val="en-US" w:eastAsia="zh-CN"/>
              </w:rPr>
              <w:t>请评委</w:t>
            </w:r>
            <w:r>
              <w:rPr>
                <w:rFonts w:hint="eastAsia"/>
                <w:color w:val="auto"/>
                <w:lang w:val="en-US" w:eastAsia="zh-CN"/>
              </w:rPr>
              <w:t>进行综合评审，酌情打分。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86" w:hRule="atLeast"/>
        </w:trPr>
        <w:tc>
          <w:tcPr>
            <w:tcW w:w="570" w:type="dxa"/>
            <w:vMerge w:val="continue"/>
            <w:tcBorders>
              <w:left w:val="single" w:color="auto" w:sz="4" w:space="0"/>
              <w:right w:val="single" w:color="auto" w:sz="2" w:space="0"/>
            </w:tcBorders>
            <w:textDirection w:val="tbRlV"/>
            <w:vAlign w:val="center"/>
          </w:tcPr>
          <w:p>
            <w:pPr>
              <w:spacing w:line="320" w:lineRule="exact"/>
              <w:ind w:right="162"/>
              <w:jc w:val="left"/>
              <w:rPr>
                <w:color w:val="auto"/>
                <w:szCs w:val="21"/>
              </w:rPr>
            </w:pPr>
          </w:p>
        </w:tc>
        <w:tc>
          <w:tcPr>
            <w:tcW w:w="877" w:type="dxa"/>
            <w:vMerge w:val="continue"/>
            <w:tcBorders>
              <w:left w:val="single" w:color="auto" w:sz="2" w:space="0"/>
              <w:right w:val="single" w:color="auto" w:sz="2" w:space="0"/>
            </w:tcBorders>
            <w:vAlign w:val="center"/>
          </w:tcPr>
          <w:p>
            <w:pPr>
              <w:pStyle w:val="36"/>
              <w:spacing w:line="360" w:lineRule="auto"/>
              <w:ind w:left="0" w:leftChars="0" w:firstLine="0" w:firstLineChars="0"/>
              <w:rPr>
                <w:color w:val="auto"/>
              </w:rPr>
            </w:pPr>
          </w:p>
        </w:tc>
        <w:tc>
          <w:tcPr>
            <w:tcW w:w="8345" w:type="dxa"/>
            <w:tcBorders>
              <w:top w:val="single" w:color="auto" w:sz="2" w:space="0"/>
              <w:left w:val="single" w:color="auto" w:sz="2" w:space="0"/>
              <w:bottom w:val="single" w:color="auto" w:sz="2" w:space="0"/>
              <w:right w:val="single" w:color="auto" w:sz="2" w:space="0"/>
            </w:tcBorders>
            <w:vAlign w:val="center"/>
          </w:tcPr>
          <w:p>
            <w:pPr>
              <w:numPr>
                <w:ilvl w:val="0"/>
                <w:numId w:val="0"/>
              </w:numPr>
              <w:spacing w:line="276" w:lineRule="auto"/>
              <w:ind w:right="164" w:rightChars="0"/>
              <w:jc w:val="left"/>
              <w:rPr>
                <w:rFonts w:hint="eastAsia"/>
                <w:color w:val="auto"/>
              </w:rPr>
            </w:pPr>
            <w:r>
              <w:rPr>
                <w:rFonts w:hint="eastAsia"/>
                <w:color w:val="auto"/>
                <w:lang w:val="en-US" w:eastAsia="zh-CN"/>
              </w:rPr>
              <w:t>7</w:t>
            </w:r>
            <w:r>
              <w:rPr>
                <w:rFonts w:hint="eastAsia"/>
                <w:color w:val="auto"/>
              </w:rPr>
              <w:t>、养护重点、难点，解决方法及措施（</w:t>
            </w:r>
            <w:r>
              <w:rPr>
                <w:rFonts w:hint="eastAsia"/>
                <w:color w:val="auto"/>
                <w:lang w:val="en-US" w:eastAsia="zh-CN"/>
              </w:rPr>
              <w:t>5</w:t>
            </w:r>
            <w:r>
              <w:rPr>
                <w:rFonts w:hint="eastAsia"/>
                <w:color w:val="auto"/>
              </w:rPr>
              <w:t>分）</w:t>
            </w:r>
          </w:p>
          <w:p>
            <w:pPr>
              <w:numPr>
                <w:ilvl w:val="0"/>
                <w:numId w:val="0"/>
              </w:numPr>
              <w:spacing w:line="276" w:lineRule="auto"/>
              <w:ind w:right="164" w:rightChars="0"/>
              <w:jc w:val="left"/>
              <w:rPr>
                <w:rFonts w:hint="eastAsia"/>
                <w:color w:val="auto"/>
              </w:rPr>
            </w:pPr>
            <w:r>
              <w:rPr>
                <w:rFonts w:hint="eastAsia"/>
                <w:color w:val="auto"/>
              </w:rPr>
              <w:t>针对养护区域的重点、难点分析，并对重点、难点提出有针对性、突出性的解决方法及措施。</w:t>
            </w:r>
          </w:p>
          <w:p>
            <w:pPr>
              <w:numPr>
                <w:ilvl w:val="0"/>
                <w:numId w:val="0"/>
              </w:numPr>
              <w:spacing w:line="276" w:lineRule="auto"/>
              <w:ind w:right="164" w:rightChars="0"/>
              <w:jc w:val="left"/>
              <w:rPr>
                <w:rFonts w:hint="eastAsia" w:ascii="Calibri" w:hAnsi="Calibri" w:eastAsia="宋体" w:cs="黑体"/>
                <w:color w:val="auto"/>
                <w:kern w:val="2"/>
                <w:sz w:val="21"/>
                <w:szCs w:val="21"/>
                <w:lang w:val="en-US" w:eastAsia="zh-CN" w:bidi="ar-SA"/>
              </w:rPr>
            </w:pPr>
            <w:r>
              <w:rPr>
                <w:rFonts w:hint="eastAsia"/>
                <w:color w:val="auto"/>
                <w:lang w:val="en-US" w:eastAsia="zh-CN"/>
              </w:rPr>
              <w:t>对本项目养护区域重点、难点部分描述的准确性、合理性评价。内容是否完整，设计是否合理</w:t>
            </w:r>
            <w:r>
              <w:rPr>
                <w:rFonts w:hint="eastAsia"/>
                <w:color w:val="auto"/>
              </w:rPr>
              <w:t>，</w:t>
            </w:r>
            <w:r>
              <w:rPr>
                <w:rFonts w:hint="eastAsia"/>
                <w:color w:val="auto"/>
                <w:lang w:val="en-US" w:eastAsia="zh-CN"/>
              </w:rPr>
              <w:t>请评委进行综合评审，酌情打分。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 w:hRule="atLeast"/>
        </w:trPr>
        <w:tc>
          <w:tcPr>
            <w:tcW w:w="570" w:type="dxa"/>
            <w:vMerge w:val="continue"/>
            <w:tcBorders>
              <w:left w:val="single" w:color="auto" w:sz="4" w:space="0"/>
              <w:right w:val="single" w:color="auto" w:sz="2" w:space="0"/>
            </w:tcBorders>
            <w:textDirection w:val="tbRlV"/>
            <w:vAlign w:val="center"/>
          </w:tcPr>
          <w:p>
            <w:pPr>
              <w:spacing w:line="320" w:lineRule="exact"/>
              <w:ind w:right="162"/>
              <w:jc w:val="left"/>
              <w:rPr>
                <w:color w:val="auto"/>
                <w:szCs w:val="21"/>
              </w:rPr>
            </w:pPr>
          </w:p>
        </w:tc>
        <w:tc>
          <w:tcPr>
            <w:tcW w:w="877" w:type="dxa"/>
            <w:vMerge w:val="continue"/>
            <w:tcBorders>
              <w:left w:val="single" w:color="auto" w:sz="2" w:space="0"/>
              <w:right w:val="single" w:color="auto" w:sz="2" w:space="0"/>
            </w:tcBorders>
            <w:vAlign w:val="center"/>
          </w:tcPr>
          <w:p>
            <w:pPr>
              <w:spacing w:line="276" w:lineRule="auto"/>
              <w:ind w:right="162"/>
              <w:jc w:val="left"/>
              <w:rPr>
                <w:rFonts w:ascii="宋体" w:hAnsi="宋体" w:cs="宋体"/>
                <w:color w:val="auto"/>
                <w:szCs w:val="21"/>
              </w:rPr>
            </w:pPr>
          </w:p>
        </w:tc>
        <w:tc>
          <w:tcPr>
            <w:tcW w:w="8345" w:type="dxa"/>
            <w:tcBorders>
              <w:top w:val="single" w:color="auto" w:sz="2" w:space="0"/>
              <w:left w:val="single" w:color="auto" w:sz="2" w:space="0"/>
              <w:bottom w:val="single" w:color="auto" w:sz="2" w:space="0"/>
              <w:right w:val="single" w:color="auto" w:sz="2" w:space="0"/>
            </w:tcBorders>
            <w:vAlign w:val="center"/>
          </w:tcPr>
          <w:p>
            <w:pPr>
              <w:spacing w:line="276" w:lineRule="auto"/>
              <w:ind w:right="162"/>
              <w:jc w:val="left"/>
              <w:rPr>
                <w:color w:val="auto"/>
              </w:rPr>
            </w:pPr>
            <w:r>
              <w:rPr>
                <w:rFonts w:hint="eastAsia"/>
                <w:color w:val="auto"/>
                <w:lang w:val="en-US" w:eastAsia="zh-CN"/>
              </w:rPr>
              <w:t>8</w:t>
            </w:r>
            <w:r>
              <w:rPr>
                <w:rFonts w:hint="eastAsia"/>
                <w:color w:val="auto"/>
              </w:rPr>
              <w:t>、用药方案（3分）</w:t>
            </w:r>
          </w:p>
          <w:p>
            <w:pPr>
              <w:spacing w:line="276" w:lineRule="auto"/>
              <w:ind w:right="162"/>
              <w:jc w:val="left"/>
              <w:rPr>
                <w:rFonts w:hint="eastAsia"/>
                <w:color w:val="auto"/>
              </w:rPr>
            </w:pPr>
            <w:r>
              <w:rPr>
                <w:rFonts w:hint="eastAsia"/>
                <w:color w:val="auto"/>
              </w:rPr>
              <w:t>根据投标人提供的养护用药方案的合理性、科学性进行综合评议。</w:t>
            </w:r>
          </w:p>
          <w:p>
            <w:pPr>
              <w:spacing w:line="276" w:lineRule="auto"/>
              <w:ind w:right="162"/>
              <w:jc w:val="left"/>
              <w:rPr>
                <w:rFonts w:hint="eastAsia"/>
                <w:color w:val="auto"/>
              </w:rPr>
            </w:pPr>
            <w:r>
              <w:rPr>
                <w:rFonts w:hint="eastAsia"/>
                <w:color w:val="auto"/>
              </w:rPr>
              <w:t>本项目养护</w:t>
            </w:r>
            <w:r>
              <w:rPr>
                <w:rFonts w:hint="eastAsia"/>
                <w:color w:val="auto"/>
                <w:lang w:val="en-US" w:eastAsia="zh-CN"/>
              </w:rPr>
              <w:t>用药方案是否</w:t>
            </w:r>
            <w:r>
              <w:rPr>
                <w:rFonts w:hint="eastAsia"/>
                <w:color w:val="auto"/>
              </w:rPr>
              <w:t>内容完整</w:t>
            </w:r>
            <w:r>
              <w:rPr>
                <w:rFonts w:hint="eastAsia"/>
                <w:color w:val="auto"/>
                <w:lang w:eastAsia="zh-CN"/>
              </w:rPr>
              <w:t>、</w:t>
            </w:r>
            <w:r>
              <w:rPr>
                <w:rFonts w:hint="eastAsia"/>
                <w:color w:val="auto"/>
              </w:rPr>
              <w:t>合理</w:t>
            </w:r>
            <w:r>
              <w:rPr>
                <w:rFonts w:hint="eastAsia"/>
                <w:color w:val="auto"/>
                <w:lang w:eastAsia="zh-CN"/>
              </w:rPr>
              <w:t>，</w:t>
            </w:r>
            <w:r>
              <w:rPr>
                <w:rFonts w:hint="eastAsia"/>
                <w:color w:val="auto"/>
                <w:lang w:val="en-US" w:eastAsia="zh-CN"/>
              </w:rPr>
              <w:t>请评委进行综合评审，酌情打分。</w:t>
            </w:r>
            <w:r>
              <w:rPr>
                <w:rFonts w:hint="eastAsia" w:eastAsia="宋体"/>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6" w:hRule="atLeast"/>
        </w:trPr>
        <w:tc>
          <w:tcPr>
            <w:tcW w:w="570" w:type="dxa"/>
            <w:vMerge w:val="continue"/>
            <w:tcBorders>
              <w:left w:val="single" w:color="auto" w:sz="4" w:space="0"/>
              <w:right w:val="single" w:color="auto" w:sz="2" w:space="0"/>
            </w:tcBorders>
            <w:vAlign w:val="center"/>
          </w:tcPr>
          <w:p>
            <w:pPr>
              <w:spacing w:line="320" w:lineRule="exact"/>
              <w:ind w:right="162"/>
              <w:jc w:val="center"/>
              <w:rPr>
                <w:color w:val="auto"/>
                <w:szCs w:val="21"/>
              </w:rPr>
            </w:pPr>
          </w:p>
        </w:tc>
        <w:tc>
          <w:tcPr>
            <w:tcW w:w="877" w:type="dxa"/>
            <w:vMerge w:val="continue"/>
            <w:tcBorders>
              <w:left w:val="single" w:color="auto" w:sz="2" w:space="0"/>
              <w:right w:val="single" w:color="auto" w:sz="2" w:space="0"/>
            </w:tcBorders>
            <w:vAlign w:val="center"/>
          </w:tcPr>
          <w:p>
            <w:pPr>
              <w:spacing w:line="276" w:lineRule="auto"/>
              <w:ind w:right="162"/>
              <w:jc w:val="left"/>
              <w:rPr>
                <w:color w:val="auto"/>
                <w:szCs w:val="21"/>
              </w:rPr>
            </w:pPr>
          </w:p>
        </w:tc>
        <w:tc>
          <w:tcPr>
            <w:tcW w:w="8345" w:type="dxa"/>
            <w:tcBorders>
              <w:top w:val="single" w:color="auto" w:sz="2" w:space="0"/>
              <w:left w:val="single" w:color="auto" w:sz="2" w:space="0"/>
              <w:right w:val="single" w:color="auto" w:sz="2" w:space="0"/>
            </w:tcBorders>
            <w:vAlign w:val="center"/>
          </w:tcPr>
          <w:p>
            <w:pPr>
              <w:spacing w:line="276" w:lineRule="auto"/>
              <w:ind w:right="162"/>
              <w:jc w:val="left"/>
              <w:rPr>
                <w:color w:val="auto"/>
                <w:szCs w:val="21"/>
              </w:rPr>
            </w:pPr>
            <w:r>
              <w:rPr>
                <w:rFonts w:hint="eastAsia"/>
                <w:color w:val="auto"/>
                <w:lang w:val="en-US" w:eastAsia="zh-CN"/>
              </w:rPr>
              <w:t>9、</w:t>
            </w:r>
            <w:r>
              <w:rPr>
                <w:rFonts w:hint="eastAsia" w:ascii="宋体" w:hAnsi="宋体" w:cs="宋体"/>
                <w:color w:val="auto"/>
                <w:szCs w:val="21"/>
              </w:rPr>
              <w:t>整体人员管理方案（</w:t>
            </w:r>
            <w:r>
              <w:rPr>
                <w:rFonts w:hint="eastAsia" w:ascii="宋体" w:hAnsi="宋体" w:cs="宋体"/>
                <w:color w:val="auto"/>
                <w:szCs w:val="21"/>
                <w:lang w:val="en-US" w:eastAsia="zh-CN"/>
              </w:rPr>
              <w:t>5</w:t>
            </w:r>
            <w:r>
              <w:rPr>
                <w:rFonts w:hint="eastAsia" w:ascii="宋体" w:hAnsi="宋体" w:cs="宋体"/>
                <w:color w:val="auto"/>
                <w:szCs w:val="21"/>
              </w:rPr>
              <w:t>分）</w:t>
            </w:r>
          </w:p>
          <w:p>
            <w:pPr>
              <w:spacing w:line="276" w:lineRule="auto"/>
              <w:ind w:right="162"/>
              <w:jc w:val="left"/>
              <w:rPr>
                <w:rFonts w:hint="eastAsia" w:ascii="宋体" w:hAnsi="宋体" w:eastAsia="宋体" w:cs="宋体"/>
                <w:color w:val="auto"/>
                <w:szCs w:val="21"/>
                <w:lang w:eastAsia="zh-CN"/>
              </w:rPr>
            </w:pPr>
            <w:r>
              <w:rPr>
                <w:rFonts w:hint="eastAsia" w:ascii="宋体" w:hAnsi="宋体" w:cs="宋体"/>
                <w:color w:val="auto"/>
                <w:szCs w:val="21"/>
              </w:rPr>
              <w:t>根据人员考核方案、奖惩方案、人员培训方案、合同执行期间的人员数量保障方案、人员安全保障措施、人员管理规范等进行评比。</w:t>
            </w:r>
          </w:p>
          <w:p>
            <w:pPr>
              <w:spacing w:line="276" w:lineRule="auto"/>
              <w:ind w:right="162"/>
              <w:jc w:val="left"/>
              <w:rPr>
                <w:rFonts w:hint="eastAsia" w:ascii="宋体"/>
                <w:color w:val="auto"/>
                <w:szCs w:val="21"/>
              </w:rPr>
            </w:pPr>
            <w:r>
              <w:rPr>
                <w:rFonts w:hint="eastAsia" w:ascii="宋体"/>
                <w:color w:val="auto"/>
                <w:szCs w:val="21"/>
              </w:rPr>
              <w:t>管理目标</w:t>
            </w:r>
            <w:r>
              <w:rPr>
                <w:rFonts w:hint="eastAsia" w:ascii="宋体"/>
                <w:color w:val="auto"/>
                <w:szCs w:val="21"/>
                <w:lang w:val="en-US" w:eastAsia="zh-CN"/>
              </w:rPr>
              <w:t>是否</w:t>
            </w:r>
            <w:r>
              <w:rPr>
                <w:rFonts w:hint="eastAsia" w:ascii="宋体"/>
                <w:color w:val="auto"/>
                <w:szCs w:val="21"/>
              </w:rPr>
              <w:t>明确，人员管理方案</w:t>
            </w:r>
            <w:r>
              <w:rPr>
                <w:rFonts w:hint="eastAsia" w:ascii="宋体"/>
                <w:color w:val="auto"/>
                <w:szCs w:val="21"/>
                <w:lang w:val="en-US" w:eastAsia="zh-CN"/>
              </w:rPr>
              <w:t>是否</w:t>
            </w:r>
            <w:r>
              <w:rPr>
                <w:rFonts w:hint="eastAsia" w:ascii="宋体"/>
                <w:color w:val="auto"/>
                <w:szCs w:val="21"/>
              </w:rPr>
              <w:t>科学合理，安排</w:t>
            </w:r>
            <w:r>
              <w:rPr>
                <w:rFonts w:hint="eastAsia" w:ascii="宋体"/>
                <w:color w:val="auto"/>
                <w:szCs w:val="21"/>
                <w:lang w:val="en-US" w:eastAsia="zh-CN"/>
              </w:rPr>
              <w:t>是否</w:t>
            </w:r>
            <w:r>
              <w:rPr>
                <w:rFonts w:hint="eastAsia" w:ascii="宋体"/>
                <w:color w:val="auto"/>
                <w:szCs w:val="21"/>
              </w:rPr>
              <w:t>全面具体。</w:t>
            </w:r>
            <w:r>
              <w:rPr>
                <w:rFonts w:hint="eastAsia"/>
                <w:color w:val="auto"/>
                <w:lang w:val="en-US" w:eastAsia="zh-CN"/>
              </w:rPr>
              <w:t>请评委进行综合评审，酌情打分。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6" w:hRule="atLeast"/>
        </w:trPr>
        <w:tc>
          <w:tcPr>
            <w:tcW w:w="570" w:type="dxa"/>
            <w:vMerge w:val="continue"/>
            <w:tcBorders>
              <w:left w:val="single" w:color="auto" w:sz="4" w:space="0"/>
              <w:right w:val="single" w:color="auto" w:sz="2" w:space="0"/>
            </w:tcBorders>
            <w:vAlign w:val="center"/>
          </w:tcPr>
          <w:p>
            <w:pPr>
              <w:spacing w:line="320" w:lineRule="exact"/>
              <w:ind w:right="162"/>
              <w:jc w:val="center"/>
              <w:rPr>
                <w:color w:val="auto"/>
                <w:szCs w:val="21"/>
              </w:rPr>
            </w:pPr>
          </w:p>
        </w:tc>
        <w:tc>
          <w:tcPr>
            <w:tcW w:w="877" w:type="dxa"/>
            <w:vMerge w:val="restart"/>
            <w:tcBorders>
              <w:top w:val="single" w:color="auto" w:sz="2" w:space="0"/>
              <w:left w:val="single" w:color="auto" w:sz="2" w:space="0"/>
              <w:right w:val="single" w:color="auto" w:sz="2" w:space="0"/>
            </w:tcBorders>
            <w:vAlign w:val="center"/>
          </w:tcPr>
          <w:p>
            <w:pPr>
              <w:spacing w:line="276" w:lineRule="auto"/>
              <w:ind w:right="162"/>
              <w:jc w:val="left"/>
              <w:rPr>
                <w:rFonts w:hint="eastAsia"/>
                <w:color w:val="auto"/>
                <w:szCs w:val="21"/>
                <w:lang w:val="en-US" w:eastAsia="zh-CN"/>
              </w:rPr>
            </w:pPr>
            <w:r>
              <w:rPr>
                <w:rFonts w:hint="eastAsia"/>
                <w:color w:val="auto"/>
                <w:szCs w:val="21"/>
                <w:lang w:val="en-US" w:eastAsia="zh-CN"/>
              </w:rPr>
              <w:t>企业综合实力（22分）</w:t>
            </w:r>
          </w:p>
          <w:p>
            <w:pPr>
              <w:spacing w:line="276" w:lineRule="auto"/>
              <w:jc w:val="left"/>
              <w:rPr>
                <w:rFonts w:ascii="宋体" w:hAnsi="宋体" w:cs="FangSong_GB2312,Bold"/>
                <w:bCs/>
                <w:color w:val="auto"/>
              </w:rPr>
            </w:pPr>
            <w:r>
              <w:rPr>
                <w:rFonts w:ascii="宋体" w:hAnsi="宋体" w:cs="FangSong_GB2312,Bold"/>
                <w:bCs/>
                <w:color w:val="auto"/>
              </w:rPr>
              <w:t xml:space="preserve"> </w:t>
            </w:r>
          </w:p>
        </w:tc>
        <w:tc>
          <w:tcPr>
            <w:tcW w:w="8345" w:type="dxa"/>
            <w:tcBorders>
              <w:top w:val="single" w:color="auto" w:sz="2" w:space="0"/>
              <w:left w:val="single" w:color="auto" w:sz="2" w:space="0"/>
              <w:right w:val="single" w:color="auto" w:sz="2" w:space="0"/>
            </w:tcBorders>
            <w:vAlign w:val="center"/>
          </w:tcPr>
          <w:p>
            <w:pPr>
              <w:spacing w:line="276" w:lineRule="auto"/>
              <w:ind w:right="162"/>
              <w:jc w:val="left"/>
              <w:rPr>
                <w:color w:val="auto"/>
              </w:rPr>
            </w:pPr>
            <w:r>
              <w:rPr>
                <w:rFonts w:hint="eastAsia"/>
                <w:color w:val="auto"/>
                <w:lang w:val="en-US" w:eastAsia="zh-CN"/>
              </w:rPr>
              <w:t>10</w:t>
            </w:r>
            <w:r>
              <w:rPr>
                <w:rFonts w:hint="eastAsia"/>
                <w:color w:val="auto"/>
              </w:rPr>
              <w:t>、养护团队人员配置（</w:t>
            </w:r>
            <w:r>
              <w:rPr>
                <w:rFonts w:hint="eastAsia"/>
                <w:color w:val="auto"/>
                <w:lang w:val="en-US" w:eastAsia="zh-CN"/>
              </w:rPr>
              <w:t>8</w:t>
            </w:r>
            <w:r>
              <w:rPr>
                <w:rFonts w:hint="eastAsia"/>
                <w:color w:val="auto"/>
              </w:rPr>
              <w:t>分）</w:t>
            </w:r>
          </w:p>
          <w:p>
            <w:pPr>
              <w:spacing w:line="276" w:lineRule="auto"/>
              <w:ind w:right="162"/>
              <w:jc w:val="left"/>
              <w:rPr>
                <w:rFonts w:hint="default" w:eastAsia="宋体"/>
                <w:color w:val="auto"/>
                <w:lang w:val="en-US" w:eastAsia="zh-CN"/>
              </w:rPr>
            </w:pPr>
            <w:r>
              <w:rPr>
                <w:rFonts w:hint="eastAsia"/>
                <w:color w:val="auto"/>
              </w:rPr>
              <w:t>（1）</w:t>
            </w:r>
            <w:r>
              <w:rPr>
                <w:rFonts w:hint="eastAsia"/>
                <w:color w:val="auto"/>
                <w:lang w:val="en-US" w:eastAsia="zh-CN"/>
              </w:rPr>
              <w:t>项目负责人：项目负责人具有</w:t>
            </w:r>
            <w:r>
              <w:rPr>
                <w:rFonts w:hint="eastAsia"/>
                <w:color w:val="auto"/>
              </w:rPr>
              <w:t>园林绿化专业</w:t>
            </w:r>
            <w:r>
              <w:rPr>
                <w:color w:val="auto"/>
              </w:rPr>
              <w:t>中级及以上职称的</w:t>
            </w:r>
            <w:r>
              <w:rPr>
                <w:rFonts w:hint="eastAsia"/>
                <w:color w:val="auto"/>
                <w:lang w:val="en-US" w:eastAsia="zh-CN"/>
              </w:rPr>
              <w:t>得1分，同时具有</w:t>
            </w:r>
            <w:r>
              <w:rPr>
                <w:rFonts w:hint="eastAsia"/>
                <w:color w:val="auto"/>
              </w:rPr>
              <w:t>园林绿化专业</w:t>
            </w:r>
            <w:r>
              <w:rPr>
                <w:color w:val="auto"/>
              </w:rPr>
              <w:t>中级及以上职称</w:t>
            </w:r>
            <w:r>
              <w:rPr>
                <w:rFonts w:hint="eastAsia"/>
                <w:color w:val="auto"/>
                <w:lang w:val="en-US" w:eastAsia="zh-CN"/>
              </w:rPr>
              <w:t>和市政公用或公路工程二级建造师证书及以上的得2分。</w:t>
            </w:r>
            <w:r>
              <w:rPr>
                <w:rFonts w:hint="eastAsia"/>
                <w:color w:val="auto"/>
              </w:rPr>
              <w:t>（须提供证书及投标人为其缴纳的近三个月内社保证明复印件加盖公章编入投标文件）</w:t>
            </w:r>
          </w:p>
          <w:p>
            <w:pPr>
              <w:spacing w:line="276" w:lineRule="auto"/>
              <w:ind w:right="162"/>
              <w:jc w:val="left"/>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lang w:val="en-US" w:eastAsia="zh-CN"/>
              </w:rPr>
              <w:t>项目其他人员</w:t>
            </w:r>
            <w:r>
              <w:rPr>
                <w:rFonts w:hint="eastAsia"/>
                <w:color w:val="auto"/>
              </w:rPr>
              <w:t>（除项目负责人外）：</w:t>
            </w:r>
            <w:r>
              <w:rPr>
                <w:rFonts w:hint="eastAsia"/>
                <w:color w:val="auto"/>
                <w:lang w:val="en-US" w:eastAsia="zh-CN"/>
              </w:rPr>
              <w:t>项目其他人员</w:t>
            </w:r>
            <w:r>
              <w:rPr>
                <w:rFonts w:hint="eastAsia"/>
                <w:color w:val="auto"/>
              </w:rPr>
              <w:t>具有园林绿化专业</w:t>
            </w:r>
            <w:r>
              <w:rPr>
                <w:color w:val="auto"/>
              </w:rPr>
              <w:t>中级及以上职称的</w:t>
            </w:r>
            <w:r>
              <w:rPr>
                <w:rFonts w:hint="eastAsia"/>
                <w:color w:val="auto"/>
              </w:rPr>
              <w:t>，每个得1分，本项最高得</w:t>
            </w:r>
            <w:r>
              <w:rPr>
                <w:rFonts w:hint="eastAsia"/>
                <w:color w:val="auto"/>
                <w:lang w:val="en-US" w:eastAsia="zh-CN"/>
              </w:rPr>
              <w:t>2</w:t>
            </w:r>
            <w:r>
              <w:rPr>
                <w:rFonts w:hint="eastAsia"/>
                <w:color w:val="auto"/>
              </w:rPr>
              <w:t>分。（须提供职称证书及投标人为其缴纳的近三个月内社保证明复印件加盖公章编入投标文件）</w:t>
            </w:r>
          </w:p>
          <w:p>
            <w:pPr>
              <w:spacing w:line="276" w:lineRule="auto"/>
              <w:ind w:right="162"/>
              <w:jc w:val="left"/>
              <w:rPr>
                <w:rFonts w:hint="eastAsia"/>
                <w:color w:val="auto"/>
              </w:rPr>
            </w:pPr>
            <w:r>
              <w:rPr>
                <w:rFonts w:hint="eastAsia"/>
                <w:color w:val="auto"/>
              </w:rPr>
              <w:t>（</w:t>
            </w:r>
            <w:r>
              <w:rPr>
                <w:rFonts w:hint="eastAsia"/>
                <w:color w:val="auto"/>
                <w:lang w:val="en-US" w:eastAsia="zh-CN"/>
              </w:rPr>
              <w:t>3</w:t>
            </w:r>
            <w:r>
              <w:rPr>
                <w:rFonts w:hint="eastAsia"/>
                <w:color w:val="auto"/>
              </w:rPr>
              <w:t>）服务人员：根据</w:t>
            </w:r>
            <w:r>
              <w:rPr>
                <w:color w:val="auto"/>
              </w:rPr>
              <w:t>配置方案（专业人员数量、工种配置等）。</w:t>
            </w:r>
            <w:r>
              <w:rPr>
                <w:rFonts w:hint="eastAsia"/>
                <w:color w:val="auto"/>
              </w:rPr>
              <w:t>（</w:t>
            </w:r>
            <w:r>
              <w:rPr>
                <w:rFonts w:hint="eastAsia"/>
                <w:color w:val="auto"/>
                <w:lang w:val="en-US" w:eastAsia="zh-CN"/>
              </w:rPr>
              <w:t>4</w:t>
            </w:r>
            <w:r>
              <w:rPr>
                <w:rFonts w:hint="eastAsia"/>
                <w:color w:val="auto"/>
              </w:rPr>
              <w:t>分）</w:t>
            </w:r>
          </w:p>
          <w:p>
            <w:pPr>
              <w:spacing w:line="276" w:lineRule="auto"/>
              <w:ind w:right="162"/>
              <w:jc w:val="left"/>
              <w:rPr>
                <w:color w:val="auto"/>
              </w:rPr>
            </w:pPr>
            <w:r>
              <w:rPr>
                <w:rFonts w:hint="eastAsia"/>
                <w:color w:val="auto"/>
                <w:lang w:val="en-US" w:eastAsia="zh-CN"/>
              </w:rPr>
              <w:t>根据</w:t>
            </w:r>
            <w:r>
              <w:rPr>
                <w:color w:val="auto"/>
              </w:rPr>
              <w:t>专业人员数量、工种配置</w:t>
            </w:r>
            <w:r>
              <w:rPr>
                <w:rFonts w:hint="eastAsia"/>
                <w:color w:val="auto"/>
                <w:lang w:val="en-US" w:eastAsia="zh-CN"/>
              </w:rPr>
              <w:t>是否</w:t>
            </w:r>
            <w:r>
              <w:rPr>
                <w:rFonts w:hint="eastAsia"/>
                <w:color w:val="auto"/>
              </w:rPr>
              <w:t>科学合理，安排</w:t>
            </w:r>
            <w:r>
              <w:rPr>
                <w:rFonts w:hint="eastAsia"/>
                <w:color w:val="auto"/>
                <w:lang w:val="en-US" w:eastAsia="zh-CN"/>
              </w:rPr>
              <w:t>是否</w:t>
            </w:r>
            <w:r>
              <w:rPr>
                <w:rFonts w:hint="eastAsia"/>
                <w:color w:val="auto"/>
              </w:rPr>
              <w:t>全面具体</w:t>
            </w:r>
            <w:r>
              <w:rPr>
                <w:rFonts w:hint="eastAsia"/>
                <w:color w:val="auto"/>
                <w:lang w:eastAsia="zh-CN"/>
              </w:rPr>
              <w:t>，</w:t>
            </w:r>
            <w:r>
              <w:rPr>
                <w:rFonts w:hint="eastAsia"/>
                <w:color w:val="auto"/>
              </w:rPr>
              <w:t>内容</w:t>
            </w:r>
            <w:r>
              <w:rPr>
                <w:rFonts w:hint="eastAsia"/>
                <w:color w:val="auto"/>
                <w:lang w:val="en-US" w:eastAsia="zh-CN"/>
              </w:rPr>
              <w:t>是否</w:t>
            </w:r>
            <w:r>
              <w:rPr>
                <w:rFonts w:hint="eastAsia"/>
                <w:color w:val="auto"/>
              </w:rPr>
              <w:t>完整，设计</w:t>
            </w:r>
            <w:r>
              <w:rPr>
                <w:rFonts w:hint="eastAsia"/>
                <w:color w:val="auto"/>
                <w:lang w:val="en-US" w:eastAsia="zh-CN"/>
              </w:rPr>
              <w:t>是否</w:t>
            </w:r>
            <w:r>
              <w:rPr>
                <w:rFonts w:hint="eastAsia"/>
                <w:color w:val="auto"/>
              </w:rPr>
              <w:t>合理</w:t>
            </w:r>
            <w:r>
              <w:rPr>
                <w:rFonts w:hint="eastAsia"/>
                <w:color w:val="auto"/>
                <w:lang w:eastAsia="zh-CN"/>
              </w:rPr>
              <w:t>，</w:t>
            </w:r>
            <w:r>
              <w:rPr>
                <w:rFonts w:hint="eastAsia"/>
                <w:color w:val="auto"/>
                <w:lang w:val="en-US" w:eastAsia="zh-CN"/>
              </w:rPr>
              <w:t>进行综合评审，酌情打分。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570" w:type="dxa"/>
            <w:vMerge w:val="continue"/>
            <w:tcBorders>
              <w:left w:val="single" w:color="auto" w:sz="4" w:space="0"/>
              <w:right w:val="single" w:color="auto" w:sz="2" w:space="0"/>
            </w:tcBorders>
            <w:vAlign w:val="center"/>
          </w:tcPr>
          <w:p>
            <w:pPr>
              <w:spacing w:line="320" w:lineRule="exact"/>
              <w:ind w:right="162"/>
              <w:jc w:val="left"/>
              <w:rPr>
                <w:color w:val="auto"/>
                <w:szCs w:val="21"/>
              </w:rPr>
            </w:pPr>
          </w:p>
        </w:tc>
        <w:tc>
          <w:tcPr>
            <w:tcW w:w="877" w:type="dxa"/>
            <w:vMerge w:val="continue"/>
            <w:tcBorders>
              <w:left w:val="single" w:color="auto" w:sz="2" w:space="0"/>
              <w:right w:val="single" w:color="auto" w:sz="2" w:space="0"/>
            </w:tcBorders>
            <w:vAlign w:val="center"/>
          </w:tcPr>
          <w:p>
            <w:pPr>
              <w:spacing w:line="276" w:lineRule="auto"/>
              <w:ind w:right="162"/>
              <w:jc w:val="left"/>
              <w:rPr>
                <w:color w:val="auto"/>
                <w:szCs w:val="21"/>
              </w:rPr>
            </w:pPr>
          </w:p>
        </w:tc>
        <w:tc>
          <w:tcPr>
            <w:tcW w:w="8345" w:type="dxa"/>
            <w:tcBorders>
              <w:top w:val="single" w:color="auto" w:sz="2" w:space="0"/>
              <w:left w:val="single" w:color="auto" w:sz="2" w:space="0"/>
              <w:bottom w:val="single" w:color="auto" w:sz="2" w:space="0"/>
              <w:right w:val="single" w:color="auto" w:sz="2" w:space="0"/>
            </w:tcBorders>
            <w:vAlign w:val="center"/>
          </w:tcPr>
          <w:p>
            <w:pPr>
              <w:spacing w:line="276" w:lineRule="auto"/>
              <w:ind w:right="162"/>
              <w:jc w:val="left"/>
              <w:rPr>
                <w:color w:val="auto"/>
                <w:szCs w:val="21"/>
              </w:rPr>
            </w:pPr>
            <w:r>
              <w:rPr>
                <w:rFonts w:hint="eastAsia"/>
                <w:color w:val="auto"/>
                <w:lang w:val="en-US" w:eastAsia="zh-CN"/>
              </w:rPr>
              <w:t>11、</w:t>
            </w:r>
            <w:r>
              <w:rPr>
                <w:color w:val="auto"/>
                <w:szCs w:val="21"/>
              </w:rPr>
              <w:t>主要机械设备与工具装备</w:t>
            </w:r>
            <w:r>
              <w:rPr>
                <w:rFonts w:hint="eastAsia"/>
                <w:color w:val="auto"/>
                <w:szCs w:val="21"/>
              </w:rPr>
              <w:t>（</w:t>
            </w:r>
            <w:r>
              <w:rPr>
                <w:rFonts w:hint="eastAsia"/>
                <w:color w:val="auto"/>
                <w:szCs w:val="21"/>
                <w:lang w:val="en-US" w:eastAsia="zh-CN"/>
              </w:rPr>
              <w:t>10</w:t>
            </w:r>
            <w:r>
              <w:rPr>
                <w:rFonts w:hint="eastAsia"/>
                <w:color w:val="auto"/>
                <w:szCs w:val="21"/>
              </w:rPr>
              <w:t>分）</w:t>
            </w:r>
          </w:p>
          <w:p>
            <w:pPr>
              <w:spacing w:line="276" w:lineRule="auto"/>
              <w:ind w:right="162"/>
              <w:jc w:val="left"/>
              <w:rPr>
                <w:rFonts w:ascii="宋体" w:hAnsi="宋体"/>
                <w:color w:val="auto"/>
                <w:szCs w:val="21"/>
              </w:rPr>
            </w:pPr>
            <w:r>
              <w:rPr>
                <w:rFonts w:hint="eastAsia" w:ascii="宋体" w:hAnsi="宋体"/>
                <w:color w:val="auto"/>
                <w:szCs w:val="21"/>
              </w:rPr>
              <w:t>（1）洒水车（容量5立方米及以上）：1辆得2分。</w:t>
            </w:r>
          </w:p>
          <w:p>
            <w:pPr>
              <w:spacing w:line="276" w:lineRule="auto"/>
              <w:ind w:right="162"/>
              <w:jc w:val="left"/>
              <w:rPr>
                <w:rFonts w:ascii="宋体" w:hAnsi="宋体"/>
                <w:color w:val="auto"/>
                <w:szCs w:val="21"/>
              </w:rPr>
            </w:pPr>
            <w:r>
              <w:rPr>
                <w:rFonts w:hint="eastAsia" w:ascii="宋体" w:hAnsi="宋体"/>
                <w:color w:val="auto"/>
                <w:szCs w:val="21"/>
              </w:rPr>
              <w:t>（2）应急抢险用的吊车（5吨及以上）：1辆得2分</w:t>
            </w:r>
            <w:r>
              <w:rPr>
                <w:rFonts w:hint="eastAsia" w:ascii="宋体" w:hAnsi="宋体"/>
                <w:color w:val="auto"/>
                <w:szCs w:val="21"/>
                <w:lang w:eastAsia="zh-CN"/>
              </w:rPr>
              <w:t>，</w:t>
            </w:r>
            <w:r>
              <w:rPr>
                <w:rFonts w:hint="eastAsia" w:ascii="宋体" w:hAnsi="宋体"/>
                <w:color w:val="auto"/>
                <w:szCs w:val="21"/>
                <w:lang w:val="en-US" w:eastAsia="zh-CN"/>
              </w:rPr>
              <w:t>车辆自有得2分，车辆为租赁的得1分</w:t>
            </w:r>
            <w:r>
              <w:rPr>
                <w:rFonts w:hint="eastAsia" w:ascii="宋体" w:hAnsi="宋体"/>
                <w:color w:val="auto"/>
                <w:szCs w:val="21"/>
              </w:rPr>
              <w:t>。</w:t>
            </w:r>
            <w:r>
              <w:rPr>
                <w:rFonts w:hint="eastAsia" w:ascii="宋体" w:hAnsi="宋体"/>
                <w:color w:val="auto"/>
                <w:szCs w:val="21"/>
                <w:lang w:eastAsia="zh-CN"/>
              </w:rPr>
              <w:t>（</w:t>
            </w:r>
            <w:r>
              <w:rPr>
                <w:rFonts w:hint="eastAsia" w:ascii="宋体" w:hAnsi="宋体"/>
                <w:color w:val="auto"/>
                <w:szCs w:val="21"/>
                <w:lang w:val="en-US" w:eastAsia="zh-CN"/>
              </w:rPr>
              <w:t>2分</w:t>
            </w:r>
            <w:r>
              <w:rPr>
                <w:rFonts w:hint="eastAsia" w:ascii="宋体" w:hAnsi="宋体"/>
                <w:color w:val="auto"/>
                <w:szCs w:val="21"/>
                <w:lang w:eastAsia="zh-CN"/>
              </w:rPr>
              <w:t>）</w:t>
            </w:r>
            <w:r>
              <w:rPr>
                <w:rFonts w:hint="eastAsia" w:ascii="宋体" w:hAnsi="宋体"/>
                <w:color w:val="auto"/>
                <w:szCs w:val="21"/>
              </w:rPr>
              <w:t>（提供自有购车发票、有效期内的行驶证及机械设备实景照片</w:t>
            </w:r>
            <w:r>
              <w:rPr>
                <w:rFonts w:hint="eastAsia" w:ascii="宋体" w:hAnsi="宋体"/>
                <w:color w:val="auto"/>
                <w:szCs w:val="21"/>
                <w:lang w:eastAsia="zh-CN"/>
              </w:rPr>
              <w:t>；</w:t>
            </w:r>
            <w:r>
              <w:rPr>
                <w:rFonts w:hint="eastAsia" w:ascii="宋体" w:hAnsi="宋体"/>
                <w:color w:val="auto"/>
                <w:szCs w:val="21"/>
                <w:lang w:val="en-US" w:eastAsia="zh-CN"/>
              </w:rPr>
              <w:t>车辆租赁需提供租赁合同，</w:t>
            </w:r>
            <w:r>
              <w:rPr>
                <w:rFonts w:hint="eastAsia" w:ascii="宋体" w:hAnsi="宋体"/>
                <w:color w:val="auto"/>
                <w:szCs w:val="21"/>
              </w:rPr>
              <w:t>有效期内的行驶证及机械设备实景照片</w:t>
            </w:r>
            <w:r>
              <w:rPr>
                <w:rFonts w:hint="eastAsia" w:ascii="宋体" w:hAnsi="宋体"/>
                <w:color w:val="auto"/>
                <w:szCs w:val="21"/>
                <w:lang w:eastAsia="zh-CN"/>
              </w:rPr>
              <w:t>，</w:t>
            </w:r>
            <w:r>
              <w:rPr>
                <w:rFonts w:hint="eastAsia" w:ascii="宋体" w:hAnsi="宋体"/>
                <w:color w:val="auto"/>
                <w:szCs w:val="21"/>
              </w:rPr>
              <w:t>以上资料复印件编入投标文件。）</w:t>
            </w:r>
          </w:p>
          <w:p>
            <w:pPr>
              <w:spacing w:line="276" w:lineRule="auto"/>
              <w:ind w:right="162"/>
              <w:jc w:val="left"/>
              <w:rPr>
                <w:rFonts w:ascii="宋体" w:hAnsi="宋体"/>
                <w:color w:val="auto"/>
                <w:szCs w:val="21"/>
              </w:rPr>
            </w:pPr>
            <w:r>
              <w:rPr>
                <w:rFonts w:hint="eastAsia" w:ascii="宋体" w:hAnsi="宋体"/>
                <w:color w:val="auto"/>
                <w:szCs w:val="21"/>
              </w:rPr>
              <w:t>（3）运输车</w:t>
            </w:r>
            <w:r>
              <w:rPr>
                <w:rFonts w:hint="eastAsia" w:ascii="宋体" w:hAnsi="宋体"/>
                <w:color w:val="auto"/>
                <w:szCs w:val="21"/>
                <w:lang w:eastAsia="zh-CN"/>
              </w:rPr>
              <w:t>（</w:t>
            </w:r>
            <w:r>
              <w:rPr>
                <w:rFonts w:hint="eastAsia" w:ascii="宋体" w:hAnsi="宋体"/>
                <w:color w:val="auto"/>
                <w:szCs w:val="21"/>
                <w:lang w:val="en-US" w:eastAsia="zh-CN"/>
              </w:rPr>
              <w:t>含皮卡车</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val="en-US" w:eastAsia="zh-CN"/>
              </w:rPr>
              <w:t>2辆</w:t>
            </w:r>
            <w:r>
              <w:rPr>
                <w:rFonts w:hint="eastAsia" w:ascii="宋体" w:hAnsi="宋体"/>
                <w:color w:val="auto"/>
                <w:szCs w:val="21"/>
              </w:rPr>
              <w:t>得2分</w:t>
            </w:r>
            <w:r>
              <w:rPr>
                <w:rFonts w:hint="eastAsia" w:ascii="宋体" w:hAnsi="宋体"/>
                <w:color w:val="auto"/>
                <w:szCs w:val="21"/>
                <w:lang w:eastAsia="zh-CN"/>
              </w:rPr>
              <w:t>，</w:t>
            </w:r>
            <w:r>
              <w:rPr>
                <w:rFonts w:hint="eastAsia" w:ascii="宋体" w:hAnsi="宋体"/>
                <w:color w:val="auto"/>
                <w:szCs w:val="21"/>
                <w:lang w:val="en-US" w:eastAsia="zh-CN"/>
              </w:rPr>
              <w:t>每增加1辆得1分，最高得3分</w:t>
            </w:r>
            <w:r>
              <w:rPr>
                <w:rFonts w:hint="eastAsia" w:ascii="宋体" w:hAnsi="宋体"/>
                <w:color w:val="auto"/>
                <w:szCs w:val="21"/>
              </w:rPr>
              <w:t>。</w:t>
            </w:r>
          </w:p>
          <w:p>
            <w:pPr>
              <w:spacing w:line="276" w:lineRule="auto"/>
              <w:ind w:right="162"/>
              <w:jc w:val="left"/>
              <w:rPr>
                <w:rFonts w:ascii="宋体" w:hAnsi="宋体"/>
                <w:color w:val="auto"/>
                <w:szCs w:val="21"/>
              </w:rPr>
            </w:pPr>
            <w:r>
              <w:rPr>
                <w:rFonts w:hint="eastAsia" w:ascii="宋体" w:hAnsi="宋体"/>
                <w:color w:val="auto"/>
                <w:szCs w:val="21"/>
              </w:rPr>
              <w:t>（4）其他设备包括：高空修剪机、草坪机、打药机、绿篱机、水泵等，每个得0.5分，同一类设备有2台及以上的，得0.5分，不重复计分，本项最高得3分。</w:t>
            </w:r>
          </w:p>
          <w:p>
            <w:pPr>
              <w:spacing w:line="276" w:lineRule="auto"/>
              <w:ind w:right="162"/>
              <w:jc w:val="left"/>
              <w:rPr>
                <w:rFonts w:hint="eastAsia" w:ascii="宋体" w:hAnsi="宋体"/>
                <w:color w:val="auto"/>
                <w:szCs w:val="21"/>
              </w:rPr>
            </w:pPr>
            <w:r>
              <w:rPr>
                <w:rFonts w:hint="eastAsia" w:ascii="宋体" w:hAnsi="宋体"/>
                <w:color w:val="auto"/>
                <w:szCs w:val="21"/>
              </w:rPr>
              <w:t>（以上设备</w:t>
            </w:r>
            <w:r>
              <w:rPr>
                <w:rFonts w:hint="eastAsia" w:ascii="宋体" w:hAnsi="宋体"/>
                <w:color w:val="auto"/>
                <w:szCs w:val="21"/>
                <w:lang w:val="en-US" w:eastAsia="zh-CN"/>
              </w:rPr>
              <w:t>除吊车以外需</w:t>
            </w:r>
            <w:r>
              <w:rPr>
                <w:rFonts w:hint="eastAsia" w:ascii="宋体" w:hAnsi="宋体"/>
                <w:color w:val="auto"/>
                <w:szCs w:val="21"/>
              </w:rPr>
              <w:t>提供自有购车发票、有效期内的行驶证及机械设备实景照片，以上资料复印件编入投标文件。）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4" w:hRule="atLeast"/>
        </w:trPr>
        <w:tc>
          <w:tcPr>
            <w:tcW w:w="570" w:type="dxa"/>
            <w:vMerge w:val="continue"/>
            <w:tcBorders>
              <w:left w:val="single" w:color="auto" w:sz="4" w:space="0"/>
              <w:right w:val="single" w:color="auto" w:sz="2" w:space="0"/>
            </w:tcBorders>
            <w:vAlign w:val="center"/>
          </w:tcPr>
          <w:p>
            <w:pPr>
              <w:spacing w:line="320" w:lineRule="exact"/>
              <w:ind w:right="162"/>
              <w:jc w:val="left"/>
              <w:rPr>
                <w:color w:val="auto"/>
                <w:szCs w:val="21"/>
              </w:rPr>
            </w:pPr>
          </w:p>
        </w:tc>
        <w:tc>
          <w:tcPr>
            <w:tcW w:w="877" w:type="dxa"/>
            <w:vMerge w:val="continue"/>
            <w:tcBorders>
              <w:left w:val="single" w:color="auto" w:sz="2" w:space="0"/>
              <w:right w:val="single" w:color="auto" w:sz="2" w:space="0"/>
            </w:tcBorders>
            <w:vAlign w:val="top"/>
          </w:tcPr>
          <w:p>
            <w:pPr>
              <w:pStyle w:val="36"/>
              <w:numPr>
                <w:ilvl w:val="0"/>
                <w:numId w:val="0"/>
              </w:numPr>
              <w:rPr>
                <w:rFonts w:hint="default"/>
                <w:color w:val="auto"/>
                <w:lang w:val="en-US" w:eastAsia="zh-CN"/>
              </w:rPr>
            </w:pPr>
          </w:p>
        </w:tc>
        <w:tc>
          <w:tcPr>
            <w:tcW w:w="8345" w:type="dxa"/>
            <w:tcBorders>
              <w:top w:val="single" w:color="auto" w:sz="2" w:space="0"/>
              <w:left w:val="single" w:color="auto" w:sz="2" w:space="0"/>
              <w:bottom w:val="single" w:color="auto" w:sz="2" w:space="0"/>
              <w:right w:val="single" w:color="auto" w:sz="2" w:space="0"/>
            </w:tcBorders>
            <w:vAlign w:val="top"/>
          </w:tcPr>
          <w:p>
            <w:pPr>
              <w:numPr>
                <w:ilvl w:val="0"/>
                <w:numId w:val="0"/>
              </w:numPr>
              <w:spacing w:line="276" w:lineRule="auto"/>
              <w:ind w:right="162" w:rightChars="0"/>
              <w:jc w:val="both"/>
              <w:rPr>
                <w:rFonts w:hint="eastAsia"/>
                <w:color w:val="auto"/>
                <w:lang w:eastAsia="zh-CN"/>
              </w:rPr>
            </w:pPr>
            <w:r>
              <w:rPr>
                <w:rFonts w:hint="eastAsia"/>
                <w:color w:val="auto"/>
                <w:lang w:val="en-US" w:eastAsia="zh-CN"/>
              </w:rPr>
              <w:t>12、</w:t>
            </w:r>
            <w:r>
              <w:rPr>
                <w:rFonts w:hint="eastAsia"/>
                <w:color w:val="auto"/>
              </w:rPr>
              <w:t>公路养护工程从业资质</w:t>
            </w:r>
            <w:r>
              <w:rPr>
                <w:rFonts w:hint="eastAsia"/>
                <w:color w:val="auto"/>
                <w:lang w:eastAsia="zh-CN"/>
              </w:rPr>
              <w:t>（</w:t>
            </w:r>
            <w:r>
              <w:rPr>
                <w:rFonts w:hint="eastAsia"/>
                <w:color w:val="auto"/>
                <w:lang w:val="en-US" w:eastAsia="zh-CN"/>
              </w:rPr>
              <w:t>2分</w:t>
            </w:r>
            <w:r>
              <w:rPr>
                <w:rFonts w:hint="eastAsia"/>
                <w:color w:val="auto"/>
                <w:lang w:eastAsia="zh-CN"/>
              </w:rPr>
              <w:t>）</w:t>
            </w:r>
          </w:p>
          <w:p>
            <w:pPr>
              <w:pStyle w:val="36"/>
              <w:numPr>
                <w:ilvl w:val="0"/>
                <w:numId w:val="0"/>
              </w:numPr>
              <w:rPr>
                <w:rFonts w:hint="eastAsia" w:cs="黑体"/>
                <w:color w:val="auto"/>
                <w:kern w:val="2"/>
                <w:sz w:val="21"/>
                <w:szCs w:val="24"/>
                <w:lang w:val="en-US" w:eastAsia="zh-CN" w:bidi="ar-SA"/>
              </w:rPr>
            </w:pPr>
            <w:r>
              <w:rPr>
                <w:rFonts w:hint="eastAsia"/>
                <w:color w:val="auto"/>
                <w:lang w:val="en-US" w:eastAsia="zh-CN"/>
              </w:rPr>
              <w:t>投标人具有</w:t>
            </w:r>
            <w:r>
              <w:rPr>
                <w:rFonts w:hint="eastAsia" w:ascii="Calibri" w:hAnsi="Calibri" w:eastAsia="宋体" w:cs="黑体"/>
                <w:color w:val="auto"/>
                <w:kern w:val="2"/>
                <w:sz w:val="21"/>
                <w:szCs w:val="24"/>
                <w:lang w:val="en-US" w:eastAsia="zh-CN" w:bidi="ar-SA"/>
              </w:rPr>
              <w:t>二类公路养护甲级工程资质</w:t>
            </w:r>
            <w:r>
              <w:rPr>
                <w:rFonts w:hint="eastAsia" w:cs="黑体"/>
                <w:color w:val="auto"/>
                <w:kern w:val="2"/>
                <w:sz w:val="21"/>
                <w:szCs w:val="24"/>
                <w:lang w:val="en-US" w:eastAsia="zh-CN" w:bidi="ar-SA"/>
              </w:rPr>
              <w:t>的得</w:t>
            </w:r>
            <w:r>
              <w:rPr>
                <w:rFonts w:hint="eastAsia"/>
                <w:color w:val="auto"/>
                <w:szCs w:val="21"/>
                <w:lang w:val="en-US" w:eastAsia="zh-CN"/>
              </w:rPr>
              <w:t>2</w:t>
            </w:r>
            <w:r>
              <w:rPr>
                <w:rFonts w:hint="eastAsia"/>
                <w:color w:val="auto"/>
                <w:szCs w:val="21"/>
                <w:lang w:eastAsia="zh-CN"/>
              </w:rPr>
              <w:t>分，</w:t>
            </w:r>
            <w:r>
              <w:rPr>
                <w:rFonts w:hint="eastAsia" w:ascii="Calibri" w:hAnsi="Calibri" w:eastAsia="宋体" w:cs="黑体"/>
                <w:color w:val="auto"/>
                <w:kern w:val="2"/>
                <w:sz w:val="21"/>
                <w:szCs w:val="24"/>
                <w:lang w:val="en-US" w:eastAsia="zh-CN" w:bidi="ar-SA"/>
              </w:rPr>
              <w:t>二类公路养护乙级工程资质</w:t>
            </w:r>
            <w:r>
              <w:rPr>
                <w:rFonts w:hint="eastAsia" w:cs="黑体"/>
                <w:color w:val="auto"/>
                <w:kern w:val="2"/>
                <w:sz w:val="21"/>
                <w:szCs w:val="24"/>
                <w:lang w:val="en-US" w:eastAsia="zh-CN" w:bidi="ar-SA"/>
              </w:rPr>
              <w:t>得</w:t>
            </w:r>
            <w:r>
              <w:rPr>
                <w:rFonts w:hint="eastAsia"/>
                <w:color w:val="auto"/>
                <w:szCs w:val="21"/>
                <w:lang w:val="en-US" w:eastAsia="zh-CN"/>
              </w:rPr>
              <w:t>1</w:t>
            </w:r>
            <w:r>
              <w:rPr>
                <w:rFonts w:hint="eastAsia"/>
                <w:color w:val="auto"/>
                <w:szCs w:val="21"/>
                <w:lang w:eastAsia="zh-CN"/>
              </w:rPr>
              <w:t>分。</w:t>
            </w:r>
          </w:p>
          <w:p>
            <w:pPr>
              <w:pStyle w:val="36"/>
              <w:numPr>
                <w:ilvl w:val="0"/>
                <w:numId w:val="0"/>
              </w:numPr>
              <w:rPr>
                <w:rFonts w:hint="eastAsia"/>
                <w:color w:val="auto"/>
                <w:szCs w:val="21"/>
                <w:lang w:eastAsia="zh-CN"/>
              </w:rPr>
            </w:pPr>
            <w:r>
              <w:rPr>
                <w:rFonts w:hint="eastAsia"/>
                <w:color w:val="auto"/>
                <w:szCs w:val="21"/>
                <w:lang w:eastAsia="zh-CN"/>
              </w:rPr>
              <w:t>注：投标文件须提供证书复印件加盖公章。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47" w:hRule="atLeast"/>
        </w:trPr>
        <w:tc>
          <w:tcPr>
            <w:tcW w:w="570" w:type="dxa"/>
            <w:vMerge w:val="continue"/>
            <w:tcBorders>
              <w:left w:val="single" w:color="auto" w:sz="4" w:space="0"/>
              <w:right w:val="single" w:color="auto" w:sz="2" w:space="0"/>
            </w:tcBorders>
            <w:textDirection w:val="tbRlV"/>
            <w:vAlign w:val="center"/>
          </w:tcPr>
          <w:p>
            <w:pPr>
              <w:spacing w:line="320" w:lineRule="exact"/>
              <w:ind w:right="162"/>
              <w:jc w:val="left"/>
              <w:rPr>
                <w:color w:val="auto"/>
                <w:szCs w:val="21"/>
              </w:rPr>
            </w:pPr>
          </w:p>
        </w:tc>
        <w:tc>
          <w:tcPr>
            <w:tcW w:w="877" w:type="dxa"/>
            <w:vMerge w:val="continue"/>
            <w:tcBorders>
              <w:left w:val="single" w:color="auto" w:sz="2" w:space="0"/>
              <w:bottom w:val="single" w:color="auto" w:sz="2" w:space="0"/>
              <w:right w:val="single" w:color="auto" w:sz="2" w:space="0"/>
            </w:tcBorders>
            <w:vAlign w:val="center"/>
          </w:tcPr>
          <w:p>
            <w:pPr>
              <w:spacing w:line="276" w:lineRule="auto"/>
              <w:jc w:val="left"/>
              <w:rPr>
                <w:rFonts w:ascii="宋体" w:hAnsi="宋体" w:cs="FangSong_GB2312,Bold"/>
                <w:bCs/>
                <w:color w:val="auto"/>
              </w:rPr>
            </w:pPr>
          </w:p>
        </w:tc>
        <w:tc>
          <w:tcPr>
            <w:tcW w:w="8345" w:type="dxa"/>
            <w:tcBorders>
              <w:top w:val="single" w:color="auto" w:sz="2" w:space="0"/>
              <w:left w:val="single" w:color="auto" w:sz="2" w:space="0"/>
              <w:bottom w:val="single" w:color="auto" w:sz="2" w:space="0"/>
              <w:right w:val="single" w:color="auto" w:sz="2" w:space="0"/>
            </w:tcBorders>
            <w:vAlign w:val="center"/>
          </w:tcPr>
          <w:p>
            <w:pPr>
              <w:numPr>
                <w:ilvl w:val="0"/>
                <w:numId w:val="0"/>
              </w:numPr>
              <w:spacing w:line="276" w:lineRule="auto"/>
              <w:ind w:right="164" w:rightChars="0"/>
              <w:jc w:val="left"/>
              <w:rPr>
                <w:color w:val="auto"/>
              </w:rPr>
            </w:pPr>
            <w:r>
              <w:rPr>
                <w:rFonts w:hint="eastAsia"/>
                <w:color w:val="auto"/>
                <w:lang w:val="en-US" w:eastAsia="zh-CN"/>
              </w:rPr>
              <w:t>13、</w:t>
            </w:r>
            <w:r>
              <w:rPr>
                <w:rFonts w:hint="eastAsia"/>
                <w:color w:val="auto"/>
              </w:rPr>
              <w:t>公路绿化</w:t>
            </w:r>
            <w:r>
              <w:rPr>
                <w:color w:val="auto"/>
              </w:rPr>
              <w:t>养护</w:t>
            </w:r>
            <w:r>
              <w:rPr>
                <w:rFonts w:hint="eastAsia"/>
                <w:color w:val="auto"/>
              </w:rPr>
              <w:t>业绩（</w:t>
            </w:r>
            <w:r>
              <w:rPr>
                <w:rFonts w:hint="eastAsia"/>
                <w:color w:val="auto"/>
                <w:lang w:val="en-US" w:eastAsia="zh-CN"/>
              </w:rPr>
              <w:t>2</w:t>
            </w:r>
            <w:r>
              <w:rPr>
                <w:rFonts w:hint="eastAsia"/>
                <w:color w:val="auto"/>
              </w:rPr>
              <w:t>分）</w:t>
            </w:r>
            <w:r>
              <w:rPr>
                <w:color w:val="auto"/>
              </w:rPr>
              <w:tab/>
            </w:r>
          </w:p>
          <w:p>
            <w:pPr>
              <w:numPr>
                <w:ilvl w:val="0"/>
                <w:numId w:val="0"/>
              </w:numPr>
              <w:spacing w:line="276" w:lineRule="auto"/>
              <w:ind w:right="164" w:rightChars="0"/>
              <w:jc w:val="left"/>
              <w:rPr>
                <w:rFonts w:hint="eastAsia"/>
                <w:color w:val="auto"/>
                <w:lang w:val="en-US" w:eastAsia="zh-CN"/>
              </w:rPr>
            </w:pPr>
            <w:r>
              <w:rPr>
                <w:rFonts w:hint="eastAsia"/>
                <w:color w:val="auto"/>
                <w:lang w:val="en-US" w:eastAsia="zh-CN"/>
              </w:rPr>
              <w:t>企业业绩（2分）：</w:t>
            </w:r>
          </w:p>
          <w:p>
            <w:pPr>
              <w:numPr>
                <w:ilvl w:val="0"/>
                <w:numId w:val="10"/>
              </w:numPr>
              <w:spacing w:line="276" w:lineRule="auto"/>
              <w:ind w:right="164" w:rightChars="0"/>
              <w:jc w:val="left"/>
              <w:rPr>
                <w:color w:val="auto"/>
              </w:rPr>
            </w:pPr>
            <w:r>
              <w:rPr>
                <w:color w:val="auto"/>
              </w:rPr>
              <w:t>投标人</w:t>
            </w:r>
            <w:r>
              <w:rPr>
                <w:rFonts w:hint="eastAsia"/>
                <w:color w:val="auto"/>
              </w:rPr>
              <w:t>自20</w:t>
            </w:r>
            <w:r>
              <w:rPr>
                <w:rFonts w:hint="eastAsia"/>
                <w:color w:val="auto"/>
                <w:lang w:val="en-US" w:eastAsia="zh-CN"/>
              </w:rPr>
              <w:t>20</w:t>
            </w:r>
            <w:r>
              <w:rPr>
                <w:rFonts w:hint="eastAsia"/>
                <w:color w:val="auto"/>
              </w:rPr>
              <w:t>年</w:t>
            </w:r>
            <w:r>
              <w:rPr>
                <w:rFonts w:hint="eastAsia"/>
                <w:color w:val="auto"/>
                <w:lang w:val="en-US" w:eastAsia="zh-CN"/>
              </w:rPr>
              <w:t>1</w:t>
            </w:r>
            <w:r>
              <w:rPr>
                <w:rFonts w:hint="eastAsia"/>
                <w:color w:val="auto"/>
              </w:rPr>
              <w:t>月1日起（以合同约订时间为准）单个公路绿化</w:t>
            </w:r>
            <w:r>
              <w:rPr>
                <w:color w:val="auto"/>
              </w:rPr>
              <w:t>养护面积</w:t>
            </w:r>
            <w:r>
              <w:rPr>
                <w:rFonts w:hint="eastAsia"/>
                <w:color w:val="auto"/>
              </w:rPr>
              <w:t>在</w:t>
            </w:r>
            <w:r>
              <w:rPr>
                <w:rFonts w:hint="eastAsia"/>
                <w:color w:val="auto"/>
                <w:lang w:val="en-US" w:eastAsia="zh-CN"/>
              </w:rPr>
              <w:t>30</w:t>
            </w:r>
            <w:r>
              <w:rPr>
                <w:color w:val="auto"/>
              </w:rPr>
              <w:t>万平米</w:t>
            </w:r>
            <w:r>
              <w:rPr>
                <w:rFonts w:hint="eastAsia"/>
                <w:color w:val="auto"/>
              </w:rPr>
              <w:t>（含）以上</w:t>
            </w:r>
            <w:r>
              <w:rPr>
                <w:color w:val="auto"/>
              </w:rPr>
              <w:t>的</w:t>
            </w:r>
            <w:r>
              <w:rPr>
                <w:rFonts w:hint="eastAsia"/>
                <w:color w:val="auto"/>
              </w:rPr>
              <w:t>，</w:t>
            </w:r>
            <w:r>
              <w:rPr>
                <w:color w:val="auto"/>
              </w:rPr>
              <w:t>得</w:t>
            </w:r>
            <w:r>
              <w:rPr>
                <w:rFonts w:hint="eastAsia"/>
                <w:color w:val="auto"/>
                <w:lang w:val="en-US" w:eastAsia="zh-CN"/>
              </w:rPr>
              <w:t>2</w:t>
            </w:r>
            <w:r>
              <w:rPr>
                <w:rFonts w:hint="eastAsia"/>
                <w:color w:val="auto"/>
              </w:rPr>
              <w:t>.0</w:t>
            </w:r>
            <w:r>
              <w:rPr>
                <w:color w:val="auto"/>
              </w:rPr>
              <w:t>分</w:t>
            </w:r>
            <w:r>
              <w:rPr>
                <w:rFonts w:hint="eastAsia"/>
                <w:color w:val="auto"/>
                <w:lang w:val="en-US" w:eastAsia="zh-CN"/>
              </w:rPr>
              <w:t>；2.</w:t>
            </w:r>
            <w:r>
              <w:rPr>
                <w:color w:val="auto"/>
              </w:rPr>
              <w:t>投标人</w:t>
            </w:r>
            <w:r>
              <w:rPr>
                <w:rFonts w:hint="eastAsia"/>
                <w:color w:val="auto"/>
              </w:rPr>
              <w:t>自20</w:t>
            </w:r>
            <w:r>
              <w:rPr>
                <w:rFonts w:hint="eastAsia"/>
                <w:color w:val="auto"/>
                <w:lang w:val="en-US" w:eastAsia="zh-CN"/>
              </w:rPr>
              <w:t>20</w:t>
            </w:r>
            <w:r>
              <w:rPr>
                <w:rFonts w:hint="eastAsia"/>
                <w:color w:val="auto"/>
              </w:rPr>
              <w:t>年</w:t>
            </w:r>
            <w:r>
              <w:rPr>
                <w:rFonts w:hint="eastAsia"/>
                <w:color w:val="auto"/>
                <w:lang w:val="en-US" w:eastAsia="zh-CN"/>
              </w:rPr>
              <w:t>1</w:t>
            </w:r>
            <w:r>
              <w:rPr>
                <w:rFonts w:hint="eastAsia"/>
                <w:color w:val="auto"/>
              </w:rPr>
              <w:t>月1日起（以合同约订时间为准）单个公路绿化</w:t>
            </w:r>
            <w:r>
              <w:rPr>
                <w:color w:val="auto"/>
              </w:rPr>
              <w:t>养护面积</w:t>
            </w:r>
            <w:r>
              <w:rPr>
                <w:rFonts w:hint="eastAsia"/>
                <w:color w:val="auto"/>
              </w:rPr>
              <w:t>在</w:t>
            </w:r>
            <w:r>
              <w:rPr>
                <w:rFonts w:hint="eastAsia"/>
                <w:color w:val="auto"/>
                <w:lang w:val="en-US" w:eastAsia="zh-CN"/>
              </w:rPr>
              <w:t>10-30</w:t>
            </w:r>
            <w:r>
              <w:rPr>
                <w:color w:val="auto"/>
              </w:rPr>
              <w:t>万平米的</w:t>
            </w:r>
            <w:r>
              <w:rPr>
                <w:rFonts w:hint="eastAsia"/>
                <w:color w:val="auto"/>
              </w:rPr>
              <w:t>，</w:t>
            </w:r>
            <w:r>
              <w:rPr>
                <w:color w:val="auto"/>
              </w:rPr>
              <w:t>得</w:t>
            </w:r>
            <w:r>
              <w:rPr>
                <w:rFonts w:hint="eastAsia"/>
                <w:color w:val="auto"/>
                <w:lang w:val="en-US" w:eastAsia="zh-CN"/>
              </w:rPr>
              <w:t>1</w:t>
            </w:r>
            <w:r>
              <w:rPr>
                <w:rFonts w:hint="eastAsia"/>
                <w:color w:val="auto"/>
              </w:rPr>
              <w:t>.0</w:t>
            </w:r>
            <w:r>
              <w:rPr>
                <w:color w:val="auto"/>
              </w:rPr>
              <w:t>分</w:t>
            </w:r>
            <w:r>
              <w:rPr>
                <w:rFonts w:hint="eastAsia"/>
                <w:color w:val="auto"/>
                <w:lang w:val="en-US" w:eastAsia="zh-CN"/>
              </w:rPr>
              <w:t>；3.</w:t>
            </w:r>
            <w:r>
              <w:rPr>
                <w:color w:val="auto"/>
              </w:rPr>
              <w:t>投标人</w:t>
            </w:r>
            <w:r>
              <w:rPr>
                <w:rFonts w:hint="eastAsia"/>
                <w:color w:val="auto"/>
              </w:rPr>
              <w:t>自20</w:t>
            </w:r>
            <w:r>
              <w:rPr>
                <w:rFonts w:hint="eastAsia"/>
                <w:color w:val="auto"/>
                <w:lang w:val="en-US" w:eastAsia="zh-CN"/>
              </w:rPr>
              <w:t>20</w:t>
            </w:r>
            <w:r>
              <w:rPr>
                <w:rFonts w:hint="eastAsia"/>
                <w:color w:val="auto"/>
              </w:rPr>
              <w:t>年</w:t>
            </w:r>
            <w:r>
              <w:rPr>
                <w:rFonts w:hint="eastAsia"/>
                <w:color w:val="auto"/>
                <w:lang w:val="en-US" w:eastAsia="zh-CN"/>
              </w:rPr>
              <w:t>1</w:t>
            </w:r>
            <w:r>
              <w:rPr>
                <w:rFonts w:hint="eastAsia"/>
                <w:color w:val="auto"/>
              </w:rPr>
              <w:t>月1日起（以合同约订时间为准）单个</w:t>
            </w:r>
            <w:r>
              <w:rPr>
                <w:rFonts w:hint="eastAsia"/>
                <w:color w:val="auto"/>
                <w:lang w:val="en-US" w:eastAsia="zh-CN"/>
              </w:rPr>
              <w:t>市政道路</w:t>
            </w:r>
            <w:r>
              <w:rPr>
                <w:rFonts w:hint="eastAsia"/>
                <w:color w:val="auto"/>
              </w:rPr>
              <w:t>绿化</w:t>
            </w:r>
            <w:r>
              <w:rPr>
                <w:color w:val="auto"/>
              </w:rPr>
              <w:t>养护面积</w:t>
            </w:r>
            <w:r>
              <w:rPr>
                <w:rFonts w:hint="eastAsia"/>
                <w:color w:val="auto"/>
              </w:rPr>
              <w:t>在</w:t>
            </w:r>
            <w:r>
              <w:rPr>
                <w:rFonts w:hint="eastAsia"/>
                <w:color w:val="auto"/>
                <w:lang w:val="en-US" w:eastAsia="zh-CN"/>
              </w:rPr>
              <w:t>30</w:t>
            </w:r>
            <w:r>
              <w:rPr>
                <w:color w:val="auto"/>
              </w:rPr>
              <w:t>万平米</w:t>
            </w:r>
            <w:r>
              <w:rPr>
                <w:rFonts w:hint="eastAsia"/>
                <w:color w:val="auto"/>
              </w:rPr>
              <w:t>（含）以上</w:t>
            </w:r>
            <w:r>
              <w:rPr>
                <w:color w:val="auto"/>
              </w:rPr>
              <w:t>的</w:t>
            </w:r>
            <w:r>
              <w:rPr>
                <w:rFonts w:hint="eastAsia"/>
                <w:color w:val="auto"/>
              </w:rPr>
              <w:t>，</w:t>
            </w:r>
            <w:r>
              <w:rPr>
                <w:color w:val="auto"/>
              </w:rPr>
              <w:t>得</w:t>
            </w:r>
            <w:r>
              <w:rPr>
                <w:rFonts w:hint="eastAsia"/>
                <w:color w:val="auto"/>
                <w:lang w:val="en-US" w:eastAsia="zh-CN"/>
              </w:rPr>
              <w:t>1</w:t>
            </w:r>
            <w:r>
              <w:rPr>
                <w:rFonts w:hint="eastAsia"/>
                <w:color w:val="auto"/>
              </w:rPr>
              <w:t>.0</w:t>
            </w:r>
            <w:r>
              <w:rPr>
                <w:color w:val="auto"/>
              </w:rPr>
              <w:t>分</w:t>
            </w:r>
            <w:r>
              <w:rPr>
                <w:rFonts w:hint="eastAsia"/>
                <w:color w:val="auto"/>
                <w:lang w:val="en-US" w:eastAsia="zh-CN"/>
              </w:rPr>
              <w:t>；4.</w:t>
            </w:r>
            <w:r>
              <w:rPr>
                <w:color w:val="auto"/>
              </w:rPr>
              <w:t>投标人</w:t>
            </w:r>
            <w:r>
              <w:rPr>
                <w:rFonts w:hint="eastAsia"/>
                <w:color w:val="auto"/>
              </w:rPr>
              <w:t>自20</w:t>
            </w:r>
            <w:r>
              <w:rPr>
                <w:rFonts w:hint="eastAsia"/>
                <w:color w:val="auto"/>
                <w:lang w:val="en-US" w:eastAsia="zh-CN"/>
              </w:rPr>
              <w:t>20</w:t>
            </w:r>
            <w:r>
              <w:rPr>
                <w:rFonts w:hint="eastAsia"/>
                <w:color w:val="auto"/>
              </w:rPr>
              <w:t>年</w:t>
            </w:r>
            <w:r>
              <w:rPr>
                <w:rFonts w:hint="eastAsia"/>
                <w:color w:val="auto"/>
                <w:lang w:val="en-US" w:eastAsia="zh-CN"/>
              </w:rPr>
              <w:t>1</w:t>
            </w:r>
            <w:r>
              <w:rPr>
                <w:rFonts w:hint="eastAsia"/>
                <w:color w:val="auto"/>
              </w:rPr>
              <w:t>月1日起（以合同约订时间为准）单个</w:t>
            </w:r>
            <w:r>
              <w:rPr>
                <w:rFonts w:hint="eastAsia"/>
                <w:color w:val="auto"/>
                <w:lang w:val="en-US" w:eastAsia="zh-CN"/>
              </w:rPr>
              <w:t>市政道路</w:t>
            </w:r>
            <w:r>
              <w:rPr>
                <w:rFonts w:hint="eastAsia"/>
                <w:color w:val="auto"/>
              </w:rPr>
              <w:t>绿化</w:t>
            </w:r>
            <w:r>
              <w:rPr>
                <w:color w:val="auto"/>
              </w:rPr>
              <w:t>养护面积</w:t>
            </w:r>
            <w:r>
              <w:rPr>
                <w:rFonts w:hint="eastAsia"/>
                <w:color w:val="auto"/>
              </w:rPr>
              <w:t>在</w:t>
            </w:r>
            <w:r>
              <w:rPr>
                <w:rFonts w:hint="eastAsia"/>
                <w:color w:val="auto"/>
                <w:lang w:val="en-US" w:eastAsia="zh-CN"/>
              </w:rPr>
              <w:t>10-30</w:t>
            </w:r>
            <w:r>
              <w:rPr>
                <w:color w:val="auto"/>
              </w:rPr>
              <w:t>万平米的</w:t>
            </w:r>
            <w:r>
              <w:rPr>
                <w:rFonts w:hint="eastAsia"/>
                <w:color w:val="auto"/>
              </w:rPr>
              <w:t>，</w:t>
            </w:r>
            <w:r>
              <w:rPr>
                <w:color w:val="auto"/>
              </w:rPr>
              <w:t>得</w:t>
            </w:r>
            <w:r>
              <w:rPr>
                <w:rFonts w:hint="eastAsia"/>
                <w:color w:val="auto"/>
                <w:lang w:val="en-US" w:eastAsia="zh-CN"/>
              </w:rPr>
              <w:t>0.5</w:t>
            </w:r>
            <w:r>
              <w:rPr>
                <w:color w:val="auto"/>
              </w:rPr>
              <w:t>分</w:t>
            </w:r>
            <w:r>
              <w:rPr>
                <w:rFonts w:hint="eastAsia"/>
                <w:color w:val="auto"/>
                <w:lang w:eastAsia="zh-CN"/>
              </w:rPr>
              <w:t>。</w:t>
            </w:r>
            <w:r>
              <w:rPr>
                <w:rFonts w:hint="eastAsia"/>
                <w:color w:val="auto"/>
                <w:lang w:val="en-US" w:eastAsia="zh-CN"/>
              </w:rPr>
              <w:t>本项仅计取一个业绩，本项最高得2分。</w:t>
            </w:r>
            <w:r>
              <w:rPr>
                <w:color w:val="auto"/>
              </w:rPr>
              <w:t>（提供</w:t>
            </w:r>
            <w:r>
              <w:rPr>
                <w:rFonts w:hint="eastAsia"/>
                <w:color w:val="auto"/>
              </w:rPr>
              <w:t>中标通知书（或中标结果公告）</w:t>
            </w:r>
            <w:r>
              <w:rPr>
                <w:rFonts w:hint="eastAsia"/>
                <w:color w:val="auto"/>
                <w:lang w:eastAsia="zh-CN"/>
              </w:rPr>
              <w:t>、</w:t>
            </w:r>
            <w:r>
              <w:rPr>
                <w:color w:val="auto"/>
              </w:rPr>
              <w:t>合同复印件</w:t>
            </w:r>
            <w:r>
              <w:rPr>
                <w:rFonts w:hint="eastAsia"/>
                <w:color w:val="auto"/>
              </w:rPr>
              <w:t>加盖单位公章</w:t>
            </w:r>
            <w:r>
              <w:rPr>
                <w:rFonts w:hint="eastAsia"/>
                <w:color w:val="auto"/>
                <w:lang w:val="en-US" w:eastAsia="zh-CN"/>
              </w:rPr>
              <w:t>及各地公共资源交易中心网页公示截图</w:t>
            </w:r>
            <w:r>
              <w:rPr>
                <w:rFonts w:hint="eastAsia"/>
                <w:color w:val="auto"/>
              </w:rPr>
              <w:t>加盖单位公章编入投标文件</w:t>
            </w:r>
            <w:r>
              <w:rPr>
                <w:color w:val="auto"/>
              </w:rPr>
              <w:t>）</w:t>
            </w:r>
          </w:p>
          <w:p>
            <w:pPr>
              <w:numPr>
                <w:ilvl w:val="0"/>
                <w:numId w:val="11"/>
              </w:numPr>
              <w:spacing w:line="276" w:lineRule="auto"/>
              <w:jc w:val="left"/>
              <w:rPr>
                <w:rFonts w:hint="eastAsia"/>
                <w:color w:val="auto"/>
                <w:lang w:val="en-US" w:eastAsia="zh-CN"/>
              </w:rPr>
            </w:pPr>
            <w:r>
              <w:rPr>
                <w:rFonts w:hint="eastAsia"/>
                <w:color w:val="auto"/>
                <w:lang w:val="en-US" w:eastAsia="zh-CN"/>
              </w:rPr>
              <w:t>同一项目不重复计分；</w:t>
            </w:r>
          </w:p>
          <w:p>
            <w:pPr>
              <w:numPr>
                <w:ilvl w:val="0"/>
                <w:numId w:val="11"/>
              </w:numPr>
              <w:spacing w:line="276" w:lineRule="auto"/>
              <w:ind w:left="0" w:leftChars="0" w:firstLine="0" w:firstLineChars="0"/>
              <w:jc w:val="left"/>
              <w:rPr>
                <w:rFonts w:hint="eastAsia"/>
                <w:color w:val="auto"/>
              </w:rPr>
            </w:pPr>
            <w:r>
              <w:rPr>
                <w:rFonts w:hint="eastAsia"/>
                <w:color w:val="auto"/>
              </w:rPr>
              <w:t>面积以合同为准，合同上无法体现面积的，须提供业主证明加盖公章，否则不得分。</w:t>
            </w:r>
          </w:p>
          <w:p>
            <w:pPr>
              <w:pStyle w:val="2"/>
              <w:numPr>
                <w:ilvl w:val="0"/>
                <w:numId w:val="0"/>
              </w:numPr>
              <w:ind w:leftChars="0"/>
              <w:rPr>
                <w:rFonts w:hint="default" w:eastAsia="微软雅黑 Light"/>
                <w:color w:val="auto"/>
                <w:lang w:val="en-US" w:eastAsia="zh-CN"/>
              </w:rPr>
            </w:pPr>
            <w:r>
              <w:rPr>
                <w:rFonts w:hint="eastAsia" w:ascii="Calibri" w:hAnsi="Calibri" w:eastAsia="宋体" w:cs="黑体"/>
                <w:color w:val="auto"/>
                <w:kern w:val="2"/>
                <w:sz w:val="21"/>
                <w:szCs w:val="24"/>
                <w:lang w:val="en-US" w:eastAsia="zh-CN" w:bidi="ar-SA"/>
              </w:rPr>
              <w:t>备注</w:t>
            </w:r>
            <w:r>
              <w:rPr>
                <w:rFonts w:hint="eastAsia" w:eastAsia="宋体" w:cs="黑体"/>
                <w:color w:val="auto"/>
                <w:kern w:val="2"/>
                <w:sz w:val="21"/>
                <w:szCs w:val="24"/>
                <w:lang w:val="en-US" w:eastAsia="zh-CN" w:bidi="ar-SA"/>
              </w:rPr>
              <w:t>：业绩要求以公开招标（以各地公共资源交易中心或相关主管部门网站中标公示截图为准）形式的项目，非公开招标项目业绩不予认可。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69" w:hRule="atLeast"/>
        </w:trPr>
        <w:tc>
          <w:tcPr>
            <w:tcW w:w="570" w:type="dxa"/>
            <w:vMerge w:val="continue"/>
            <w:tcBorders>
              <w:left w:val="single" w:color="auto" w:sz="4" w:space="0"/>
              <w:right w:val="single" w:color="auto" w:sz="2" w:space="0"/>
            </w:tcBorders>
            <w:textDirection w:val="tbRlV"/>
            <w:vAlign w:val="center"/>
          </w:tcPr>
          <w:p>
            <w:pPr>
              <w:spacing w:line="320" w:lineRule="exact"/>
              <w:ind w:right="162"/>
              <w:jc w:val="left"/>
              <w:rPr>
                <w:color w:val="auto"/>
                <w:szCs w:val="21"/>
              </w:rPr>
            </w:pPr>
          </w:p>
        </w:tc>
        <w:tc>
          <w:tcPr>
            <w:tcW w:w="877" w:type="dxa"/>
            <w:tcBorders>
              <w:top w:val="single" w:color="auto" w:sz="2" w:space="0"/>
              <w:left w:val="single" w:color="auto" w:sz="2" w:space="0"/>
              <w:right w:val="single" w:color="auto" w:sz="2" w:space="0"/>
            </w:tcBorders>
            <w:vAlign w:val="center"/>
          </w:tcPr>
          <w:p>
            <w:pPr>
              <w:spacing w:line="276" w:lineRule="auto"/>
              <w:jc w:val="left"/>
              <w:rPr>
                <w:rFonts w:hint="eastAsia" w:eastAsia="宋体"/>
                <w:color w:val="auto"/>
                <w:szCs w:val="21"/>
                <w:lang w:val="en-US" w:eastAsia="zh-CN"/>
              </w:rPr>
            </w:pPr>
            <w:r>
              <w:rPr>
                <w:rFonts w:hint="eastAsia" w:ascii="宋体" w:hAnsi="宋体" w:cs="宋体"/>
                <w:bCs/>
                <w:color w:val="auto"/>
                <w:szCs w:val="21"/>
                <w:lang w:val="en-US" w:eastAsia="zh-CN"/>
              </w:rPr>
              <w:t>服务便捷性</w:t>
            </w:r>
            <w:r>
              <w:rPr>
                <w:rFonts w:hint="eastAsia"/>
                <w:color w:val="auto"/>
                <w:szCs w:val="21"/>
              </w:rPr>
              <w:t>（</w:t>
            </w:r>
            <w:r>
              <w:rPr>
                <w:rFonts w:hint="eastAsia"/>
                <w:color w:val="auto"/>
                <w:szCs w:val="21"/>
                <w:lang w:val="en-US" w:eastAsia="zh-CN"/>
              </w:rPr>
              <w:t>3</w:t>
            </w:r>
            <w:r>
              <w:rPr>
                <w:rFonts w:hint="eastAsia"/>
                <w:color w:val="auto"/>
                <w:szCs w:val="21"/>
              </w:rPr>
              <w:t>分）</w:t>
            </w:r>
          </w:p>
        </w:tc>
        <w:tc>
          <w:tcPr>
            <w:tcW w:w="8345" w:type="dxa"/>
            <w:tcBorders>
              <w:top w:val="single" w:color="auto" w:sz="2" w:space="0"/>
              <w:left w:val="single" w:color="auto" w:sz="2" w:space="0"/>
              <w:right w:val="single" w:color="auto" w:sz="2" w:space="0"/>
            </w:tcBorders>
            <w:vAlign w:val="center"/>
          </w:tcPr>
          <w:p>
            <w:pPr>
              <w:spacing w:line="276" w:lineRule="auto"/>
              <w:rPr>
                <w:rFonts w:ascii="宋体" w:hAnsi="宋体"/>
                <w:color w:val="auto"/>
                <w:szCs w:val="21"/>
              </w:rPr>
            </w:pPr>
            <w:r>
              <w:rPr>
                <w:rFonts w:hint="eastAsia"/>
                <w:color w:val="auto"/>
                <w:lang w:val="en-US" w:eastAsia="zh-CN"/>
              </w:rPr>
              <w:t>14、</w:t>
            </w:r>
            <w:r>
              <w:rPr>
                <w:rFonts w:hint="eastAsia"/>
                <w:color w:val="auto"/>
                <w:szCs w:val="21"/>
              </w:rPr>
              <w:t>服务便捷性（</w:t>
            </w:r>
            <w:r>
              <w:rPr>
                <w:rFonts w:hint="eastAsia"/>
                <w:color w:val="auto"/>
                <w:szCs w:val="21"/>
                <w:lang w:val="en-US" w:eastAsia="zh-CN"/>
              </w:rPr>
              <w:t>3</w:t>
            </w:r>
            <w:r>
              <w:rPr>
                <w:rFonts w:hint="eastAsia"/>
                <w:color w:val="auto"/>
                <w:szCs w:val="21"/>
              </w:rPr>
              <w:t>分）</w:t>
            </w:r>
            <w:r>
              <w:rPr>
                <w:rFonts w:ascii="宋体" w:hAnsi="宋体"/>
                <w:color w:val="auto"/>
                <w:szCs w:val="21"/>
              </w:rPr>
              <w:tab/>
            </w:r>
          </w:p>
          <w:p>
            <w:pPr>
              <w:spacing w:line="276" w:lineRule="auto"/>
              <w:jc w:val="left"/>
              <w:rPr>
                <w:rFonts w:hint="eastAsia"/>
                <w:color w:val="auto"/>
                <w:szCs w:val="21"/>
                <w:lang w:eastAsia="zh-CN"/>
              </w:rPr>
            </w:pPr>
            <w:r>
              <w:rPr>
                <w:rFonts w:hint="eastAsia" w:ascii="宋体" w:hAnsi="宋体" w:cs="宋体"/>
                <w:bCs/>
                <w:color w:val="auto"/>
                <w:szCs w:val="21"/>
              </w:rPr>
              <w:t>评委根据投标人提供的在合同履行期间对采购人服务需求响应的及时性</w:t>
            </w:r>
            <w:r>
              <w:rPr>
                <w:rFonts w:hint="eastAsia" w:ascii="宋体" w:hAnsi="宋体" w:cs="宋体"/>
                <w:bCs/>
                <w:color w:val="auto"/>
                <w:szCs w:val="21"/>
                <w:lang w:val="en-US" w:eastAsia="zh-CN"/>
              </w:rPr>
              <w:t>和</w:t>
            </w:r>
            <w:r>
              <w:rPr>
                <w:rFonts w:hint="eastAsia" w:ascii="宋体" w:hAnsi="宋体" w:cs="宋体"/>
                <w:bCs/>
                <w:color w:val="auto"/>
                <w:szCs w:val="21"/>
              </w:rPr>
              <w:t>投标人已有服务场所的稳定性及服务场所相对本项目服务地点的便捷性等情况进行综合评议。</w:t>
            </w:r>
            <w:r>
              <w:rPr>
                <w:rFonts w:hint="eastAsia" w:ascii="宋体" w:hAnsi="宋体"/>
                <w:color w:val="auto"/>
                <w:szCs w:val="21"/>
              </w:rPr>
              <w:t>（提供土地证、产权证或租赁证明等相关证明材料,和相应的平面图、现场照片，加盖公章做入投标文件）</w:t>
            </w:r>
            <w:r>
              <w:rPr>
                <w:rFonts w:hint="eastAsia" w:eastAsia="宋体"/>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62" w:hRule="atLeast"/>
        </w:trPr>
        <w:tc>
          <w:tcPr>
            <w:tcW w:w="1447" w:type="dxa"/>
            <w:gridSpan w:val="2"/>
            <w:tcBorders>
              <w:left w:val="single" w:color="auto" w:sz="4" w:space="0"/>
              <w:right w:val="single" w:color="auto" w:sz="2" w:space="0"/>
            </w:tcBorders>
            <w:vAlign w:val="center"/>
          </w:tcPr>
          <w:p>
            <w:pPr>
              <w:spacing w:line="276" w:lineRule="auto"/>
              <w:ind w:right="162"/>
              <w:jc w:val="left"/>
              <w:rPr>
                <w:rFonts w:hint="default" w:ascii="宋体" w:hAnsi="宋体" w:eastAsia="宋体" w:cs="宋体"/>
                <w:bCs/>
                <w:color w:val="auto"/>
                <w:szCs w:val="21"/>
                <w:lang w:val="en-US" w:eastAsia="zh-CN"/>
              </w:rPr>
            </w:pPr>
            <w:r>
              <w:rPr>
                <w:color w:val="auto"/>
                <w:szCs w:val="21"/>
              </w:rPr>
              <w:t>价格分</w:t>
            </w:r>
            <w:r>
              <w:rPr>
                <w:rFonts w:hint="eastAsia"/>
                <w:color w:val="auto"/>
                <w:szCs w:val="21"/>
              </w:rPr>
              <w:t>20</w:t>
            </w:r>
            <w:r>
              <w:rPr>
                <w:color w:val="auto"/>
                <w:szCs w:val="21"/>
              </w:rPr>
              <w:t>分</w:t>
            </w:r>
          </w:p>
        </w:tc>
        <w:tc>
          <w:tcPr>
            <w:tcW w:w="8345" w:type="dxa"/>
            <w:tcBorders>
              <w:top w:val="single" w:color="auto" w:sz="2" w:space="0"/>
              <w:left w:val="single" w:color="auto" w:sz="2" w:space="0"/>
              <w:bottom w:val="single" w:color="auto" w:sz="2" w:space="0"/>
              <w:right w:val="single" w:color="auto" w:sz="2" w:space="0"/>
            </w:tcBorders>
            <w:vAlign w:val="center"/>
          </w:tcPr>
          <w:p>
            <w:r>
              <w:rPr>
                <w:rFonts w:hint="eastAsia"/>
              </w:rPr>
              <w:t>参与评审的价格最低的为评标基准价，基准价得分为满分20分；</w:t>
            </w:r>
          </w:p>
          <w:p>
            <w:r>
              <w:rPr>
                <w:rFonts w:hint="eastAsia"/>
              </w:rPr>
              <w:t>参与评审的价格＝有效供应商的最终报价－小微企业价格扣除投标有效报价优惠值（如有）；</w:t>
            </w:r>
            <w:r>
              <w:t xml:space="preserve"> </w:t>
            </w:r>
          </w:p>
          <w:p>
            <w:r>
              <w:rPr>
                <w:rFonts w:hint="eastAsia"/>
              </w:rPr>
              <w:t>其他供应商的价格分按照下列公式计算：</w:t>
            </w:r>
          </w:p>
          <w:p>
            <w:pPr>
              <w:spacing w:line="360" w:lineRule="auto"/>
              <w:ind w:right="162"/>
              <w:jc w:val="left"/>
              <w:rPr>
                <w:rFonts w:hint="eastAsia"/>
              </w:rPr>
            </w:pPr>
            <w:r>
              <w:rPr>
                <w:rFonts w:hint="eastAsia"/>
              </w:rPr>
              <w:t>计算方法：各供应商的最终报价得分＝（基准价/参与评审的价格）×20％×100。</w:t>
            </w:r>
          </w:p>
          <w:p>
            <w:pPr>
              <w:pStyle w:val="2"/>
              <w:rPr>
                <w:rFonts w:hint="eastAsia"/>
              </w:rPr>
            </w:pPr>
            <w:r>
              <w:rPr>
                <w:rFonts w:hint="eastAsia" w:ascii="Calibri" w:hAnsi="Calibri" w:eastAsia="宋体" w:cs="黑体"/>
                <w:kern w:val="2"/>
                <w:sz w:val="21"/>
                <w:szCs w:val="24"/>
                <w:lang w:val="en-US" w:eastAsia="zh-CN" w:bidi="ar-SA"/>
              </w:rPr>
              <w:t>注：本次采购为非专门面向中小企业，本次评标将对中小企业声明函满足招标文件要求的小型和微型企业产品的价格（包括监狱企业）给予10%的扣除，用扣除后的价格参与评审。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atLeast"/>
        </w:trPr>
        <w:tc>
          <w:tcPr>
            <w:tcW w:w="9792" w:type="dxa"/>
            <w:gridSpan w:val="3"/>
            <w:tcBorders>
              <w:top w:val="single" w:color="auto" w:sz="4" w:space="0"/>
              <w:left w:val="single" w:color="auto" w:sz="4" w:space="0"/>
              <w:bottom w:val="single" w:color="auto" w:sz="4" w:space="0"/>
              <w:right w:val="single" w:color="auto" w:sz="2" w:space="0"/>
            </w:tcBorders>
            <w:vAlign w:val="center"/>
          </w:tcPr>
          <w:p>
            <w:pPr>
              <w:spacing w:line="276" w:lineRule="auto"/>
              <w:ind w:right="162"/>
              <w:jc w:val="center"/>
              <w:rPr>
                <w:rFonts w:hint="eastAsia" w:ascii="宋体" w:hAnsi="宋体" w:cs="仿宋"/>
                <w:color w:val="auto"/>
                <w:szCs w:val="21"/>
              </w:rPr>
            </w:pPr>
            <w:r>
              <w:rPr>
                <w:color w:val="auto"/>
                <w:szCs w:val="21"/>
              </w:rPr>
              <w:t>总分（满分100分）</w:t>
            </w:r>
          </w:p>
        </w:tc>
      </w:tr>
    </w:tbl>
    <w:p>
      <w:pPr>
        <w:rPr>
          <w:rFonts w:hint="eastAsia"/>
          <w:color w:val="auto"/>
        </w:rPr>
      </w:pPr>
    </w:p>
    <w:p>
      <w:pPr>
        <w:rPr>
          <w:color w:val="auto"/>
        </w:rPr>
      </w:pPr>
    </w:p>
    <w:p>
      <w:pPr>
        <w:pStyle w:val="14"/>
        <w:snapToGrid w:val="0"/>
        <w:spacing w:beforeLines="0" w:after="120"/>
        <w:jc w:val="both"/>
        <w:outlineLvl w:val="0"/>
        <w:rPr>
          <w:rFonts w:hAnsi="宋体" w:cs="宋体"/>
          <w:b/>
          <w:color w:val="auto"/>
          <w:sz w:val="30"/>
          <w:szCs w:val="30"/>
        </w:rPr>
      </w:pPr>
    </w:p>
    <w:p>
      <w:pPr>
        <w:pStyle w:val="14"/>
        <w:snapToGrid w:val="0"/>
        <w:spacing w:beforeLines="0" w:after="120"/>
        <w:jc w:val="both"/>
        <w:outlineLvl w:val="0"/>
        <w:rPr>
          <w:rFonts w:hAnsi="宋体" w:cs="宋体"/>
          <w:b/>
          <w:color w:val="auto"/>
          <w:sz w:val="30"/>
          <w:szCs w:val="30"/>
        </w:rPr>
      </w:pPr>
    </w:p>
    <w:p>
      <w:pPr>
        <w:pStyle w:val="14"/>
        <w:snapToGrid w:val="0"/>
        <w:spacing w:beforeLines="0" w:after="120"/>
        <w:jc w:val="both"/>
        <w:outlineLvl w:val="0"/>
        <w:rPr>
          <w:rFonts w:hAnsi="宋体" w:cs="宋体"/>
          <w:b/>
          <w:color w:val="auto"/>
          <w:sz w:val="30"/>
          <w:szCs w:val="30"/>
        </w:rPr>
      </w:pPr>
    </w:p>
    <w:p>
      <w:pPr>
        <w:pStyle w:val="14"/>
        <w:snapToGrid w:val="0"/>
        <w:spacing w:beforeLines="0" w:after="120"/>
        <w:jc w:val="both"/>
        <w:outlineLvl w:val="0"/>
        <w:rPr>
          <w:rFonts w:hAnsi="宋体" w:cs="宋体"/>
          <w:b/>
          <w:color w:val="auto"/>
          <w:sz w:val="30"/>
          <w:szCs w:val="30"/>
        </w:rPr>
      </w:pPr>
    </w:p>
    <w:p>
      <w:pPr>
        <w:pStyle w:val="36"/>
        <w:ind w:left="0" w:leftChars="0" w:firstLine="0" w:firstLineChars="0"/>
        <w:rPr>
          <w:rFonts w:hint="eastAsia" w:hAnsi="宋体" w:cs="宋体"/>
          <w:b/>
          <w:color w:val="auto"/>
          <w:sz w:val="30"/>
          <w:szCs w:val="30"/>
        </w:rPr>
      </w:pPr>
    </w:p>
    <w:p>
      <w:pPr>
        <w:pStyle w:val="36"/>
        <w:ind w:left="0" w:leftChars="0" w:firstLine="0" w:firstLineChars="0"/>
        <w:rPr>
          <w:rFonts w:hint="eastAsia" w:hAnsi="宋体" w:cs="宋体"/>
          <w:b/>
          <w:color w:val="auto"/>
          <w:sz w:val="30"/>
          <w:szCs w:val="30"/>
        </w:rPr>
      </w:pPr>
    </w:p>
    <w:p>
      <w:pPr>
        <w:pStyle w:val="36"/>
        <w:ind w:left="0" w:leftChars="0" w:firstLine="0" w:firstLineChars="0"/>
        <w:rPr>
          <w:rFonts w:hint="eastAsia" w:hAnsi="宋体" w:cs="宋体"/>
          <w:b/>
          <w:color w:val="auto"/>
          <w:sz w:val="30"/>
          <w:szCs w:val="30"/>
        </w:rPr>
      </w:pPr>
    </w:p>
    <w:p>
      <w:pPr>
        <w:pStyle w:val="36"/>
        <w:ind w:left="0" w:leftChars="0" w:firstLine="0" w:firstLineChars="0"/>
        <w:rPr>
          <w:rFonts w:hint="eastAsia" w:hAnsi="宋体" w:cs="宋体"/>
          <w:b/>
          <w:color w:val="auto"/>
          <w:sz w:val="30"/>
          <w:szCs w:val="30"/>
        </w:rPr>
      </w:pPr>
    </w:p>
    <w:p>
      <w:pPr>
        <w:pStyle w:val="36"/>
        <w:ind w:left="0" w:leftChars="0" w:firstLine="0" w:firstLineChars="0"/>
        <w:rPr>
          <w:rFonts w:hint="eastAsia" w:hAnsi="宋体" w:cs="宋体"/>
          <w:b/>
          <w:color w:val="auto"/>
          <w:sz w:val="30"/>
          <w:szCs w:val="30"/>
        </w:rPr>
      </w:pPr>
    </w:p>
    <w:p>
      <w:pPr>
        <w:pStyle w:val="36"/>
        <w:ind w:left="0" w:leftChars="0" w:firstLine="0" w:firstLineChars="0"/>
        <w:rPr>
          <w:rFonts w:hint="eastAsia" w:hAnsi="宋体" w:cs="宋体"/>
          <w:b/>
          <w:color w:val="auto"/>
          <w:sz w:val="30"/>
          <w:szCs w:val="30"/>
        </w:rPr>
      </w:pPr>
    </w:p>
    <w:p>
      <w:pPr>
        <w:pStyle w:val="36"/>
        <w:ind w:left="0" w:leftChars="0" w:firstLine="0" w:firstLineChars="0"/>
        <w:rPr>
          <w:rFonts w:hint="eastAsia" w:hAnsi="宋体" w:cs="宋体"/>
          <w:b/>
          <w:color w:val="auto"/>
          <w:sz w:val="30"/>
          <w:szCs w:val="30"/>
        </w:rPr>
      </w:pPr>
    </w:p>
    <w:p>
      <w:pPr>
        <w:pStyle w:val="36"/>
        <w:ind w:left="0" w:leftChars="0" w:firstLine="0" w:firstLineChars="0"/>
        <w:rPr>
          <w:rFonts w:hint="eastAsia" w:hAnsi="宋体" w:cs="宋体"/>
          <w:b/>
          <w:color w:val="auto"/>
          <w:sz w:val="30"/>
          <w:szCs w:val="30"/>
        </w:rPr>
      </w:pPr>
    </w:p>
    <w:p>
      <w:pPr>
        <w:pStyle w:val="36"/>
        <w:ind w:left="0" w:leftChars="0" w:firstLine="0" w:firstLineChars="0"/>
        <w:rPr>
          <w:rFonts w:hint="eastAsia" w:hAnsi="宋体" w:cs="宋体"/>
          <w:b/>
          <w:color w:val="auto"/>
          <w:sz w:val="30"/>
          <w:szCs w:val="30"/>
        </w:rPr>
      </w:pPr>
    </w:p>
    <w:p>
      <w:pPr>
        <w:pStyle w:val="36"/>
        <w:ind w:left="0" w:leftChars="0" w:firstLine="0" w:firstLineChars="0"/>
        <w:rPr>
          <w:rFonts w:hint="eastAsia" w:hAnsi="宋体" w:cs="宋体"/>
          <w:b/>
          <w:color w:val="auto"/>
          <w:sz w:val="30"/>
          <w:szCs w:val="30"/>
        </w:rPr>
      </w:pPr>
    </w:p>
    <w:p>
      <w:pPr>
        <w:pStyle w:val="36"/>
        <w:ind w:left="0" w:leftChars="0" w:firstLine="0" w:firstLineChars="0"/>
        <w:rPr>
          <w:rFonts w:hint="eastAsia" w:hAnsi="宋体" w:cs="宋体"/>
          <w:b/>
          <w:color w:val="auto"/>
          <w:sz w:val="30"/>
          <w:szCs w:val="30"/>
        </w:rPr>
      </w:pPr>
    </w:p>
    <w:p>
      <w:pPr>
        <w:pStyle w:val="36"/>
        <w:ind w:left="0" w:leftChars="0" w:firstLine="0" w:firstLineChars="0"/>
        <w:rPr>
          <w:rFonts w:hint="eastAsia" w:hAnsi="宋体" w:cs="宋体"/>
          <w:b/>
          <w:color w:val="auto"/>
          <w:sz w:val="30"/>
          <w:szCs w:val="30"/>
        </w:rPr>
      </w:pPr>
    </w:p>
    <w:p>
      <w:pPr>
        <w:pStyle w:val="36"/>
        <w:ind w:left="0" w:leftChars="0" w:firstLine="0" w:firstLineChars="0"/>
        <w:rPr>
          <w:rFonts w:hint="eastAsia" w:hAnsi="宋体" w:cs="宋体"/>
          <w:b/>
          <w:color w:val="auto"/>
          <w:sz w:val="30"/>
          <w:szCs w:val="30"/>
        </w:rPr>
      </w:pPr>
    </w:p>
    <w:p>
      <w:pPr>
        <w:pStyle w:val="36"/>
        <w:ind w:left="0" w:leftChars="0" w:firstLine="0" w:firstLineChars="0"/>
        <w:rPr>
          <w:rFonts w:hint="eastAsia" w:hAnsi="宋体" w:cs="宋体"/>
          <w:b/>
          <w:color w:val="auto"/>
          <w:sz w:val="30"/>
          <w:szCs w:val="30"/>
        </w:rPr>
      </w:pPr>
    </w:p>
    <w:p>
      <w:pPr>
        <w:pStyle w:val="36"/>
        <w:ind w:left="0" w:leftChars="0" w:firstLine="0" w:firstLineChars="0"/>
        <w:rPr>
          <w:rFonts w:hint="eastAsia" w:hAnsi="宋体" w:cs="宋体"/>
          <w:b/>
          <w:color w:val="auto"/>
          <w:sz w:val="30"/>
          <w:szCs w:val="30"/>
        </w:rPr>
      </w:pPr>
    </w:p>
    <w:p>
      <w:pPr>
        <w:pStyle w:val="36"/>
        <w:ind w:left="0" w:leftChars="0" w:firstLine="0" w:firstLineChars="0"/>
        <w:rPr>
          <w:rFonts w:hint="eastAsia" w:hAnsi="宋体" w:cs="宋体"/>
          <w:b/>
          <w:color w:val="auto"/>
          <w:sz w:val="30"/>
          <w:szCs w:val="30"/>
        </w:rPr>
      </w:pPr>
    </w:p>
    <w:p>
      <w:pPr>
        <w:pStyle w:val="14"/>
        <w:snapToGrid w:val="0"/>
        <w:spacing w:beforeLines="0" w:after="120"/>
        <w:jc w:val="center"/>
        <w:outlineLvl w:val="0"/>
        <w:rPr>
          <w:rFonts w:hAnsi="宋体" w:cs="宋体"/>
          <w:b/>
          <w:color w:val="auto"/>
          <w:sz w:val="30"/>
          <w:szCs w:val="30"/>
        </w:rPr>
      </w:pPr>
      <w:r>
        <w:rPr>
          <w:rFonts w:hint="eastAsia" w:hAnsi="宋体" w:cs="宋体"/>
          <w:b/>
          <w:color w:val="auto"/>
          <w:sz w:val="30"/>
          <w:szCs w:val="30"/>
        </w:rPr>
        <w:t>第五章　投标文件格式</w:t>
      </w:r>
    </w:p>
    <w:p>
      <w:pPr>
        <w:snapToGrid w:val="0"/>
        <w:spacing w:line="400" w:lineRule="exact"/>
        <w:outlineLvl w:val="1"/>
        <w:rPr>
          <w:rFonts w:ascii="宋体" w:cs="宋体"/>
          <w:b/>
          <w:bCs/>
          <w:color w:val="auto"/>
          <w:szCs w:val="21"/>
        </w:rPr>
      </w:pPr>
      <w:bookmarkStart w:id="63" w:name="_Toc22236"/>
    </w:p>
    <w:bookmarkEnd w:id="63"/>
    <w:p>
      <w:pPr>
        <w:snapToGrid w:val="0"/>
        <w:spacing w:line="400" w:lineRule="exact"/>
        <w:jc w:val="center"/>
        <w:outlineLvl w:val="1"/>
        <w:rPr>
          <w:rFonts w:ascii="宋体" w:cs="宋体"/>
          <w:b/>
          <w:bCs/>
          <w:color w:val="auto"/>
          <w:szCs w:val="21"/>
        </w:rPr>
      </w:pPr>
      <w:bookmarkStart w:id="64" w:name="_Toc463726844"/>
      <w:bookmarkStart w:id="65" w:name="_Toc5919"/>
      <w:bookmarkStart w:id="66" w:name="_Toc19589"/>
      <w:bookmarkStart w:id="67" w:name="_Toc1252"/>
      <w:r>
        <w:rPr>
          <w:rFonts w:hint="eastAsia" w:ascii="宋体" w:hAnsi="宋体" w:cs="宋体"/>
          <w:b/>
          <w:bCs/>
          <w:color w:val="auto"/>
          <w:szCs w:val="21"/>
        </w:rPr>
        <w:t>一、投标文件外层包装封面格式</w:t>
      </w:r>
    </w:p>
    <w:p>
      <w:pPr>
        <w:snapToGrid w:val="0"/>
        <w:spacing w:line="400" w:lineRule="exact"/>
        <w:rPr>
          <w:rFonts w:ascii="宋体" w:cs="宋体"/>
          <w:color w:val="auto"/>
          <w:szCs w:val="21"/>
        </w:rPr>
      </w:pPr>
    </w:p>
    <w:p>
      <w:pPr>
        <w:snapToGrid w:val="0"/>
        <w:spacing w:line="400" w:lineRule="exact"/>
        <w:rPr>
          <w:rFonts w:ascii="宋体" w:cs="宋体"/>
          <w:color w:val="auto"/>
          <w:szCs w:val="21"/>
        </w:rPr>
      </w:pPr>
      <w:r>
        <w:rPr>
          <w:rFonts w:hint="eastAsia" w:ascii="宋体" w:hAnsi="宋体" w:cs="宋体"/>
          <w:color w:val="auto"/>
          <w:szCs w:val="21"/>
        </w:rPr>
        <w:t>所有投标文件的外包装封面格式：</w:t>
      </w:r>
    </w:p>
    <w:p>
      <w:pPr>
        <w:snapToGrid w:val="0"/>
        <w:spacing w:line="400" w:lineRule="exact"/>
        <w:rPr>
          <w:rFonts w:ascii="宋体" w:cs="宋体"/>
          <w:bCs/>
          <w:color w:val="auto"/>
          <w:szCs w:val="21"/>
        </w:rPr>
      </w:pPr>
    </w:p>
    <w:p>
      <w:pPr>
        <w:snapToGrid w:val="0"/>
        <w:spacing w:beforeLines="50" w:after="50"/>
        <w:ind w:firstLine="3675" w:firstLineChars="1750"/>
        <w:rPr>
          <w:rFonts w:ascii="宋体"/>
          <w:color w:val="auto"/>
          <w:szCs w:val="21"/>
        </w:rPr>
      </w:pPr>
      <w:r>
        <w:rPr>
          <w:rFonts w:hint="eastAsia" w:ascii="宋体" w:hAnsi="宋体"/>
          <w:color w:val="auto"/>
          <w:szCs w:val="21"/>
        </w:rPr>
        <w:t>资格审查文件</w:t>
      </w:r>
    </w:p>
    <w:p>
      <w:pPr>
        <w:snapToGrid w:val="0"/>
        <w:spacing w:line="400" w:lineRule="exact"/>
        <w:jc w:val="center"/>
        <w:rPr>
          <w:rFonts w:ascii="宋体" w:cs="宋体"/>
          <w:b/>
          <w:color w:val="auto"/>
          <w:szCs w:val="21"/>
        </w:rPr>
      </w:pPr>
    </w:p>
    <w:p>
      <w:pPr>
        <w:snapToGrid w:val="0"/>
        <w:spacing w:line="400" w:lineRule="exact"/>
        <w:rPr>
          <w:rFonts w:ascii="宋体" w:cs="宋体"/>
          <w:bCs/>
          <w:color w:val="auto"/>
          <w:szCs w:val="21"/>
        </w:rPr>
      </w:pPr>
    </w:p>
    <w:p>
      <w:pPr>
        <w:snapToGrid w:val="0"/>
        <w:spacing w:line="400" w:lineRule="exact"/>
        <w:rPr>
          <w:rFonts w:ascii="宋体" w:cs="宋体"/>
          <w:bCs/>
          <w:color w:val="auto"/>
          <w:szCs w:val="21"/>
        </w:rPr>
      </w:pPr>
    </w:p>
    <w:p>
      <w:pPr>
        <w:snapToGrid w:val="0"/>
        <w:spacing w:line="400" w:lineRule="exact"/>
        <w:ind w:firstLine="1050" w:firstLineChars="500"/>
        <w:rPr>
          <w:rFonts w:ascii="宋体" w:cs="宋体"/>
          <w:bCs/>
          <w:color w:val="auto"/>
          <w:szCs w:val="21"/>
        </w:rPr>
      </w:pPr>
      <w:r>
        <w:rPr>
          <w:rFonts w:hint="eastAsia" w:ascii="宋体" w:hAnsi="宋体" w:cs="宋体"/>
          <w:bCs/>
          <w:color w:val="auto"/>
          <w:szCs w:val="21"/>
        </w:rPr>
        <w:t>项目名称：</w:t>
      </w:r>
    </w:p>
    <w:p>
      <w:pPr>
        <w:snapToGrid w:val="0"/>
        <w:spacing w:line="400" w:lineRule="exact"/>
        <w:ind w:firstLine="1050" w:firstLineChars="500"/>
        <w:rPr>
          <w:rFonts w:ascii="宋体" w:cs="宋体"/>
          <w:bCs/>
          <w:color w:val="auto"/>
          <w:szCs w:val="21"/>
        </w:rPr>
      </w:pPr>
      <w:r>
        <w:rPr>
          <w:rFonts w:hint="eastAsia" w:ascii="宋体" w:hAnsi="宋体" w:cs="宋体"/>
          <w:bCs/>
          <w:color w:val="auto"/>
          <w:szCs w:val="21"/>
        </w:rPr>
        <w:t>项目编号：</w:t>
      </w:r>
    </w:p>
    <w:p>
      <w:pPr>
        <w:snapToGrid w:val="0"/>
        <w:spacing w:line="400" w:lineRule="exact"/>
        <w:ind w:firstLine="1050" w:firstLineChars="500"/>
        <w:rPr>
          <w:rFonts w:ascii="宋体" w:cs="宋体"/>
          <w:bCs/>
          <w:color w:val="auto"/>
          <w:szCs w:val="21"/>
        </w:rPr>
      </w:pPr>
      <w:r>
        <w:rPr>
          <w:rFonts w:hint="eastAsia" w:ascii="宋体" w:hAnsi="宋体" w:cs="宋体"/>
          <w:bCs/>
          <w:color w:val="auto"/>
          <w:szCs w:val="21"/>
        </w:rPr>
        <w:t>投标文件名称：投标文件</w:t>
      </w:r>
    </w:p>
    <w:p>
      <w:pPr>
        <w:snapToGrid w:val="0"/>
        <w:spacing w:line="400" w:lineRule="exact"/>
        <w:ind w:firstLine="1050" w:firstLineChars="500"/>
        <w:rPr>
          <w:rFonts w:ascii="宋体" w:cs="宋体"/>
          <w:bCs/>
          <w:color w:val="auto"/>
          <w:szCs w:val="21"/>
        </w:rPr>
      </w:pPr>
      <w:r>
        <w:rPr>
          <w:rFonts w:hint="eastAsia" w:ascii="宋体" w:hAnsi="宋体" w:cs="宋体"/>
          <w:bCs/>
          <w:color w:val="auto"/>
          <w:szCs w:val="21"/>
        </w:rPr>
        <w:t>投标人名称：</w:t>
      </w:r>
    </w:p>
    <w:p>
      <w:pPr>
        <w:snapToGrid w:val="0"/>
        <w:spacing w:line="400" w:lineRule="exact"/>
        <w:ind w:firstLine="1050" w:firstLineChars="500"/>
        <w:rPr>
          <w:rFonts w:ascii="宋体" w:cs="宋体"/>
          <w:bCs/>
          <w:color w:val="auto"/>
          <w:szCs w:val="21"/>
        </w:rPr>
      </w:pPr>
      <w:r>
        <w:rPr>
          <w:rFonts w:hint="eastAsia" w:ascii="宋体" w:hAnsi="宋体" w:cs="宋体"/>
          <w:bCs/>
          <w:color w:val="auto"/>
          <w:szCs w:val="21"/>
        </w:rPr>
        <w:t>投标人地址：</w:t>
      </w:r>
    </w:p>
    <w:p>
      <w:pPr>
        <w:snapToGrid w:val="0"/>
        <w:spacing w:line="400" w:lineRule="exact"/>
        <w:ind w:firstLine="1050" w:firstLineChars="500"/>
        <w:rPr>
          <w:rFonts w:ascii="宋体" w:cs="宋体"/>
          <w:bCs/>
          <w:color w:val="auto"/>
          <w:szCs w:val="21"/>
        </w:rPr>
      </w:pPr>
      <w:r>
        <w:rPr>
          <w:rFonts w:hint="eastAsia" w:ascii="宋体" w:hAnsi="宋体" w:cs="宋体"/>
          <w:bCs/>
          <w:color w:val="auto"/>
          <w:szCs w:val="21"/>
        </w:rPr>
        <w:t>在年月日时分之前不得启封</w:t>
      </w:r>
    </w:p>
    <w:p>
      <w:pPr>
        <w:snapToGrid w:val="0"/>
        <w:spacing w:line="400" w:lineRule="exact"/>
        <w:ind w:firstLine="3570" w:firstLineChars="1700"/>
        <w:rPr>
          <w:rFonts w:ascii="宋体" w:cs="宋体"/>
          <w:bCs/>
          <w:color w:val="auto"/>
          <w:szCs w:val="21"/>
        </w:rPr>
      </w:pPr>
    </w:p>
    <w:p>
      <w:pPr>
        <w:snapToGrid w:val="0"/>
        <w:spacing w:line="400" w:lineRule="exact"/>
        <w:ind w:firstLine="645"/>
        <w:jc w:val="center"/>
        <w:rPr>
          <w:rFonts w:ascii="宋体" w:cs="宋体"/>
          <w:bCs/>
          <w:color w:val="auto"/>
          <w:szCs w:val="21"/>
        </w:rPr>
      </w:pPr>
      <w:r>
        <w:rPr>
          <w:rFonts w:hint="eastAsia" w:ascii="宋体" w:hAnsi="宋体" w:cs="宋体"/>
          <w:bCs/>
          <w:color w:val="auto"/>
          <w:szCs w:val="21"/>
        </w:rPr>
        <w:t>年月日</w:t>
      </w:r>
    </w:p>
    <w:p>
      <w:pPr>
        <w:snapToGrid w:val="0"/>
        <w:spacing w:line="400" w:lineRule="exact"/>
        <w:rPr>
          <w:rFonts w:ascii="宋体" w:cs="宋体"/>
          <w:b/>
          <w:bCs/>
          <w:color w:val="auto"/>
          <w:szCs w:val="21"/>
        </w:rPr>
      </w:pPr>
    </w:p>
    <w:p>
      <w:pPr>
        <w:snapToGrid w:val="0"/>
        <w:spacing w:line="400" w:lineRule="exact"/>
        <w:jc w:val="center"/>
        <w:rPr>
          <w:rFonts w:ascii="宋体" w:cs="宋体"/>
          <w:b/>
          <w:bCs/>
          <w:color w:val="auto"/>
          <w:szCs w:val="21"/>
        </w:rPr>
      </w:pPr>
      <w:r>
        <w:rPr>
          <w:rFonts w:hint="eastAsia" w:ascii="宋体" w:hAnsi="宋体" w:cs="宋体"/>
          <w:b/>
          <w:bCs/>
          <w:color w:val="auto"/>
          <w:szCs w:val="21"/>
        </w:rPr>
        <w:t>二、投标文件封面格式</w:t>
      </w:r>
    </w:p>
    <w:p>
      <w:pPr>
        <w:snapToGrid w:val="0"/>
        <w:spacing w:line="400" w:lineRule="exact"/>
        <w:rPr>
          <w:rFonts w:ascii="宋体" w:cs="宋体"/>
          <w:color w:val="auto"/>
          <w:szCs w:val="21"/>
        </w:rPr>
      </w:pPr>
      <w:r>
        <w:rPr>
          <w:rFonts w:hint="eastAsia" w:ascii="宋体" w:hAnsi="宋体" w:cs="宋体"/>
          <w:color w:val="auto"/>
          <w:szCs w:val="21"/>
        </w:rPr>
        <w:t>投标文件封面格式：</w:t>
      </w:r>
    </w:p>
    <w:p>
      <w:pPr>
        <w:snapToGrid w:val="0"/>
        <w:spacing w:line="400" w:lineRule="exact"/>
        <w:jc w:val="right"/>
        <w:rPr>
          <w:rFonts w:ascii="宋体" w:cs="宋体"/>
          <w:b/>
          <w:bCs/>
          <w:color w:val="auto"/>
          <w:szCs w:val="21"/>
        </w:rPr>
      </w:pPr>
      <w:r>
        <w:rPr>
          <w:rFonts w:hint="eastAsia" w:ascii="宋体" w:hAnsi="宋体" w:cs="宋体"/>
          <w:b/>
          <w:bCs/>
          <w:color w:val="auto"/>
          <w:szCs w:val="21"/>
        </w:rPr>
        <w:t>正本</w:t>
      </w:r>
      <w:r>
        <w:rPr>
          <w:rFonts w:ascii="宋体" w:hAnsi="宋体" w:cs="宋体"/>
          <w:b/>
          <w:bCs/>
          <w:color w:val="auto"/>
          <w:szCs w:val="21"/>
        </w:rPr>
        <w:t>/</w:t>
      </w:r>
      <w:r>
        <w:rPr>
          <w:rFonts w:hint="eastAsia" w:ascii="宋体" w:hAnsi="宋体" w:cs="宋体"/>
          <w:b/>
          <w:bCs/>
          <w:color w:val="auto"/>
          <w:szCs w:val="21"/>
        </w:rPr>
        <w:t>或副本</w:t>
      </w:r>
    </w:p>
    <w:p>
      <w:pPr>
        <w:snapToGrid w:val="0"/>
        <w:spacing w:line="400" w:lineRule="exact"/>
        <w:rPr>
          <w:rFonts w:ascii="宋体" w:cs="宋体"/>
          <w:bCs/>
          <w:color w:val="auto"/>
          <w:szCs w:val="21"/>
        </w:rPr>
      </w:pPr>
    </w:p>
    <w:p>
      <w:pPr>
        <w:snapToGrid w:val="0"/>
        <w:spacing w:line="400" w:lineRule="exact"/>
        <w:jc w:val="center"/>
        <w:rPr>
          <w:rFonts w:ascii="宋体" w:cs="宋体"/>
          <w:bCs/>
          <w:color w:val="auto"/>
          <w:szCs w:val="21"/>
        </w:rPr>
      </w:pPr>
    </w:p>
    <w:p>
      <w:pPr>
        <w:snapToGrid w:val="0"/>
        <w:spacing w:beforeLines="50" w:after="50"/>
        <w:ind w:firstLine="3675" w:firstLineChars="1750"/>
        <w:rPr>
          <w:rFonts w:ascii="宋体"/>
          <w:color w:val="auto"/>
          <w:szCs w:val="21"/>
        </w:rPr>
      </w:pPr>
      <w:r>
        <w:rPr>
          <w:rFonts w:hint="eastAsia" w:ascii="宋体" w:hAnsi="宋体"/>
          <w:color w:val="auto"/>
          <w:szCs w:val="21"/>
        </w:rPr>
        <w:t>资格审查文件</w:t>
      </w:r>
    </w:p>
    <w:p>
      <w:pPr>
        <w:snapToGrid w:val="0"/>
        <w:spacing w:line="400" w:lineRule="exact"/>
        <w:rPr>
          <w:rFonts w:ascii="宋体" w:cs="宋体"/>
          <w:bCs/>
          <w:color w:val="auto"/>
          <w:szCs w:val="21"/>
        </w:rPr>
      </w:pPr>
    </w:p>
    <w:p>
      <w:pPr>
        <w:snapToGrid w:val="0"/>
        <w:spacing w:line="400" w:lineRule="exact"/>
        <w:ind w:left="1470" w:leftChars="400" w:hanging="630" w:hangingChars="300"/>
        <w:rPr>
          <w:rFonts w:ascii="宋体" w:cs="宋体"/>
          <w:b/>
          <w:color w:val="auto"/>
          <w:szCs w:val="21"/>
          <w:u w:val="single"/>
          <w:lang w:val="zh-CN"/>
        </w:rPr>
      </w:pPr>
      <w:r>
        <w:rPr>
          <w:rFonts w:hint="eastAsia" w:ascii="宋体" w:hAnsi="宋体" w:cs="宋体"/>
          <w:bCs/>
          <w:color w:val="auto"/>
          <w:szCs w:val="21"/>
        </w:rPr>
        <w:t>项目名称：</w:t>
      </w:r>
    </w:p>
    <w:p>
      <w:pPr>
        <w:snapToGrid w:val="0"/>
        <w:spacing w:line="400" w:lineRule="exact"/>
        <w:ind w:firstLine="840" w:firstLineChars="400"/>
        <w:rPr>
          <w:rFonts w:ascii="宋体" w:cs="宋体"/>
          <w:bCs/>
          <w:color w:val="auto"/>
          <w:szCs w:val="21"/>
        </w:rPr>
      </w:pPr>
      <w:r>
        <w:rPr>
          <w:rFonts w:hint="eastAsia" w:ascii="宋体" w:hAnsi="宋体" w:cs="宋体"/>
          <w:bCs/>
          <w:color w:val="auto"/>
          <w:szCs w:val="21"/>
        </w:rPr>
        <w:t>项目编号：</w:t>
      </w:r>
    </w:p>
    <w:p>
      <w:pPr>
        <w:snapToGrid w:val="0"/>
        <w:spacing w:line="400" w:lineRule="exact"/>
        <w:ind w:firstLine="840" w:firstLineChars="400"/>
        <w:rPr>
          <w:rFonts w:ascii="宋体" w:cs="宋体"/>
          <w:bCs/>
          <w:color w:val="auto"/>
          <w:szCs w:val="21"/>
        </w:rPr>
      </w:pPr>
      <w:r>
        <w:rPr>
          <w:rFonts w:hint="eastAsia" w:ascii="宋体" w:hAnsi="宋体" w:cs="宋体"/>
          <w:bCs/>
          <w:color w:val="auto"/>
          <w:szCs w:val="21"/>
        </w:rPr>
        <w:t>投标人名称：</w:t>
      </w:r>
    </w:p>
    <w:p>
      <w:pPr>
        <w:pStyle w:val="7"/>
        <w:snapToGrid w:val="0"/>
        <w:spacing w:line="400" w:lineRule="exact"/>
        <w:ind w:firstLine="840" w:firstLineChars="400"/>
        <w:rPr>
          <w:rFonts w:ascii="宋体" w:cs="宋体"/>
          <w:bCs/>
          <w:color w:val="auto"/>
          <w:szCs w:val="21"/>
        </w:rPr>
      </w:pPr>
      <w:r>
        <w:rPr>
          <w:rFonts w:hint="eastAsia" w:ascii="宋体" w:hAnsi="宋体" w:cs="宋体"/>
          <w:bCs/>
          <w:color w:val="auto"/>
          <w:szCs w:val="21"/>
        </w:rPr>
        <w:t>投标人地址：</w:t>
      </w:r>
    </w:p>
    <w:p>
      <w:pPr>
        <w:pStyle w:val="7"/>
        <w:snapToGrid w:val="0"/>
        <w:spacing w:line="400" w:lineRule="exact"/>
        <w:ind w:firstLine="0"/>
        <w:rPr>
          <w:rFonts w:ascii="宋体" w:cs="宋体"/>
          <w:bCs/>
          <w:color w:val="auto"/>
          <w:szCs w:val="21"/>
        </w:rPr>
      </w:pPr>
    </w:p>
    <w:p>
      <w:pPr>
        <w:snapToGrid w:val="0"/>
        <w:spacing w:line="400" w:lineRule="exact"/>
        <w:rPr>
          <w:rFonts w:ascii="宋体" w:cs="宋体"/>
          <w:color w:val="auto"/>
          <w:szCs w:val="21"/>
        </w:rPr>
      </w:pPr>
    </w:p>
    <w:p>
      <w:pPr>
        <w:snapToGrid w:val="0"/>
        <w:spacing w:line="400" w:lineRule="exact"/>
        <w:ind w:firstLine="645"/>
        <w:jc w:val="center"/>
        <w:rPr>
          <w:rFonts w:ascii="宋体" w:cs="宋体"/>
          <w:color w:val="auto"/>
          <w:szCs w:val="21"/>
        </w:rPr>
      </w:pPr>
      <w:r>
        <w:rPr>
          <w:rFonts w:hint="eastAsia" w:ascii="宋体" w:hAnsi="宋体" w:cs="宋体"/>
          <w:color w:val="auto"/>
          <w:szCs w:val="21"/>
        </w:rPr>
        <w:t>年月日</w:t>
      </w:r>
    </w:p>
    <w:p>
      <w:pPr>
        <w:rPr>
          <w:b/>
          <w:color w:val="auto"/>
        </w:rPr>
      </w:pPr>
    </w:p>
    <w:p>
      <w:pPr>
        <w:rPr>
          <w:b/>
          <w:color w:val="auto"/>
        </w:rPr>
      </w:pPr>
    </w:p>
    <w:p>
      <w:pPr>
        <w:rPr>
          <w:b/>
          <w:color w:val="auto"/>
        </w:rPr>
      </w:pPr>
    </w:p>
    <w:p>
      <w:pPr>
        <w:rPr>
          <w:b/>
          <w:color w:val="auto"/>
        </w:rPr>
      </w:pPr>
      <w:r>
        <w:rPr>
          <w:b/>
          <w:color w:val="auto"/>
        </w:rPr>
        <w:t>1.</w:t>
      </w:r>
      <w:r>
        <w:rPr>
          <w:rFonts w:hint="eastAsia"/>
          <w:b/>
          <w:color w:val="auto"/>
        </w:rPr>
        <w:t>资格条件自查表格式</w:t>
      </w:r>
    </w:p>
    <w:p>
      <w:pPr>
        <w:adjustRightInd w:val="0"/>
        <w:snapToGrid w:val="0"/>
        <w:jc w:val="center"/>
        <w:rPr>
          <w:rFonts w:ascii="宋体"/>
          <w:b/>
          <w:color w:val="auto"/>
          <w:sz w:val="24"/>
        </w:rPr>
      </w:pPr>
    </w:p>
    <w:p>
      <w:pPr>
        <w:adjustRightInd w:val="0"/>
        <w:snapToGrid w:val="0"/>
        <w:jc w:val="center"/>
        <w:rPr>
          <w:rFonts w:ascii="宋体"/>
          <w:b/>
          <w:color w:val="auto"/>
          <w:sz w:val="24"/>
        </w:rPr>
      </w:pPr>
      <w:r>
        <w:rPr>
          <w:rFonts w:hint="eastAsia" w:ascii="宋体" w:hAnsi="宋体"/>
          <w:b/>
          <w:color w:val="auto"/>
          <w:sz w:val="24"/>
        </w:rPr>
        <w:t>资格条件自查表</w:t>
      </w:r>
    </w:p>
    <w:tbl>
      <w:tblPr>
        <w:tblStyle w:val="29"/>
        <w:tblW w:w="893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519"/>
        <w:gridCol w:w="1345"/>
        <w:gridCol w:w="2238"/>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02"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ascii="宋体" w:cs="宋体"/>
                <w:color w:val="auto"/>
                <w:szCs w:val="21"/>
              </w:rPr>
            </w:pPr>
            <w:r>
              <w:rPr>
                <w:rStyle w:val="32"/>
                <w:rFonts w:hint="eastAsia" w:ascii="宋体" w:hAnsi="宋体" w:cs="黑体"/>
                <w:bCs/>
                <w:color w:val="auto"/>
                <w:sz w:val="24"/>
                <w:szCs w:val="21"/>
              </w:rPr>
              <w:t>评审内容</w:t>
            </w:r>
          </w:p>
        </w:tc>
        <w:tc>
          <w:tcPr>
            <w:tcW w:w="4519"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cs="宋体"/>
                <w:color w:val="auto"/>
                <w:szCs w:val="21"/>
              </w:rPr>
            </w:pPr>
            <w:r>
              <w:rPr>
                <w:rStyle w:val="32"/>
                <w:rFonts w:hint="eastAsia" w:ascii="宋体" w:hAnsi="宋体" w:cs="黑体"/>
                <w:bCs/>
                <w:color w:val="auto"/>
                <w:sz w:val="24"/>
                <w:szCs w:val="21"/>
              </w:rPr>
              <w:t>采购文件要求</w:t>
            </w:r>
          </w:p>
        </w:tc>
        <w:tc>
          <w:tcPr>
            <w:tcW w:w="134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cs="宋体"/>
                <w:color w:val="auto"/>
                <w:szCs w:val="21"/>
              </w:rPr>
            </w:pPr>
            <w:r>
              <w:rPr>
                <w:rStyle w:val="32"/>
                <w:rFonts w:hint="eastAsia" w:ascii="宋体" w:hAnsi="宋体" w:cs="黑体"/>
                <w:bCs/>
                <w:color w:val="auto"/>
                <w:sz w:val="24"/>
                <w:szCs w:val="21"/>
              </w:rPr>
              <w:t>自查结论</w:t>
            </w:r>
          </w:p>
        </w:tc>
        <w:tc>
          <w:tcPr>
            <w:tcW w:w="2238"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ascii="宋体" w:cs="宋体"/>
                <w:color w:val="auto"/>
                <w:szCs w:val="21"/>
              </w:rPr>
            </w:pPr>
            <w:r>
              <w:rPr>
                <w:rStyle w:val="32"/>
                <w:rFonts w:hint="eastAsia" w:ascii="宋体" w:hAnsi="宋体" w:cs="黑体"/>
                <w:bCs/>
                <w:color w:val="auto"/>
                <w:sz w:val="24"/>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vMerge w:val="restart"/>
            <w:tcBorders>
              <w:top w:val="outset" w:color="111111" w:sz="6" w:space="0"/>
              <w:left w:val="single" w:color="auto" w:sz="12" w:space="0"/>
              <w:right w:val="outset" w:color="111111" w:sz="6" w:space="0"/>
            </w:tcBorders>
            <w:vAlign w:val="center"/>
          </w:tcPr>
          <w:p>
            <w:pPr>
              <w:pStyle w:val="67"/>
              <w:adjustRightInd w:val="0"/>
              <w:snapToGrid w:val="0"/>
              <w:spacing w:before="0" w:beforeAutospacing="0" w:after="0" w:afterAutospacing="0"/>
              <w:jc w:val="center"/>
              <w:rPr>
                <w:b/>
                <w:color w:val="auto"/>
                <w:sz w:val="21"/>
                <w:szCs w:val="21"/>
              </w:rPr>
            </w:pPr>
            <w:r>
              <w:rPr>
                <w:rFonts w:hint="eastAsia"/>
                <w:b/>
                <w:color w:val="auto"/>
                <w:sz w:val="21"/>
                <w:szCs w:val="21"/>
              </w:rPr>
              <w:t>资</w:t>
            </w:r>
          </w:p>
          <w:p>
            <w:pPr>
              <w:pStyle w:val="67"/>
              <w:adjustRightInd w:val="0"/>
              <w:snapToGrid w:val="0"/>
              <w:spacing w:before="0" w:beforeAutospacing="0" w:after="0" w:afterAutospacing="0"/>
              <w:jc w:val="center"/>
              <w:rPr>
                <w:b/>
                <w:color w:val="auto"/>
                <w:sz w:val="21"/>
                <w:szCs w:val="21"/>
              </w:rPr>
            </w:pPr>
            <w:r>
              <w:rPr>
                <w:rFonts w:hint="eastAsia"/>
                <w:b/>
                <w:color w:val="auto"/>
                <w:sz w:val="21"/>
                <w:szCs w:val="21"/>
              </w:rPr>
              <w:t>格</w:t>
            </w:r>
          </w:p>
          <w:p>
            <w:pPr>
              <w:pStyle w:val="67"/>
              <w:adjustRightInd w:val="0"/>
              <w:snapToGrid w:val="0"/>
              <w:spacing w:before="0" w:beforeAutospacing="0" w:after="0" w:afterAutospacing="0"/>
              <w:jc w:val="center"/>
              <w:rPr>
                <w:b/>
                <w:color w:val="auto"/>
                <w:sz w:val="21"/>
                <w:szCs w:val="21"/>
              </w:rPr>
            </w:pPr>
            <w:r>
              <w:rPr>
                <w:rFonts w:hint="eastAsia"/>
                <w:b/>
                <w:color w:val="auto"/>
                <w:sz w:val="21"/>
                <w:szCs w:val="21"/>
              </w:rPr>
              <w:t>性</w:t>
            </w:r>
          </w:p>
          <w:p>
            <w:pPr>
              <w:pStyle w:val="67"/>
              <w:adjustRightInd w:val="0"/>
              <w:snapToGrid w:val="0"/>
              <w:spacing w:before="0" w:beforeAutospacing="0" w:after="0" w:afterAutospacing="0"/>
              <w:jc w:val="center"/>
              <w:rPr>
                <w:b/>
                <w:color w:val="auto"/>
                <w:sz w:val="21"/>
                <w:szCs w:val="21"/>
              </w:rPr>
            </w:pPr>
            <w:r>
              <w:rPr>
                <w:rFonts w:hint="eastAsia"/>
                <w:b/>
                <w:color w:val="auto"/>
                <w:sz w:val="21"/>
                <w:szCs w:val="21"/>
              </w:rPr>
              <w:t>审</w:t>
            </w:r>
          </w:p>
          <w:p>
            <w:pPr>
              <w:pStyle w:val="67"/>
              <w:adjustRightInd w:val="0"/>
              <w:snapToGrid w:val="0"/>
              <w:spacing w:before="0" w:beforeAutospacing="0" w:after="0" w:afterAutospacing="0"/>
              <w:jc w:val="center"/>
              <w:rPr>
                <w:b/>
                <w:color w:val="auto"/>
                <w:sz w:val="21"/>
                <w:szCs w:val="21"/>
              </w:rPr>
            </w:pPr>
            <w:r>
              <w:rPr>
                <w:rFonts w:hint="eastAsia"/>
                <w:b/>
                <w:color w:val="auto"/>
                <w:sz w:val="21"/>
                <w:szCs w:val="21"/>
              </w:rPr>
              <w:t>查</w:t>
            </w:r>
          </w:p>
        </w:tc>
        <w:tc>
          <w:tcPr>
            <w:tcW w:w="4519" w:type="dxa"/>
            <w:tcBorders>
              <w:top w:val="outset" w:color="111111" w:sz="6" w:space="0"/>
              <w:left w:val="outset" w:color="111111" w:sz="6" w:space="0"/>
              <w:bottom w:val="single" w:color="auto" w:sz="4" w:space="0"/>
              <w:right w:val="outset" w:color="111111" w:sz="6" w:space="0"/>
            </w:tcBorders>
            <w:vAlign w:val="center"/>
          </w:tcPr>
          <w:p>
            <w:pPr>
              <w:adjustRightInd w:val="0"/>
              <w:snapToGrid w:val="0"/>
              <w:rPr>
                <w:rFonts w:ascii="宋体" w:cs="宋体"/>
                <w:color w:val="auto"/>
                <w:szCs w:val="21"/>
              </w:rPr>
            </w:pPr>
            <w:r>
              <w:rPr>
                <w:rFonts w:hint="eastAsia" w:ascii="宋体" w:hAnsi="宋体" w:cs="宋体"/>
                <w:color w:val="auto"/>
                <w:szCs w:val="21"/>
              </w:rPr>
              <w:t>一</w:t>
            </w:r>
            <w:r>
              <w:rPr>
                <w:rFonts w:ascii="宋体" w:cs="宋体"/>
                <w:color w:val="auto"/>
                <w:szCs w:val="21"/>
              </w:rPr>
              <w:t>.</w:t>
            </w:r>
            <w:r>
              <w:rPr>
                <w:rFonts w:hint="eastAsia" w:ascii="宋体" w:hAnsi="宋体" w:cs="宋体"/>
                <w:color w:val="auto"/>
                <w:szCs w:val="21"/>
              </w:rPr>
              <w:t>投标人具备《政府采购法》第二十二条所规定的条件：</w:t>
            </w:r>
          </w:p>
        </w:tc>
        <w:tc>
          <w:tcPr>
            <w:tcW w:w="1345" w:type="dxa"/>
            <w:vMerge w:val="restart"/>
            <w:tcBorders>
              <w:top w:val="outset" w:color="111111" w:sz="6" w:space="0"/>
              <w:left w:val="outset" w:color="111111" w:sz="6" w:space="0"/>
              <w:right w:val="outset" w:color="111111" w:sz="6" w:space="0"/>
            </w:tcBorders>
            <w:vAlign w:val="center"/>
          </w:tcPr>
          <w:p>
            <w:pPr>
              <w:adjustRightInd w:val="0"/>
              <w:snapToGrid w:val="0"/>
              <w:rPr>
                <w:rFonts w:ascii="宋体"/>
                <w:color w:val="auto"/>
                <w:szCs w:val="21"/>
              </w:rPr>
            </w:pPr>
            <w:r>
              <w:rPr>
                <w:rFonts w:hint="eastAsia" w:ascii="宋体" w:hAnsi="宋体" w:cs="Arial"/>
                <w:color w:val="auto"/>
                <w:szCs w:val="21"/>
              </w:rPr>
              <w:t>□</w:t>
            </w:r>
            <w:r>
              <w:rPr>
                <w:rFonts w:hint="eastAsia" w:ascii="宋体" w:hAnsi="宋体"/>
                <w:color w:val="auto"/>
                <w:szCs w:val="21"/>
              </w:rPr>
              <w:t>通过</w:t>
            </w:r>
          </w:p>
          <w:p>
            <w:pPr>
              <w:adjustRightInd w:val="0"/>
              <w:snapToGrid w:val="0"/>
              <w:rPr>
                <w:rFonts w:ascii="宋体" w:cs="宋体"/>
                <w:color w:val="auto"/>
                <w:szCs w:val="21"/>
              </w:rPr>
            </w:pPr>
            <w:r>
              <w:rPr>
                <w:rFonts w:hint="eastAsia" w:ascii="宋体" w:hAnsi="宋体" w:cs="Arial"/>
                <w:color w:val="auto"/>
                <w:szCs w:val="21"/>
              </w:rPr>
              <w:t>□</w:t>
            </w:r>
            <w:r>
              <w:rPr>
                <w:rFonts w:hint="eastAsia" w:ascii="宋体" w:hAnsi="宋体"/>
                <w:color w:val="auto"/>
                <w:szCs w:val="21"/>
              </w:rPr>
              <w:t>不通过</w:t>
            </w:r>
          </w:p>
        </w:tc>
        <w:tc>
          <w:tcPr>
            <w:tcW w:w="2238" w:type="dxa"/>
            <w:tcBorders>
              <w:top w:val="outset" w:color="111111" w:sz="6" w:space="0"/>
              <w:left w:val="outset" w:color="111111" w:sz="6" w:space="0"/>
              <w:bottom w:val="single" w:color="auto" w:sz="4" w:space="0"/>
              <w:right w:val="single" w:color="auto" w:sz="12" w:space="0"/>
            </w:tcBorders>
            <w:vAlign w:val="center"/>
          </w:tcPr>
          <w:p>
            <w:pPr>
              <w:adjustRightInd w:val="0"/>
              <w:snapToGrid w:val="0"/>
              <w:jc w:val="center"/>
              <w:rPr>
                <w:rFonts w:ascii="宋体" w:cs="宋体"/>
                <w:color w:val="auto"/>
                <w:szCs w:val="21"/>
              </w:rPr>
            </w:pPr>
            <w:r>
              <w:rPr>
                <w:rFonts w:hint="eastAsia" w:ascii="宋体" w:hAnsi="宋体"/>
                <w:color w:val="auto"/>
                <w:szCs w:val="21"/>
              </w:rPr>
              <w:t>第（）页</w:t>
            </w:r>
            <w:r>
              <w:rPr>
                <w:rFonts w:ascii="宋体"/>
                <w:color w:val="auto"/>
                <w:szCs w:val="21"/>
              </w:rPr>
              <w:t>-</w:t>
            </w:r>
            <w:r>
              <w:rPr>
                <w:rFonts w:hint="eastAsia" w:ascii="宋体" w:hAnsi="宋体"/>
                <w:color w:val="auto"/>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continue"/>
            <w:tcBorders>
              <w:left w:val="single" w:color="auto" w:sz="12" w:space="0"/>
              <w:right w:val="outset" w:color="111111" w:sz="6" w:space="0"/>
            </w:tcBorders>
            <w:vAlign w:val="center"/>
          </w:tcPr>
          <w:p>
            <w:pPr>
              <w:pStyle w:val="67"/>
              <w:adjustRightInd w:val="0"/>
              <w:snapToGrid w:val="0"/>
              <w:spacing w:before="0" w:beforeAutospacing="0" w:after="0" w:afterAutospacing="0"/>
              <w:jc w:val="center"/>
              <w:rPr>
                <w:b/>
                <w:color w:val="auto"/>
                <w:sz w:val="21"/>
                <w:szCs w:val="21"/>
              </w:rPr>
            </w:pPr>
          </w:p>
        </w:tc>
        <w:tc>
          <w:tcPr>
            <w:tcW w:w="4519" w:type="dxa"/>
            <w:tcBorders>
              <w:top w:val="outset" w:color="111111" w:sz="6" w:space="0"/>
              <w:left w:val="outset" w:color="111111" w:sz="6" w:space="0"/>
              <w:bottom w:val="single" w:color="auto" w:sz="4" w:space="0"/>
              <w:right w:val="outset" w:color="111111" w:sz="6" w:space="0"/>
            </w:tcBorders>
            <w:vAlign w:val="center"/>
          </w:tcPr>
          <w:p>
            <w:pPr>
              <w:rPr>
                <w:color w:val="auto"/>
              </w:rPr>
            </w:pPr>
            <w:r>
              <w:rPr>
                <w:rFonts w:ascii="宋体" w:hAnsi="宋体" w:cs="宋体"/>
                <w:color w:val="auto"/>
                <w:szCs w:val="21"/>
              </w:rPr>
              <w:t>1</w:t>
            </w:r>
            <w:r>
              <w:rPr>
                <w:rFonts w:hint="eastAsia" w:ascii="宋体" w:hAnsi="宋体" w:cs="宋体"/>
                <w:color w:val="auto"/>
                <w:szCs w:val="21"/>
              </w:rPr>
              <w:t>、</w:t>
            </w:r>
            <w:r>
              <w:rPr>
                <w:rFonts w:hint="eastAsia"/>
                <w:color w:val="auto"/>
              </w:rPr>
              <w:t>有效的</w:t>
            </w:r>
            <w:r>
              <w:rPr>
                <w:rFonts w:hint="eastAsia" w:ascii="宋体" w:hAnsi="宋体" w:cs="宋体"/>
                <w:color w:val="auto"/>
                <w:szCs w:val="21"/>
              </w:rPr>
              <w:t>企业法人营业执照或事业单位法人证书</w:t>
            </w:r>
            <w:r>
              <w:rPr>
                <w:rFonts w:hint="eastAsia"/>
                <w:color w:val="auto"/>
              </w:rPr>
              <w:t>；</w:t>
            </w:r>
          </w:p>
        </w:tc>
        <w:tc>
          <w:tcPr>
            <w:tcW w:w="1345" w:type="dxa"/>
            <w:vMerge w:val="continue"/>
            <w:tcBorders>
              <w:left w:val="outset" w:color="111111" w:sz="6" w:space="0"/>
              <w:right w:val="outset" w:color="111111" w:sz="6" w:space="0"/>
            </w:tcBorders>
            <w:vAlign w:val="center"/>
          </w:tcPr>
          <w:p>
            <w:pPr>
              <w:adjustRightInd w:val="0"/>
              <w:snapToGrid w:val="0"/>
              <w:rPr>
                <w:rFonts w:ascii="宋体" w:cs="Arial"/>
                <w:color w:val="auto"/>
                <w:szCs w:val="21"/>
              </w:rPr>
            </w:pPr>
          </w:p>
        </w:tc>
        <w:tc>
          <w:tcPr>
            <w:tcW w:w="2238" w:type="dxa"/>
            <w:tcBorders>
              <w:top w:val="outset" w:color="111111" w:sz="6" w:space="0"/>
              <w:left w:val="outset" w:color="111111" w:sz="6" w:space="0"/>
              <w:bottom w:val="single" w:color="auto" w:sz="4" w:space="0"/>
              <w:right w:val="single" w:color="auto" w:sz="12" w:space="0"/>
            </w:tcBorders>
            <w:vAlign w:val="center"/>
          </w:tcPr>
          <w:p>
            <w:pPr>
              <w:adjustRightInd w:val="0"/>
              <w:snapToGrid w:val="0"/>
              <w:jc w:val="center"/>
              <w:rPr>
                <w:rFonts w:ascii="宋体"/>
                <w:color w:val="auto"/>
                <w:szCs w:val="21"/>
              </w:rPr>
            </w:pPr>
            <w:r>
              <w:rPr>
                <w:rFonts w:hint="eastAsia" w:ascii="宋体" w:hAnsi="宋体"/>
                <w:color w:val="auto"/>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continue"/>
            <w:tcBorders>
              <w:left w:val="single" w:color="auto" w:sz="12" w:space="0"/>
              <w:right w:val="outset" w:color="111111" w:sz="6" w:space="0"/>
            </w:tcBorders>
            <w:vAlign w:val="center"/>
          </w:tcPr>
          <w:p>
            <w:pPr>
              <w:pStyle w:val="67"/>
              <w:adjustRightInd w:val="0"/>
              <w:snapToGrid w:val="0"/>
              <w:spacing w:before="0" w:beforeAutospacing="0" w:after="0" w:afterAutospacing="0"/>
              <w:jc w:val="center"/>
              <w:rPr>
                <w:b/>
                <w:color w:val="auto"/>
                <w:sz w:val="21"/>
                <w:szCs w:val="21"/>
              </w:rPr>
            </w:pPr>
          </w:p>
        </w:tc>
        <w:tc>
          <w:tcPr>
            <w:tcW w:w="4519" w:type="dxa"/>
            <w:tcBorders>
              <w:top w:val="outset" w:color="111111" w:sz="6" w:space="0"/>
              <w:left w:val="outset" w:color="111111" w:sz="6" w:space="0"/>
              <w:bottom w:val="single" w:color="auto" w:sz="4" w:space="0"/>
              <w:right w:val="outset" w:color="111111" w:sz="6" w:space="0"/>
            </w:tcBorders>
            <w:vAlign w:val="center"/>
          </w:tcPr>
          <w:p>
            <w:pPr>
              <w:adjustRightInd w:val="0"/>
              <w:snapToGrid w:val="0"/>
              <w:rPr>
                <w:rFonts w:ascii="宋体" w:cs="宋体"/>
                <w:color w:val="auto"/>
                <w:szCs w:val="21"/>
              </w:rPr>
            </w:pPr>
            <w:r>
              <w:rPr>
                <w:rFonts w:ascii="宋体" w:hAnsi="宋体" w:cs="宋体"/>
                <w:color w:val="auto"/>
                <w:szCs w:val="21"/>
              </w:rPr>
              <w:t>2</w:t>
            </w:r>
            <w:r>
              <w:rPr>
                <w:rFonts w:hint="eastAsia" w:ascii="宋体" w:hAnsi="宋体" w:cs="宋体"/>
                <w:color w:val="auto"/>
                <w:szCs w:val="21"/>
              </w:rPr>
              <w:t>、投标人如果有名称变更的，应提供由行政主管部门出具的变更证明文件。</w:t>
            </w:r>
          </w:p>
        </w:tc>
        <w:tc>
          <w:tcPr>
            <w:tcW w:w="1345" w:type="dxa"/>
            <w:vMerge w:val="continue"/>
            <w:tcBorders>
              <w:left w:val="outset" w:color="111111" w:sz="6" w:space="0"/>
              <w:right w:val="outset" w:color="111111" w:sz="6" w:space="0"/>
            </w:tcBorders>
            <w:vAlign w:val="center"/>
          </w:tcPr>
          <w:p>
            <w:pPr>
              <w:adjustRightInd w:val="0"/>
              <w:snapToGrid w:val="0"/>
              <w:rPr>
                <w:rFonts w:ascii="宋体" w:cs="Arial"/>
                <w:color w:val="auto"/>
                <w:szCs w:val="21"/>
              </w:rPr>
            </w:pPr>
          </w:p>
        </w:tc>
        <w:tc>
          <w:tcPr>
            <w:tcW w:w="2238" w:type="dxa"/>
            <w:tcBorders>
              <w:top w:val="outset" w:color="111111" w:sz="6" w:space="0"/>
              <w:left w:val="outset" w:color="111111" w:sz="6" w:space="0"/>
              <w:bottom w:val="single" w:color="auto" w:sz="4" w:space="0"/>
              <w:right w:val="single" w:color="auto" w:sz="12" w:space="0"/>
            </w:tcBorders>
            <w:vAlign w:val="center"/>
          </w:tcPr>
          <w:p>
            <w:pPr>
              <w:adjustRightInd w:val="0"/>
              <w:snapToGrid w:val="0"/>
              <w:jc w:val="center"/>
              <w:rPr>
                <w:rFonts w:ascii="宋体"/>
                <w:color w:val="auto"/>
                <w:szCs w:val="21"/>
              </w:rPr>
            </w:pPr>
            <w:r>
              <w:rPr>
                <w:rFonts w:hint="eastAsia" w:ascii="宋体" w:hAnsi="宋体"/>
                <w:color w:val="auto"/>
                <w:szCs w:val="21"/>
              </w:rPr>
              <w:t>第（）页</w:t>
            </w:r>
            <w:r>
              <w:rPr>
                <w:rFonts w:ascii="宋体"/>
                <w:color w:val="auto"/>
                <w:szCs w:val="21"/>
              </w:rPr>
              <w:t>-</w:t>
            </w:r>
            <w:r>
              <w:rPr>
                <w:rFonts w:hint="eastAsia" w:ascii="宋体" w:hAnsi="宋体"/>
                <w:color w:val="auto"/>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831" w:type="dxa"/>
            <w:vMerge w:val="continue"/>
            <w:tcBorders>
              <w:left w:val="single" w:color="auto" w:sz="12" w:space="0"/>
              <w:right w:val="outset" w:color="111111" w:sz="6" w:space="0"/>
            </w:tcBorders>
            <w:vAlign w:val="center"/>
          </w:tcPr>
          <w:p>
            <w:pPr>
              <w:pStyle w:val="67"/>
              <w:adjustRightInd w:val="0"/>
              <w:snapToGrid w:val="0"/>
              <w:spacing w:before="0" w:beforeAutospacing="0" w:after="0" w:afterAutospacing="0"/>
              <w:jc w:val="center"/>
              <w:rPr>
                <w:color w:val="auto"/>
                <w:sz w:val="21"/>
                <w:szCs w:val="21"/>
              </w:rPr>
            </w:pPr>
          </w:p>
        </w:tc>
        <w:tc>
          <w:tcPr>
            <w:tcW w:w="4519" w:type="dxa"/>
            <w:tcBorders>
              <w:top w:val="single" w:color="auto" w:sz="4" w:space="0"/>
              <w:left w:val="outset" w:color="111111" w:sz="6" w:space="0"/>
              <w:bottom w:val="single" w:color="auto" w:sz="4" w:space="0"/>
              <w:right w:val="outset" w:color="111111" w:sz="6" w:space="0"/>
            </w:tcBorders>
            <w:vAlign w:val="center"/>
          </w:tcPr>
          <w:p>
            <w:pPr>
              <w:adjustRightInd w:val="0"/>
              <w:snapToGrid w:val="0"/>
              <w:rPr>
                <w:rFonts w:ascii="宋体" w:cs="宋体"/>
                <w:color w:val="auto"/>
                <w:szCs w:val="21"/>
              </w:rPr>
            </w:pPr>
            <w:r>
              <w:rPr>
                <w:rFonts w:ascii="宋体" w:hAnsi="宋体" w:cs="宋体"/>
                <w:color w:val="auto"/>
                <w:szCs w:val="21"/>
              </w:rPr>
              <w:t>3</w:t>
            </w:r>
            <w:r>
              <w:rPr>
                <w:rFonts w:hint="eastAsia" w:ascii="宋体" w:hAnsi="宋体" w:cs="宋体"/>
                <w:color w:val="auto"/>
                <w:szCs w:val="21"/>
              </w:rPr>
              <w:t>、</w:t>
            </w:r>
            <w:r>
              <w:rPr>
                <w:rFonts w:hint="eastAsia" w:ascii="宋体" w:hAnsi="宋体" w:cs="宋体"/>
                <w:color w:val="auto"/>
                <w:szCs w:val="21"/>
                <w:lang w:val="en-US" w:eastAsia="zh-CN"/>
              </w:rPr>
              <w:t>2021</w:t>
            </w:r>
            <w:r>
              <w:rPr>
                <w:rFonts w:hint="eastAsia" w:ascii="宋体" w:hAnsi="宋体" w:cs="宋体"/>
                <w:color w:val="auto"/>
                <w:szCs w:val="21"/>
              </w:rPr>
              <w:t>年财务状况报告复印件，其他组织或投标人新成立不足一年提供银行出具的资信证明材料复印件；</w:t>
            </w:r>
          </w:p>
        </w:tc>
        <w:tc>
          <w:tcPr>
            <w:tcW w:w="1345" w:type="dxa"/>
            <w:vMerge w:val="continue"/>
            <w:tcBorders>
              <w:left w:val="outset" w:color="111111" w:sz="6" w:space="0"/>
              <w:right w:val="outset" w:color="111111" w:sz="6" w:space="0"/>
            </w:tcBorders>
            <w:vAlign w:val="center"/>
          </w:tcPr>
          <w:p>
            <w:pPr>
              <w:adjustRightInd w:val="0"/>
              <w:snapToGrid w:val="0"/>
              <w:rPr>
                <w:rFonts w:ascii="宋体" w:cs="Arial"/>
                <w:color w:val="auto"/>
                <w:szCs w:val="21"/>
              </w:rPr>
            </w:pPr>
          </w:p>
        </w:tc>
        <w:tc>
          <w:tcPr>
            <w:tcW w:w="2238" w:type="dxa"/>
            <w:tcBorders>
              <w:top w:val="single" w:color="auto" w:sz="4" w:space="0"/>
              <w:left w:val="outset" w:color="111111" w:sz="6" w:space="0"/>
              <w:bottom w:val="single" w:color="auto" w:sz="4" w:space="0"/>
              <w:right w:val="single" w:color="auto" w:sz="12" w:space="0"/>
            </w:tcBorders>
            <w:vAlign w:val="center"/>
          </w:tcPr>
          <w:p>
            <w:pPr>
              <w:adjustRightInd w:val="0"/>
              <w:snapToGrid w:val="0"/>
              <w:jc w:val="center"/>
              <w:rPr>
                <w:rFonts w:ascii="宋体"/>
                <w:color w:val="auto"/>
                <w:szCs w:val="21"/>
              </w:rPr>
            </w:pPr>
            <w:r>
              <w:rPr>
                <w:rFonts w:hint="eastAsia" w:ascii="宋体" w:hAnsi="宋体"/>
                <w:color w:val="auto"/>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831" w:type="dxa"/>
            <w:vMerge w:val="continue"/>
            <w:tcBorders>
              <w:left w:val="single" w:color="auto" w:sz="12" w:space="0"/>
              <w:right w:val="outset" w:color="111111" w:sz="6" w:space="0"/>
            </w:tcBorders>
            <w:vAlign w:val="center"/>
          </w:tcPr>
          <w:p>
            <w:pPr>
              <w:pStyle w:val="67"/>
              <w:adjustRightInd w:val="0"/>
              <w:snapToGrid w:val="0"/>
              <w:spacing w:before="0" w:beforeAutospacing="0" w:after="0" w:afterAutospacing="0"/>
              <w:jc w:val="center"/>
              <w:rPr>
                <w:color w:val="auto"/>
                <w:sz w:val="21"/>
                <w:szCs w:val="21"/>
              </w:rPr>
            </w:pPr>
          </w:p>
        </w:tc>
        <w:tc>
          <w:tcPr>
            <w:tcW w:w="4519" w:type="dxa"/>
            <w:tcBorders>
              <w:top w:val="single" w:color="auto" w:sz="4" w:space="0"/>
              <w:left w:val="outset" w:color="111111" w:sz="6" w:space="0"/>
              <w:bottom w:val="single" w:color="auto" w:sz="4" w:space="0"/>
              <w:right w:val="outset" w:color="111111" w:sz="6" w:space="0"/>
            </w:tcBorders>
            <w:vAlign w:val="center"/>
          </w:tcPr>
          <w:p>
            <w:pPr>
              <w:adjustRightInd w:val="0"/>
              <w:snapToGrid w:val="0"/>
              <w:rPr>
                <w:rFonts w:ascii="宋体" w:cs="宋体"/>
                <w:color w:val="auto"/>
                <w:szCs w:val="21"/>
              </w:rPr>
            </w:pPr>
            <w:r>
              <w:rPr>
                <w:rFonts w:ascii="宋体" w:hAnsi="宋体" w:cs="宋体"/>
                <w:color w:val="auto"/>
                <w:szCs w:val="21"/>
              </w:rPr>
              <w:t>4</w:t>
            </w:r>
            <w:r>
              <w:rPr>
                <w:rFonts w:hint="eastAsia" w:ascii="宋体" w:hAnsi="宋体" w:cs="宋体"/>
                <w:color w:val="auto"/>
                <w:szCs w:val="21"/>
              </w:rPr>
              <w:t>、202</w:t>
            </w:r>
            <w:r>
              <w:rPr>
                <w:rFonts w:hint="eastAsia" w:ascii="宋体" w:hAnsi="宋体" w:cs="宋体"/>
                <w:color w:val="auto"/>
                <w:szCs w:val="21"/>
                <w:lang w:val="en-US" w:eastAsia="zh-CN"/>
              </w:rPr>
              <w:t>2</w:t>
            </w:r>
            <w:r>
              <w:rPr>
                <w:rFonts w:hint="eastAsia" w:ascii="宋体" w:hAnsi="宋体" w:cs="宋体"/>
                <w:color w:val="auto"/>
                <w:szCs w:val="21"/>
              </w:rPr>
              <w:t>年开具的缴纳税收的凭据证明材料复印件；如依法免税的，应提供相应文件证明其依法免税；</w:t>
            </w:r>
          </w:p>
        </w:tc>
        <w:tc>
          <w:tcPr>
            <w:tcW w:w="1345" w:type="dxa"/>
            <w:vMerge w:val="continue"/>
            <w:tcBorders>
              <w:left w:val="outset" w:color="111111" w:sz="6" w:space="0"/>
              <w:right w:val="outset" w:color="111111" w:sz="6" w:space="0"/>
            </w:tcBorders>
            <w:vAlign w:val="center"/>
          </w:tcPr>
          <w:p>
            <w:pPr>
              <w:adjustRightInd w:val="0"/>
              <w:snapToGrid w:val="0"/>
              <w:rPr>
                <w:rFonts w:ascii="宋体" w:cs="Arial"/>
                <w:color w:val="auto"/>
                <w:szCs w:val="21"/>
              </w:rPr>
            </w:pPr>
          </w:p>
        </w:tc>
        <w:tc>
          <w:tcPr>
            <w:tcW w:w="2238" w:type="dxa"/>
            <w:tcBorders>
              <w:top w:val="single" w:color="auto" w:sz="4" w:space="0"/>
              <w:left w:val="outset" w:color="111111" w:sz="6" w:space="0"/>
              <w:bottom w:val="single" w:color="auto" w:sz="4" w:space="0"/>
              <w:right w:val="single" w:color="auto" w:sz="12" w:space="0"/>
            </w:tcBorders>
            <w:vAlign w:val="center"/>
          </w:tcPr>
          <w:p>
            <w:pPr>
              <w:adjustRightInd w:val="0"/>
              <w:snapToGrid w:val="0"/>
              <w:jc w:val="center"/>
              <w:rPr>
                <w:rFonts w:ascii="宋体"/>
                <w:color w:val="auto"/>
                <w:szCs w:val="21"/>
              </w:rPr>
            </w:pPr>
            <w:r>
              <w:rPr>
                <w:rFonts w:hint="eastAsia" w:ascii="宋体" w:hAnsi="宋体"/>
                <w:color w:val="auto"/>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831" w:type="dxa"/>
            <w:vMerge w:val="continue"/>
            <w:tcBorders>
              <w:left w:val="single" w:color="auto" w:sz="12" w:space="0"/>
              <w:right w:val="outset" w:color="111111" w:sz="6" w:space="0"/>
            </w:tcBorders>
            <w:vAlign w:val="center"/>
          </w:tcPr>
          <w:p>
            <w:pPr>
              <w:pStyle w:val="67"/>
              <w:adjustRightInd w:val="0"/>
              <w:snapToGrid w:val="0"/>
              <w:spacing w:before="0" w:beforeAutospacing="0" w:after="0" w:afterAutospacing="0"/>
              <w:jc w:val="center"/>
              <w:rPr>
                <w:color w:val="auto"/>
                <w:sz w:val="21"/>
                <w:szCs w:val="21"/>
              </w:rPr>
            </w:pPr>
          </w:p>
        </w:tc>
        <w:tc>
          <w:tcPr>
            <w:tcW w:w="4519" w:type="dxa"/>
            <w:tcBorders>
              <w:top w:val="single" w:color="auto" w:sz="4" w:space="0"/>
              <w:left w:val="outset" w:color="111111" w:sz="6" w:space="0"/>
              <w:bottom w:val="single" w:color="auto" w:sz="4" w:space="0"/>
              <w:right w:val="outset" w:color="111111" w:sz="6" w:space="0"/>
            </w:tcBorders>
            <w:vAlign w:val="center"/>
          </w:tcPr>
          <w:p>
            <w:pPr>
              <w:adjustRightInd w:val="0"/>
              <w:snapToGrid w:val="0"/>
              <w:rPr>
                <w:rFonts w:ascii="宋体" w:cs="宋体"/>
                <w:color w:val="auto"/>
                <w:szCs w:val="21"/>
              </w:rPr>
            </w:pPr>
            <w:r>
              <w:rPr>
                <w:rFonts w:ascii="宋体" w:hAnsi="宋体" w:cs="宋体"/>
                <w:color w:val="auto"/>
                <w:szCs w:val="21"/>
              </w:rPr>
              <w:t>5</w:t>
            </w:r>
            <w:r>
              <w:rPr>
                <w:rFonts w:hint="eastAsia" w:ascii="宋体" w:hAnsi="宋体" w:cs="宋体"/>
                <w:color w:val="auto"/>
                <w:szCs w:val="21"/>
              </w:rPr>
              <w:t>、202</w:t>
            </w:r>
            <w:r>
              <w:rPr>
                <w:rFonts w:hint="eastAsia" w:ascii="宋体" w:hAnsi="宋体" w:cs="宋体"/>
                <w:color w:val="auto"/>
                <w:szCs w:val="21"/>
                <w:lang w:val="en-US" w:eastAsia="zh-CN"/>
              </w:rPr>
              <w:t>2</w:t>
            </w:r>
            <w:r>
              <w:rPr>
                <w:rFonts w:hint="eastAsia" w:ascii="宋体" w:hAnsi="宋体" w:cs="宋体"/>
                <w:color w:val="auto"/>
                <w:szCs w:val="21"/>
              </w:rPr>
              <w:t>年开具的缴纳社会保险的凭据证明材料复印件；如依法不需要缴纳社会保障资金的，应提供相应文件证明其依法不需要缴纳社会保障资金；</w:t>
            </w:r>
          </w:p>
        </w:tc>
        <w:tc>
          <w:tcPr>
            <w:tcW w:w="1345" w:type="dxa"/>
            <w:vMerge w:val="continue"/>
            <w:tcBorders>
              <w:left w:val="outset" w:color="111111" w:sz="6" w:space="0"/>
              <w:right w:val="outset" w:color="111111" w:sz="6" w:space="0"/>
            </w:tcBorders>
            <w:vAlign w:val="center"/>
          </w:tcPr>
          <w:p>
            <w:pPr>
              <w:adjustRightInd w:val="0"/>
              <w:snapToGrid w:val="0"/>
              <w:rPr>
                <w:rFonts w:ascii="宋体" w:cs="Arial"/>
                <w:color w:val="auto"/>
                <w:szCs w:val="21"/>
              </w:rPr>
            </w:pPr>
          </w:p>
        </w:tc>
        <w:tc>
          <w:tcPr>
            <w:tcW w:w="2238" w:type="dxa"/>
            <w:tcBorders>
              <w:top w:val="single" w:color="auto" w:sz="4" w:space="0"/>
              <w:left w:val="outset" w:color="111111" w:sz="6" w:space="0"/>
              <w:bottom w:val="single" w:color="auto" w:sz="4" w:space="0"/>
              <w:right w:val="single" w:color="auto" w:sz="12" w:space="0"/>
            </w:tcBorders>
            <w:vAlign w:val="center"/>
          </w:tcPr>
          <w:p>
            <w:pPr>
              <w:adjustRightInd w:val="0"/>
              <w:snapToGrid w:val="0"/>
              <w:jc w:val="center"/>
              <w:rPr>
                <w:rFonts w:ascii="宋体"/>
                <w:color w:val="auto"/>
                <w:szCs w:val="21"/>
              </w:rPr>
            </w:pPr>
            <w:r>
              <w:rPr>
                <w:rFonts w:hint="eastAsia" w:ascii="宋体" w:hAnsi="宋体"/>
                <w:color w:val="auto"/>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831" w:type="dxa"/>
            <w:vMerge w:val="continue"/>
            <w:tcBorders>
              <w:left w:val="single" w:color="auto" w:sz="12" w:space="0"/>
              <w:right w:val="outset" w:color="111111" w:sz="6" w:space="0"/>
            </w:tcBorders>
            <w:vAlign w:val="center"/>
          </w:tcPr>
          <w:p>
            <w:pPr>
              <w:pStyle w:val="67"/>
              <w:adjustRightInd w:val="0"/>
              <w:snapToGrid w:val="0"/>
              <w:spacing w:before="0" w:beforeAutospacing="0" w:after="0" w:afterAutospacing="0"/>
              <w:jc w:val="center"/>
              <w:rPr>
                <w:color w:val="auto"/>
                <w:sz w:val="21"/>
                <w:szCs w:val="21"/>
              </w:rPr>
            </w:pPr>
          </w:p>
        </w:tc>
        <w:tc>
          <w:tcPr>
            <w:tcW w:w="4519" w:type="dxa"/>
            <w:tcBorders>
              <w:top w:val="single" w:color="auto" w:sz="4" w:space="0"/>
              <w:left w:val="outset" w:color="111111" w:sz="6" w:space="0"/>
              <w:bottom w:val="single" w:color="auto" w:sz="4" w:space="0"/>
              <w:right w:val="outset" w:color="111111" w:sz="6" w:space="0"/>
            </w:tcBorders>
            <w:vAlign w:val="center"/>
          </w:tcPr>
          <w:p>
            <w:pPr>
              <w:adjustRightInd w:val="0"/>
              <w:snapToGrid w:val="0"/>
              <w:rPr>
                <w:rFonts w:ascii="宋体" w:cs="宋体"/>
                <w:color w:val="auto"/>
                <w:szCs w:val="21"/>
              </w:rPr>
            </w:pPr>
            <w:r>
              <w:rPr>
                <w:rFonts w:ascii="宋体" w:hAnsi="宋体" w:cs="宋体"/>
                <w:color w:val="auto"/>
                <w:szCs w:val="21"/>
              </w:rPr>
              <w:t>6</w:t>
            </w:r>
            <w:r>
              <w:rPr>
                <w:rFonts w:hint="eastAsia" w:ascii="宋体" w:hAnsi="宋体" w:cs="宋体"/>
                <w:color w:val="auto"/>
                <w:szCs w:val="21"/>
              </w:rPr>
              <w:t>、</w:t>
            </w:r>
            <w:r>
              <w:rPr>
                <w:rFonts w:hint="eastAsia"/>
                <w:color w:val="auto"/>
              </w:rPr>
              <w:t>提供具有履行合同所必需的设备和专业技术能力的书面声明；</w:t>
            </w:r>
          </w:p>
        </w:tc>
        <w:tc>
          <w:tcPr>
            <w:tcW w:w="1345" w:type="dxa"/>
            <w:vMerge w:val="continue"/>
            <w:tcBorders>
              <w:left w:val="outset" w:color="111111" w:sz="6" w:space="0"/>
              <w:right w:val="outset" w:color="111111" w:sz="6" w:space="0"/>
            </w:tcBorders>
            <w:vAlign w:val="center"/>
          </w:tcPr>
          <w:p>
            <w:pPr>
              <w:adjustRightInd w:val="0"/>
              <w:snapToGrid w:val="0"/>
              <w:rPr>
                <w:rFonts w:ascii="宋体" w:cs="Arial"/>
                <w:color w:val="auto"/>
                <w:szCs w:val="21"/>
              </w:rPr>
            </w:pPr>
          </w:p>
        </w:tc>
        <w:tc>
          <w:tcPr>
            <w:tcW w:w="2238" w:type="dxa"/>
            <w:tcBorders>
              <w:top w:val="single" w:color="auto" w:sz="4" w:space="0"/>
              <w:left w:val="outset" w:color="111111" w:sz="6" w:space="0"/>
              <w:bottom w:val="single" w:color="auto" w:sz="4" w:space="0"/>
              <w:right w:val="single" w:color="auto" w:sz="12" w:space="0"/>
            </w:tcBorders>
            <w:vAlign w:val="center"/>
          </w:tcPr>
          <w:p>
            <w:pPr>
              <w:adjustRightInd w:val="0"/>
              <w:snapToGrid w:val="0"/>
              <w:jc w:val="center"/>
              <w:rPr>
                <w:rFonts w:ascii="宋体"/>
                <w:color w:val="auto"/>
                <w:szCs w:val="21"/>
              </w:rPr>
            </w:pPr>
            <w:r>
              <w:rPr>
                <w:rFonts w:hint="eastAsia" w:ascii="宋体" w:hAnsi="宋体"/>
                <w:color w:val="auto"/>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831" w:type="dxa"/>
            <w:vMerge w:val="continue"/>
            <w:tcBorders>
              <w:left w:val="single" w:color="auto" w:sz="12" w:space="0"/>
              <w:right w:val="outset" w:color="111111" w:sz="6" w:space="0"/>
            </w:tcBorders>
            <w:vAlign w:val="center"/>
          </w:tcPr>
          <w:p>
            <w:pPr>
              <w:pStyle w:val="67"/>
              <w:adjustRightInd w:val="0"/>
              <w:snapToGrid w:val="0"/>
              <w:spacing w:before="0" w:beforeAutospacing="0" w:after="0" w:afterAutospacing="0"/>
              <w:jc w:val="center"/>
              <w:rPr>
                <w:color w:val="auto"/>
                <w:sz w:val="21"/>
                <w:szCs w:val="21"/>
              </w:rPr>
            </w:pPr>
          </w:p>
        </w:tc>
        <w:tc>
          <w:tcPr>
            <w:tcW w:w="4519" w:type="dxa"/>
            <w:tcBorders>
              <w:top w:val="single" w:color="auto" w:sz="4" w:space="0"/>
              <w:left w:val="outset" w:color="111111" w:sz="6" w:space="0"/>
              <w:bottom w:val="single" w:color="auto" w:sz="4" w:space="0"/>
              <w:right w:val="outset" w:color="111111" w:sz="6" w:space="0"/>
            </w:tcBorders>
            <w:vAlign w:val="center"/>
          </w:tcPr>
          <w:p>
            <w:pPr>
              <w:adjustRightInd w:val="0"/>
              <w:snapToGrid w:val="0"/>
              <w:rPr>
                <w:rFonts w:ascii="宋体" w:cs="宋体"/>
                <w:color w:val="auto"/>
                <w:szCs w:val="21"/>
              </w:rPr>
            </w:pPr>
            <w:r>
              <w:rPr>
                <w:rFonts w:ascii="宋体" w:hAnsi="宋体" w:cs="宋体"/>
                <w:color w:val="auto"/>
                <w:szCs w:val="21"/>
              </w:rPr>
              <w:t>7</w:t>
            </w:r>
            <w:r>
              <w:rPr>
                <w:rFonts w:hint="eastAsia" w:ascii="宋体" w:hAnsi="宋体" w:cs="宋体"/>
                <w:color w:val="auto"/>
                <w:szCs w:val="21"/>
              </w:rPr>
              <w:t>、</w:t>
            </w:r>
            <w:r>
              <w:rPr>
                <w:rFonts w:hint="eastAsia"/>
                <w:color w:val="auto"/>
              </w:rPr>
              <w:t>提供参加政府采购活动前</w:t>
            </w:r>
            <w:r>
              <w:rPr>
                <w:color w:val="auto"/>
              </w:rPr>
              <w:t>3</w:t>
            </w:r>
            <w:r>
              <w:rPr>
                <w:rFonts w:hint="eastAsia"/>
                <w:color w:val="auto"/>
              </w:rPr>
              <w:t>年内在经营活动中没有重大违法记录的书面声明。</w:t>
            </w:r>
          </w:p>
        </w:tc>
        <w:tc>
          <w:tcPr>
            <w:tcW w:w="1345" w:type="dxa"/>
            <w:vMerge w:val="continue"/>
            <w:tcBorders>
              <w:left w:val="outset" w:color="111111" w:sz="6" w:space="0"/>
              <w:right w:val="outset" w:color="111111" w:sz="6" w:space="0"/>
            </w:tcBorders>
            <w:vAlign w:val="center"/>
          </w:tcPr>
          <w:p>
            <w:pPr>
              <w:adjustRightInd w:val="0"/>
              <w:snapToGrid w:val="0"/>
              <w:rPr>
                <w:rFonts w:ascii="宋体" w:cs="Arial"/>
                <w:color w:val="auto"/>
                <w:szCs w:val="21"/>
              </w:rPr>
            </w:pPr>
          </w:p>
        </w:tc>
        <w:tc>
          <w:tcPr>
            <w:tcW w:w="2238" w:type="dxa"/>
            <w:tcBorders>
              <w:top w:val="single" w:color="auto" w:sz="4" w:space="0"/>
              <w:left w:val="outset" w:color="111111" w:sz="6" w:space="0"/>
              <w:bottom w:val="single" w:color="auto" w:sz="4" w:space="0"/>
              <w:right w:val="single" w:color="auto" w:sz="12" w:space="0"/>
            </w:tcBorders>
            <w:vAlign w:val="center"/>
          </w:tcPr>
          <w:p>
            <w:pPr>
              <w:adjustRightInd w:val="0"/>
              <w:snapToGrid w:val="0"/>
              <w:jc w:val="center"/>
              <w:rPr>
                <w:rFonts w:ascii="宋体"/>
                <w:color w:val="auto"/>
                <w:szCs w:val="21"/>
              </w:rPr>
            </w:pPr>
            <w:r>
              <w:rPr>
                <w:rFonts w:hint="eastAsia" w:ascii="宋体" w:hAnsi="宋体"/>
                <w:color w:val="auto"/>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046" w:hRule="atLeast"/>
          <w:jc w:val="center"/>
        </w:trPr>
        <w:tc>
          <w:tcPr>
            <w:tcW w:w="831" w:type="dxa"/>
            <w:vMerge w:val="continue"/>
            <w:tcBorders>
              <w:left w:val="single" w:color="auto" w:sz="12" w:space="0"/>
              <w:right w:val="outset" w:color="111111" w:sz="6" w:space="0"/>
            </w:tcBorders>
            <w:vAlign w:val="center"/>
          </w:tcPr>
          <w:p>
            <w:pPr>
              <w:pStyle w:val="67"/>
              <w:adjustRightInd w:val="0"/>
              <w:snapToGrid w:val="0"/>
              <w:spacing w:before="0" w:beforeAutospacing="0" w:after="0" w:afterAutospacing="0"/>
              <w:jc w:val="center"/>
              <w:rPr>
                <w:color w:val="auto"/>
                <w:sz w:val="21"/>
                <w:szCs w:val="21"/>
              </w:rPr>
            </w:pPr>
          </w:p>
        </w:tc>
        <w:tc>
          <w:tcPr>
            <w:tcW w:w="4519" w:type="dxa"/>
            <w:tcBorders>
              <w:top w:val="single" w:color="auto" w:sz="4" w:space="0"/>
              <w:left w:val="outset" w:color="111111" w:sz="6" w:space="0"/>
              <w:bottom w:val="outset" w:color="111111" w:sz="6" w:space="0"/>
              <w:right w:val="outset" w:color="111111" w:sz="6" w:space="0"/>
            </w:tcBorders>
            <w:vAlign w:val="center"/>
          </w:tcPr>
          <w:p>
            <w:pPr>
              <w:adjustRightInd w:val="0"/>
              <w:snapToGrid w:val="0"/>
              <w:rPr>
                <w:rFonts w:ascii="宋体"/>
                <w:color w:val="auto"/>
                <w:szCs w:val="21"/>
              </w:rPr>
            </w:pPr>
            <w:r>
              <w:rPr>
                <w:rFonts w:ascii="宋体" w:hAnsi="宋体" w:cs="宋体"/>
                <w:color w:val="auto"/>
                <w:szCs w:val="21"/>
              </w:rPr>
              <w:t>8</w:t>
            </w:r>
            <w:r>
              <w:rPr>
                <w:rFonts w:hint="eastAsia" w:ascii="宋体" w:hAnsi="宋体" w:cs="宋体"/>
                <w:color w:val="auto"/>
                <w:szCs w:val="21"/>
              </w:rPr>
              <w:t>、若以不具有独立承担民事责任能力的分支机构投标，须取得</w:t>
            </w:r>
            <w:r>
              <w:rPr>
                <w:rFonts w:hint="eastAsia" w:ascii="宋体" w:hAnsi="宋体"/>
                <w:color w:val="auto"/>
                <w:szCs w:val="21"/>
              </w:rPr>
              <w:t>具有法人资格的总公司的授权书，并提供总公司营业执照副本复印件。</w:t>
            </w:r>
          </w:p>
        </w:tc>
        <w:tc>
          <w:tcPr>
            <w:tcW w:w="1345" w:type="dxa"/>
            <w:tcBorders>
              <w:top w:val="single" w:color="auto" w:sz="4" w:space="0"/>
              <w:left w:val="outset" w:color="111111" w:sz="6" w:space="0"/>
              <w:right w:val="outset" w:color="111111" w:sz="6" w:space="0"/>
            </w:tcBorders>
            <w:vAlign w:val="center"/>
          </w:tcPr>
          <w:p>
            <w:pPr>
              <w:adjustRightInd w:val="0"/>
              <w:snapToGrid w:val="0"/>
              <w:rPr>
                <w:rFonts w:ascii="宋体"/>
                <w:color w:val="auto"/>
                <w:szCs w:val="21"/>
              </w:rPr>
            </w:pPr>
            <w:r>
              <w:rPr>
                <w:rFonts w:hint="eastAsia" w:ascii="宋体" w:hAnsi="宋体" w:cs="Arial"/>
                <w:color w:val="auto"/>
                <w:szCs w:val="21"/>
              </w:rPr>
              <w:t>□</w:t>
            </w:r>
            <w:r>
              <w:rPr>
                <w:rFonts w:hint="eastAsia" w:ascii="宋体" w:hAnsi="宋体"/>
                <w:color w:val="auto"/>
                <w:szCs w:val="21"/>
              </w:rPr>
              <w:t>通过</w:t>
            </w:r>
          </w:p>
          <w:p>
            <w:pPr>
              <w:adjustRightInd w:val="0"/>
              <w:snapToGrid w:val="0"/>
              <w:rPr>
                <w:rFonts w:asci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2238" w:type="dxa"/>
            <w:tcBorders>
              <w:top w:val="single" w:color="auto" w:sz="4" w:space="0"/>
              <w:left w:val="outset" w:color="111111" w:sz="6" w:space="0"/>
              <w:bottom w:val="outset" w:color="111111" w:sz="6" w:space="0"/>
              <w:right w:val="single" w:color="auto" w:sz="12" w:space="0"/>
            </w:tcBorders>
            <w:vAlign w:val="center"/>
          </w:tcPr>
          <w:p>
            <w:pPr>
              <w:adjustRightInd w:val="0"/>
              <w:snapToGrid w:val="0"/>
              <w:jc w:val="center"/>
              <w:rPr>
                <w:rFonts w:ascii="宋体"/>
                <w:color w:val="auto"/>
                <w:szCs w:val="21"/>
              </w:rPr>
            </w:pPr>
            <w:r>
              <w:rPr>
                <w:rFonts w:hint="eastAsia" w:ascii="宋体" w:hAnsi="宋体"/>
                <w:color w:val="auto"/>
                <w:szCs w:val="21"/>
              </w:rPr>
              <w:t>第（）页</w:t>
            </w:r>
            <w:r>
              <w:rPr>
                <w:rFonts w:ascii="宋体"/>
                <w:color w:val="auto"/>
                <w:szCs w:val="21"/>
              </w:rPr>
              <w:t>-</w:t>
            </w:r>
            <w:r>
              <w:rPr>
                <w:rFonts w:hint="eastAsia" w:ascii="宋体" w:hAnsi="宋体"/>
                <w:color w:val="auto"/>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3" w:hRule="atLeast"/>
          <w:jc w:val="center"/>
        </w:trPr>
        <w:tc>
          <w:tcPr>
            <w:tcW w:w="831" w:type="dxa"/>
            <w:vMerge w:val="continue"/>
            <w:tcBorders>
              <w:left w:val="single" w:color="auto" w:sz="12" w:space="0"/>
              <w:right w:val="outset" w:color="111111" w:sz="6" w:space="0"/>
            </w:tcBorders>
            <w:vAlign w:val="center"/>
          </w:tcPr>
          <w:p>
            <w:pPr>
              <w:adjustRightInd w:val="0"/>
              <w:snapToGrid w:val="0"/>
              <w:rPr>
                <w:rFonts w:ascii="宋体" w:cs="宋体"/>
                <w:color w:val="auto"/>
                <w:szCs w:val="21"/>
              </w:rPr>
            </w:pPr>
          </w:p>
        </w:tc>
        <w:tc>
          <w:tcPr>
            <w:tcW w:w="4519"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cs="宋体"/>
                <w:color w:val="auto"/>
                <w:szCs w:val="21"/>
              </w:rPr>
            </w:pPr>
            <w:r>
              <w:rPr>
                <w:rFonts w:hint="eastAsia" w:ascii="宋体" w:hAnsi="宋体" w:cs="宋体"/>
                <w:color w:val="auto"/>
                <w:szCs w:val="21"/>
              </w:rPr>
              <w:t>二</w:t>
            </w:r>
            <w:r>
              <w:rPr>
                <w:rFonts w:ascii="宋体" w:cs="宋体"/>
                <w:color w:val="auto"/>
                <w:szCs w:val="21"/>
              </w:rPr>
              <w:t>.</w:t>
            </w:r>
            <w:r>
              <w:rPr>
                <w:rFonts w:hint="eastAsia" w:ascii="宋体" w:hAnsi="宋体" w:cs="宋体"/>
                <w:bCs/>
                <w:color w:val="auto"/>
                <w:szCs w:val="21"/>
              </w:rPr>
              <w:t>为采购项目提供整体设计、规范编制或者项目管理、监理、检测等服务的投标人及其附属机构，不得再参加本项目投标。</w:t>
            </w:r>
          </w:p>
        </w:tc>
        <w:tc>
          <w:tcPr>
            <w:tcW w:w="13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color w:val="auto"/>
                <w:szCs w:val="21"/>
              </w:rPr>
            </w:pPr>
            <w:r>
              <w:rPr>
                <w:rFonts w:hint="eastAsia" w:ascii="宋体" w:hAnsi="宋体" w:cs="Arial"/>
                <w:color w:val="auto"/>
                <w:szCs w:val="21"/>
              </w:rPr>
              <w:t>□</w:t>
            </w:r>
            <w:r>
              <w:rPr>
                <w:rFonts w:hint="eastAsia" w:ascii="宋体" w:hAnsi="宋体"/>
                <w:color w:val="auto"/>
                <w:szCs w:val="21"/>
              </w:rPr>
              <w:t>通过</w:t>
            </w:r>
          </w:p>
          <w:p>
            <w:pPr>
              <w:adjustRightInd w:val="0"/>
              <w:snapToGrid w:val="0"/>
              <w:rPr>
                <w:rFonts w:asci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color w:val="auto"/>
                <w:szCs w:val="21"/>
              </w:rPr>
            </w:pPr>
            <w:r>
              <w:rPr>
                <w:rFonts w:hint="eastAsia" w:ascii="宋体" w:hAnsi="宋体"/>
                <w:color w:val="auto"/>
                <w:szCs w:val="21"/>
              </w:rPr>
              <w:t>第（）页</w:t>
            </w:r>
            <w:r>
              <w:rPr>
                <w:rFonts w:ascii="宋体"/>
                <w:color w:val="auto"/>
                <w:szCs w:val="21"/>
              </w:rPr>
              <w:t>-</w:t>
            </w:r>
            <w:r>
              <w:rPr>
                <w:rFonts w:hint="eastAsia" w:ascii="宋体" w:hAnsi="宋体"/>
                <w:color w:val="auto"/>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84" w:hRule="atLeast"/>
          <w:jc w:val="center"/>
        </w:trPr>
        <w:tc>
          <w:tcPr>
            <w:tcW w:w="831" w:type="dxa"/>
            <w:vMerge w:val="continue"/>
            <w:tcBorders>
              <w:left w:val="single" w:color="auto" w:sz="12" w:space="0"/>
              <w:right w:val="outset" w:color="111111" w:sz="6" w:space="0"/>
            </w:tcBorders>
            <w:vAlign w:val="center"/>
          </w:tcPr>
          <w:p>
            <w:pPr>
              <w:adjustRightInd w:val="0"/>
              <w:snapToGrid w:val="0"/>
              <w:rPr>
                <w:rFonts w:ascii="宋体" w:cs="宋体"/>
                <w:color w:val="auto"/>
                <w:szCs w:val="21"/>
              </w:rPr>
            </w:pPr>
          </w:p>
        </w:tc>
        <w:tc>
          <w:tcPr>
            <w:tcW w:w="4519" w:type="dxa"/>
            <w:tcBorders>
              <w:top w:val="outset" w:color="111111" w:sz="6" w:space="0"/>
              <w:left w:val="outset" w:color="111111" w:sz="6" w:space="0"/>
              <w:bottom w:val="outset" w:color="111111" w:sz="6" w:space="0"/>
              <w:right w:val="outset" w:color="111111" w:sz="6" w:space="0"/>
            </w:tcBorders>
            <w:vAlign w:val="center"/>
          </w:tcPr>
          <w:p>
            <w:pPr>
              <w:snapToGrid w:val="0"/>
              <w:spacing w:line="360" w:lineRule="auto"/>
              <w:rPr>
                <w:rFonts w:ascii="宋体" w:cs="宋体"/>
                <w:color w:val="auto"/>
                <w:szCs w:val="21"/>
              </w:rPr>
            </w:pPr>
            <w:r>
              <w:rPr>
                <w:rFonts w:hint="eastAsia" w:ascii="宋体" w:hAnsi="宋体" w:cs="宋体"/>
                <w:bCs/>
                <w:color w:val="auto"/>
                <w:szCs w:val="21"/>
                <w:lang w:val="en-US" w:eastAsia="zh-CN"/>
              </w:rPr>
              <w:t>三</w:t>
            </w:r>
            <w:r>
              <w:rPr>
                <w:rFonts w:ascii="宋体" w:cs="宋体"/>
                <w:bCs/>
                <w:color w:val="auto"/>
                <w:szCs w:val="21"/>
              </w:rPr>
              <w:t>.</w:t>
            </w:r>
            <w:r>
              <w:rPr>
                <w:rFonts w:hint="eastAsia" w:ascii="宋体" w:hAnsi="宋体" w:cs="宋体"/>
                <w:bCs/>
                <w:color w:val="auto"/>
                <w:szCs w:val="21"/>
              </w:rPr>
              <w:t>本项目不接受联合体参加投标。</w:t>
            </w:r>
          </w:p>
        </w:tc>
        <w:tc>
          <w:tcPr>
            <w:tcW w:w="13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color w:val="auto"/>
                <w:szCs w:val="21"/>
              </w:rPr>
            </w:pPr>
            <w:r>
              <w:rPr>
                <w:rFonts w:hint="eastAsia" w:ascii="宋体" w:hAnsi="宋体" w:cs="Arial"/>
                <w:color w:val="auto"/>
                <w:szCs w:val="21"/>
              </w:rPr>
              <w:t>□</w:t>
            </w:r>
            <w:r>
              <w:rPr>
                <w:rFonts w:hint="eastAsia" w:ascii="宋体" w:hAnsi="宋体"/>
                <w:color w:val="auto"/>
                <w:szCs w:val="21"/>
              </w:rPr>
              <w:t>通过</w:t>
            </w:r>
          </w:p>
          <w:p>
            <w:pPr>
              <w:adjustRightInd w:val="0"/>
              <w:snapToGrid w:val="0"/>
              <w:rPr>
                <w:rFonts w:ascii="宋体" w:cs="宋体"/>
                <w:color w:val="auto"/>
                <w:szCs w:val="21"/>
              </w:rPr>
            </w:pPr>
            <w:r>
              <w:rPr>
                <w:rFonts w:hint="eastAsia" w:ascii="宋体" w:hAnsi="宋体" w:cs="Arial"/>
                <w:color w:val="auto"/>
                <w:szCs w:val="21"/>
              </w:rPr>
              <w:t>□</w:t>
            </w:r>
            <w:r>
              <w:rPr>
                <w:rFonts w:hint="eastAsia" w:ascii="宋体" w:hAnsi="宋体"/>
                <w:color w:val="auto"/>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cs="宋体"/>
                <w:color w:val="auto"/>
                <w:szCs w:val="21"/>
              </w:rPr>
            </w:pPr>
            <w:r>
              <w:rPr>
                <w:rFonts w:hint="eastAsia" w:ascii="宋体" w:hAnsi="宋体"/>
                <w:color w:val="auto"/>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27" w:hRule="atLeast"/>
          <w:jc w:val="center"/>
        </w:trPr>
        <w:tc>
          <w:tcPr>
            <w:tcW w:w="831" w:type="dxa"/>
            <w:vMerge w:val="continue"/>
            <w:tcBorders>
              <w:left w:val="single" w:color="auto" w:sz="12" w:space="0"/>
              <w:right w:val="outset" w:color="111111" w:sz="6" w:space="0"/>
            </w:tcBorders>
            <w:vAlign w:val="center"/>
          </w:tcPr>
          <w:p>
            <w:pPr>
              <w:adjustRightInd w:val="0"/>
              <w:snapToGrid w:val="0"/>
              <w:rPr>
                <w:rFonts w:ascii="宋体" w:cs="宋体"/>
                <w:color w:val="auto"/>
                <w:szCs w:val="21"/>
              </w:rPr>
            </w:pPr>
          </w:p>
        </w:tc>
        <w:tc>
          <w:tcPr>
            <w:tcW w:w="4519" w:type="dxa"/>
            <w:tcBorders>
              <w:top w:val="outset" w:color="111111" w:sz="6" w:space="0"/>
              <w:left w:val="outset" w:color="111111" w:sz="6" w:space="0"/>
              <w:bottom w:val="outset" w:color="111111" w:sz="6" w:space="0"/>
              <w:right w:val="outset" w:color="111111" w:sz="6" w:space="0"/>
            </w:tcBorders>
          </w:tcPr>
          <w:p>
            <w:pPr>
              <w:adjustRightInd w:val="0"/>
              <w:snapToGrid w:val="0"/>
              <w:rPr>
                <w:rFonts w:ascii="宋体" w:cs="宋体"/>
                <w:color w:val="auto"/>
                <w:szCs w:val="21"/>
              </w:rPr>
            </w:pPr>
            <w:r>
              <w:rPr>
                <w:rFonts w:hint="eastAsia" w:ascii="宋体" w:hAnsi="宋体" w:cs="宋体"/>
                <w:color w:val="auto"/>
                <w:lang w:val="en-US" w:eastAsia="zh-CN"/>
              </w:rPr>
              <w:t>四</w:t>
            </w:r>
            <w:r>
              <w:rPr>
                <w:rFonts w:hint="eastAsia" w:ascii="宋体" w:hAnsi="宋体" w:cs="宋体"/>
                <w:color w:val="auto"/>
              </w:rPr>
              <w:t>．</w:t>
            </w:r>
            <w:r>
              <w:rPr>
                <w:rFonts w:hint="eastAsia" w:ascii="宋体" w:hAnsi="宋体"/>
                <w:color w:val="auto"/>
                <w:szCs w:val="21"/>
              </w:rPr>
              <w:t>投标人未被列入“信用中国”网站</w:t>
            </w:r>
            <w:r>
              <w:rPr>
                <w:rFonts w:ascii="宋体" w:hAnsi="宋体"/>
                <w:color w:val="auto"/>
                <w:szCs w:val="21"/>
              </w:rPr>
              <w:t>(www.creditchina.gov.cn)</w:t>
            </w:r>
            <w:r>
              <w:rPr>
                <w:rFonts w:hint="eastAsia" w:ascii="宋体" w:hAnsi="宋体"/>
                <w:color w:val="auto"/>
                <w:szCs w:val="21"/>
              </w:rPr>
              <w:t>“记录失信被执行人或重大税收违法案件当事人名单或政府采购严重违法失信行为”记录名单；不处于中国政府采购网</w:t>
            </w:r>
            <w:r>
              <w:rPr>
                <w:rFonts w:ascii="宋体" w:hAnsi="宋体"/>
                <w:color w:val="auto"/>
                <w:szCs w:val="21"/>
              </w:rPr>
              <w:t>(www.ccgp.gov.cn)</w:t>
            </w:r>
            <w:r>
              <w:rPr>
                <w:rFonts w:hint="eastAsia" w:ascii="宋体" w:hAnsi="宋体"/>
                <w:color w:val="auto"/>
                <w:szCs w:val="21"/>
              </w:rPr>
              <w:t>“政府采购严重违法失信行为信息记录”中的禁止参加政府采购活动期间。（以投标截止日当天在“信用中国”网站（</w:t>
            </w:r>
            <w:r>
              <w:rPr>
                <w:rFonts w:ascii="宋体" w:hAnsi="宋体"/>
                <w:color w:val="auto"/>
                <w:szCs w:val="21"/>
              </w:rPr>
              <w:t>www.creditchina.gov.cn</w:t>
            </w:r>
            <w:r>
              <w:rPr>
                <w:rFonts w:hint="eastAsia" w:ascii="宋体" w:hAnsi="宋体"/>
                <w:color w:val="auto"/>
                <w:szCs w:val="21"/>
              </w:rPr>
              <w:t>）</w:t>
            </w:r>
            <w:r>
              <w:rPr>
                <w:rFonts w:hint="eastAsia" w:ascii="宋体" w:hAnsi="宋体"/>
                <w:color w:val="auto"/>
              </w:rPr>
              <w:t>及中国政府采购网</w:t>
            </w:r>
            <w:r>
              <w:rPr>
                <w:rFonts w:hint="eastAsia" w:ascii="宋体" w:hAnsi="宋体"/>
                <w:color w:val="auto"/>
                <w:szCs w:val="21"/>
              </w:rPr>
              <w:t>查询结果为准，如相关失信记录已失效，投标人需提供相关证明资料）；</w:t>
            </w:r>
          </w:p>
        </w:tc>
        <w:tc>
          <w:tcPr>
            <w:tcW w:w="13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color w:val="auto"/>
                <w:szCs w:val="21"/>
              </w:rPr>
            </w:pPr>
            <w:r>
              <w:rPr>
                <w:rFonts w:hint="eastAsia" w:ascii="宋体" w:hAnsi="宋体" w:cs="Arial"/>
                <w:color w:val="auto"/>
                <w:szCs w:val="21"/>
              </w:rPr>
              <w:t>□</w:t>
            </w:r>
            <w:r>
              <w:rPr>
                <w:rFonts w:hint="eastAsia" w:ascii="宋体" w:hAnsi="宋体"/>
                <w:color w:val="auto"/>
                <w:szCs w:val="21"/>
              </w:rPr>
              <w:t>通过</w:t>
            </w:r>
          </w:p>
          <w:p>
            <w:pPr>
              <w:adjustRightInd w:val="0"/>
              <w:snapToGrid w:val="0"/>
              <w:rPr>
                <w:rFonts w:asci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color w:val="auto"/>
                <w:szCs w:val="21"/>
              </w:rPr>
            </w:pPr>
            <w:r>
              <w:rPr>
                <w:rFonts w:hint="eastAsia" w:ascii="宋体" w:hAnsi="宋体"/>
                <w:color w:val="auto"/>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tcBorders>
              <w:left w:val="single" w:color="auto" w:sz="12" w:space="0"/>
              <w:bottom w:val="outset" w:color="111111" w:sz="6" w:space="0"/>
              <w:right w:val="outset" w:color="111111" w:sz="6" w:space="0"/>
            </w:tcBorders>
            <w:vAlign w:val="center"/>
          </w:tcPr>
          <w:p>
            <w:pPr>
              <w:adjustRightInd w:val="0"/>
              <w:snapToGrid w:val="0"/>
              <w:rPr>
                <w:rFonts w:ascii="宋体" w:cs="宋体"/>
                <w:color w:val="auto"/>
                <w:szCs w:val="21"/>
              </w:rPr>
            </w:pPr>
          </w:p>
        </w:tc>
        <w:tc>
          <w:tcPr>
            <w:tcW w:w="4519" w:type="dxa"/>
            <w:tcBorders>
              <w:top w:val="outset" w:color="111111" w:sz="6" w:space="0"/>
              <w:left w:val="outset" w:color="111111" w:sz="6" w:space="0"/>
              <w:bottom w:val="outset" w:color="111111" w:sz="6" w:space="0"/>
              <w:right w:val="outset" w:color="111111" w:sz="6" w:space="0"/>
            </w:tcBorders>
          </w:tcPr>
          <w:p>
            <w:pPr>
              <w:adjustRightInd w:val="0"/>
              <w:snapToGrid w:val="0"/>
              <w:rPr>
                <w:rFonts w:ascii="宋体" w:cs="宋体"/>
                <w:color w:val="auto"/>
                <w:szCs w:val="21"/>
              </w:rPr>
            </w:pPr>
            <w:r>
              <w:rPr>
                <w:rFonts w:hint="eastAsia" w:ascii="宋体" w:hAnsi="宋体" w:cs="宋体"/>
                <w:color w:val="auto"/>
                <w:szCs w:val="21"/>
                <w:lang w:val="en-US" w:eastAsia="zh-CN"/>
              </w:rPr>
              <w:t>五</w:t>
            </w:r>
            <w:r>
              <w:rPr>
                <w:rFonts w:ascii="宋体" w:cs="宋体"/>
                <w:color w:val="auto"/>
                <w:szCs w:val="21"/>
              </w:rPr>
              <w:t>.</w:t>
            </w:r>
            <w:r>
              <w:rPr>
                <w:rFonts w:hint="eastAsia" w:ascii="宋体" w:hAnsi="宋体" w:cs="宋体"/>
                <w:color w:val="auto"/>
              </w:rPr>
              <w:t>采购文件要求的其他资格条件证明材料（如有）；</w:t>
            </w:r>
          </w:p>
        </w:tc>
        <w:tc>
          <w:tcPr>
            <w:tcW w:w="13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color w:val="auto"/>
                <w:szCs w:val="21"/>
              </w:rPr>
            </w:pPr>
            <w:r>
              <w:rPr>
                <w:rFonts w:hint="eastAsia" w:ascii="宋体" w:hAnsi="宋体" w:cs="Arial"/>
                <w:color w:val="auto"/>
                <w:szCs w:val="21"/>
              </w:rPr>
              <w:t>□</w:t>
            </w:r>
            <w:r>
              <w:rPr>
                <w:rFonts w:hint="eastAsia" w:ascii="宋体" w:hAnsi="宋体"/>
                <w:color w:val="auto"/>
                <w:szCs w:val="21"/>
              </w:rPr>
              <w:t>通过</w:t>
            </w:r>
          </w:p>
          <w:p>
            <w:pPr>
              <w:adjustRightInd w:val="0"/>
              <w:snapToGrid w:val="0"/>
              <w:rPr>
                <w:rFonts w:asci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color w:val="auto"/>
                <w:szCs w:val="21"/>
              </w:rPr>
            </w:pPr>
            <w:r>
              <w:rPr>
                <w:rFonts w:hint="eastAsia" w:ascii="宋体" w:hAnsi="宋体"/>
                <w:color w:val="auto"/>
                <w:szCs w:val="21"/>
              </w:rPr>
              <w:t>第（）页</w:t>
            </w:r>
          </w:p>
        </w:tc>
      </w:tr>
    </w:tbl>
    <w:p>
      <w:pPr>
        <w:adjustRightInd w:val="0"/>
        <w:snapToGrid w:val="0"/>
        <w:spacing w:line="440" w:lineRule="exact"/>
        <w:rPr>
          <w:rFonts w:ascii="宋体"/>
          <w:b/>
          <w:color w:val="auto"/>
          <w:szCs w:val="21"/>
        </w:rPr>
      </w:pPr>
      <w:r>
        <w:rPr>
          <w:rFonts w:hint="eastAsia" w:ascii="宋体" w:hAnsi="宋体"/>
          <w:b/>
          <w:color w:val="auto"/>
          <w:szCs w:val="21"/>
        </w:rPr>
        <w:t>备注：资格条件自查表将作为投标人有效性审查的重要内容之一，投标人必须严格按照其内容及序列要求在投标文件中对应如实提供！</w:t>
      </w:r>
    </w:p>
    <w:p>
      <w:pPr>
        <w:pStyle w:val="5"/>
        <w:spacing w:line="240" w:lineRule="auto"/>
        <w:rPr>
          <w:rFonts w:hAnsi="宋体"/>
          <w:color w:val="auto"/>
          <w:sz w:val="24"/>
          <w:szCs w:val="24"/>
        </w:rPr>
      </w:pPr>
    </w:p>
    <w:p>
      <w:pPr>
        <w:snapToGrid w:val="0"/>
        <w:spacing w:line="400" w:lineRule="exact"/>
        <w:rPr>
          <w:rFonts w:ascii="宋体" w:hAnsi="宋体" w:cs="宋体"/>
          <w:color w:val="auto"/>
          <w:szCs w:val="21"/>
        </w:rPr>
      </w:pPr>
      <w:bookmarkStart w:id="68" w:name="_Toc463726846"/>
      <w:bookmarkStart w:id="69" w:name="_Toc25845"/>
      <w:bookmarkStart w:id="70" w:name="_Toc14330"/>
      <w:bookmarkStart w:id="71" w:name="_Toc20947"/>
    </w:p>
    <w:p>
      <w:pPr>
        <w:snapToGrid w:val="0"/>
        <w:spacing w:line="400" w:lineRule="exact"/>
        <w:rPr>
          <w:rFonts w:ascii="宋体" w:hAnsi="宋体" w:cs="宋体"/>
          <w:color w:val="auto"/>
          <w:szCs w:val="21"/>
        </w:rPr>
      </w:pPr>
    </w:p>
    <w:p>
      <w:pPr>
        <w:snapToGrid w:val="0"/>
        <w:spacing w:line="400" w:lineRule="exact"/>
        <w:rPr>
          <w:rFonts w:ascii="宋体" w:hAnsi="宋体" w:cs="宋体"/>
          <w:color w:val="auto"/>
          <w:szCs w:val="21"/>
        </w:rPr>
      </w:pPr>
    </w:p>
    <w:p>
      <w:pPr>
        <w:snapToGrid w:val="0"/>
        <w:spacing w:line="400" w:lineRule="exact"/>
        <w:rPr>
          <w:rFonts w:ascii="宋体" w:hAnsi="宋体" w:cs="宋体"/>
          <w:color w:val="auto"/>
          <w:szCs w:val="21"/>
        </w:rPr>
      </w:pPr>
    </w:p>
    <w:p>
      <w:pPr>
        <w:snapToGrid w:val="0"/>
        <w:spacing w:line="400" w:lineRule="exact"/>
        <w:rPr>
          <w:rFonts w:ascii="宋体" w:hAnsi="宋体" w:cs="宋体"/>
          <w:color w:val="auto"/>
          <w:szCs w:val="21"/>
        </w:rPr>
      </w:pPr>
    </w:p>
    <w:p>
      <w:pPr>
        <w:snapToGrid w:val="0"/>
        <w:spacing w:line="400" w:lineRule="exact"/>
        <w:rPr>
          <w:rFonts w:ascii="宋体" w:hAnsi="宋体" w:cs="宋体"/>
          <w:color w:val="auto"/>
          <w:szCs w:val="21"/>
        </w:rPr>
      </w:pPr>
    </w:p>
    <w:p>
      <w:pPr>
        <w:snapToGrid w:val="0"/>
        <w:spacing w:line="400" w:lineRule="exact"/>
        <w:rPr>
          <w:rFonts w:ascii="宋体" w:hAnsi="宋体" w:cs="宋体"/>
          <w:color w:val="auto"/>
          <w:szCs w:val="21"/>
        </w:rPr>
      </w:pPr>
    </w:p>
    <w:p>
      <w:pPr>
        <w:snapToGrid w:val="0"/>
        <w:spacing w:line="400" w:lineRule="exact"/>
        <w:rPr>
          <w:rFonts w:ascii="宋体" w:hAnsi="宋体" w:cs="宋体"/>
          <w:color w:val="auto"/>
          <w:szCs w:val="21"/>
        </w:rPr>
      </w:pPr>
    </w:p>
    <w:p>
      <w:pPr>
        <w:snapToGrid w:val="0"/>
        <w:spacing w:line="400" w:lineRule="exact"/>
        <w:rPr>
          <w:rFonts w:ascii="宋体" w:hAnsi="宋体" w:cs="宋体"/>
          <w:color w:val="auto"/>
          <w:szCs w:val="21"/>
        </w:rPr>
      </w:pPr>
    </w:p>
    <w:p>
      <w:pPr>
        <w:snapToGrid w:val="0"/>
        <w:spacing w:line="400" w:lineRule="exact"/>
        <w:rPr>
          <w:rFonts w:ascii="宋体" w:hAnsi="宋体" w:cs="宋体"/>
          <w:color w:val="auto"/>
          <w:szCs w:val="21"/>
        </w:rPr>
      </w:pPr>
    </w:p>
    <w:p>
      <w:pPr>
        <w:pStyle w:val="37"/>
        <w:rPr>
          <w:rFonts w:ascii="宋体" w:hAnsi="宋体" w:cs="宋体"/>
          <w:color w:val="auto"/>
          <w:szCs w:val="21"/>
        </w:rPr>
      </w:pPr>
    </w:p>
    <w:p>
      <w:pPr>
        <w:pStyle w:val="37"/>
        <w:rPr>
          <w:rFonts w:ascii="宋体" w:hAnsi="宋体" w:cs="宋体"/>
          <w:color w:val="auto"/>
          <w:szCs w:val="21"/>
        </w:rPr>
      </w:pPr>
    </w:p>
    <w:p>
      <w:pPr>
        <w:pStyle w:val="37"/>
        <w:rPr>
          <w:rFonts w:ascii="宋体" w:hAnsi="宋体" w:cs="宋体"/>
          <w:color w:val="auto"/>
          <w:szCs w:val="21"/>
        </w:rPr>
      </w:pPr>
    </w:p>
    <w:p>
      <w:pPr>
        <w:pStyle w:val="37"/>
        <w:rPr>
          <w:rFonts w:ascii="宋体" w:hAnsi="宋体" w:cs="宋体"/>
          <w:color w:val="auto"/>
          <w:szCs w:val="21"/>
        </w:rPr>
      </w:pPr>
    </w:p>
    <w:p>
      <w:pPr>
        <w:pStyle w:val="37"/>
        <w:rPr>
          <w:rFonts w:ascii="宋体" w:hAnsi="宋体" w:cs="宋体"/>
          <w:color w:val="auto"/>
          <w:szCs w:val="21"/>
        </w:rPr>
      </w:pPr>
    </w:p>
    <w:p>
      <w:pPr>
        <w:pStyle w:val="37"/>
        <w:rPr>
          <w:rFonts w:ascii="宋体" w:hAnsi="宋体" w:cs="宋体"/>
          <w:color w:val="auto"/>
          <w:szCs w:val="21"/>
        </w:rPr>
      </w:pPr>
    </w:p>
    <w:p>
      <w:pPr>
        <w:pStyle w:val="37"/>
        <w:rPr>
          <w:rFonts w:ascii="宋体" w:hAnsi="宋体" w:cs="宋体"/>
          <w:color w:val="auto"/>
          <w:szCs w:val="21"/>
        </w:rPr>
      </w:pPr>
    </w:p>
    <w:p>
      <w:pPr>
        <w:pStyle w:val="37"/>
        <w:rPr>
          <w:rFonts w:ascii="宋体" w:hAnsi="宋体" w:cs="宋体"/>
          <w:color w:val="auto"/>
          <w:szCs w:val="21"/>
        </w:rPr>
      </w:pPr>
    </w:p>
    <w:p>
      <w:pPr>
        <w:pStyle w:val="37"/>
        <w:rPr>
          <w:rFonts w:ascii="宋体" w:hAnsi="宋体" w:cs="宋体"/>
          <w:color w:val="auto"/>
          <w:szCs w:val="21"/>
        </w:rPr>
      </w:pPr>
    </w:p>
    <w:p>
      <w:pPr>
        <w:pStyle w:val="37"/>
        <w:rPr>
          <w:rFonts w:ascii="宋体" w:hAnsi="宋体" w:cs="宋体"/>
          <w:color w:val="auto"/>
          <w:szCs w:val="21"/>
        </w:rPr>
      </w:pPr>
    </w:p>
    <w:p>
      <w:pPr>
        <w:snapToGrid w:val="0"/>
        <w:spacing w:line="400" w:lineRule="exact"/>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snapToGrid w:val="0"/>
        <w:spacing w:line="400" w:lineRule="exact"/>
        <w:rPr>
          <w:rFonts w:ascii="宋体" w:cs="宋体"/>
          <w:color w:val="auto"/>
          <w:szCs w:val="21"/>
        </w:rPr>
      </w:pPr>
      <w:r>
        <w:rPr>
          <w:rFonts w:hint="eastAsia" w:ascii="宋体" w:hAnsi="宋体" w:cs="宋体"/>
          <w:color w:val="auto"/>
          <w:szCs w:val="21"/>
        </w:rPr>
        <w:t>格式一：投标声明书</w:t>
      </w:r>
      <w:bookmarkEnd w:id="68"/>
      <w:bookmarkEnd w:id="69"/>
      <w:bookmarkEnd w:id="70"/>
      <w:bookmarkEnd w:id="71"/>
    </w:p>
    <w:p>
      <w:pPr>
        <w:snapToGrid w:val="0"/>
        <w:spacing w:line="400" w:lineRule="exact"/>
        <w:jc w:val="center"/>
        <w:rPr>
          <w:rFonts w:ascii="宋体" w:cs="宋体"/>
          <w:b/>
          <w:bCs/>
          <w:color w:val="auto"/>
          <w:sz w:val="28"/>
          <w:szCs w:val="28"/>
        </w:rPr>
      </w:pPr>
      <w:r>
        <w:rPr>
          <w:rFonts w:hint="eastAsia" w:ascii="宋体" w:hAnsi="宋体" w:cs="宋体"/>
          <w:b/>
          <w:bCs/>
          <w:color w:val="auto"/>
          <w:sz w:val="28"/>
          <w:szCs w:val="28"/>
        </w:rPr>
        <w:t>投标声明书</w:t>
      </w:r>
    </w:p>
    <w:p>
      <w:pPr>
        <w:snapToGrid w:val="0"/>
        <w:spacing w:line="400" w:lineRule="exact"/>
        <w:rPr>
          <w:rFonts w:ascii="宋体" w:cs="宋体"/>
          <w:color w:val="auto"/>
          <w:szCs w:val="21"/>
        </w:rPr>
      </w:pPr>
    </w:p>
    <w:p>
      <w:pPr>
        <w:snapToGrid w:val="0"/>
        <w:spacing w:line="360" w:lineRule="auto"/>
        <w:rPr>
          <w:rFonts w:ascii="宋体" w:cs="宋体"/>
          <w:color w:val="auto"/>
          <w:szCs w:val="21"/>
        </w:rPr>
      </w:pPr>
      <w:r>
        <w:rPr>
          <w:rFonts w:hint="eastAsia" w:ascii="宋体" w:hAnsi="宋体" w:cs="宋体"/>
          <w:color w:val="auto"/>
          <w:szCs w:val="21"/>
        </w:rPr>
        <w:t>致</w:t>
      </w:r>
      <w:r>
        <w:rPr>
          <w:rFonts w:hint="eastAsia" w:ascii="宋体" w:hAnsi="宋体" w:cs="宋体"/>
          <w:color w:val="auto"/>
          <w:szCs w:val="21"/>
          <w:u w:val="single"/>
          <w:lang w:eastAsia="zh-CN"/>
        </w:rPr>
        <w:t>宁波中屹工程管理咨询有限公司</w:t>
      </w:r>
      <w:r>
        <w:rPr>
          <w:rFonts w:hint="eastAsia" w:ascii="宋体" w:hAnsi="宋体" w:cs="宋体"/>
          <w:color w:val="auto"/>
          <w:szCs w:val="21"/>
        </w:rPr>
        <w:t>：</w:t>
      </w:r>
    </w:p>
    <w:p>
      <w:pPr>
        <w:snapToGrid w:val="0"/>
        <w:spacing w:line="360" w:lineRule="auto"/>
        <w:rPr>
          <w:rFonts w:ascii="宋体" w:cs="宋体"/>
          <w:color w:val="auto"/>
          <w:szCs w:val="21"/>
        </w:rPr>
      </w:pPr>
      <w:r>
        <w:rPr>
          <w:rFonts w:hint="eastAsia" w:ascii="宋体" w:hAnsi="宋体" w:cs="宋体"/>
          <w:color w:val="auto"/>
          <w:szCs w:val="21"/>
        </w:rPr>
        <w:t>（投标人名称）系中华人民共和国合法企业，经营地址。</w:t>
      </w:r>
    </w:p>
    <w:p>
      <w:pPr>
        <w:snapToGrid w:val="0"/>
        <w:spacing w:line="360" w:lineRule="auto"/>
        <w:ind w:firstLine="420" w:firstLineChars="200"/>
        <w:rPr>
          <w:rFonts w:ascii="宋体" w:cs="宋体"/>
          <w:color w:val="auto"/>
          <w:szCs w:val="21"/>
        </w:rPr>
      </w:pPr>
      <w:r>
        <w:rPr>
          <w:rFonts w:hint="eastAsia" w:ascii="宋体" w:hAnsi="宋体" w:cs="宋体"/>
          <w:color w:val="auto"/>
          <w:szCs w:val="21"/>
        </w:rPr>
        <w:t>我</w:t>
      </w:r>
      <w:r>
        <w:rPr>
          <w:rFonts w:hint="eastAsia" w:ascii="宋体" w:hAnsi="宋体" w:cs="宋体"/>
          <w:color w:val="auto"/>
          <w:szCs w:val="21"/>
          <w:u w:val="single"/>
        </w:rPr>
        <w:t>（姓名）</w:t>
      </w:r>
      <w:r>
        <w:rPr>
          <w:rFonts w:hint="eastAsia" w:ascii="宋体" w:hAnsi="宋体" w:cs="宋体"/>
          <w:color w:val="auto"/>
          <w:szCs w:val="21"/>
        </w:rPr>
        <w:t>系</w:t>
      </w:r>
      <w:r>
        <w:rPr>
          <w:rFonts w:hint="eastAsia" w:ascii="宋体" w:hAnsi="宋体" w:cs="宋体"/>
          <w:color w:val="auto"/>
          <w:szCs w:val="21"/>
          <w:u w:val="single"/>
        </w:rPr>
        <w:t>（投标人名称）</w:t>
      </w:r>
      <w:r>
        <w:rPr>
          <w:rFonts w:hint="eastAsia" w:ascii="宋体" w:hAnsi="宋体" w:cs="宋体"/>
          <w:color w:val="auto"/>
          <w:szCs w:val="21"/>
        </w:rPr>
        <w:t>的法定代表人，我方愿意参加贵方组织的项目的投标，为便于贵方公正、择优地确定中标人及其投标产品和服务，我方就本次投标有关事项郑重声明如下：</w:t>
      </w:r>
    </w:p>
    <w:p>
      <w:pPr>
        <w:snapToGrid w:val="0"/>
        <w:spacing w:line="360" w:lineRule="auto"/>
        <w:ind w:firstLine="424" w:firstLineChars="202"/>
        <w:rPr>
          <w:rFonts w:ascii="宋体"/>
          <w:color w:val="auto"/>
        </w:rPr>
      </w:pPr>
      <w:r>
        <w:rPr>
          <w:rFonts w:hint="eastAsia" w:ascii="宋体" w:hAnsi="宋体"/>
          <w:color w:val="auto"/>
        </w:rPr>
        <w:t>本公司（企业）具备</w:t>
      </w:r>
      <w:r>
        <w:rPr>
          <w:rFonts w:hint="eastAsia" w:ascii="宋体" w:hAnsi="宋体"/>
          <w:bCs/>
          <w:color w:val="auto"/>
          <w:szCs w:val="21"/>
        </w:rPr>
        <w:t>《中华人民共和国政府采购法》第二十二条资格条件，</w:t>
      </w:r>
      <w:r>
        <w:rPr>
          <w:rFonts w:hint="eastAsia" w:ascii="宋体" w:hAnsi="宋体"/>
          <w:color w:val="auto"/>
        </w:rPr>
        <w:t>并已清楚采购文件的要求及有关文件规定。</w:t>
      </w:r>
    </w:p>
    <w:p>
      <w:pPr>
        <w:snapToGrid w:val="0"/>
        <w:spacing w:line="360" w:lineRule="auto"/>
        <w:ind w:firstLine="424" w:firstLineChars="202"/>
        <w:rPr>
          <w:rFonts w:ascii="宋体"/>
          <w:color w:val="auto"/>
        </w:rPr>
      </w:pPr>
      <w:r>
        <w:rPr>
          <w:rFonts w:hint="eastAsia" w:ascii="宋体" w:hAnsi="宋体"/>
          <w:color w:val="auto"/>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color w:val="auto"/>
        </w:rPr>
      </w:pPr>
      <w:r>
        <w:rPr>
          <w:rFonts w:hint="eastAsia" w:ascii="宋体" w:hAnsi="宋体"/>
          <w:color w:val="auto"/>
          <w:szCs w:val="21"/>
        </w:rPr>
        <w:t>根据《中华人民共和国政府采购法</w:t>
      </w:r>
      <w:r>
        <w:rPr>
          <w:rFonts w:hint="eastAsia" w:ascii="宋体" w:hAnsi="宋体"/>
          <w:color w:val="auto"/>
        </w:rPr>
        <w:t>实施条例》的规定，本公司（企业）如为本采购项目提供整体设计、规范编制或者项目管理、监理、检测等服务的投标人，不得再参加该采购项目的其他采购活动。否则，由此所造成的损失、不良后果及法律责任，一律由我公司（企业）承担。</w:t>
      </w:r>
    </w:p>
    <w:p>
      <w:pPr>
        <w:snapToGrid w:val="0"/>
        <w:spacing w:line="360" w:lineRule="auto"/>
        <w:ind w:firstLine="426" w:firstLineChars="202"/>
        <w:rPr>
          <w:rFonts w:ascii="宋体"/>
          <w:color w:val="auto"/>
        </w:rPr>
      </w:pPr>
      <w:r>
        <w:rPr>
          <w:rFonts w:hint="eastAsia" w:ascii="宋体" w:hAnsi="宋体"/>
          <w:b/>
          <w:color w:val="auto"/>
        </w:rPr>
        <w:t>本公司（企业）具有履行合同所必需的设备和专业技术能力，且本公司（企业）参加政府采购活动前</w:t>
      </w:r>
      <w:r>
        <w:rPr>
          <w:rFonts w:ascii="宋体" w:hAnsi="宋体"/>
          <w:b/>
          <w:color w:val="auto"/>
        </w:rPr>
        <w:t>3</w:t>
      </w:r>
      <w:r>
        <w:rPr>
          <w:rFonts w:hint="eastAsia" w:ascii="宋体" w:hAnsi="宋体"/>
          <w:b/>
          <w:color w:val="auto"/>
        </w:rPr>
        <w:t>年内在经营活动中没有重大违法记录。</w:t>
      </w:r>
      <w:r>
        <w:rPr>
          <w:rFonts w:hint="eastAsia" w:ascii="宋体" w:hAnsi="宋体"/>
          <w:color w:val="auto"/>
        </w:rPr>
        <w:t>否则，由此所造成的损失、不良后果及法律责任，一律由我公司（企业）承担。</w:t>
      </w:r>
    </w:p>
    <w:p>
      <w:pPr>
        <w:snapToGrid w:val="0"/>
        <w:spacing w:line="360" w:lineRule="auto"/>
        <w:ind w:firstLine="426" w:firstLineChars="202"/>
        <w:rPr>
          <w:rFonts w:ascii="宋体"/>
          <w:b/>
          <w:bCs/>
          <w:color w:val="auto"/>
        </w:rPr>
      </w:pPr>
      <w:r>
        <w:rPr>
          <w:rFonts w:hint="eastAsia" w:ascii="宋体" w:hAnsi="宋体"/>
          <w:b/>
          <w:bCs/>
          <w:color w:val="auto"/>
        </w:rPr>
        <w:t>本公司（企业）</w:t>
      </w:r>
      <w:r>
        <w:rPr>
          <w:rFonts w:hint="eastAsia" w:ascii="宋体" w:hAnsi="宋体"/>
          <w:b/>
          <w:bCs/>
          <w:color w:val="auto"/>
          <w:szCs w:val="21"/>
        </w:rPr>
        <w:t>未被列入“信用中国”网站</w:t>
      </w:r>
      <w:r>
        <w:rPr>
          <w:rFonts w:ascii="宋体" w:hAnsi="宋体"/>
          <w:b/>
          <w:bCs/>
          <w:color w:val="auto"/>
          <w:szCs w:val="21"/>
        </w:rPr>
        <w:t>(www.creditchina.gov.cn)</w:t>
      </w:r>
      <w:r>
        <w:rPr>
          <w:rFonts w:hint="eastAsia" w:ascii="宋体" w:hAnsi="宋体"/>
          <w:b/>
          <w:bCs/>
          <w:color w:val="auto"/>
          <w:szCs w:val="21"/>
        </w:rPr>
        <w:t>“记录失信被执行人或重大税收违法案件当事人名单或政府采购严重违法失信行为”记录名单；不处于中国政府采购网</w:t>
      </w:r>
      <w:r>
        <w:rPr>
          <w:rFonts w:ascii="宋体" w:hAnsi="宋体"/>
          <w:b/>
          <w:bCs/>
          <w:color w:val="auto"/>
          <w:szCs w:val="21"/>
        </w:rPr>
        <w:t>(www.ccgp.gov.cn)</w:t>
      </w:r>
      <w:r>
        <w:rPr>
          <w:rFonts w:hint="eastAsia" w:ascii="宋体" w:hAnsi="宋体"/>
          <w:b/>
          <w:bCs/>
          <w:color w:val="auto"/>
          <w:szCs w:val="21"/>
        </w:rPr>
        <w:t>“政府采购严重违法失信行为信息记录”中的禁止参加政府采购活动期间。</w:t>
      </w:r>
      <w:r>
        <w:rPr>
          <w:rFonts w:hint="eastAsia" w:ascii="宋体" w:hAnsi="宋体"/>
          <w:b/>
          <w:bCs/>
          <w:color w:val="auto"/>
        </w:rPr>
        <w:t>否则，由此所造成的损失、不良后果及法律责任，一律由我公司（企业）承担。</w:t>
      </w:r>
    </w:p>
    <w:p>
      <w:pPr>
        <w:snapToGrid w:val="0"/>
        <w:spacing w:line="360" w:lineRule="auto"/>
        <w:ind w:firstLine="426" w:firstLineChars="202"/>
        <w:rPr>
          <w:rFonts w:ascii="宋体"/>
          <w:b/>
          <w:bCs/>
          <w:color w:val="auto"/>
        </w:rPr>
      </w:pPr>
      <w:r>
        <w:rPr>
          <w:rFonts w:hint="eastAsia" w:ascii="宋体" w:hAnsi="宋体"/>
          <w:b/>
          <w:bCs/>
          <w:color w:val="auto"/>
        </w:rPr>
        <w:t>本公司（企业）及法定代表人未被列入“全国法院失信被执行人名单”（</w:t>
      </w:r>
      <w:r>
        <w:rPr>
          <w:rFonts w:ascii="宋体" w:hAnsi="宋体"/>
          <w:b/>
          <w:bCs/>
          <w:color w:val="auto"/>
        </w:rPr>
        <w:t>http://shixin.court.gov.cn/</w:t>
      </w:r>
      <w:r>
        <w:rPr>
          <w:rFonts w:hint="eastAsia" w:ascii="宋体" w:hAnsi="宋体"/>
          <w:b/>
          <w:bCs/>
          <w:color w:val="auto"/>
        </w:rPr>
        <w:t>网站查询为准）。否则，由此所造成的损失、不良后果及法律责任，一律由我公司（企业）承担。</w:t>
      </w:r>
    </w:p>
    <w:p>
      <w:pPr>
        <w:snapToGrid w:val="0"/>
        <w:spacing w:line="360" w:lineRule="auto"/>
        <w:ind w:firstLine="424" w:firstLineChars="202"/>
        <w:rPr>
          <w:rFonts w:ascii="宋体"/>
          <w:color w:val="auto"/>
        </w:rPr>
      </w:pPr>
      <w:r>
        <w:rPr>
          <w:rFonts w:hint="eastAsia" w:ascii="宋体" w:hAnsi="宋体"/>
          <w:color w:val="auto"/>
        </w:rPr>
        <w:t>本次招标采购活动中，如有违法、违规、弄虚作假行为，所造成的损失、不良后果及法律责任，一律由我公司（企业）承担。</w:t>
      </w:r>
    </w:p>
    <w:p>
      <w:pPr>
        <w:spacing w:line="360" w:lineRule="auto"/>
        <w:ind w:firstLine="420"/>
        <w:rPr>
          <w:rFonts w:ascii="宋体"/>
          <w:b/>
          <w:color w:val="auto"/>
        </w:rPr>
      </w:pPr>
      <w:r>
        <w:rPr>
          <w:rFonts w:hint="eastAsia" w:ascii="宋体" w:hAnsi="宋体"/>
          <w:b/>
          <w:color w:val="auto"/>
        </w:rPr>
        <w:t>特此声明！</w:t>
      </w:r>
    </w:p>
    <w:p>
      <w:pPr>
        <w:snapToGrid w:val="0"/>
        <w:spacing w:line="360" w:lineRule="auto"/>
        <w:rPr>
          <w:rFonts w:ascii="宋体" w:cs="宋体"/>
          <w:color w:val="auto"/>
          <w:szCs w:val="21"/>
        </w:rPr>
      </w:pPr>
    </w:p>
    <w:p>
      <w:pPr>
        <w:snapToGrid w:val="0"/>
        <w:spacing w:line="360" w:lineRule="auto"/>
        <w:rPr>
          <w:rFonts w:ascii="宋体" w:cs="宋体"/>
          <w:color w:val="auto"/>
          <w:szCs w:val="21"/>
        </w:rPr>
      </w:pPr>
      <w:r>
        <w:rPr>
          <w:rFonts w:hint="eastAsia" w:ascii="宋体" w:hAnsi="宋体" w:cs="宋体"/>
          <w:color w:val="auto"/>
          <w:szCs w:val="21"/>
        </w:rPr>
        <w:t>法定代表人或授权代表（签字）：</w:t>
      </w:r>
    </w:p>
    <w:p>
      <w:pPr>
        <w:snapToGrid w:val="0"/>
        <w:spacing w:line="360" w:lineRule="auto"/>
        <w:rPr>
          <w:rFonts w:ascii="宋体" w:cs="宋体"/>
          <w:color w:val="auto"/>
          <w:szCs w:val="21"/>
        </w:rPr>
      </w:pPr>
      <w:r>
        <w:rPr>
          <w:rFonts w:hint="eastAsia" w:ascii="宋体" w:hAnsi="宋体" w:cs="宋体"/>
          <w:color w:val="auto"/>
          <w:szCs w:val="21"/>
        </w:rPr>
        <w:t>投标人全称（加盖公章）：</w:t>
      </w:r>
    </w:p>
    <w:p>
      <w:pPr>
        <w:snapToGrid w:val="0"/>
        <w:spacing w:line="360" w:lineRule="auto"/>
        <w:rPr>
          <w:rFonts w:ascii="宋体" w:cs="宋体"/>
          <w:color w:val="auto"/>
          <w:szCs w:val="21"/>
        </w:rPr>
      </w:pPr>
      <w:r>
        <w:rPr>
          <w:rFonts w:hint="eastAsia" w:ascii="宋体" w:hAnsi="宋体" w:cs="宋体"/>
          <w:color w:val="auto"/>
          <w:szCs w:val="21"/>
        </w:rPr>
        <w:t>年月日</w:t>
      </w:r>
    </w:p>
    <w:p>
      <w:pPr>
        <w:spacing w:line="360" w:lineRule="auto"/>
        <w:rPr>
          <w:rFonts w:ascii="宋体"/>
          <w:bCs/>
          <w:color w:val="auto"/>
        </w:rPr>
      </w:pPr>
      <w:r>
        <w:rPr>
          <w:rFonts w:ascii="宋体" w:cs="宋体"/>
          <w:color w:val="auto"/>
          <w:szCs w:val="21"/>
        </w:rPr>
        <w:br w:type="page"/>
      </w:r>
      <w:r>
        <w:rPr>
          <w:rFonts w:hint="eastAsia" w:ascii="宋体" w:hAnsi="宋体" w:cs="宋体"/>
          <w:color w:val="auto"/>
          <w:szCs w:val="21"/>
        </w:rPr>
        <w:t>格式二：</w:t>
      </w:r>
      <w:r>
        <w:rPr>
          <w:rFonts w:hint="eastAsia" w:ascii="宋体" w:hAnsi="宋体"/>
          <w:bCs/>
          <w:color w:val="auto"/>
        </w:rPr>
        <w:t>《中华人民共和国政府采购法》第二十二条规定的投标人资格条件</w:t>
      </w:r>
    </w:p>
    <w:p>
      <w:pPr>
        <w:spacing w:line="360" w:lineRule="auto"/>
        <w:ind w:firstLine="420" w:firstLineChars="200"/>
        <w:rPr>
          <w:color w:val="auto"/>
        </w:rPr>
      </w:pPr>
    </w:p>
    <w:p>
      <w:pPr>
        <w:spacing w:line="360" w:lineRule="auto"/>
        <w:ind w:firstLine="420" w:firstLineChars="200"/>
        <w:rPr>
          <w:color w:val="auto"/>
        </w:rPr>
      </w:pPr>
      <w:r>
        <w:rPr>
          <w:rFonts w:hint="eastAsia"/>
          <w:color w:val="auto"/>
        </w:rPr>
        <w:t>（</w:t>
      </w:r>
      <w:r>
        <w:rPr>
          <w:color w:val="auto"/>
        </w:rPr>
        <w:t>1</w:t>
      </w:r>
      <w:r>
        <w:rPr>
          <w:rFonts w:hint="eastAsia"/>
          <w:color w:val="auto"/>
        </w:rPr>
        <w:t>）有效的</w:t>
      </w:r>
      <w:r>
        <w:rPr>
          <w:rFonts w:hint="eastAsia" w:ascii="宋体" w:hAnsi="宋体" w:cs="宋体"/>
          <w:color w:val="auto"/>
          <w:szCs w:val="21"/>
        </w:rPr>
        <w:t>企业法人营业执照或事业单位法人</w:t>
      </w:r>
      <w:r>
        <w:rPr>
          <w:rFonts w:hint="eastAsia"/>
          <w:color w:val="auto"/>
        </w:rPr>
        <w:t>证书复印件；</w:t>
      </w:r>
    </w:p>
    <w:p>
      <w:pPr>
        <w:spacing w:line="360" w:lineRule="auto"/>
        <w:ind w:firstLine="420" w:firstLineChars="200"/>
        <w:rPr>
          <w:color w:val="auto"/>
        </w:rPr>
      </w:pPr>
      <w:r>
        <w:rPr>
          <w:rFonts w:hint="eastAsia"/>
          <w:color w:val="auto"/>
        </w:rPr>
        <w:t>（</w:t>
      </w:r>
      <w:r>
        <w:rPr>
          <w:color w:val="auto"/>
        </w:rPr>
        <w:t>2</w:t>
      </w:r>
      <w:r>
        <w:rPr>
          <w:rFonts w:hint="eastAsia"/>
          <w:color w:val="auto"/>
        </w:rPr>
        <w:t>）</w:t>
      </w:r>
      <w:r>
        <w:rPr>
          <w:rFonts w:hint="eastAsia"/>
          <w:color w:val="auto"/>
          <w:lang w:val="en-US" w:eastAsia="zh-CN"/>
        </w:rPr>
        <w:t>2021</w:t>
      </w:r>
      <w:r>
        <w:rPr>
          <w:rFonts w:hint="eastAsia"/>
          <w:color w:val="auto"/>
        </w:rPr>
        <w:t>年财务状况报告复印件，其他组织或投标人新成立不足一年，提供银行出具的资信证明材料复印件；</w:t>
      </w:r>
    </w:p>
    <w:p>
      <w:pPr>
        <w:spacing w:line="360" w:lineRule="auto"/>
        <w:ind w:firstLine="420" w:firstLineChars="200"/>
        <w:rPr>
          <w:color w:val="auto"/>
        </w:rPr>
      </w:pPr>
      <w:r>
        <w:rPr>
          <w:rFonts w:hint="eastAsia"/>
          <w:color w:val="auto"/>
        </w:rPr>
        <w:t>（</w:t>
      </w:r>
      <w:r>
        <w:rPr>
          <w:color w:val="auto"/>
        </w:rPr>
        <w:t>3</w:t>
      </w:r>
      <w:r>
        <w:rPr>
          <w:rFonts w:hint="eastAsia"/>
          <w:color w:val="auto"/>
        </w:rPr>
        <w:t>）202</w:t>
      </w:r>
      <w:r>
        <w:rPr>
          <w:rFonts w:hint="eastAsia"/>
          <w:color w:val="auto"/>
          <w:lang w:val="en-US" w:eastAsia="zh-CN"/>
        </w:rPr>
        <w:t>2</w:t>
      </w:r>
      <w:r>
        <w:rPr>
          <w:rFonts w:hint="eastAsia"/>
          <w:color w:val="auto"/>
        </w:rPr>
        <w:t>年开具的缴纳税收的凭据证明材料复印件；如依法免税的，应提供相应文件证明其依法免税；</w:t>
      </w:r>
    </w:p>
    <w:p>
      <w:pPr>
        <w:spacing w:line="360" w:lineRule="auto"/>
        <w:ind w:firstLine="420" w:firstLineChars="200"/>
        <w:rPr>
          <w:color w:val="auto"/>
        </w:rPr>
      </w:pPr>
      <w:r>
        <w:rPr>
          <w:rFonts w:hint="eastAsia"/>
          <w:color w:val="auto"/>
        </w:rPr>
        <w:t>（</w:t>
      </w:r>
      <w:r>
        <w:rPr>
          <w:color w:val="auto"/>
        </w:rPr>
        <w:t>4</w:t>
      </w:r>
      <w:r>
        <w:rPr>
          <w:rFonts w:hint="eastAsia"/>
          <w:color w:val="auto"/>
        </w:rPr>
        <w:t>）202</w:t>
      </w:r>
      <w:r>
        <w:rPr>
          <w:rFonts w:hint="eastAsia"/>
          <w:color w:val="auto"/>
          <w:lang w:val="en-US" w:eastAsia="zh-CN"/>
        </w:rPr>
        <w:t>2</w:t>
      </w:r>
      <w:r>
        <w:rPr>
          <w:rFonts w:hint="eastAsia"/>
          <w:color w:val="auto"/>
        </w:rPr>
        <w:t>年开具的缴纳社会保险的凭据证明材料复印件；如依法不需要缴纳社会保障资金的，应提供相应文件证明其依法不需要缴纳社会保障资金；</w:t>
      </w: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pacing w:line="360" w:lineRule="auto"/>
        <w:rPr>
          <w:color w:val="auto"/>
        </w:rPr>
      </w:pPr>
      <w:r>
        <w:rPr>
          <w:rFonts w:hint="eastAsia"/>
          <w:color w:val="auto"/>
        </w:rPr>
        <w:t>格式三：提供具有履行合同所必需的设备和专业技术能力的书面声明</w:t>
      </w:r>
    </w:p>
    <w:p>
      <w:pPr>
        <w:jc w:val="center"/>
        <w:rPr>
          <w:b/>
          <w:color w:val="auto"/>
          <w:sz w:val="32"/>
          <w:szCs w:val="32"/>
        </w:rPr>
      </w:pPr>
    </w:p>
    <w:p>
      <w:pPr>
        <w:jc w:val="center"/>
        <w:rPr>
          <w:b/>
          <w:color w:val="auto"/>
          <w:sz w:val="32"/>
          <w:szCs w:val="32"/>
        </w:rPr>
      </w:pPr>
      <w:r>
        <w:rPr>
          <w:rFonts w:hint="eastAsia"/>
          <w:b/>
          <w:color w:val="auto"/>
          <w:sz w:val="32"/>
          <w:szCs w:val="32"/>
        </w:rPr>
        <w:t>具备履行合同所需的设备和专业技术能力的声明</w:t>
      </w:r>
    </w:p>
    <w:p>
      <w:pPr>
        <w:rPr>
          <w:color w:val="auto"/>
        </w:rPr>
      </w:pPr>
    </w:p>
    <w:p>
      <w:pPr>
        <w:spacing w:line="360" w:lineRule="auto"/>
        <w:rPr>
          <w:color w:val="auto"/>
        </w:rPr>
      </w:pPr>
    </w:p>
    <w:p>
      <w:pPr>
        <w:spacing w:line="360" w:lineRule="auto"/>
        <w:ind w:firstLine="420" w:firstLineChars="200"/>
        <w:rPr>
          <w:color w:val="auto"/>
        </w:rPr>
      </w:pPr>
      <w:r>
        <w:rPr>
          <w:rFonts w:hint="eastAsia"/>
          <w:color w:val="auto"/>
        </w:rPr>
        <w:t>我公司（单位）具备履行合同所需的设备和专业技术能力，具体情况介绍如下：</w:t>
      </w:r>
    </w:p>
    <w:p>
      <w:pPr>
        <w:spacing w:line="360" w:lineRule="auto"/>
        <w:rPr>
          <w:color w:val="auto"/>
        </w:rPr>
      </w:pPr>
      <w:r>
        <w:rPr>
          <w:rFonts w:hint="eastAsia"/>
          <w:color w:val="auto"/>
        </w:rPr>
        <w:t>（内容包括：主要设备、专业技术人员、公司资质等）</w:t>
      </w:r>
    </w:p>
    <w:p>
      <w:pPr>
        <w:spacing w:line="360" w:lineRule="auto"/>
        <w:rPr>
          <w:color w:val="auto"/>
        </w:rPr>
      </w:pPr>
    </w:p>
    <w:p>
      <w:pPr>
        <w:spacing w:line="360" w:lineRule="auto"/>
        <w:rPr>
          <w:color w:val="auto"/>
        </w:rPr>
      </w:pPr>
      <w:r>
        <w:rPr>
          <w:color w:val="auto"/>
        </w:rPr>
        <w:t>……..</w:t>
      </w:r>
    </w:p>
    <w:p>
      <w:pPr>
        <w:spacing w:line="360" w:lineRule="auto"/>
        <w:rPr>
          <w:color w:val="auto"/>
        </w:rPr>
      </w:pPr>
      <w:r>
        <w:rPr>
          <w:rFonts w:hint="eastAsia"/>
          <w:color w:val="auto"/>
        </w:rPr>
        <w:t>特此承诺。</w:t>
      </w:r>
    </w:p>
    <w:p>
      <w:pPr>
        <w:spacing w:line="360" w:lineRule="auto"/>
        <w:rPr>
          <w:color w:val="auto"/>
        </w:rPr>
      </w:pPr>
    </w:p>
    <w:p>
      <w:pPr>
        <w:spacing w:line="360" w:lineRule="auto"/>
        <w:rPr>
          <w:color w:val="auto"/>
        </w:rPr>
      </w:pPr>
    </w:p>
    <w:p>
      <w:pPr>
        <w:spacing w:line="360" w:lineRule="auto"/>
        <w:rPr>
          <w:color w:val="auto"/>
        </w:rPr>
      </w:pPr>
      <w:r>
        <w:rPr>
          <w:rFonts w:hint="eastAsia"/>
          <w:color w:val="auto"/>
        </w:rPr>
        <w:t>投标人（盖章）：</w:t>
      </w:r>
    </w:p>
    <w:p>
      <w:pPr>
        <w:spacing w:line="360" w:lineRule="auto"/>
        <w:rPr>
          <w:color w:val="auto"/>
        </w:rPr>
      </w:pPr>
      <w:r>
        <w:rPr>
          <w:rFonts w:hint="eastAsia"/>
          <w:color w:val="auto"/>
        </w:rPr>
        <w:t>法定代表人或授权代表（签名或印章）：</w:t>
      </w:r>
    </w:p>
    <w:p>
      <w:pPr>
        <w:spacing w:line="360" w:lineRule="auto"/>
        <w:rPr>
          <w:color w:val="auto"/>
        </w:rPr>
      </w:pPr>
      <w:r>
        <w:rPr>
          <w:rFonts w:hint="eastAsia"/>
          <w:color w:val="auto"/>
        </w:rPr>
        <w:t>日期：</w:t>
      </w:r>
    </w:p>
    <w:p>
      <w:pPr>
        <w:spacing w:line="360" w:lineRule="auto"/>
        <w:ind w:firstLine="420" w:firstLineChars="200"/>
        <w:rPr>
          <w:color w:val="auto"/>
        </w:rPr>
      </w:pPr>
    </w:p>
    <w:p>
      <w:pPr>
        <w:spacing w:line="360" w:lineRule="auto"/>
        <w:rPr>
          <w:color w:val="auto"/>
        </w:rPr>
      </w:pPr>
    </w:p>
    <w:p>
      <w:pPr>
        <w:spacing w:line="360" w:lineRule="auto"/>
        <w:rPr>
          <w:color w:val="auto"/>
        </w:rPr>
      </w:pPr>
      <w:r>
        <w:rPr>
          <w:rFonts w:hint="eastAsia"/>
          <w:color w:val="auto"/>
        </w:rPr>
        <w:t>格式四：提供参加政府采购活动前</w:t>
      </w:r>
      <w:r>
        <w:rPr>
          <w:color w:val="auto"/>
        </w:rPr>
        <w:t>3</w:t>
      </w:r>
      <w:r>
        <w:rPr>
          <w:rFonts w:hint="eastAsia"/>
          <w:color w:val="auto"/>
        </w:rPr>
        <w:t>年内在经营活动中没有重大违法记录的书面声明</w:t>
      </w:r>
    </w:p>
    <w:p>
      <w:pPr>
        <w:rPr>
          <w:color w:val="auto"/>
        </w:rPr>
      </w:pPr>
    </w:p>
    <w:p>
      <w:pPr>
        <w:rPr>
          <w:color w:val="auto"/>
        </w:rPr>
      </w:pPr>
    </w:p>
    <w:p>
      <w:pPr>
        <w:jc w:val="center"/>
        <w:rPr>
          <w:b/>
          <w:color w:val="auto"/>
          <w:sz w:val="32"/>
          <w:szCs w:val="32"/>
        </w:rPr>
      </w:pPr>
    </w:p>
    <w:p>
      <w:pPr>
        <w:jc w:val="center"/>
        <w:rPr>
          <w:b/>
          <w:color w:val="auto"/>
          <w:sz w:val="32"/>
          <w:szCs w:val="32"/>
        </w:rPr>
      </w:pPr>
      <w:r>
        <w:rPr>
          <w:rFonts w:hint="eastAsia"/>
          <w:b/>
          <w:color w:val="auto"/>
          <w:sz w:val="32"/>
          <w:szCs w:val="32"/>
        </w:rPr>
        <w:t>近三年在政府采购活动中无重大违法记录的声明</w:t>
      </w:r>
    </w:p>
    <w:p>
      <w:pPr>
        <w:rPr>
          <w:color w:val="auto"/>
        </w:rPr>
      </w:pPr>
    </w:p>
    <w:p>
      <w:pPr>
        <w:rPr>
          <w:color w:val="auto"/>
        </w:rPr>
      </w:pPr>
    </w:p>
    <w:p>
      <w:pPr>
        <w:spacing w:line="360" w:lineRule="auto"/>
        <w:rPr>
          <w:color w:val="auto"/>
        </w:rPr>
      </w:pPr>
      <w:r>
        <w:rPr>
          <w:rFonts w:hint="eastAsia"/>
          <w:color w:val="auto"/>
        </w:rPr>
        <w:t>参加政府采购活动前三年内，在经营活动中没有重大违法记录，特此声明。</w:t>
      </w:r>
    </w:p>
    <w:p>
      <w:pPr>
        <w:spacing w:line="360" w:lineRule="auto"/>
        <w:rPr>
          <w:color w:val="auto"/>
        </w:rPr>
      </w:pPr>
    </w:p>
    <w:p>
      <w:pPr>
        <w:spacing w:line="360" w:lineRule="auto"/>
        <w:ind w:firstLine="1365" w:firstLineChars="650"/>
        <w:rPr>
          <w:color w:val="auto"/>
        </w:rPr>
      </w:pPr>
    </w:p>
    <w:p>
      <w:pPr>
        <w:spacing w:line="360" w:lineRule="auto"/>
        <w:ind w:firstLine="1365" w:firstLineChars="650"/>
        <w:rPr>
          <w:color w:val="auto"/>
        </w:rPr>
      </w:pPr>
    </w:p>
    <w:p>
      <w:pPr>
        <w:spacing w:line="360" w:lineRule="auto"/>
        <w:rPr>
          <w:color w:val="auto"/>
        </w:rPr>
      </w:pPr>
      <w:r>
        <w:rPr>
          <w:rFonts w:hint="eastAsia"/>
          <w:color w:val="auto"/>
        </w:rPr>
        <w:t>投标人（盖章）：</w:t>
      </w:r>
    </w:p>
    <w:p>
      <w:pPr>
        <w:spacing w:line="360" w:lineRule="auto"/>
        <w:rPr>
          <w:color w:val="auto"/>
        </w:rPr>
      </w:pPr>
      <w:r>
        <w:rPr>
          <w:rFonts w:hint="eastAsia"/>
          <w:color w:val="auto"/>
        </w:rPr>
        <w:t>法定代表人或授权代表（签名或印章）：</w:t>
      </w:r>
    </w:p>
    <w:p>
      <w:pPr>
        <w:spacing w:line="360" w:lineRule="auto"/>
        <w:rPr>
          <w:color w:val="auto"/>
        </w:rPr>
      </w:pPr>
      <w:r>
        <w:rPr>
          <w:rFonts w:hint="eastAsia"/>
          <w:color w:val="auto"/>
        </w:rPr>
        <w:t>日期：</w:t>
      </w:r>
    </w:p>
    <w:p>
      <w:pPr>
        <w:spacing w:line="360" w:lineRule="auto"/>
        <w:rPr>
          <w:color w:val="auto"/>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rPr>
          <w:b/>
          <w:color w:val="auto"/>
        </w:rPr>
      </w:pPr>
      <w:r>
        <w:rPr>
          <w:rFonts w:hint="eastAsia"/>
          <w:b/>
          <w:color w:val="auto"/>
        </w:rPr>
        <w:t>格式五：投标人特定资格条件的证明文件</w:t>
      </w: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格式六：招标文件要求及投标人认为需要提供的其他证明材料（如有）</w:t>
      </w: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jc w:val="center"/>
        <w:rPr>
          <w:color w:val="auto"/>
        </w:rPr>
      </w:pPr>
      <w:r>
        <w:rPr>
          <w:rFonts w:hint="eastAsia"/>
          <w:color w:val="auto"/>
        </w:rPr>
        <w:t>二、商务技术文件格式</w:t>
      </w:r>
    </w:p>
    <w:p>
      <w:pPr>
        <w:snapToGrid w:val="0"/>
        <w:spacing w:beforeLines="50" w:after="50"/>
        <w:jc w:val="center"/>
        <w:rPr>
          <w:rFonts w:ascii="宋体"/>
          <w:color w:val="auto"/>
          <w:szCs w:val="21"/>
        </w:rPr>
      </w:pPr>
    </w:p>
    <w:p>
      <w:pPr>
        <w:snapToGrid w:val="0"/>
        <w:spacing w:beforeLines="50" w:after="50"/>
        <w:rPr>
          <w:rFonts w:ascii="宋体"/>
          <w:bCs/>
          <w:color w:val="auto"/>
          <w:szCs w:val="21"/>
        </w:rPr>
      </w:pPr>
      <w:r>
        <w:rPr>
          <w:rFonts w:ascii="宋体" w:hAnsi="宋体"/>
          <w:color w:val="auto"/>
          <w:szCs w:val="21"/>
        </w:rPr>
        <w:t>1.</w:t>
      </w:r>
      <w:r>
        <w:rPr>
          <w:rFonts w:hint="eastAsia" w:ascii="宋体" w:hAnsi="宋体"/>
          <w:color w:val="auto"/>
          <w:szCs w:val="21"/>
        </w:rPr>
        <w:t>商务技术文件</w:t>
      </w:r>
      <w:r>
        <w:rPr>
          <w:rFonts w:hint="eastAsia" w:ascii="宋体" w:hAnsi="宋体"/>
          <w:bCs/>
          <w:color w:val="auto"/>
          <w:szCs w:val="21"/>
        </w:rPr>
        <w:t>的外包装封面格式：</w:t>
      </w:r>
    </w:p>
    <w:p>
      <w:pPr>
        <w:snapToGrid w:val="0"/>
        <w:spacing w:beforeLines="50" w:after="50"/>
        <w:rPr>
          <w:rFonts w:ascii="宋体"/>
          <w:bCs/>
          <w:color w:val="auto"/>
          <w:szCs w:val="21"/>
        </w:rPr>
      </w:pPr>
    </w:p>
    <w:p>
      <w:pPr>
        <w:snapToGrid w:val="0"/>
        <w:spacing w:beforeLines="50" w:after="50"/>
        <w:ind w:firstLine="3689" w:firstLineChars="1750"/>
        <w:rPr>
          <w:rFonts w:ascii="宋体"/>
          <w:b/>
          <w:bCs/>
          <w:color w:val="auto"/>
          <w:szCs w:val="21"/>
        </w:rPr>
      </w:pPr>
      <w:r>
        <w:rPr>
          <w:rFonts w:hint="eastAsia" w:ascii="宋体" w:hAnsi="宋体"/>
          <w:b/>
          <w:bCs/>
          <w:color w:val="auto"/>
          <w:szCs w:val="21"/>
        </w:rPr>
        <w:t>商务技术文件</w:t>
      </w:r>
    </w:p>
    <w:p>
      <w:pPr>
        <w:snapToGrid w:val="0"/>
        <w:spacing w:beforeLines="50" w:after="50"/>
        <w:ind w:firstLine="932" w:firstLineChars="444"/>
        <w:rPr>
          <w:color w:val="auto"/>
        </w:rPr>
      </w:pPr>
      <w:r>
        <w:rPr>
          <w:rFonts w:hint="eastAsia" w:ascii="宋体" w:hAnsi="宋体"/>
          <w:bCs/>
          <w:color w:val="auto"/>
          <w:szCs w:val="21"/>
        </w:rPr>
        <w:t>项目名称：</w:t>
      </w:r>
    </w:p>
    <w:p>
      <w:pPr>
        <w:snapToGrid w:val="0"/>
        <w:spacing w:beforeLines="50" w:after="50"/>
        <w:ind w:firstLine="932" w:firstLineChars="444"/>
        <w:rPr>
          <w:rFonts w:ascii="宋体"/>
          <w:bCs/>
          <w:color w:val="auto"/>
          <w:szCs w:val="21"/>
        </w:rPr>
      </w:pPr>
      <w:r>
        <w:rPr>
          <w:rFonts w:hint="eastAsia" w:ascii="宋体" w:hAnsi="宋体"/>
          <w:bCs/>
          <w:color w:val="auto"/>
          <w:szCs w:val="21"/>
        </w:rPr>
        <w:t>项目编号：</w:t>
      </w:r>
    </w:p>
    <w:p>
      <w:pPr>
        <w:snapToGrid w:val="0"/>
        <w:spacing w:beforeLines="50" w:after="50"/>
        <w:ind w:firstLine="932" w:firstLineChars="444"/>
        <w:rPr>
          <w:rFonts w:ascii="宋体"/>
          <w:bCs/>
          <w:color w:val="auto"/>
          <w:szCs w:val="21"/>
        </w:rPr>
      </w:pPr>
    </w:p>
    <w:p>
      <w:pPr>
        <w:pStyle w:val="7"/>
        <w:snapToGrid w:val="0"/>
        <w:spacing w:before="50" w:after="50"/>
        <w:ind w:firstLine="932" w:firstLineChars="444"/>
        <w:rPr>
          <w:rFonts w:ascii="宋体"/>
          <w:color w:val="auto"/>
          <w:szCs w:val="21"/>
        </w:rPr>
      </w:pPr>
      <w:r>
        <w:rPr>
          <w:rFonts w:hint="eastAsia" w:ascii="宋体" w:hAnsi="宋体"/>
          <w:color w:val="auto"/>
          <w:szCs w:val="21"/>
        </w:rPr>
        <w:t>投标人名称：</w:t>
      </w:r>
    </w:p>
    <w:p>
      <w:pPr>
        <w:pStyle w:val="7"/>
        <w:snapToGrid w:val="0"/>
        <w:spacing w:before="50" w:after="50"/>
        <w:ind w:firstLine="932" w:firstLineChars="444"/>
        <w:rPr>
          <w:rFonts w:ascii="宋体"/>
          <w:color w:val="auto"/>
          <w:szCs w:val="21"/>
        </w:rPr>
      </w:pPr>
      <w:r>
        <w:rPr>
          <w:rFonts w:hint="eastAsia" w:ascii="宋体" w:hAnsi="宋体"/>
          <w:color w:val="auto"/>
          <w:szCs w:val="21"/>
        </w:rPr>
        <w:t>投标人地址：</w:t>
      </w:r>
    </w:p>
    <w:p>
      <w:pPr>
        <w:pStyle w:val="7"/>
        <w:snapToGrid w:val="0"/>
        <w:spacing w:before="50" w:after="50"/>
        <w:ind w:firstLine="932" w:firstLineChars="444"/>
        <w:jc w:val="center"/>
        <w:rPr>
          <w:rFonts w:ascii="宋体"/>
          <w:bCs/>
          <w:color w:val="auto"/>
          <w:szCs w:val="21"/>
        </w:rPr>
      </w:pPr>
      <w:r>
        <w:rPr>
          <w:rFonts w:hint="eastAsia"/>
          <w:color w:val="auto"/>
        </w:rPr>
        <w:t>开标时启封</w:t>
      </w:r>
    </w:p>
    <w:p>
      <w:pPr>
        <w:pStyle w:val="7"/>
        <w:snapToGrid w:val="0"/>
        <w:spacing w:before="50" w:after="50"/>
        <w:ind w:firstLine="873" w:firstLineChars="416"/>
        <w:rPr>
          <w:rFonts w:ascii="宋体"/>
          <w:color w:val="auto"/>
          <w:szCs w:val="21"/>
        </w:rPr>
      </w:pPr>
    </w:p>
    <w:p>
      <w:pPr>
        <w:snapToGrid w:val="0"/>
        <w:spacing w:beforeLines="50" w:after="50"/>
        <w:ind w:firstLine="645"/>
        <w:jc w:val="center"/>
        <w:rPr>
          <w:rFonts w:ascii="宋体"/>
          <w:color w:val="auto"/>
          <w:szCs w:val="21"/>
        </w:rPr>
      </w:pPr>
      <w:r>
        <w:rPr>
          <w:rFonts w:hint="eastAsia" w:ascii="宋体" w:hAnsi="宋体"/>
          <w:color w:val="auto"/>
          <w:szCs w:val="21"/>
        </w:rPr>
        <w:t>年月日</w:t>
      </w:r>
    </w:p>
    <w:p>
      <w:pPr>
        <w:snapToGrid w:val="0"/>
        <w:spacing w:beforeLines="50" w:after="50"/>
        <w:jc w:val="center"/>
        <w:rPr>
          <w:rFonts w:ascii="宋体"/>
          <w:color w:val="auto"/>
          <w:szCs w:val="21"/>
        </w:rPr>
      </w:pPr>
    </w:p>
    <w:p>
      <w:pPr>
        <w:snapToGrid w:val="0"/>
        <w:spacing w:beforeLines="50" w:after="50"/>
        <w:jc w:val="center"/>
        <w:rPr>
          <w:rFonts w:ascii="宋体"/>
          <w:color w:val="auto"/>
          <w:szCs w:val="21"/>
        </w:rPr>
      </w:pPr>
    </w:p>
    <w:p>
      <w:pPr>
        <w:snapToGrid w:val="0"/>
        <w:spacing w:beforeLines="50" w:after="50"/>
        <w:rPr>
          <w:rFonts w:ascii="宋体"/>
          <w:color w:val="auto"/>
          <w:szCs w:val="21"/>
        </w:rPr>
      </w:pPr>
    </w:p>
    <w:p>
      <w:pPr>
        <w:snapToGrid w:val="0"/>
        <w:spacing w:beforeLines="50" w:after="50"/>
        <w:rPr>
          <w:rFonts w:ascii="宋体"/>
          <w:color w:val="auto"/>
          <w:szCs w:val="21"/>
        </w:rPr>
      </w:pPr>
      <w:r>
        <w:rPr>
          <w:rFonts w:ascii="宋体" w:hAnsi="宋体"/>
          <w:color w:val="auto"/>
          <w:szCs w:val="21"/>
        </w:rPr>
        <w:t xml:space="preserve">2. </w:t>
      </w:r>
      <w:r>
        <w:rPr>
          <w:rFonts w:hint="eastAsia" w:ascii="宋体" w:hAnsi="宋体"/>
          <w:color w:val="auto"/>
          <w:szCs w:val="21"/>
        </w:rPr>
        <w:t>商务技术文件封面格式：</w:t>
      </w:r>
    </w:p>
    <w:p>
      <w:pPr>
        <w:snapToGrid w:val="0"/>
        <w:spacing w:beforeLines="50" w:after="50"/>
        <w:jc w:val="right"/>
        <w:rPr>
          <w:rFonts w:ascii="宋体"/>
          <w:b/>
          <w:bCs/>
          <w:color w:val="auto"/>
          <w:szCs w:val="21"/>
        </w:rPr>
      </w:pPr>
      <w:r>
        <w:rPr>
          <w:rFonts w:hint="eastAsia" w:ascii="宋体" w:hAnsi="宋体"/>
          <w:b/>
          <w:bCs/>
          <w:color w:val="auto"/>
          <w:szCs w:val="21"/>
        </w:rPr>
        <w:t>正本</w:t>
      </w:r>
      <w:r>
        <w:rPr>
          <w:rFonts w:ascii="宋体" w:hAnsi="宋体"/>
          <w:b/>
          <w:bCs/>
          <w:color w:val="auto"/>
          <w:szCs w:val="21"/>
        </w:rPr>
        <w:t>/</w:t>
      </w:r>
      <w:r>
        <w:rPr>
          <w:rFonts w:hint="eastAsia" w:ascii="宋体" w:hAnsi="宋体"/>
          <w:b/>
          <w:bCs/>
          <w:color w:val="auto"/>
          <w:szCs w:val="21"/>
        </w:rPr>
        <w:t>或副本</w:t>
      </w:r>
    </w:p>
    <w:p>
      <w:pPr>
        <w:snapToGrid w:val="0"/>
        <w:spacing w:beforeLines="50" w:after="50"/>
        <w:rPr>
          <w:rFonts w:ascii="宋体"/>
          <w:color w:val="auto"/>
          <w:szCs w:val="21"/>
        </w:rPr>
      </w:pPr>
    </w:p>
    <w:p>
      <w:pPr>
        <w:snapToGrid w:val="0"/>
        <w:spacing w:beforeLines="50" w:after="50"/>
        <w:jc w:val="center"/>
        <w:rPr>
          <w:rFonts w:ascii="宋体"/>
          <w:bCs/>
          <w:color w:val="auto"/>
          <w:szCs w:val="21"/>
        </w:rPr>
      </w:pPr>
    </w:p>
    <w:p>
      <w:pPr>
        <w:snapToGrid w:val="0"/>
        <w:spacing w:before="50" w:afterLines="50" w:line="360" w:lineRule="auto"/>
        <w:jc w:val="center"/>
        <w:rPr>
          <w:rFonts w:ascii="宋体" w:cs="宋体"/>
          <w:b/>
          <w:bCs/>
          <w:color w:val="auto"/>
        </w:rPr>
      </w:pPr>
      <w:r>
        <w:rPr>
          <w:rFonts w:hint="eastAsia" w:ascii="宋体" w:hAnsi="宋体" w:cs="宋体"/>
          <w:b/>
          <w:bCs/>
          <w:color w:val="auto"/>
        </w:rPr>
        <w:t>商务技术文件</w:t>
      </w:r>
    </w:p>
    <w:p>
      <w:pPr>
        <w:snapToGrid w:val="0"/>
        <w:spacing w:beforeLines="50" w:after="50"/>
        <w:ind w:firstLine="932" w:firstLineChars="444"/>
        <w:rPr>
          <w:color w:val="auto"/>
        </w:rPr>
      </w:pPr>
      <w:r>
        <w:rPr>
          <w:rFonts w:hint="eastAsia" w:ascii="宋体" w:hAnsi="宋体"/>
          <w:bCs/>
          <w:color w:val="auto"/>
          <w:szCs w:val="21"/>
        </w:rPr>
        <w:t>项目名称：</w:t>
      </w:r>
    </w:p>
    <w:p>
      <w:pPr>
        <w:snapToGrid w:val="0"/>
        <w:spacing w:beforeLines="50" w:after="50"/>
        <w:ind w:firstLine="932" w:firstLineChars="444"/>
        <w:rPr>
          <w:rFonts w:ascii="宋体"/>
          <w:bCs/>
          <w:color w:val="auto"/>
          <w:szCs w:val="21"/>
        </w:rPr>
      </w:pPr>
      <w:r>
        <w:rPr>
          <w:rFonts w:hint="eastAsia" w:ascii="宋体" w:hAnsi="宋体"/>
          <w:bCs/>
          <w:color w:val="auto"/>
          <w:szCs w:val="21"/>
        </w:rPr>
        <w:t>项目编号：</w:t>
      </w:r>
    </w:p>
    <w:p>
      <w:pPr>
        <w:snapToGrid w:val="0"/>
        <w:spacing w:beforeLines="50" w:after="50"/>
        <w:ind w:firstLine="932" w:firstLineChars="444"/>
        <w:rPr>
          <w:rFonts w:ascii="宋体"/>
          <w:bCs/>
          <w:color w:val="auto"/>
          <w:szCs w:val="21"/>
        </w:rPr>
      </w:pPr>
    </w:p>
    <w:p>
      <w:pPr>
        <w:snapToGrid w:val="0"/>
        <w:spacing w:beforeLines="50" w:after="50"/>
        <w:ind w:firstLine="932" w:firstLineChars="444"/>
        <w:rPr>
          <w:rFonts w:ascii="宋体"/>
          <w:bCs/>
          <w:color w:val="auto"/>
          <w:szCs w:val="21"/>
        </w:rPr>
      </w:pPr>
      <w:r>
        <w:rPr>
          <w:rFonts w:hint="eastAsia" w:ascii="宋体" w:hAnsi="宋体"/>
          <w:bCs/>
          <w:color w:val="auto"/>
          <w:szCs w:val="21"/>
        </w:rPr>
        <w:t>投标人名称：</w:t>
      </w:r>
    </w:p>
    <w:p>
      <w:pPr>
        <w:pStyle w:val="7"/>
        <w:snapToGrid w:val="0"/>
        <w:spacing w:before="50" w:after="50"/>
        <w:ind w:firstLine="932" w:firstLineChars="444"/>
        <w:rPr>
          <w:rFonts w:ascii="宋体"/>
          <w:bCs/>
          <w:color w:val="auto"/>
          <w:szCs w:val="21"/>
        </w:rPr>
      </w:pPr>
      <w:r>
        <w:rPr>
          <w:rFonts w:hint="eastAsia" w:ascii="宋体" w:hAnsi="宋体"/>
          <w:bCs/>
          <w:color w:val="auto"/>
          <w:szCs w:val="21"/>
        </w:rPr>
        <w:t>投标人地址：</w:t>
      </w:r>
    </w:p>
    <w:p>
      <w:pPr>
        <w:pStyle w:val="7"/>
        <w:snapToGrid w:val="0"/>
        <w:spacing w:before="50" w:after="50"/>
        <w:ind w:firstLine="840" w:firstLineChars="400"/>
        <w:rPr>
          <w:rFonts w:ascii="宋体"/>
          <w:bCs/>
          <w:color w:val="auto"/>
          <w:szCs w:val="21"/>
        </w:rPr>
      </w:pPr>
    </w:p>
    <w:p>
      <w:pPr>
        <w:pStyle w:val="7"/>
        <w:snapToGrid w:val="0"/>
        <w:spacing w:before="50" w:after="50"/>
        <w:ind w:firstLine="873" w:firstLineChars="416"/>
        <w:rPr>
          <w:rFonts w:ascii="宋体"/>
          <w:color w:val="auto"/>
          <w:szCs w:val="21"/>
        </w:rPr>
      </w:pPr>
    </w:p>
    <w:p>
      <w:pPr>
        <w:snapToGrid w:val="0"/>
        <w:spacing w:beforeLines="50" w:after="50"/>
        <w:ind w:firstLine="645"/>
        <w:jc w:val="center"/>
        <w:rPr>
          <w:rFonts w:ascii="宋体"/>
          <w:color w:val="auto"/>
          <w:szCs w:val="21"/>
        </w:rPr>
      </w:pPr>
      <w:r>
        <w:rPr>
          <w:rFonts w:hint="eastAsia" w:ascii="宋体" w:hAnsi="宋体"/>
          <w:color w:val="auto"/>
          <w:szCs w:val="21"/>
        </w:rPr>
        <w:t>年月日</w:t>
      </w:r>
    </w:p>
    <w:p>
      <w:pPr>
        <w:snapToGrid w:val="0"/>
        <w:spacing w:beforeLines="50" w:after="50"/>
        <w:rPr>
          <w:rFonts w:ascii="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napToGrid w:val="0"/>
        <w:spacing w:line="360" w:lineRule="auto"/>
        <w:rPr>
          <w:rFonts w:ascii="宋体" w:cs="宋体"/>
          <w:color w:val="auto"/>
          <w:szCs w:val="21"/>
        </w:rPr>
      </w:pPr>
    </w:p>
    <w:p>
      <w:pPr>
        <w:spacing w:line="360" w:lineRule="auto"/>
        <w:rPr>
          <w:b/>
          <w:color w:val="auto"/>
        </w:rPr>
      </w:pPr>
      <w:r>
        <w:rPr>
          <w:rFonts w:ascii="宋体" w:hAnsi="宋体"/>
          <w:b/>
          <w:bCs/>
          <w:color w:val="auto"/>
          <w:szCs w:val="21"/>
        </w:rPr>
        <w:t>1.</w:t>
      </w:r>
      <w:r>
        <w:rPr>
          <w:rFonts w:hint="eastAsia" w:ascii="宋体" w:hAnsi="宋体"/>
          <w:b/>
          <w:bCs/>
          <w:color w:val="auto"/>
          <w:szCs w:val="21"/>
        </w:rPr>
        <w:t>符合性自查表格式</w:t>
      </w:r>
    </w:p>
    <w:p>
      <w:pPr>
        <w:adjustRightInd w:val="0"/>
        <w:snapToGrid w:val="0"/>
        <w:jc w:val="center"/>
        <w:rPr>
          <w:rFonts w:ascii="宋体"/>
          <w:b/>
          <w:color w:val="auto"/>
          <w:sz w:val="24"/>
        </w:rPr>
      </w:pPr>
    </w:p>
    <w:p>
      <w:pPr>
        <w:snapToGrid w:val="0"/>
        <w:spacing w:beforeLines="50" w:after="50"/>
        <w:jc w:val="center"/>
        <w:rPr>
          <w:rFonts w:ascii="宋体"/>
          <w:b/>
          <w:color w:val="auto"/>
          <w:szCs w:val="21"/>
        </w:rPr>
      </w:pPr>
      <w:r>
        <w:rPr>
          <w:rFonts w:hint="eastAsia" w:ascii="宋体" w:hAnsi="宋体"/>
          <w:b/>
          <w:color w:val="auto"/>
          <w:szCs w:val="21"/>
        </w:rPr>
        <w:t>符合性自查表</w:t>
      </w:r>
    </w:p>
    <w:p>
      <w:pPr>
        <w:jc w:val="center"/>
        <w:rPr>
          <w:b/>
          <w:color w:val="auto"/>
        </w:rPr>
      </w:pPr>
    </w:p>
    <w:tbl>
      <w:tblPr>
        <w:tblStyle w:val="29"/>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221"/>
        <w:gridCol w:w="1270"/>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831" w:type="dxa"/>
            <w:vAlign w:val="center"/>
          </w:tcPr>
          <w:p>
            <w:pPr>
              <w:spacing w:line="240" w:lineRule="exact"/>
              <w:jc w:val="center"/>
              <w:rPr>
                <w:color w:val="auto"/>
              </w:rPr>
            </w:pPr>
            <w:r>
              <w:rPr>
                <w:rFonts w:hint="eastAsia"/>
                <w:color w:val="auto"/>
              </w:rPr>
              <w:t>评审内容</w:t>
            </w:r>
          </w:p>
        </w:tc>
        <w:tc>
          <w:tcPr>
            <w:tcW w:w="4221" w:type="dxa"/>
            <w:vAlign w:val="center"/>
          </w:tcPr>
          <w:p>
            <w:pPr>
              <w:spacing w:line="240" w:lineRule="exact"/>
              <w:jc w:val="center"/>
              <w:rPr>
                <w:color w:val="auto"/>
              </w:rPr>
            </w:pPr>
            <w:r>
              <w:rPr>
                <w:rFonts w:hint="eastAsia"/>
                <w:color w:val="auto"/>
              </w:rPr>
              <w:t>采购文件要求</w:t>
            </w:r>
          </w:p>
        </w:tc>
        <w:tc>
          <w:tcPr>
            <w:tcW w:w="1270" w:type="dxa"/>
            <w:vAlign w:val="center"/>
          </w:tcPr>
          <w:p>
            <w:pPr>
              <w:spacing w:line="240" w:lineRule="exact"/>
              <w:jc w:val="center"/>
              <w:rPr>
                <w:color w:val="auto"/>
              </w:rPr>
            </w:pPr>
            <w:r>
              <w:rPr>
                <w:rFonts w:hint="eastAsia"/>
                <w:color w:val="auto"/>
              </w:rPr>
              <w:t>自查结论</w:t>
            </w:r>
          </w:p>
        </w:tc>
        <w:tc>
          <w:tcPr>
            <w:tcW w:w="2611" w:type="dxa"/>
            <w:vAlign w:val="center"/>
          </w:tcPr>
          <w:p>
            <w:pPr>
              <w:spacing w:line="240" w:lineRule="exact"/>
              <w:jc w:val="center"/>
              <w:rPr>
                <w:color w:val="auto"/>
              </w:rPr>
            </w:pPr>
            <w:r>
              <w:rPr>
                <w:rFonts w:hint="eastAsia"/>
                <w:color w:val="auto"/>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restart"/>
            <w:vAlign w:val="center"/>
          </w:tcPr>
          <w:p>
            <w:pPr>
              <w:spacing w:line="240" w:lineRule="exact"/>
              <w:jc w:val="center"/>
              <w:rPr>
                <w:color w:val="auto"/>
              </w:rPr>
            </w:pPr>
            <w:r>
              <w:rPr>
                <w:rFonts w:hint="eastAsia"/>
                <w:color w:val="auto"/>
              </w:rPr>
              <w:t>符</w:t>
            </w:r>
          </w:p>
          <w:p>
            <w:pPr>
              <w:spacing w:line="240" w:lineRule="exact"/>
              <w:jc w:val="center"/>
              <w:rPr>
                <w:color w:val="auto"/>
              </w:rPr>
            </w:pPr>
            <w:r>
              <w:rPr>
                <w:rFonts w:hint="eastAsia"/>
                <w:color w:val="auto"/>
              </w:rPr>
              <w:t>合</w:t>
            </w:r>
          </w:p>
          <w:p>
            <w:pPr>
              <w:spacing w:line="240" w:lineRule="exact"/>
              <w:jc w:val="center"/>
              <w:rPr>
                <w:color w:val="auto"/>
              </w:rPr>
            </w:pPr>
            <w:r>
              <w:rPr>
                <w:rFonts w:hint="eastAsia"/>
                <w:color w:val="auto"/>
              </w:rPr>
              <w:t>性</w:t>
            </w:r>
          </w:p>
          <w:p>
            <w:pPr>
              <w:spacing w:line="240" w:lineRule="exact"/>
              <w:jc w:val="center"/>
              <w:rPr>
                <w:color w:val="auto"/>
              </w:rPr>
            </w:pPr>
            <w:r>
              <w:rPr>
                <w:rFonts w:hint="eastAsia"/>
                <w:color w:val="auto"/>
              </w:rPr>
              <w:t>审</w:t>
            </w:r>
          </w:p>
          <w:p>
            <w:pPr>
              <w:spacing w:line="240" w:lineRule="exact"/>
              <w:jc w:val="center"/>
              <w:rPr>
                <w:color w:val="auto"/>
              </w:rPr>
            </w:pPr>
            <w:r>
              <w:rPr>
                <w:rFonts w:hint="eastAsia"/>
                <w:color w:val="auto"/>
              </w:rPr>
              <w:t>查</w:t>
            </w:r>
          </w:p>
        </w:tc>
        <w:tc>
          <w:tcPr>
            <w:tcW w:w="4221" w:type="dxa"/>
            <w:vAlign w:val="center"/>
          </w:tcPr>
          <w:p>
            <w:pPr>
              <w:spacing w:line="240" w:lineRule="exact"/>
              <w:rPr>
                <w:color w:val="auto"/>
              </w:rPr>
            </w:pPr>
            <w:r>
              <w:rPr>
                <w:color w:val="auto"/>
              </w:rPr>
              <w:t>1</w:t>
            </w:r>
            <w:r>
              <w:rPr>
                <w:rFonts w:hint="eastAsia"/>
                <w:color w:val="auto"/>
              </w:rPr>
              <w:t>、投标函</w:t>
            </w:r>
          </w:p>
        </w:tc>
        <w:tc>
          <w:tcPr>
            <w:tcW w:w="1270" w:type="dxa"/>
            <w:vAlign w:val="center"/>
          </w:tcPr>
          <w:p>
            <w:pPr>
              <w:spacing w:line="240" w:lineRule="exact"/>
              <w:rPr>
                <w:color w:val="auto"/>
              </w:rPr>
            </w:pPr>
            <w:r>
              <w:rPr>
                <w:rFonts w:hint="eastAsia"/>
                <w:color w:val="auto"/>
              </w:rPr>
              <w:t>□通过</w:t>
            </w:r>
          </w:p>
          <w:p>
            <w:pPr>
              <w:spacing w:line="240" w:lineRule="exact"/>
              <w:rPr>
                <w:color w:val="auto"/>
              </w:rPr>
            </w:pPr>
            <w:r>
              <w:rPr>
                <w:rFonts w:hint="eastAsia"/>
                <w:color w:val="auto"/>
              </w:rPr>
              <w:t>□不通过</w:t>
            </w:r>
          </w:p>
        </w:tc>
        <w:tc>
          <w:tcPr>
            <w:tcW w:w="2611" w:type="dxa"/>
            <w:vAlign w:val="center"/>
          </w:tcPr>
          <w:p>
            <w:pPr>
              <w:spacing w:line="240" w:lineRule="exact"/>
              <w:rPr>
                <w:color w:val="auto"/>
              </w:rPr>
            </w:pPr>
            <w:r>
              <w:rPr>
                <w:rFonts w:hint="eastAsia"/>
                <w:color w:val="auto"/>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831" w:type="dxa"/>
            <w:vMerge w:val="continue"/>
            <w:vAlign w:val="center"/>
          </w:tcPr>
          <w:p>
            <w:pPr>
              <w:spacing w:line="240" w:lineRule="exact"/>
              <w:rPr>
                <w:color w:val="auto"/>
              </w:rPr>
            </w:pPr>
          </w:p>
        </w:tc>
        <w:tc>
          <w:tcPr>
            <w:tcW w:w="4221" w:type="dxa"/>
            <w:vAlign w:val="center"/>
          </w:tcPr>
          <w:p>
            <w:pPr>
              <w:spacing w:line="240" w:lineRule="exact"/>
              <w:rPr>
                <w:color w:val="auto"/>
              </w:rPr>
            </w:pPr>
            <w:r>
              <w:rPr>
                <w:rFonts w:hint="eastAsia"/>
                <w:color w:val="auto"/>
              </w:rPr>
              <w:t>2、投标文件完全满足采购文件的实质性条款（即标注</w:t>
            </w:r>
            <w:r>
              <w:rPr>
                <w:rFonts w:hint="eastAsia" w:ascii="宋体" w:hAnsi="宋体" w:cs="宋体"/>
                <w:color w:val="auto"/>
                <w:lang w:val="zh-CN"/>
              </w:rPr>
              <w:t>★</w:t>
            </w:r>
            <w:r>
              <w:rPr>
                <w:rFonts w:hint="eastAsia"/>
                <w:color w:val="auto"/>
              </w:rPr>
              <w:t>号条款）无负偏离的；</w:t>
            </w:r>
          </w:p>
        </w:tc>
        <w:tc>
          <w:tcPr>
            <w:tcW w:w="1270" w:type="dxa"/>
            <w:vAlign w:val="center"/>
          </w:tcPr>
          <w:p>
            <w:pPr>
              <w:spacing w:line="240" w:lineRule="exact"/>
              <w:rPr>
                <w:color w:val="auto"/>
              </w:rPr>
            </w:pPr>
            <w:r>
              <w:rPr>
                <w:rFonts w:hint="eastAsia"/>
                <w:color w:val="auto"/>
              </w:rPr>
              <w:t>□通过</w:t>
            </w:r>
          </w:p>
          <w:p>
            <w:pPr>
              <w:spacing w:line="240" w:lineRule="exact"/>
              <w:rPr>
                <w:color w:val="auto"/>
              </w:rPr>
            </w:pPr>
            <w:r>
              <w:rPr>
                <w:rFonts w:hint="eastAsia"/>
                <w:color w:val="auto"/>
              </w:rPr>
              <w:t>□不通过</w:t>
            </w:r>
          </w:p>
        </w:tc>
        <w:tc>
          <w:tcPr>
            <w:tcW w:w="2611" w:type="dxa"/>
            <w:vAlign w:val="center"/>
          </w:tcPr>
          <w:p>
            <w:pPr>
              <w:spacing w:line="240" w:lineRule="exact"/>
              <w:rPr>
                <w:color w:val="auto"/>
              </w:rPr>
            </w:pPr>
            <w:r>
              <w:rPr>
                <w:rFonts w:hint="eastAsia"/>
                <w:color w:val="auto"/>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pPr>
              <w:spacing w:line="240" w:lineRule="exact"/>
              <w:rPr>
                <w:color w:val="auto"/>
              </w:rPr>
            </w:pPr>
          </w:p>
        </w:tc>
        <w:tc>
          <w:tcPr>
            <w:tcW w:w="4221" w:type="dxa"/>
            <w:vAlign w:val="center"/>
          </w:tcPr>
          <w:p>
            <w:pPr>
              <w:spacing w:line="240" w:lineRule="exact"/>
              <w:rPr>
                <w:color w:val="auto"/>
              </w:rPr>
            </w:pPr>
            <w:r>
              <w:rPr>
                <w:rFonts w:hint="eastAsia"/>
                <w:color w:val="auto"/>
              </w:rPr>
              <w:t>3、法定代表人证明书</w:t>
            </w:r>
            <w:r>
              <w:rPr>
                <w:color w:val="auto"/>
              </w:rPr>
              <w:t>/</w:t>
            </w:r>
            <w:r>
              <w:rPr>
                <w:rFonts w:hint="eastAsia"/>
                <w:color w:val="auto"/>
              </w:rPr>
              <w:t>法定代表人授权书。</w:t>
            </w:r>
          </w:p>
        </w:tc>
        <w:tc>
          <w:tcPr>
            <w:tcW w:w="1270" w:type="dxa"/>
            <w:vAlign w:val="center"/>
          </w:tcPr>
          <w:p>
            <w:pPr>
              <w:spacing w:line="240" w:lineRule="exact"/>
              <w:rPr>
                <w:color w:val="auto"/>
              </w:rPr>
            </w:pPr>
            <w:r>
              <w:rPr>
                <w:rFonts w:hint="eastAsia"/>
                <w:color w:val="auto"/>
              </w:rPr>
              <w:t>□通过</w:t>
            </w:r>
          </w:p>
          <w:p>
            <w:pPr>
              <w:spacing w:line="240" w:lineRule="exact"/>
              <w:rPr>
                <w:color w:val="auto"/>
              </w:rPr>
            </w:pPr>
            <w:r>
              <w:rPr>
                <w:rFonts w:hint="eastAsia"/>
                <w:color w:val="auto"/>
              </w:rPr>
              <w:t>□不通过</w:t>
            </w:r>
          </w:p>
        </w:tc>
        <w:tc>
          <w:tcPr>
            <w:tcW w:w="2611" w:type="dxa"/>
            <w:vAlign w:val="center"/>
          </w:tcPr>
          <w:p>
            <w:pPr>
              <w:spacing w:line="240" w:lineRule="exact"/>
              <w:rPr>
                <w:color w:val="auto"/>
              </w:rPr>
            </w:pPr>
            <w:r>
              <w:rPr>
                <w:rFonts w:hint="eastAsia"/>
                <w:color w:val="auto"/>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pPr>
              <w:spacing w:line="240" w:lineRule="exact"/>
              <w:rPr>
                <w:color w:val="auto"/>
              </w:rPr>
            </w:pPr>
          </w:p>
        </w:tc>
        <w:tc>
          <w:tcPr>
            <w:tcW w:w="4221" w:type="dxa"/>
            <w:vAlign w:val="center"/>
          </w:tcPr>
          <w:p>
            <w:pPr>
              <w:spacing w:line="240" w:lineRule="exact"/>
              <w:rPr>
                <w:color w:val="auto"/>
              </w:rPr>
            </w:pPr>
            <w:r>
              <w:rPr>
                <w:rFonts w:hint="eastAsia"/>
                <w:color w:val="auto"/>
              </w:rPr>
              <w:t>4、没有其他未实质性投标文件要求的。</w:t>
            </w:r>
          </w:p>
        </w:tc>
        <w:tc>
          <w:tcPr>
            <w:tcW w:w="1270" w:type="dxa"/>
            <w:vAlign w:val="center"/>
          </w:tcPr>
          <w:p>
            <w:pPr>
              <w:spacing w:line="240" w:lineRule="exact"/>
              <w:rPr>
                <w:color w:val="auto"/>
              </w:rPr>
            </w:pPr>
            <w:r>
              <w:rPr>
                <w:rFonts w:hint="eastAsia"/>
                <w:color w:val="auto"/>
              </w:rPr>
              <w:t>□通过</w:t>
            </w:r>
          </w:p>
          <w:p>
            <w:pPr>
              <w:spacing w:line="240" w:lineRule="exact"/>
              <w:rPr>
                <w:color w:val="auto"/>
              </w:rPr>
            </w:pPr>
            <w:r>
              <w:rPr>
                <w:rFonts w:hint="eastAsia"/>
                <w:color w:val="auto"/>
              </w:rPr>
              <w:t>□不通过</w:t>
            </w:r>
          </w:p>
        </w:tc>
        <w:tc>
          <w:tcPr>
            <w:tcW w:w="2611" w:type="dxa"/>
            <w:vAlign w:val="center"/>
          </w:tcPr>
          <w:p>
            <w:pPr>
              <w:spacing w:line="240" w:lineRule="exact"/>
              <w:rPr>
                <w:color w:val="auto"/>
              </w:rPr>
            </w:pPr>
            <w:r>
              <w:rPr>
                <w:rFonts w:hint="eastAsia"/>
                <w:color w:val="auto"/>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pPr>
              <w:spacing w:line="240" w:lineRule="exact"/>
              <w:rPr>
                <w:color w:val="auto"/>
              </w:rPr>
            </w:pPr>
          </w:p>
        </w:tc>
        <w:tc>
          <w:tcPr>
            <w:tcW w:w="4221" w:type="dxa"/>
            <w:vAlign w:val="center"/>
          </w:tcPr>
          <w:p>
            <w:pPr>
              <w:spacing w:line="240" w:lineRule="exact"/>
              <w:rPr>
                <w:color w:val="auto"/>
              </w:rPr>
            </w:pPr>
            <w:r>
              <w:rPr>
                <w:rFonts w:hint="eastAsia"/>
                <w:color w:val="auto"/>
              </w:rPr>
              <w:t>5、投标文件没有采购文件中规定的其它无效投标条款的；</w:t>
            </w:r>
          </w:p>
        </w:tc>
        <w:tc>
          <w:tcPr>
            <w:tcW w:w="1270" w:type="dxa"/>
            <w:vAlign w:val="center"/>
          </w:tcPr>
          <w:p>
            <w:pPr>
              <w:spacing w:line="240" w:lineRule="exact"/>
              <w:rPr>
                <w:color w:val="auto"/>
              </w:rPr>
            </w:pPr>
            <w:r>
              <w:rPr>
                <w:rFonts w:hint="eastAsia"/>
                <w:color w:val="auto"/>
              </w:rPr>
              <w:t>□通过</w:t>
            </w:r>
          </w:p>
          <w:p>
            <w:pPr>
              <w:spacing w:line="240" w:lineRule="exact"/>
              <w:rPr>
                <w:color w:val="auto"/>
              </w:rPr>
            </w:pPr>
            <w:r>
              <w:rPr>
                <w:rFonts w:hint="eastAsia"/>
                <w:color w:val="auto"/>
              </w:rPr>
              <w:t>□不通过</w:t>
            </w:r>
          </w:p>
        </w:tc>
        <w:tc>
          <w:tcPr>
            <w:tcW w:w="2611" w:type="dxa"/>
            <w:vAlign w:val="center"/>
          </w:tcPr>
          <w:p>
            <w:pPr>
              <w:spacing w:line="240" w:lineRule="exact"/>
              <w:rPr>
                <w:color w:val="auto"/>
              </w:rPr>
            </w:pPr>
            <w:r>
              <w:rPr>
                <w:rFonts w:hint="eastAsia"/>
                <w:color w:val="auto"/>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pPr>
              <w:spacing w:line="240" w:lineRule="exact"/>
              <w:rPr>
                <w:color w:val="auto"/>
              </w:rPr>
            </w:pPr>
          </w:p>
        </w:tc>
        <w:tc>
          <w:tcPr>
            <w:tcW w:w="4221" w:type="dxa"/>
            <w:vAlign w:val="center"/>
          </w:tcPr>
          <w:p>
            <w:pPr>
              <w:spacing w:line="240" w:lineRule="exact"/>
              <w:rPr>
                <w:color w:val="auto"/>
              </w:rPr>
            </w:pPr>
            <w:r>
              <w:rPr>
                <w:rFonts w:hint="eastAsia"/>
                <w:color w:val="auto"/>
              </w:rPr>
              <w:t>6、按有关法律、法规、规章不属于投标无效的。</w:t>
            </w:r>
          </w:p>
        </w:tc>
        <w:tc>
          <w:tcPr>
            <w:tcW w:w="1270" w:type="dxa"/>
            <w:vAlign w:val="center"/>
          </w:tcPr>
          <w:p>
            <w:pPr>
              <w:spacing w:line="240" w:lineRule="exact"/>
              <w:rPr>
                <w:color w:val="auto"/>
              </w:rPr>
            </w:pPr>
            <w:r>
              <w:rPr>
                <w:rFonts w:hint="eastAsia"/>
                <w:color w:val="auto"/>
              </w:rPr>
              <w:t>□通过</w:t>
            </w:r>
          </w:p>
          <w:p>
            <w:pPr>
              <w:spacing w:line="240" w:lineRule="exact"/>
              <w:rPr>
                <w:color w:val="auto"/>
              </w:rPr>
            </w:pPr>
            <w:r>
              <w:rPr>
                <w:rFonts w:hint="eastAsia"/>
                <w:color w:val="auto"/>
              </w:rPr>
              <w:t>□不通过</w:t>
            </w:r>
          </w:p>
        </w:tc>
        <w:tc>
          <w:tcPr>
            <w:tcW w:w="2611" w:type="dxa"/>
            <w:vAlign w:val="center"/>
          </w:tcPr>
          <w:p>
            <w:pPr>
              <w:spacing w:line="240" w:lineRule="exact"/>
              <w:rPr>
                <w:color w:val="auto"/>
              </w:rPr>
            </w:pPr>
            <w:r>
              <w:rPr>
                <w:rFonts w:hint="eastAsia"/>
                <w:color w:val="auto"/>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Align w:val="center"/>
          </w:tcPr>
          <w:p>
            <w:pPr>
              <w:spacing w:line="240" w:lineRule="exact"/>
              <w:rPr>
                <w:color w:val="auto"/>
              </w:rPr>
            </w:pPr>
          </w:p>
        </w:tc>
        <w:tc>
          <w:tcPr>
            <w:tcW w:w="4221" w:type="dxa"/>
            <w:vAlign w:val="center"/>
          </w:tcPr>
          <w:p>
            <w:pPr>
              <w:spacing w:line="240" w:lineRule="exact"/>
              <w:rPr>
                <w:color w:val="auto"/>
              </w:rPr>
            </w:pPr>
            <w:r>
              <w:rPr>
                <w:rFonts w:hint="eastAsia" w:ascii="宋体" w:hAnsi="宋体" w:cs="宋体"/>
                <w:color w:val="auto"/>
              </w:rPr>
              <w:t>7、按照采购文件要求提供其他证明材料。</w:t>
            </w:r>
          </w:p>
        </w:tc>
        <w:tc>
          <w:tcPr>
            <w:tcW w:w="1270" w:type="dxa"/>
            <w:vAlign w:val="center"/>
          </w:tcPr>
          <w:p>
            <w:pPr>
              <w:spacing w:line="240" w:lineRule="exact"/>
              <w:rPr>
                <w:rFonts w:ascii="宋体" w:cs="宋体"/>
                <w:color w:val="auto"/>
              </w:rPr>
            </w:pPr>
            <w:r>
              <w:rPr>
                <w:rFonts w:hint="eastAsia" w:ascii="宋体" w:hAnsi="宋体" w:cs="宋体"/>
                <w:color w:val="auto"/>
              </w:rPr>
              <w:t>□通过</w:t>
            </w:r>
          </w:p>
          <w:p>
            <w:pPr>
              <w:spacing w:line="240" w:lineRule="exact"/>
              <w:rPr>
                <w:color w:val="auto"/>
              </w:rPr>
            </w:pPr>
            <w:r>
              <w:rPr>
                <w:rFonts w:hint="eastAsia" w:ascii="宋体" w:hAnsi="宋体" w:cs="宋体"/>
                <w:color w:val="auto"/>
              </w:rPr>
              <w:t>□不通过</w:t>
            </w:r>
          </w:p>
        </w:tc>
        <w:tc>
          <w:tcPr>
            <w:tcW w:w="2611" w:type="dxa"/>
            <w:vAlign w:val="center"/>
          </w:tcPr>
          <w:p>
            <w:pPr>
              <w:spacing w:line="240" w:lineRule="exact"/>
              <w:rPr>
                <w:color w:val="auto"/>
              </w:rPr>
            </w:pPr>
            <w:r>
              <w:rPr>
                <w:rFonts w:hint="eastAsia" w:ascii="宋体" w:hAnsi="宋体" w:cs="宋体"/>
                <w:color w:val="auto"/>
              </w:rPr>
              <w:t>第（）页</w:t>
            </w:r>
          </w:p>
        </w:tc>
      </w:tr>
    </w:tbl>
    <w:p>
      <w:pPr>
        <w:adjustRightInd w:val="0"/>
        <w:snapToGrid w:val="0"/>
        <w:spacing w:line="440" w:lineRule="exact"/>
        <w:rPr>
          <w:rFonts w:ascii="宋体"/>
          <w:b/>
          <w:color w:val="auto"/>
          <w:szCs w:val="21"/>
        </w:rPr>
      </w:pPr>
      <w:r>
        <w:rPr>
          <w:rFonts w:hint="eastAsia" w:ascii="宋体" w:hAnsi="宋体"/>
          <w:b/>
          <w:color w:val="auto"/>
          <w:szCs w:val="21"/>
        </w:rPr>
        <w:t>备注：符合性自查表将作为投标人有效性审查的重要内容之一，投标人必须严格按照其内容及序列要求在投标文件中对应如实提供！</w:t>
      </w:r>
    </w:p>
    <w:p>
      <w:pPr>
        <w:rPr>
          <w:color w:val="auto"/>
        </w:rPr>
      </w:pPr>
    </w:p>
    <w:p>
      <w:pPr>
        <w:rPr>
          <w:color w:val="auto"/>
        </w:rPr>
      </w:pPr>
    </w:p>
    <w:p>
      <w:pPr>
        <w:rPr>
          <w:color w:val="auto"/>
        </w:rPr>
      </w:pPr>
    </w:p>
    <w:p>
      <w:pPr>
        <w:rPr>
          <w:color w:val="auto"/>
        </w:rPr>
      </w:pPr>
      <w:r>
        <w:rPr>
          <w:color w:val="auto"/>
        </w:rPr>
        <w:br w:type="page"/>
      </w:r>
      <w:r>
        <w:rPr>
          <w:rFonts w:hint="eastAsia"/>
          <w:color w:val="auto"/>
        </w:rPr>
        <w:t>格式一：投标人响应表</w:t>
      </w:r>
    </w:p>
    <w:p>
      <w:pPr>
        <w:rPr>
          <w:color w:val="auto"/>
        </w:rPr>
      </w:pPr>
    </w:p>
    <w:p>
      <w:pPr>
        <w:jc w:val="center"/>
        <w:rPr>
          <w:b/>
          <w:color w:val="auto"/>
          <w:sz w:val="32"/>
          <w:szCs w:val="32"/>
        </w:rPr>
      </w:pPr>
      <w:r>
        <w:rPr>
          <w:rFonts w:hint="eastAsia"/>
          <w:b/>
          <w:color w:val="auto"/>
          <w:sz w:val="32"/>
          <w:szCs w:val="32"/>
        </w:rPr>
        <w:t>投标人响应表</w:t>
      </w:r>
    </w:p>
    <w:p>
      <w:pPr>
        <w:rPr>
          <w:color w:val="auto"/>
        </w:rPr>
      </w:pPr>
    </w:p>
    <w:p>
      <w:pPr>
        <w:rPr>
          <w:color w:val="auto"/>
        </w:rPr>
      </w:pPr>
      <w:r>
        <w:rPr>
          <w:rFonts w:hint="eastAsia" w:ascii="宋体" w:hAnsi="宋体" w:cs="宋体"/>
          <w:color w:val="auto"/>
          <w:szCs w:val="21"/>
        </w:rPr>
        <w:t>项目编号：</w:t>
      </w:r>
      <w:r>
        <w:rPr>
          <w:rFonts w:hint="eastAsia" w:ascii="宋体" w:hAnsi="宋体" w:cs="宋体"/>
          <w:bCs/>
          <w:color w:val="auto"/>
          <w:szCs w:val="21"/>
        </w:rPr>
        <w:t>项目名称</w:t>
      </w:r>
      <w:r>
        <w:rPr>
          <w:rFonts w:hint="eastAsia" w:ascii="宋体" w:hAnsi="宋体" w:cs="宋体"/>
          <w:color w:val="auto"/>
          <w:szCs w:val="21"/>
        </w:rPr>
        <w:t>：</w:t>
      </w:r>
    </w:p>
    <w:tbl>
      <w:tblPr>
        <w:tblStyle w:val="29"/>
        <w:tblW w:w="8804" w:type="dxa"/>
        <w:tblInd w:w="93" w:type="dxa"/>
        <w:tblLayout w:type="fixed"/>
        <w:tblCellMar>
          <w:top w:w="0" w:type="dxa"/>
          <w:left w:w="108" w:type="dxa"/>
          <w:bottom w:w="0" w:type="dxa"/>
          <w:right w:w="108" w:type="dxa"/>
        </w:tblCellMar>
      </w:tblPr>
      <w:tblGrid>
        <w:gridCol w:w="724"/>
        <w:gridCol w:w="6237"/>
        <w:gridCol w:w="1843"/>
      </w:tblGrid>
      <w:tr>
        <w:trPr>
          <w:trHeight w:val="596"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序号</w:t>
            </w:r>
          </w:p>
        </w:tc>
        <w:tc>
          <w:tcPr>
            <w:tcW w:w="6237"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评审内容</w:t>
            </w:r>
          </w:p>
        </w:tc>
        <w:tc>
          <w:tcPr>
            <w:tcW w:w="1843" w:type="dxa"/>
            <w:tcBorders>
              <w:top w:val="single" w:color="auto" w:sz="4" w:space="0"/>
              <w:left w:val="nil"/>
              <w:bottom w:val="single" w:color="auto" w:sz="4" w:space="0"/>
              <w:right w:val="single" w:color="auto" w:sz="4" w:space="0"/>
            </w:tcBorders>
            <w:vAlign w:val="center"/>
          </w:tcPr>
          <w:p>
            <w:pPr>
              <w:jc w:val="center"/>
              <w:rPr>
                <w:color w:val="auto"/>
              </w:rPr>
            </w:pPr>
            <w:r>
              <w:rPr>
                <w:rFonts w:hint="eastAsia"/>
                <w:color w:val="auto"/>
              </w:rPr>
              <w:t>证明文件</w:t>
            </w:r>
          </w:p>
        </w:tc>
      </w:tr>
      <w:tr>
        <w:tblPrEx>
          <w:tblCellMar>
            <w:top w:w="0" w:type="dxa"/>
            <w:left w:w="108" w:type="dxa"/>
            <w:bottom w:w="0" w:type="dxa"/>
            <w:right w:w="108" w:type="dxa"/>
          </w:tblCellMar>
        </w:tblPrEx>
        <w:trPr>
          <w:trHeight w:val="593" w:hRule="atLeast"/>
        </w:trPr>
        <w:tc>
          <w:tcPr>
            <w:tcW w:w="724" w:type="dxa"/>
            <w:tcBorders>
              <w:top w:val="nil"/>
              <w:left w:val="single" w:color="auto" w:sz="4" w:space="0"/>
              <w:bottom w:val="single" w:color="auto" w:sz="4" w:space="0"/>
              <w:right w:val="single" w:color="auto" w:sz="4" w:space="0"/>
            </w:tcBorders>
            <w:vAlign w:val="center"/>
          </w:tcPr>
          <w:p>
            <w:pPr>
              <w:rPr>
                <w:color w:val="auto"/>
              </w:rPr>
            </w:pPr>
          </w:p>
        </w:tc>
        <w:tc>
          <w:tcPr>
            <w:tcW w:w="6237" w:type="dxa"/>
            <w:tcBorders>
              <w:top w:val="nil"/>
              <w:left w:val="single" w:color="auto" w:sz="4" w:space="0"/>
              <w:bottom w:val="single" w:color="auto" w:sz="4" w:space="0"/>
              <w:right w:val="single" w:color="auto" w:sz="4" w:space="0"/>
            </w:tcBorders>
            <w:vAlign w:val="center"/>
          </w:tcPr>
          <w:p>
            <w:pPr>
              <w:rPr>
                <w:color w:val="auto"/>
              </w:rPr>
            </w:pPr>
          </w:p>
        </w:tc>
        <w:tc>
          <w:tcPr>
            <w:tcW w:w="1843" w:type="dxa"/>
            <w:tcBorders>
              <w:top w:val="nil"/>
              <w:left w:val="nil"/>
              <w:bottom w:val="single" w:color="auto" w:sz="4" w:space="0"/>
              <w:right w:val="single" w:color="auto" w:sz="4" w:space="0"/>
            </w:tcBorders>
            <w:vAlign w:val="center"/>
          </w:tcPr>
          <w:p>
            <w:pPr>
              <w:jc w:val="center"/>
              <w:rPr>
                <w:color w:val="auto"/>
              </w:rPr>
            </w:pPr>
            <w:r>
              <w:rPr>
                <w:rFonts w:hint="eastAsia"/>
                <w:color w:val="auto"/>
              </w:rPr>
              <w:t>见（）页</w:t>
            </w:r>
          </w:p>
        </w:tc>
      </w:tr>
      <w:tr>
        <w:tblPrEx>
          <w:tblCellMar>
            <w:top w:w="0" w:type="dxa"/>
            <w:left w:w="108" w:type="dxa"/>
            <w:bottom w:w="0" w:type="dxa"/>
            <w:right w:w="108" w:type="dxa"/>
          </w:tblCellMar>
        </w:tblPrEx>
        <w:trPr>
          <w:trHeight w:val="613" w:hRule="atLeast"/>
        </w:trPr>
        <w:tc>
          <w:tcPr>
            <w:tcW w:w="724" w:type="dxa"/>
            <w:tcBorders>
              <w:top w:val="nil"/>
              <w:left w:val="single" w:color="auto" w:sz="4" w:space="0"/>
              <w:bottom w:val="single" w:color="auto" w:sz="4" w:space="0"/>
              <w:right w:val="single" w:color="auto" w:sz="4" w:space="0"/>
            </w:tcBorders>
            <w:vAlign w:val="center"/>
          </w:tcPr>
          <w:p>
            <w:pPr>
              <w:rPr>
                <w:color w:val="auto"/>
              </w:rPr>
            </w:pPr>
          </w:p>
        </w:tc>
        <w:tc>
          <w:tcPr>
            <w:tcW w:w="6237" w:type="dxa"/>
            <w:tcBorders>
              <w:top w:val="nil"/>
              <w:left w:val="single" w:color="auto" w:sz="4" w:space="0"/>
              <w:bottom w:val="single" w:color="auto" w:sz="4" w:space="0"/>
              <w:right w:val="single" w:color="auto" w:sz="4" w:space="0"/>
            </w:tcBorders>
            <w:vAlign w:val="center"/>
          </w:tcPr>
          <w:p>
            <w:pPr>
              <w:rPr>
                <w:color w:val="auto"/>
              </w:rPr>
            </w:pPr>
          </w:p>
        </w:tc>
        <w:tc>
          <w:tcPr>
            <w:tcW w:w="1843" w:type="dxa"/>
            <w:tcBorders>
              <w:top w:val="nil"/>
              <w:left w:val="nil"/>
              <w:bottom w:val="single" w:color="auto" w:sz="4" w:space="0"/>
              <w:right w:val="single" w:color="auto" w:sz="4" w:space="0"/>
            </w:tcBorders>
            <w:vAlign w:val="center"/>
          </w:tcPr>
          <w:p>
            <w:pPr>
              <w:jc w:val="center"/>
              <w:rPr>
                <w:color w:val="auto"/>
              </w:rPr>
            </w:pPr>
            <w:r>
              <w:rPr>
                <w:rFonts w:hint="eastAsia"/>
                <w:color w:val="auto"/>
              </w:rPr>
              <w:t>见（）页</w:t>
            </w:r>
          </w:p>
        </w:tc>
      </w:tr>
      <w:tr>
        <w:tblPrEx>
          <w:tblCellMar>
            <w:top w:w="0" w:type="dxa"/>
            <w:left w:w="108" w:type="dxa"/>
            <w:bottom w:w="0" w:type="dxa"/>
            <w:right w:w="108" w:type="dxa"/>
          </w:tblCellMar>
        </w:tblPrEx>
        <w:trPr>
          <w:trHeight w:val="520" w:hRule="atLeast"/>
        </w:trPr>
        <w:tc>
          <w:tcPr>
            <w:tcW w:w="724" w:type="dxa"/>
            <w:tcBorders>
              <w:top w:val="nil"/>
              <w:left w:val="single" w:color="auto" w:sz="4" w:space="0"/>
              <w:bottom w:val="single" w:color="auto" w:sz="4" w:space="0"/>
              <w:right w:val="single" w:color="auto" w:sz="4" w:space="0"/>
            </w:tcBorders>
            <w:vAlign w:val="center"/>
          </w:tcPr>
          <w:p>
            <w:pPr>
              <w:rPr>
                <w:color w:val="auto"/>
              </w:rPr>
            </w:pPr>
          </w:p>
        </w:tc>
        <w:tc>
          <w:tcPr>
            <w:tcW w:w="6237" w:type="dxa"/>
            <w:tcBorders>
              <w:top w:val="nil"/>
              <w:left w:val="single" w:color="auto" w:sz="4" w:space="0"/>
              <w:bottom w:val="single" w:color="auto" w:sz="4" w:space="0"/>
              <w:right w:val="single" w:color="auto" w:sz="4" w:space="0"/>
            </w:tcBorders>
            <w:vAlign w:val="center"/>
          </w:tcPr>
          <w:p>
            <w:pPr>
              <w:rPr>
                <w:color w:val="auto"/>
              </w:rPr>
            </w:pPr>
          </w:p>
        </w:tc>
        <w:tc>
          <w:tcPr>
            <w:tcW w:w="1843" w:type="dxa"/>
            <w:tcBorders>
              <w:top w:val="nil"/>
              <w:left w:val="nil"/>
              <w:bottom w:val="single" w:color="auto" w:sz="4" w:space="0"/>
              <w:right w:val="single" w:color="auto" w:sz="4" w:space="0"/>
            </w:tcBorders>
            <w:vAlign w:val="center"/>
          </w:tcPr>
          <w:p>
            <w:pPr>
              <w:jc w:val="center"/>
              <w:rPr>
                <w:color w:val="auto"/>
              </w:rPr>
            </w:pPr>
            <w:r>
              <w:rPr>
                <w:rFonts w:hint="eastAsia"/>
                <w:color w:val="auto"/>
              </w:rPr>
              <w:t>见（）页</w:t>
            </w:r>
          </w:p>
        </w:tc>
      </w:tr>
      <w:tr>
        <w:tblPrEx>
          <w:tblCellMar>
            <w:top w:w="0" w:type="dxa"/>
            <w:left w:w="108" w:type="dxa"/>
            <w:bottom w:w="0" w:type="dxa"/>
            <w:right w:w="108" w:type="dxa"/>
          </w:tblCellMar>
        </w:tblPrEx>
        <w:trPr>
          <w:trHeight w:val="531" w:hRule="atLeast"/>
        </w:trPr>
        <w:tc>
          <w:tcPr>
            <w:tcW w:w="724" w:type="dxa"/>
            <w:tcBorders>
              <w:top w:val="nil"/>
              <w:left w:val="single" w:color="auto" w:sz="4" w:space="0"/>
              <w:bottom w:val="single" w:color="auto" w:sz="4" w:space="0"/>
              <w:right w:val="single" w:color="auto" w:sz="4" w:space="0"/>
            </w:tcBorders>
            <w:vAlign w:val="center"/>
          </w:tcPr>
          <w:p>
            <w:pPr>
              <w:rPr>
                <w:color w:val="auto"/>
              </w:rPr>
            </w:pPr>
          </w:p>
        </w:tc>
        <w:tc>
          <w:tcPr>
            <w:tcW w:w="6237" w:type="dxa"/>
            <w:tcBorders>
              <w:top w:val="nil"/>
              <w:left w:val="single" w:color="auto" w:sz="4" w:space="0"/>
              <w:bottom w:val="single" w:color="auto" w:sz="4" w:space="0"/>
              <w:right w:val="single" w:color="auto" w:sz="4" w:space="0"/>
            </w:tcBorders>
            <w:vAlign w:val="center"/>
          </w:tcPr>
          <w:p>
            <w:pPr>
              <w:rPr>
                <w:color w:val="auto"/>
              </w:rPr>
            </w:pPr>
          </w:p>
        </w:tc>
        <w:tc>
          <w:tcPr>
            <w:tcW w:w="1843" w:type="dxa"/>
            <w:tcBorders>
              <w:top w:val="nil"/>
              <w:left w:val="nil"/>
              <w:bottom w:val="single" w:color="auto" w:sz="4" w:space="0"/>
              <w:right w:val="single" w:color="auto" w:sz="4" w:space="0"/>
            </w:tcBorders>
            <w:vAlign w:val="center"/>
          </w:tcPr>
          <w:p>
            <w:pPr>
              <w:jc w:val="center"/>
              <w:rPr>
                <w:color w:val="auto"/>
              </w:rPr>
            </w:pPr>
            <w:r>
              <w:rPr>
                <w:rFonts w:hint="eastAsia"/>
                <w:color w:val="auto"/>
              </w:rPr>
              <w:t>见（）页</w:t>
            </w:r>
          </w:p>
        </w:tc>
      </w:tr>
      <w:tr>
        <w:tblPrEx>
          <w:tblCellMar>
            <w:top w:w="0" w:type="dxa"/>
            <w:left w:w="108" w:type="dxa"/>
            <w:bottom w:w="0" w:type="dxa"/>
            <w:right w:w="108" w:type="dxa"/>
          </w:tblCellMar>
        </w:tblPrEx>
        <w:trPr>
          <w:trHeight w:val="607" w:hRule="atLeast"/>
        </w:trPr>
        <w:tc>
          <w:tcPr>
            <w:tcW w:w="724"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6237"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843" w:type="dxa"/>
            <w:tcBorders>
              <w:top w:val="single" w:color="auto" w:sz="4" w:space="0"/>
              <w:left w:val="nil"/>
              <w:bottom w:val="single" w:color="auto" w:sz="4" w:space="0"/>
              <w:right w:val="single" w:color="auto" w:sz="4" w:space="0"/>
            </w:tcBorders>
            <w:vAlign w:val="center"/>
          </w:tcPr>
          <w:p>
            <w:pPr>
              <w:jc w:val="center"/>
              <w:rPr>
                <w:color w:val="auto"/>
              </w:rPr>
            </w:pPr>
            <w:r>
              <w:rPr>
                <w:rFonts w:hint="eastAsia"/>
                <w:color w:val="auto"/>
              </w:rPr>
              <w:t>见（）页</w:t>
            </w: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6237"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843" w:type="dxa"/>
            <w:tcBorders>
              <w:top w:val="single" w:color="auto" w:sz="4" w:space="0"/>
              <w:left w:val="nil"/>
              <w:bottom w:val="single" w:color="auto" w:sz="4" w:space="0"/>
              <w:right w:val="single" w:color="auto" w:sz="4" w:space="0"/>
            </w:tcBorders>
            <w:vAlign w:val="center"/>
          </w:tcPr>
          <w:p>
            <w:pPr>
              <w:jc w:val="center"/>
              <w:rPr>
                <w:color w:val="auto"/>
              </w:rPr>
            </w:pPr>
            <w:r>
              <w:rPr>
                <w:rFonts w:hint="eastAsia"/>
                <w:color w:val="auto"/>
              </w:rPr>
              <w:t>见（）页</w:t>
            </w: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6237"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843" w:type="dxa"/>
            <w:tcBorders>
              <w:top w:val="single" w:color="auto" w:sz="4" w:space="0"/>
              <w:left w:val="nil"/>
              <w:bottom w:val="single" w:color="auto" w:sz="4" w:space="0"/>
              <w:right w:val="single" w:color="auto" w:sz="4" w:space="0"/>
            </w:tcBorders>
            <w:vAlign w:val="center"/>
          </w:tcPr>
          <w:p>
            <w:pPr>
              <w:jc w:val="center"/>
              <w:rPr>
                <w:color w:val="auto"/>
              </w:rPr>
            </w:pPr>
            <w:r>
              <w:rPr>
                <w:rFonts w:hint="eastAsia"/>
                <w:color w:val="auto"/>
              </w:rPr>
              <w:t>见（）页</w:t>
            </w: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6237"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843" w:type="dxa"/>
            <w:tcBorders>
              <w:top w:val="single" w:color="auto" w:sz="4" w:space="0"/>
              <w:left w:val="nil"/>
              <w:bottom w:val="single" w:color="auto" w:sz="4" w:space="0"/>
              <w:right w:val="single" w:color="auto" w:sz="4" w:space="0"/>
            </w:tcBorders>
            <w:vAlign w:val="center"/>
          </w:tcPr>
          <w:p>
            <w:pPr>
              <w:jc w:val="center"/>
              <w:rPr>
                <w:color w:val="auto"/>
              </w:rPr>
            </w:pPr>
            <w:r>
              <w:rPr>
                <w:rFonts w:hint="eastAsia"/>
                <w:color w:val="auto"/>
              </w:rPr>
              <w:t>见（）页</w:t>
            </w: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6237"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843" w:type="dxa"/>
            <w:tcBorders>
              <w:top w:val="single" w:color="auto" w:sz="4" w:space="0"/>
              <w:left w:val="nil"/>
              <w:bottom w:val="single" w:color="auto" w:sz="4" w:space="0"/>
              <w:right w:val="single" w:color="auto" w:sz="4" w:space="0"/>
            </w:tcBorders>
            <w:vAlign w:val="center"/>
          </w:tcPr>
          <w:p>
            <w:pPr>
              <w:jc w:val="center"/>
              <w:rPr>
                <w:color w:val="auto"/>
              </w:rPr>
            </w:pPr>
            <w:r>
              <w:rPr>
                <w:rFonts w:hint="eastAsia"/>
                <w:color w:val="auto"/>
              </w:rPr>
              <w:t>见（）页</w:t>
            </w: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6237"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843" w:type="dxa"/>
            <w:tcBorders>
              <w:top w:val="single" w:color="auto" w:sz="4" w:space="0"/>
              <w:left w:val="nil"/>
              <w:bottom w:val="single" w:color="auto" w:sz="4" w:space="0"/>
              <w:right w:val="single" w:color="auto" w:sz="4" w:space="0"/>
            </w:tcBorders>
            <w:vAlign w:val="center"/>
          </w:tcPr>
          <w:p>
            <w:pPr>
              <w:jc w:val="center"/>
              <w:rPr>
                <w:color w:val="auto"/>
              </w:rPr>
            </w:pPr>
            <w:r>
              <w:rPr>
                <w:rFonts w:hint="eastAsia"/>
                <w:color w:val="auto"/>
              </w:rPr>
              <w:t>见（）页</w:t>
            </w:r>
          </w:p>
        </w:tc>
      </w:tr>
      <w:tr>
        <w:tblPrEx>
          <w:tblCellMar>
            <w:top w:w="0" w:type="dxa"/>
            <w:left w:w="108" w:type="dxa"/>
            <w:bottom w:w="0" w:type="dxa"/>
            <w:right w:w="108" w:type="dxa"/>
          </w:tblCellMar>
        </w:tblPrEx>
        <w:trPr>
          <w:trHeight w:val="608" w:hRule="atLeast"/>
        </w:trPr>
        <w:tc>
          <w:tcPr>
            <w:tcW w:w="724"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6237"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843" w:type="dxa"/>
            <w:tcBorders>
              <w:top w:val="single" w:color="auto" w:sz="4" w:space="0"/>
              <w:left w:val="nil"/>
              <w:bottom w:val="single" w:color="auto" w:sz="4" w:space="0"/>
              <w:right w:val="single" w:color="auto" w:sz="4" w:space="0"/>
            </w:tcBorders>
            <w:vAlign w:val="center"/>
          </w:tcPr>
          <w:p>
            <w:pPr>
              <w:jc w:val="center"/>
              <w:rPr>
                <w:color w:val="auto"/>
              </w:rPr>
            </w:pPr>
            <w:r>
              <w:rPr>
                <w:rFonts w:hint="eastAsia"/>
                <w:color w:val="auto"/>
              </w:rPr>
              <w:t>见（）页</w:t>
            </w:r>
          </w:p>
        </w:tc>
      </w:tr>
      <w:tr>
        <w:tblPrEx>
          <w:tblCellMar>
            <w:top w:w="0" w:type="dxa"/>
            <w:left w:w="108" w:type="dxa"/>
            <w:bottom w:w="0" w:type="dxa"/>
            <w:right w:w="108" w:type="dxa"/>
          </w:tblCellMar>
        </w:tblPrEx>
        <w:trPr>
          <w:trHeight w:val="750" w:hRule="atLeast"/>
        </w:trPr>
        <w:tc>
          <w:tcPr>
            <w:tcW w:w="724"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6237"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843" w:type="dxa"/>
            <w:tcBorders>
              <w:top w:val="single" w:color="auto" w:sz="4" w:space="0"/>
              <w:left w:val="nil"/>
              <w:bottom w:val="single" w:color="auto" w:sz="4" w:space="0"/>
              <w:right w:val="single" w:color="auto" w:sz="4" w:space="0"/>
            </w:tcBorders>
            <w:vAlign w:val="center"/>
          </w:tcPr>
          <w:p>
            <w:pPr>
              <w:jc w:val="center"/>
              <w:rPr>
                <w:color w:val="auto"/>
              </w:rPr>
            </w:pPr>
            <w:r>
              <w:rPr>
                <w:rFonts w:hint="eastAsia"/>
                <w:color w:val="auto"/>
              </w:rPr>
              <w:t>见（）页</w:t>
            </w:r>
          </w:p>
        </w:tc>
      </w:tr>
    </w:tbl>
    <w:p>
      <w:pPr>
        <w:rPr>
          <w:b/>
          <w:color w:val="auto"/>
        </w:rPr>
      </w:pPr>
      <w:r>
        <w:rPr>
          <w:rFonts w:hint="eastAsia"/>
          <w:b/>
          <w:color w:val="auto"/>
        </w:rPr>
        <w:t>根据评分标准逐条填写。</w:t>
      </w:r>
    </w:p>
    <w:p>
      <w:pPr>
        <w:rPr>
          <w:color w:val="auto"/>
        </w:rPr>
      </w:pPr>
    </w:p>
    <w:p>
      <w:pPr>
        <w:ind w:firstLine="6090" w:firstLineChars="2900"/>
        <w:rPr>
          <w:color w:val="auto"/>
        </w:rPr>
      </w:pPr>
      <w:r>
        <w:rPr>
          <w:rFonts w:hint="eastAsia"/>
          <w:color w:val="auto"/>
        </w:rPr>
        <w:t>投标人名称：</w:t>
      </w:r>
    </w:p>
    <w:p>
      <w:pPr>
        <w:rPr>
          <w:color w:val="auto"/>
        </w:rPr>
      </w:pPr>
    </w:p>
    <w:p>
      <w:pPr>
        <w:ind w:firstLine="6090" w:firstLineChars="2900"/>
        <w:rPr>
          <w:color w:val="auto"/>
        </w:rPr>
      </w:pPr>
      <w:r>
        <w:rPr>
          <w:rFonts w:hint="eastAsia"/>
          <w:color w:val="auto"/>
        </w:rPr>
        <w:t>年月日</w:t>
      </w:r>
    </w:p>
    <w:p>
      <w:pPr>
        <w:rPr>
          <w:color w:val="auto"/>
        </w:rPr>
      </w:pPr>
    </w:p>
    <w:p>
      <w:pPr>
        <w:rPr>
          <w:color w:val="auto"/>
        </w:rPr>
      </w:pPr>
    </w:p>
    <w:p>
      <w:pPr>
        <w:snapToGrid w:val="0"/>
        <w:spacing w:before="50" w:after="50"/>
        <w:rPr>
          <w:rFonts w:ascii="宋体" w:cs="宋体"/>
          <w:color w:val="auto"/>
          <w:szCs w:val="21"/>
        </w:rPr>
      </w:pPr>
      <w:r>
        <w:rPr>
          <w:color w:val="auto"/>
        </w:rPr>
        <w:br w:type="page"/>
      </w:r>
      <w:r>
        <w:rPr>
          <w:rFonts w:hint="eastAsia" w:ascii="宋体" w:hAnsi="宋体" w:cs="宋体"/>
          <w:color w:val="auto"/>
          <w:szCs w:val="21"/>
        </w:rPr>
        <w:t>格式二：投标函</w:t>
      </w:r>
      <w:bookmarkEnd w:id="64"/>
      <w:bookmarkEnd w:id="65"/>
      <w:bookmarkEnd w:id="66"/>
      <w:bookmarkEnd w:id="67"/>
    </w:p>
    <w:p>
      <w:pPr>
        <w:snapToGrid w:val="0"/>
        <w:spacing w:line="400" w:lineRule="exact"/>
        <w:jc w:val="center"/>
        <w:rPr>
          <w:rFonts w:ascii="宋体" w:cs="宋体"/>
          <w:b/>
          <w:bCs/>
          <w:color w:val="auto"/>
          <w:sz w:val="28"/>
          <w:szCs w:val="28"/>
        </w:rPr>
      </w:pPr>
      <w:r>
        <w:rPr>
          <w:rFonts w:hint="eastAsia" w:ascii="宋体" w:hAnsi="宋体" w:cs="宋体"/>
          <w:b/>
          <w:bCs/>
          <w:color w:val="auto"/>
          <w:sz w:val="28"/>
          <w:szCs w:val="28"/>
        </w:rPr>
        <w:t>投标函</w:t>
      </w:r>
    </w:p>
    <w:p>
      <w:pPr>
        <w:snapToGrid w:val="0"/>
        <w:spacing w:line="400" w:lineRule="exact"/>
        <w:jc w:val="center"/>
        <w:rPr>
          <w:rFonts w:ascii="宋体" w:cs="宋体"/>
          <w:color w:val="auto"/>
          <w:szCs w:val="21"/>
        </w:rPr>
      </w:pPr>
    </w:p>
    <w:p>
      <w:pPr>
        <w:snapToGrid w:val="0"/>
        <w:spacing w:line="400" w:lineRule="exact"/>
        <w:rPr>
          <w:rFonts w:ascii="宋体" w:cs="宋体"/>
          <w:color w:val="auto"/>
          <w:szCs w:val="21"/>
        </w:rPr>
      </w:pPr>
      <w:r>
        <w:rPr>
          <w:rFonts w:hint="eastAsia" w:ascii="宋体" w:hAnsi="宋体" w:cs="宋体"/>
          <w:color w:val="auto"/>
          <w:szCs w:val="21"/>
        </w:rPr>
        <w:t>致</w:t>
      </w:r>
      <w:r>
        <w:rPr>
          <w:rFonts w:hint="eastAsia" w:ascii="宋体" w:hAnsi="宋体" w:cs="宋体"/>
          <w:color w:val="auto"/>
          <w:szCs w:val="21"/>
          <w:u w:val="single"/>
          <w:lang w:eastAsia="zh-CN"/>
        </w:rPr>
        <w:t>宁波中屹工程管理咨询有限公司</w:t>
      </w:r>
      <w:r>
        <w:rPr>
          <w:rFonts w:hint="eastAsia" w:ascii="宋体" w:hAnsi="宋体" w:cs="宋体"/>
          <w:color w:val="auto"/>
          <w:szCs w:val="21"/>
        </w:rPr>
        <w:t>：</w:t>
      </w:r>
    </w:p>
    <w:p>
      <w:pPr>
        <w:snapToGrid w:val="0"/>
        <w:spacing w:line="400" w:lineRule="exact"/>
        <w:ind w:firstLine="420" w:firstLineChars="200"/>
        <w:rPr>
          <w:rFonts w:ascii="宋体" w:cs="宋体"/>
          <w:color w:val="auto"/>
          <w:szCs w:val="21"/>
        </w:rPr>
      </w:pPr>
      <w:r>
        <w:rPr>
          <w:rFonts w:hint="eastAsia" w:ascii="宋体" w:hAnsi="宋体" w:cs="宋体"/>
          <w:color w:val="auto"/>
          <w:szCs w:val="21"/>
        </w:rPr>
        <w:t>根据贵方项目的招标公告（招标编号：</w:t>
      </w:r>
      <w:r>
        <w:rPr>
          <w:rFonts w:hint="eastAsia" w:ascii="宋体" w:hAnsi="宋体" w:cs="宋体"/>
          <w:color w:val="auto"/>
          <w:szCs w:val="21"/>
          <w:u w:val="single"/>
          <w:lang w:val="en-US" w:eastAsia="zh-CN"/>
        </w:rPr>
        <w:t xml:space="preserve">             </w:t>
      </w:r>
      <w:r>
        <w:rPr>
          <w:rFonts w:hint="eastAsia" w:ascii="宋体" w:hAnsi="宋体" w:cs="宋体"/>
          <w:color w:val="auto"/>
          <w:szCs w:val="21"/>
        </w:rPr>
        <w:t>），签字代表</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（全名）</w:t>
      </w:r>
      <w:r>
        <w:rPr>
          <w:rFonts w:hint="eastAsia" w:ascii="宋体" w:hAnsi="宋体" w:cs="宋体"/>
          <w:color w:val="auto"/>
          <w:szCs w:val="21"/>
          <w:u w:val="single"/>
          <w:lang w:val="en-US" w:eastAsia="zh-CN"/>
        </w:rPr>
        <w:t xml:space="preserve">   </w:t>
      </w:r>
      <w:r>
        <w:rPr>
          <w:rFonts w:hint="eastAsia" w:ascii="宋体" w:hAnsi="宋体" w:cs="宋体"/>
          <w:color w:val="auto"/>
          <w:szCs w:val="21"/>
        </w:rPr>
        <w:t>经正式授权并代表投标人</w:t>
      </w:r>
      <w:r>
        <w:rPr>
          <w:rFonts w:hint="eastAsia" w:ascii="宋体" w:hAnsi="宋体" w:cs="宋体"/>
          <w:color w:val="auto"/>
          <w:szCs w:val="21"/>
          <w:u w:val="single"/>
          <w:lang w:val="en-US" w:eastAsia="zh-CN"/>
        </w:rPr>
        <w:t xml:space="preserve">                  </w:t>
      </w:r>
      <w:r>
        <w:rPr>
          <w:rFonts w:hint="eastAsia" w:ascii="宋体" w:hAnsi="宋体" w:cs="宋体"/>
          <w:color w:val="auto"/>
          <w:szCs w:val="21"/>
        </w:rPr>
        <w:t>（投标人名称）提交投标文件正本份、副本份。</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cs="宋体"/>
          <w:color w:val="auto"/>
          <w:szCs w:val="21"/>
        </w:rPr>
      </w:pPr>
      <w:r>
        <w:rPr>
          <w:rFonts w:ascii="宋体" w:hAnsi="宋体" w:cs="宋体"/>
          <w:color w:val="auto"/>
          <w:szCs w:val="21"/>
        </w:rPr>
        <w:t>1</w:t>
      </w:r>
      <w:r>
        <w:rPr>
          <w:rFonts w:hint="eastAsia" w:ascii="宋体" w:hAnsi="宋体" w:cs="宋体"/>
          <w:color w:val="auto"/>
          <w:szCs w:val="21"/>
        </w:rPr>
        <w:t>．据此函，签字代表宣布并承诺如下：</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cs="宋体"/>
          <w:color w:val="auto"/>
          <w:szCs w:val="21"/>
        </w:rPr>
      </w:pPr>
      <w:r>
        <w:rPr>
          <w:rFonts w:hint="eastAsia" w:ascii="宋体" w:hAnsi="宋体" w:cs="宋体"/>
          <w:color w:val="auto"/>
          <w:szCs w:val="21"/>
        </w:rPr>
        <w:t>我方对招标项目愿以承诺的投标总价承担招标文件规定全部内容的服务。</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cs="宋体"/>
          <w:color w:val="auto"/>
          <w:szCs w:val="21"/>
        </w:rPr>
      </w:pPr>
      <w:r>
        <w:rPr>
          <w:rFonts w:hint="eastAsia" w:ascii="宋体" w:hAnsi="宋体" w:cs="宋体"/>
          <w:color w:val="auto"/>
          <w:szCs w:val="21"/>
        </w:rPr>
        <w:t>本报价已经包含了所提供服务应纳的税金及招标文件规定的报价方式应包含的其它费用。</w:t>
      </w:r>
      <w:r>
        <w:rPr>
          <w:rFonts w:ascii="宋体" w:cs="宋体"/>
          <w:color w:val="auto"/>
          <w:szCs w:val="21"/>
        </w:rPr>
        <w:br w:type="textWrapping"/>
      </w:r>
      <w:r>
        <w:rPr>
          <w:rFonts w:hint="eastAsia" w:ascii="宋体" w:hAnsi="宋体" w:cs="宋体"/>
          <w:color w:val="auto"/>
          <w:szCs w:val="21"/>
        </w:rPr>
        <w:t>本报价在投标有效期内固定不变，并在合同有效期内不受利率波动的影响。</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cs="宋体"/>
          <w:color w:val="auto"/>
          <w:szCs w:val="21"/>
        </w:rPr>
      </w:pPr>
      <w:r>
        <w:rPr>
          <w:rFonts w:hint="eastAsia" w:ascii="宋体" w:hAnsi="宋体" w:cs="宋体"/>
          <w:color w:val="auto"/>
          <w:szCs w:val="21"/>
        </w:rPr>
        <w:t>本投标自开标之日起天内有效。</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cs="宋体"/>
          <w:color w:val="auto"/>
          <w:szCs w:val="21"/>
        </w:rPr>
      </w:pPr>
      <w:r>
        <w:rPr>
          <w:rFonts w:hint="eastAsia" w:ascii="宋体" w:hAnsi="宋体" w:cs="宋体"/>
          <w:color w:val="auto"/>
          <w:szCs w:val="21"/>
        </w:rPr>
        <w:t>我们已详细审查全部招标文件及有关的澄清</w:t>
      </w:r>
      <w:r>
        <w:rPr>
          <w:rFonts w:ascii="宋体" w:hAnsi="宋体" w:cs="宋体"/>
          <w:color w:val="auto"/>
          <w:szCs w:val="21"/>
        </w:rPr>
        <w:t>/</w:t>
      </w:r>
      <w:r>
        <w:rPr>
          <w:rFonts w:hint="eastAsia" w:ascii="宋体" w:hAnsi="宋体" w:cs="宋体"/>
          <w:color w:val="auto"/>
          <w:szCs w:val="21"/>
        </w:rPr>
        <w:t>修改文件</w:t>
      </w:r>
      <w:r>
        <w:rPr>
          <w:rFonts w:ascii="宋体" w:hAnsi="宋体" w:cs="宋体"/>
          <w:color w:val="auto"/>
          <w:szCs w:val="21"/>
        </w:rPr>
        <w:t>(</w:t>
      </w:r>
      <w:r>
        <w:rPr>
          <w:rFonts w:hint="eastAsia" w:ascii="宋体" w:hAnsi="宋体" w:cs="宋体"/>
          <w:color w:val="auto"/>
          <w:szCs w:val="21"/>
        </w:rPr>
        <w:t>如有</w:t>
      </w:r>
      <w:r>
        <w:rPr>
          <w:rFonts w:ascii="宋体" w:hAnsi="宋体" w:cs="宋体"/>
          <w:color w:val="auto"/>
          <w:szCs w:val="21"/>
        </w:rPr>
        <w:t>)</w:t>
      </w:r>
      <w:r>
        <w:rPr>
          <w:rFonts w:hint="eastAsia" w:ascii="宋体" w:hAnsi="宋体" w:cs="宋体"/>
          <w:color w:val="auto"/>
          <w:szCs w:val="21"/>
        </w:rPr>
        <w:t>，我们完全理解并同意放弃对这方面提出任何异议的权利。保证遵守招标文件有关条款规定。</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cs="宋体"/>
          <w:color w:val="auto"/>
          <w:szCs w:val="21"/>
        </w:rPr>
      </w:pPr>
      <w:r>
        <w:rPr>
          <w:rFonts w:hint="eastAsia" w:ascii="宋体" w:hAnsi="宋体" w:cs="宋体"/>
          <w:color w:val="auto"/>
          <w:szCs w:val="21"/>
        </w:rPr>
        <w:t>保证在中标后忠实地执行与招标人所签署的合同，并承担合同规定的责任义务。保证在中标后按照招标文件的规定支付招标代理服务费。</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cs="宋体"/>
          <w:color w:val="auto"/>
          <w:szCs w:val="21"/>
        </w:rPr>
      </w:pPr>
      <w:r>
        <w:rPr>
          <w:rFonts w:ascii="宋体" w:hAnsi="宋体" w:cs="宋体"/>
          <w:color w:val="auto"/>
          <w:szCs w:val="21"/>
        </w:rPr>
        <w:t>2</w:t>
      </w:r>
      <w:r>
        <w:rPr>
          <w:rFonts w:hint="eastAsia" w:ascii="宋体" w:hAnsi="宋体" w:cs="宋体"/>
          <w:color w:val="auto"/>
          <w:szCs w:val="21"/>
        </w:rPr>
        <w:t>．我们郑重声明：我公司符合有关法律法规规定的参加采购活动应当具备的条件：具有健全的财务会计制度、依法缴纳税收和社会保障资金、参加本次采购活动之前的三年内，在经营活动中无重大违法活动。</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cs="宋体"/>
          <w:color w:val="auto"/>
          <w:szCs w:val="21"/>
        </w:rPr>
      </w:pPr>
      <w:r>
        <w:rPr>
          <w:rFonts w:ascii="宋体" w:hAnsi="宋体" w:cs="宋体"/>
          <w:color w:val="auto"/>
          <w:szCs w:val="21"/>
        </w:rPr>
        <w:t>3</w:t>
      </w:r>
      <w:r>
        <w:rPr>
          <w:rFonts w:hint="eastAsia" w:ascii="宋体" w:hAnsi="宋体" w:cs="宋体"/>
          <w:color w:val="auto"/>
          <w:szCs w:val="21"/>
        </w:rPr>
        <w:t>．与本投标有关的一切正式往来信函请寄：</w:t>
      </w:r>
    </w:p>
    <w:p>
      <w:pPr>
        <w:snapToGrid w:val="0"/>
        <w:spacing w:line="400" w:lineRule="exact"/>
        <w:rPr>
          <w:rFonts w:ascii="宋体" w:cs="宋体"/>
          <w:color w:val="auto"/>
          <w:szCs w:val="21"/>
        </w:rPr>
      </w:pPr>
      <w:r>
        <w:rPr>
          <w:rFonts w:hint="eastAsia" w:ascii="宋体" w:hAnsi="宋体" w:cs="宋体"/>
          <w:color w:val="auto"/>
          <w:szCs w:val="21"/>
        </w:rPr>
        <w:t>投标人全称（加盖公章）</w:t>
      </w:r>
      <w:r>
        <w:rPr>
          <w:rFonts w:ascii="宋体" w:hAnsi="宋体" w:cs="宋体"/>
          <w:color w:val="auto"/>
          <w:szCs w:val="21"/>
        </w:rPr>
        <w:t xml:space="preserve">:                                               </w:t>
      </w:r>
    </w:p>
    <w:p>
      <w:pPr>
        <w:snapToGrid w:val="0"/>
        <w:spacing w:line="400" w:lineRule="exact"/>
        <w:rPr>
          <w:rFonts w:ascii="宋体" w:cs="宋体"/>
          <w:color w:val="auto"/>
          <w:szCs w:val="21"/>
        </w:rPr>
      </w:pPr>
      <w:r>
        <w:rPr>
          <w:rFonts w:hint="eastAsia" w:ascii="宋体" w:hAnsi="宋体" w:cs="宋体"/>
          <w:color w:val="auto"/>
          <w:szCs w:val="21"/>
        </w:rPr>
        <w:t>地址：邮编：</w:t>
      </w:r>
      <w:r>
        <w:rPr>
          <w:rFonts w:ascii="宋体" w:hAnsi="宋体" w:cs="宋体"/>
          <w:color w:val="auto"/>
          <w:szCs w:val="21"/>
        </w:rPr>
        <w:t xml:space="preserve">__________   </w:t>
      </w:r>
    </w:p>
    <w:p>
      <w:pPr>
        <w:snapToGrid w:val="0"/>
        <w:spacing w:line="400" w:lineRule="exact"/>
        <w:rPr>
          <w:rFonts w:ascii="宋体" w:cs="宋体"/>
          <w:color w:val="auto"/>
          <w:szCs w:val="21"/>
        </w:rPr>
      </w:pPr>
      <w:r>
        <w:rPr>
          <w:rFonts w:hint="eastAsia" w:ascii="宋体" w:hAnsi="宋体" w:cs="宋体"/>
          <w:color w:val="auto"/>
          <w:szCs w:val="21"/>
        </w:rPr>
        <w:t>电话：传真：</w:t>
      </w:r>
      <w:r>
        <w:rPr>
          <w:rFonts w:ascii="宋体" w:hAnsi="宋体" w:cs="宋体"/>
          <w:color w:val="auto"/>
          <w:szCs w:val="21"/>
        </w:rPr>
        <w:t>__________</w:t>
      </w:r>
    </w:p>
    <w:p>
      <w:pPr>
        <w:snapToGrid w:val="0"/>
        <w:spacing w:line="400" w:lineRule="exact"/>
        <w:rPr>
          <w:rFonts w:ascii="宋体" w:cs="宋体"/>
          <w:color w:val="auto"/>
          <w:szCs w:val="21"/>
          <w:u w:val="single"/>
        </w:rPr>
      </w:pPr>
      <w:r>
        <w:rPr>
          <w:rFonts w:hint="eastAsia" w:ascii="宋体" w:hAnsi="宋体" w:cs="宋体"/>
          <w:color w:val="auto"/>
          <w:szCs w:val="21"/>
        </w:rPr>
        <w:t>投标人代表姓名</w:t>
      </w:r>
      <w:r>
        <w:rPr>
          <w:rFonts w:ascii="宋体" w:hAnsi="宋体" w:cs="宋体"/>
          <w:color w:val="auto"/>
          <w:szCs w:val="21"/>
        </w:rPr>
        <w:t xml:space="preserve"> ___________  </w:t>
      </w:r>
      <w:r>
        <w:rPr>
          <w:rFonts w:hint="eastAsia" w:ascii="宋体" w:hAnsi="宋体" w:cs="宋体"/>
          <w:color w:val="auto"/>
          <w:szCs w:val="21"/>
        </w:rPr>
        <w:t>职务：</w:t>
      </w: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r>
        <w:rPr>
          <w:rFonts w:hint="eastAsia" w:ascii="宋体" w:hAnsi="宋体" w:cs="宋体"/>
          <w:color w:val="auto"/>
          <w:szCs w:val="21"/>
        </w:rPr>
        <w:t>授权代表签字</w:t>
      </w:r>
      <w:r>
        <w:rPr>
          <w:rFonts w:ascii="宋体" w:hAnsi="宋体" w:cs="宋体"/>
          <w:color w:val="auto"/>
          <w:szCs w:val="21"/>
        </w:rPr>
        <w:t xml:space="preserve">:___________ </w:t>
      </w:r>
    </w:p>
    <w:p>
      <w:pPr>
        <w:snapToGrid w:val="0"/>
        <w:spacing w:line="400" w:lineRule="exact"/>
        <w:rPr>
          <w:rFonts w:ascii="宋体" w:hAnsi="宋体" w:cs="宋体"/>
          <w:color w:val="auto"/>
          <w:szCs w:val="21"/>
        </w:rPr>
      </w:pPr>
      <w:r>
        <w:rPr>
          <w:rFonts w:hint="eastAsia" w:ascii="宋体" w:hAnsi="宋体" w:cs="宋体"/>
          <w:color w:val="auto"/>
          <w:szCs w:val="21"/>
        </w:rPr>
        <w:t>日期</w:t>
      </w:r>
      <w:r>
        <w:rPr>
          <w:rFonts w:ascii="宋体" w:hAnsi="宋体" w:cs="宋体"/>
          <w:color w:val="auto"/>
          <w:szCs w:val="21"/>
        </w:rPr>
        <w:t>:_____</w:t>
      </w:r>
      <w:r>
        <w:rPr>
          <w:rFonts w:hint="eastAsia" w:ascii="宋体" w:hAnsi="宋体" w:cs="宋体"/>
          <w:color w:val="auto"/>
          <w:szCs w:val="21"/>
        </w:rPr>
        <w:t>年</w:t>
      </w:r>
      <w:r>
        <w:rPr>
          <w:rFonts w:ascii="宋体" w:hAnsi="宋体" w:cs="宋体"/>
          <w:color w:val="auto"/>
          <w:szCs w:val="21"/>
        </w:rPr>
        <w:t>___</w:t>
      </w:r>
      <w:r>
        <w:rPr>
          <w:rFonts w:hint="eastAsia" w:ascii="宋体" w:hAnsi="宋体" w:cs="宋体"/>
          <w:color w:val="auto"/>
          <w:szCs w:val="21"/>
        </w:rPr>
        <w:t>月</w:t>
      </w:r>
      <w:r>
        <w:rPr>
          <w:rFonts w:ascii="宋体" w:hAnsi="宋体" w:cs="宋体"/>
          <w:color w:val="auto"/>
          <w:szCs w:val="21"/>
        </w:rPr>
        <w:t>___</w:t>
      </w:r>
      <w:r>
        <w:rPr>
          <w:rFonts w:hint="eastAsia" w:ascii="宋体" w:hAnsi="宋体" w:cs="宋体"/>
          <w:color w:val="auto"/>
          <w:szCs w:val="21"/>
        </w:rPr>
        <w:t>日</w:t>
      </w:r>
    </w:p>
    <w:p>
      <w:pPr>
        <w:pStyle w:val="3"/>
        <w:rPr>
          <w:rFonts w:ascii="宋体" w:hAnsi="宋体" w:cs="宋体"/>
          <w:color w:val="auto"/>
          <w:szCs w:val="21"/>
        </w:rPr>
      </w:pPr>
    </w:p>
    <w:p>
      <w:pPr>
        <w:rPr>
          <w:color w:val="auto"/>
        </w:rPr>
      </w:pPr>
    </w:p>
    <w:p>
      <w:pPr>
        <w:pStyle w:val="37"/>
        <w:rPr>
          <w:color w:val="auto"/>
        </w:rPr>
      </w:pPr>
    </w:p>
    <w:p>
      <w:pPr>
        <w:rPr>
          <w:color w:val="auto"/>
        </w:rPr>
      </w:pPr>
    </w:p>
    <w:p>
      <w:pPr>
        <w:rPr>
          <w:color w:val="auto"/>
        </w:rPr>
      </w:pPr>
    </w:p>
    <w:p>
      <w:pPr>
        <w:snapToGrid w:val="0"/>
        <w:spacing w:line="400" w:lineRule="exact"/>
        <w:rPr>
          <w:rFonts w:ascii="宋体" w:cs="宋体"/>
          <w:color w:val="auto"/>
          <w:szCs w:val="21"/>
        </w:rPr>
      </w:pPr>
      <w:bookmarkStart w:id="72" w:name="_Toc10297"/>
      <w:bookmarkStart w:id="73" w:name="_Toc25216"/>
      <w:bookmarkStart w:id="74" w:name="_Toc13391"/>
      <w:bookmarkStart w:id="75" w:name="_Toc463726847"/>
      <w:r>
        <w:rPr>
          <w:rFonts w:hint="eastAsia" w:ascii="宋体" w:hAnsi="宋体" w:cs="宋体"/>
          <w:color w:val="auto"/>
          <w:szCs w:val="21"/>
        </w:rPr>
        <w:t>格式三：法定代表人授权委托书格式</w:t>
      </w:r>
      <w:bookmarkEnd w:id="72"/>
      <w:bookmarkEnd w:id="73"/>
      <w:bookmarkEnd w:id="74"/>
      <w:bookmarkEnd w:id="75"/>
    </w:p>
    <w:p>
      <w:pPr>
        <w:snapToGrid w:val="0"/>
        <w:spacing w:line="400" w:lineRule="exact"/>
        <w:rPr>
          <w:rFonts w:ascii="宋体" w:cs="宋体"/>
          <w:color w:val="auto"/>
          <w:szCs w:val="21"/>
        </w:rPr>
      </w:pPr>
    </w:p>
    <w:p>
      <w:pPr>
        <w:snapToGrid w:val="0"/>
        <w:spacing w:line="400" w:lineRule="exact"/>
        <w:jc w:val="center"/>
        <w:rPr>
          <w:rFonts w:ascii="宋体" w:cs="宋体"/>
          <w:b/>
          <w:bCs/>
          <w:color w:val="auto"/>
          <w:sz w:val="28"/>
          <w:szCs w:val="28"/>
        </w:rPr>
      </w:pPr>
      <w:r>
        <w:rPr>
          <w:rFonts w:hint="eastAsia" w:ascii="宋体" w:hAnsi="宋体" w:cs="宋体"/>
          <w:b/>
          <w:bCs/>
          <w:color w:val="auto"/>
          <w:sz w:val="28"/>
          <w:szCs w:val="28"/>
        </w:rPr>
        <w:t>法定代表人授权委托书</w:t>
      </w:r>
    </w:p>
    <w:p>
      <w:pPr>
        <w:snapToGrid w:val="0"/>
        <w:spacing w:line="400" w:lineRule="exact"/>
        <w:rPr>
          <w:rFonts w:ascii="宋体" w:cs="宋体"/>
          <w:color w:val="auto"/>
          <w:szCs w:val="21"/>
        </w:rPr>
      </w:pPr>
    </w:p>
    <w:p>
      <w:pPr>
        <w:snapToGrid w:val="0"/>
        <w:spacing w:line="400" w:lineRule="exact"/>
        <w:rPr>
          <w:rFonts w:ascii="宋体" w:cs="宋体"/>
          <w:color w:val="auto"/>
          <w:szCs w:val="21"/>
        </w:rPr>
      </w:pPr>
      <w:r>
        <w:rPr>
          <w:rFonts w:hint="eastAsia" w:ascii="宋体" w:hAnsi="宋体" w:cs="宋体"/>
          <w:color w:val="auto"/>
          <w:szCs w:val="21"/>
        </w:rPr>
        <w:t>致</w:t>
      </w:r>
      <w:r>
        <w:rPr>
          <w:rFonts w:hint="eastAsia" w:ascii="宋体" w:hAnsi="宋体" w:cs="宋体"/>
          <w:color w:val="auto"/>
          <w:szCs w:val="21"/>
          <w:u w:val="single"/>
          <w:lang w:eastAsia="zh-CN"/>
        </w:rPr>
        <w:t>宁波中屹工程管理咨询有限公司</w:t>
      </w:r>
      <w:r>
        <w:rPr>
          <w:rFonts w:hint="eastAsia" w:ascii="宋体" w:hAnsi="宋体" w:cs="宋体"/>
          <w:color w:val="auto"/>
          <w:szCs w:val="21"/>
        </w:rPr>
        <w:t>：</w:t>
      </w:r>
    </w:p>
    <w:p>
      <w:pPr>
        <w:snapToGrid w:val="0"/>
        <w:spacing w:line="400" w:lineRule="exact"/>
        <w:ind w:firstLine="420" w:firstLineChars="200"/>
        <w:rPr>
          <w:rFonts w:ascii="宋体" w:cs="宋体"/>
          <w:color w:val="auto"/>
          <w:szCs w:val="21"/>
        </w:rPr>
      </w:pPr>
      <w:r>
        <w:rPr>
          <w:rFonts w:hint="eastAsia" w:ascii="宋体" w:hAnsi="宋体" w:cs="宋体"/>
          <w:color w:val="auto"/>
          <w:szCs w:val="21"/>
        </w:rPr>
        <w:t>我</w:t>
      </w:r>
      <w:r>
        <w:rPr>
          <w:rFonts w:hint="eastAsia" w:ascii="宋体" w:hAnsi="宋体" w:cs="宋体"/>
          <w:color w:val="auto"/>
          <w:szCs w:val="21"/>
          <w:u w:val="single"/>
        </w:rPr>
        <w:t>（姓名）</w:t>
      </w:r>
      <w:r>
        <w:rPr>
          <w:rFonts w:hint="eastAsia" w:ascii="宋体" w:hAnsi="宋体" w:cs="宋体"/>
          <w:color w:val="auto"/>
          <w:szCs w:val="21"/>
          <w:u w:val="single"/>
          <w:lang w:val="en-US" w:eastAsia="zh-CN"/>
        </w:rPr>
        <w:t xml:space="preserve"> </w:t>
      </w:r>
      <w:r>
        <w:rPr>
          <w:rFonts w:hint="eastAsia" w:ascii="宋体" w:hAnsi="宋体" w:cs="宋体"/>
          <w:color w:val="auto"/>
          <w:szCs w:val="21"/>
        </w:rPr>
        <w:t>系</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（投标人名称）</w:t>
      </w:r>
      <w:r>
        <w:rPr>
          <w:rFonts w:hint="eastAsia" w:ascii="宋体" w:hAnsi="宋体" w:cs="宋体"/>
          <w:color w:val="auto"/>
          <w:szCs w:val="21"/>
          <w:u w:val="single"/>
          <w:lang w:val="en-US" w:eastAsia="zh-CN"/>
        </w:rPr>
        <w:t xml:space="preserve">    </w:t>
      </w:r>
      <w:r>
        <w:rPr>
          <w:rFonts w:hint="eastAsia" w:ascii="宋体" w:hAnsi="宋体" w:cs="宋体"/>
          <w:color w:val="auto"/>
          <w:szCs w:val="21"/>
        </w:rPr>
        <w:t>的法定代表人，现授权委托本单位在职职工</w:t>
      </w:r>
      <w:r>
        <w:rPr>
          <w:rFonts w:hint="eastAsia" w:ascii="宋体" w:hAnsi="宋体" w:cs="宋体"/>
          <w:color w:val="auto"/>
          <w:szCs w:val="21"/>
          <w:u w:val="single"/>
        </w:rPr>
        <w:t>（姓名）</w:t>
      </w:r>
      <w:r>
        <w:rPr>
          <w:rFonts w:hint="eastAsia" w:ascii="宋体" w:hAnsi="宋体" w:cs="宋体"/>
          <w:color w:val="auto"/>
          <w:szCs w:val="21"/>
        </w:rPr>
        <w:t>以我方的名义参加</w:t>
      </w:r>
      <w:r>
        <w:rPr>
          <w:rFonts w:hint="eastAsia" w:ascii="宋体" w:hAnsi="宋体" w:cs="宋体"/>
          <w:color w:val="auto"/>
          <w:szCs w:val="21"/>
          <w:u w:val="single"/>
          <w:lang w:val="en-US" w:eastAsia="zh-CN"/>
        </w:rPr>
        <w:t xml:space="preserve">                          </w:t>
      </w:r>
      <w:r>
        <w:rPr>
          <w:rFonts w:hint="eastAsia" w:ascii="宋体" w:hAnsi="宋体" w:cs="宋体"/>
          <w:color w:val="auto"/>
          <w:szCs w:val="21"/>
        </w:rPr>
        <w:t>项目的投标活动，并代表我方全权办理针对上述项目的投标、开标、评标、签约等具体事务和签署相关文件。</w:t>
      </w:r>
    </w:p>
    <w:p>
      <w:pPr>
        <w:snapToGrid w:val="0"/>
        <w:spacing w:line="400" w:lineRule="exact"/>
        <w:rPr>
          <w:rFonts w:ascii="宋体" w:cs="宋体"/>
          <w:color w:val="auto"/>
          <w:szCs w:val="21"/>
        </w:rPr>
      </w:pPr>
      <w:r>
        <w:rPr>
          <w:rFonts w:hint="eastAsia" w:ascii="宋体" w:hAnsi="宋体" w:cs="宋体"/>
          <w:color w:val="auto"/>
          <w:szCs w:val="21"/>
        </w:rPr>
        <w:t>我方对被授权人的签名事项负全部责任。</w:t>
      </w:r>
    </w:p>
    <w:p>
      <w:pPr>
        <w:snapToGrid w:val="0"/>
        <w:spacing w:line="400" w:lineRule="exact"/>
        <w:rPr>
          <w:rFonts w:ascii="宋体" w:cs="宋体"/>
          <w:color w:val="auto"/>
          <w:szCs w:val="21"/>
        </w:rPr>
      </w:pPr>
      <w:r>
        <w:rPr>
          <w:rFonts w:hint="eastAsia" w:ascii="宋体" w:hAnsi="宋体" w:cs="宋体"/>
          <w:color w:val="auto"/>
          <w:szCs w:val="21"/>
        </w:rPr>
        <w:t>在撤销授权的书面通知以前，本授权书一直有效。被授权人在授权书有效期内签署的所有文件不因授权的撤销而失效。</w:t>
      </w:r>
    </w:p>
    <w:p>
      <w:pPr>
        <w:snapToGrid w:val="0"/>
        <w:spacing w:line="400" w:lineRule="exact"/>
        <w:rPr>
          <w:rFonts w:ascii="宋体" w:cs="宋体"/>
          <w:color w:val="auto"/>
          <w:szCs w:val="21"/>
        </w:rPr>
      </w:pPr>
      <w:r>
        <w:rPr>
          <w:rFonts w:hint="eastAsia" w:ascii="宋体" w:hAnsi="宋体" w:cs="宋体"/>
          <w:color w:val="auto"/>
          <w:szCs w:val="21"/>
        </w:rPr>
        <w:t>被授权人无转委托权，特此委托。</w:t>
      </w:r>
    </w:p>
    <w:p>
      <w:pPr>
        <w:snapToGrid w:val="0"/>
        <w:spacing w:line="400" w:lineRule="exact"/>
        <w:rPr>
          <w:rFonts w:ascii="宋体" w:cs="宋体"/>
          <w:color w:val="auto"/>
          <w:szCs w:val="21"/>
        </w:rPr>
      </w:pPr>
    </w:p>
    <w:p>
      <w:pPr>
        <w:snapToGrid w:val="0"/>
        <w:spacing w:line="400" w:lineRule="exact"/>
        <w:rPr>
          <w:rFonts w:ascii="宋体" w:cs="宋体"/>
          <w:color w:val="auto"/>
          <w:szCs w:val="21"/>
        </w:rPr>
      </w:pPr>
      <w:r>
        <w:rPr>
          <w:rFonts w:hint="eastAsia" w:ascii="宋体" w:hAnsi="宋体" w:cs="宋体"/>
          <w:color w:val="auto"/>
          <w:szCs w:val="21"/>
        </w:rPr>
        <w:t>被授权人签名：法定代表人（签名）：</w:t>
      </w:r>
    </w:p>
    <w:p>
      <w:pPr>
        <w:snapToGrid w:val="0"/>
        <w:spacing w:line="400" w:lineRule="exact"/>
        <w:rPr>
          <w:rFonts w:ascii="宋体" w:cs="宋体"/>
          <w:color w:val="auto"/>
          <w:szCs w:val="21"/>
        </w:rPr>
      </w:pPr>
      <w:r>
        <w:rPr>
          <w:rFonts w:hint="eastAsia" w:ascii="宋体" w:hAnsi="宋体" w:cs="宋体"/>
          <w:color w:val="auto"/>
          <w:szCs w:val="21"/>
        </w:rPr>
        <w:t>职务：职务：</w:t>
      </w:r>
    </w:p>
    <w:p>
      <w:pPr>
        <w:snapToGrid w:val="0"/>
        <w:spacing w:line="400" w:lineRule="exact"/>
        <w:rPr>
          <w:rFonts w:ascii="宋体" w:cs="宋体"/>
          <w:color w:val="auto"/>
          <w:szCs w:val="21"/>
        </w:rPr>
      </w:pPr>
      <w:r>
        <w:rPr>
          <w:rFonts w:hint="eastAsia" w:ascii="宋体" w:hAnsi="宋体" w:cs="宋体"/>
          <w:color w:val="auto"/>
          <w:szCs w:val="21"/>
        </w:rPr>
        <w:t>被授权人身份证号码：</w:t>
      </w:r>
    </w:p>
    <w:p>
      <w:pPr>
        <w:snapToGrid w:val="0"/>
        <w:spacing w:line="400" w:lineRule="exact"/>
        <w:rPr>
          <w:rFonts w:ascii="宋体" w:cs="宋体"/>
          <w:color w:val="auto"/>
          <w:szCs w:val="21"/>
        </w:rPr>
      </w:pPr>
      <w:r>
        <w:rPr>
          <w:rFonts w:hint="eastAsia" w:ascii="宋体" w:hAnsi="宋体" w:cs="宋体"/>
          <w:color w:val="auto"/>
          <w:szCs w:val="21"/>
        </w:rPr>
        <w:t>投标人全称（加盖公章）：</w:t>
      </w:r>
    </w:p>
    <w:p>
      <w:pPr>
        <w:snapToGrid w:val="0"/>
        <w:spacing w:line="400" w:lineRule="exact"/>
        <w:rPr>
          <w:rFonts w:ascii="宋体" w:cs="宋体"/>
          <w:color w:val="auto"/>
          <w:szCs w:val="21"/>
        </w:rPr>
      </w:pPr>
      <w:r>
        <w:rPr>
          <w:rFonts w:hint="eastAsia" w:ascii="宋体" w:hAnsi="宋体" w:cs="宋体"/>
          <w:color w:val="auto"/>
          <w:szCs w:val="21"/>
        </w:rPr>
        <w:t>年月日</w:t>
      </w: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r>
        <w:rPr>
          <w:rFonts w:hint="eastAsia" w:ascii="宋体" w:hAnsi="宋体" w:cs="宋体"/>
          <w:color w:val="auto"/>
          <w:szCs w:val="21"/>
        </w:rPr>
        <w:t>注：后附法定代表人和被授权人的身份证复印件（正反两面）。</w:t>
      </w:r>
    </w:p>
    <w:p>
      <w:pPr>
        <w:snapToGrid w:val="0"/>
        <w:spacing w:line="400" w:lineRule="exact"/>
        <w:rPr>
          <w:rFonts w:ascii="宋体" w:cs="宋体"/>
          <w:color w:val="auto"/>
          <w:szCs w:val="21"/>
        </w:rPr>
      </w:pPr>
      <w:r>
        <w:rPr>
          <w:rFonts w:ascii="宋体" w:cs="宋体"/>
          <w:color w:val="auto"/>
          <w:szCs w:val="21"/>
        </w:rPr>
        <w:br w:type="page"/>
      </w:r>
      <w:bookmarkStart w:id="76" w:name="_Toc463726848"/>
      <w:bookmarkStart w:id="77" w:name="_Toc26905"/>
      <w:bookmarkStart w:id="78" w:name="_Toc13302"/>
      <w:bookmarkStart w:id="79" w:name="_Toc20097"/>
      <w:r>
        <w:rPr>
          <w:rFonts w:hint="eastAsia" w:ascii="宋体" w:hAnsi="宋体" w:cs="宋体"/>
          <w:color w:val="auto"/>
          <w:szCs w:val="21"/>
        </w:rPr>
        <w:t>格式四：投标人基本情况表</w:t>
      </w:r>
      <w:bookmarkEnd w:id="76"/>
      <w:bookmarkEnd w:id="77"/>
      <w:bookmarkEnd w:id="78"/>
      <w:bookmarkEnd w:id="79"/>
    </w:p>
    <w:p>
      <w:pPr>
        <w:snapToGrid w:val="0"/>
        <w:spacing w:line="400" w:lineRule="exact"/>
        <w:rPr>
          <w:rFonts w:ascii="宋体" w:cs="宋体"/>
          <w:color w:val="auto"/>
          <w:szCs w:val="21"/>
        </w:rPr>
      </w:pPr>
    </w:p>
    <w:p>
      <w:pPr>
        <w:snapToGrid w:val="0"/>
        <w:spacing w:line="400" w:lineRule="exact"/>
        <w:jc w:val="center"/>
        <w:rPr>
          <w:rFonts w:ascii="宋体" w:cs="宋体"/>
          <w:b/>
          <w:bCs/>
          <w:color w:val="auto"/>
          <w:sz w:val="28"/>
          <w:szCs w:val="28"/>
        </w:rPr>
      </w:pPr>
      <w:r>
        <w:rPr>
          <w:rFonts w:hint="eastAsia" w:ascii="宋体" w:hAnsi="宋体" w:cs="宋体"/>
          <w:b/>
          <w:bCs/>
          <w:color w:val="auto"/>
          <w:sz w:val="28"/>
          <w:szCs w:val="28"/>
        </w:rPr>
        <w:t>投标人基本情况表</w:t>
      </w:r>
    </w:p>
    <w:tbl>
      <w:tblPr>
        <w:tblStyle w:val="2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908"/>
        <w:gridCol w:w="8"/>
        <w:gridCol w:w="1561"/>
        <w:gridCol w:w="952"/>
        <w:gridCol w:w="307"/>
        <w:gridCol w:w="20"/>
        <w:gridCol w:w="1001"/>
        <w:gridCol w:w="9"/>
        <w:gridCol w:w="500"/>
        <w:gridCol w:w="268"/>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申请人名称</w:t>
            </w:r>
          </w:p>
        </w:tc>
        <w:tc>
          <w:tcPr>
            <w:tcW w:w="7264" w:type="dxa"/>
            <w:gridSpan w:val="11"/>
            <w:tcMar>
              <w:left w:w="28" w:type="dxa"/>
              <w:right w:w="28" w:type="dxa"/>
            </w:tcMar>
            <w:vAlign w:val="center"/>
          </w:tcPr>
          <w:p>
            <w:pPr>
              <w:snapToGrid w:val="0"/>
              <w:spacing w:line="400" w:lineRule="exact"/>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注册地址</w:t>
            </w:r>
          </w:p>
        </w:tc>
        <w:tc>
          <w:tcPr>
            <w:tcW w:w="3736" w:type="dxa"/>
            <w:gridSpan w:val="5"/>
            <w:tcMar>
              <w:left w:w="28" w:type="dxa"/>
              <w:right w:w="28" w:type="dxa"/>
            </w:tcMar>
            <w:vAlign w:val="center"/>
          </w:tcPr>
          <w:p>
            <w:pPr>
              <w:snapToGrid w:val="0"/>
              <w:spacing w:line="400" w:lineRule="exact"/>
              <w:rPr>
                <w:rFonts w:ascii="宋体" w:cs="宋体"/>
                <w:color w:val="auto"/>
                <w:szCs w:val="21"/>
              </w:rPr>
            </w:pPr>
          </w:p>
        </w:tc>
        <w:tc>
          <w:tcPr>
            <w:tcW w:w="1021" w:type="dxa"/>
            <w:gridSpan w:val="2"/>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邮政编码</w:t>
            </w:r>
          </w:p>
        </w:tc>
        <w:tc>
          <w:tcPr>
            <w:tcW w:w="2507" w:type="dxa"/>
            <w:gridSpan w:val="4"/>
            <w:tcMar>
              <w:left w:w="28" w:type="dxa"/>
              <w:right w:w="28" w:type="dxa"/>
            </w:tcMar>
            <w:vAlign w:val="center"/>
          </w:tcPr>
          <w:p>
            <w:pPr>
              <w:snapToGrid w:val="0"/>
              <w:spacing w:line="400" w:lineRule="exact"/>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restart"/>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联系方式</w:t>
            </w:r>
          </w:p>
        </w:tc>
        <w:tc>
          <w:tcPr>
            <w:tcW w:w="908" w:type="dxa"/>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联系人</w:t>
            </w:r>
          </w:p>
        </w:tc>
        <w:tc>
          <w:tcPr>
            <w:tcW w:w="2828" w:type="dxa"/>
            <w:gridSpan w:val="4"/>
            <w:tcMar>
              <w:left w:w="28" w:type="dxa"/>
              <w:right w:w="28" w:type="dxa"/>
            </w:tcMar>
            <w:vAlign w:val="center"/>
          </w:tcPr>
          <w:p>
            <w:pPr>
              <w:snapToGrid w:val="0"/>
              <w:spacing w:line="400" w:lineRule="exact"/>
              <w:rPr>
                <w:rFonts w:ascii="宋体" w:cs="宋体"/>
                <w:color w:val="auto"/>
                <w:szCs w:val="21"/>
              </w:rPr>
            </w:pPr>
          </w:p>
        </w:tc>
        <w:tc>
          <w:tcPr>
            <w:tcW w:w="1021" w:type="dxa"/>
            <w:gridSpan w:val="2"/>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电话</w:t>
            </w:r>
          </w:p>
        </w:tc>
        <w:tc>
          <w:tcPr>
            <w:tcW w:w="2507" w:type="dxa"/>
            <w:gridSpan w:val="4"/>
            <w:tcMar>
              <w:left w:w="28" w:type="dxa"/>
              <w:right w:w="28" w:type="dxa"/>
            </w:tcMar>
            <w:vAlign w:val="center"/>
          </w:tcPr>
          <w:p>
            <w:pPr>
              <w:snapToGrid w:val="0"/>
              <w:spacing w:line="400" w:lineRule="exact"/>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continue"/>
            <w:tcMar>
              <w:left w:w="28" w:type="dxa"/>
              <w:right w:w="28" w:type="dxa"/>
            </w:tcMar>
            <w:vAlign w:val="center"/>
          </w:tcPr>
          <w:p>
            <w:pPr>
              <w:snapToGrid w:val="0"/>
              <w:spacing w:line="400" w:lineRule="exact"/>
              <w:jc w:val="center"/>
              <w:rPr>
                <w:rFonts w:ascii="宋体" w:cs="宋体"/>
                <w:color w:val="auto"/>
                <w:szCs w:val="21"/>
              </w:rPr>
            </w:pPr>
          </w:p>
        </w:tc>
        <w:tc>
          <w:tcPr>
            <w:tcW w:w="908" w:type="dxa"/>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传真</w:t>
            </w:r>
          </w:p>
        </w:tc>
        <w:tc>
          <w:tcPr>
            <w:tcW w:w="2828" w:type="dxa"/>
            <w:gridSpan w:val="4"/>
            <w:tcMar>
              <w:left w:w="28" w:type="dxa"/>
              <w:right w:w="28" w:type="dxa"/>
            </w:tcMar>
            <w:vAlign w:val="center"/>
          </w:tcPr>
          <w:p>
            <w:pPr>
              <w:snapToGrid w:val="0"/>
              <w:spacing w:line="400" w:lineRule="exact"/>
              <w:rPr>
                <w:rFonts w:ascii="宋体" w:cs="宋体"/>
                <w:color w:val="auto"/>
                <w:szCs w:val="21"/>
              </w:rPr>
            </w:pPr>
          </w:p>
        </w:tc>
        <w:tc>
          <w:tcPr>
            <w:tcW w:w="1021" w:type="dxa"/>
            <w:gridSpan w:val="2"/>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网址</w:t>
            </w:r>
          </w:p>
        </w:tc>
        <w:tc>
          <w:tcPr>
            <w:tcW w:w="2507" w:type="dxa"/>
            <w:gridSpan w:val="4"/>
            <w:tcMar>
              <w:left w:w="28" w:type="dxa"/>
              <w:right w:w="28" w:type="dxa"/>
            </w:tcMar>
            <w:vAlign w:val="center"/>
          </w:tcPr>
          <w:p>
            <w:pPr>
              <w:snapToGrid w:val="0"/>
              <w:spacing w:line="400" w:lineRule="exact"/>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组织结构</w:t>
            </w:r>
          </w:p>
        </w:tc>
        <w:tc>
          <w:tcPr>
            <w:tcW w:w="7264" w:type="dxa"/>
            <w:gridSpan w:val="11"/>
            <w:tcMar>
              <w:left w:w="28" w:type="dxa"/>
              <w:right w:w="28" w:type="dxa"/>
            </w:tcMar>
            <w:vAlign w:val="center"/>
          </w:tcPr>
          <w:p>
            <w:pPr>
              <w:snapToGrid w:val="0"/>
              <w:spacing w:line="400" w:lineRule="exact"/>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法定代表人</w:t>
            </w:r>
          </w:p>
        </w:tc>
        <w:tc>
          <w:tcPr>
            <w:tcW w:w="916" w:type="dxa"/>
            <w:gridSpan w:val="2"/>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姓名</w:t>
            </w:r>
          </w:p>
        </w:tc>
        <w:tc>
          <w:tcPr>
            <w:tcW w:w="1561" w:type="dxa"/>
            <w:tcMar>
              <w:left w:w="28" w:type="dxa"/>
              <w:right w:w="28" w:type="dxa"/>
            </w:tcMar>
            <w:vAlign w:val="center"/>
          </w:tcPr>
          <w:p>
            <w:pPr>
              <w:snapToGrid w:val="0"/>
              <w:spacing w:line="400" w:lineRule="exact"/>
              <w:jc w:val="center"/>
              <w:rPr>
                <w:rFonts w:ascii="宋体" w:cs="宋体"/>
                <w:color w:val="auto"/>
                <w:szCs w:val="21"/>
              </w:rPr>
            </w:pPr>
          </w:p>
        </w:tc>
        <w:tc>
          <w:tcPr>
            <w:tcW w:w="1279" w:type="dxa"/>
            <w:gridSpan w:val="3"/>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技术职称</w:t>
            </w:r>
          </w:p>
        </w:tc>
        <w:tc>
          <w:tcPr>
            <w:tcW w:w="1010" w:type="dxa"/>
            <w:gridSpan w:val="2"/>
            <w:tcMar>
              <w:left w:w="28" w:type="dxa"/>
              <w:right w:w="28" w:type="dxa"/>
            </w:tcMar>
            <w:vAlign w:val="center"/>
          </w:tcPr>
          <w:p>
            <w:pPr>
              <w:snapToGrid w:val="0"/>
              <w:spacing w:line="400" w:lineRule="exact"/>
              <w:jc w:val="center"/>
              <w:rPr>
                <w:rFonts w:ascii="宋体" w:cs="宋体"/>
                <w:color w:val="auto"/>
                <w:szCs w:val="21"/>
              </w:rPr>
            </w:pPr>
          </w:p>
        </w:tc>
        <w:tc>
          <w:tcPr>
            <w:tcW w:w="768" w:type="dxa"/>
            <w:gridSpan w:val="2"/>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电话</w:t>
            </w:r>
          </w:p>
        </w:tc>
        <w:tc>
          <w:tcPr>
            <w:tcW w:w="1730" w:type="dxa"/>
            <w:tcMar>
              <w:left w:w="28" w:type="dxa"/>
              <w:right w:w="28" w:type="dxa"/>
            </w:tcMar>
            <w:vAlign w:val="center"/>
          </w:tcPr>
          <w:p>
            <w:pPr>
              <w:snapToGrid w:val="0"/>
              <w:spacing w:line="400" w:lineRule="exact"/>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技术负责人</w:t>
            </w:r>
          </w:p>
        </w:tc>
        <w:tc>
          <w:tcPr>
            <w:tcW w:w="916" w:type="dxa"/>
            <w:gridSpan w:val="2"/>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姓名</w:t>
            </w:r>
          </w:p>
        </w:tc>
        <w:tc>
          <w:tcPr>
            <w:tcW w:w="1561" w:type="dxa"/>
            <w:tcMar>
              <w:left w:w="28" w:type="dxa"/>
              <w:right w:w="28" w:type="dxa"/>
            </w:tcMar>
            <w:vAlign w:val="center"/>
          </w:tcPr>
          <w:p>
            <w:pPr>
              <w:snapToGrid w:val="0"/>
              <w:spacing w:line="400" w:lineRule="exact"/>
              <w:jc w:val="center"/>
              <w:rPr>
                <w:rFonts w:ascii="宋体" w:cs="宋体"/>
                <w:color w:val="auto"/>
                <w:szCs w:val="21"/>
              </w:rPr>
            </w:pPr>
          </w:p>
        </w:tc>
        <w:tc>
          <w:tcPr>
            <w:tcW w:w="1279" w:type="dxa"/>
            <w:gridSpan w:val="3"/>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技术职称</w:t>
            </w:r>
          </w:p>
        </w:tc>
        <w:tc>
          <w:tcPr>
            <w:tcW w:w="1010" w:type="dxa"/>
            <w:gridSpan w:val="2"/>
            <w:tcMar>
              <w:left w:w="28" w:type="dxa"/>
              <w:right w:w="28" w:type="dxa"/>
            </w:tcMar>
            <w:vAlign w:val="center"/>
          </w:tcPr>
          <w:p>
            <w:pPr>
              <w:snapToGrid w:val="0"/>
              <w:spacing w:line="400" w:lineRule="exact"/>
              <w:jc w:val="center"/>
              <w:rPr>
                <w:rFonts w:ascii="宋体" w:cs="宋体"/>
                <w:color w:val="auto"/>
                <w:szCs w:val="21"/>
              </w:rPr>
            </w:pPr>
          </w:p>
        </w:tc>
        <w:tc>
          <w:tcPr>
            <w:tcW w:w="768" w:type="dxa"/>
            <w:gridSpan w:val="2"/>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电话</w:t>
            </w:r>
          </w:p>
        </w:tc>
        <w:tc>
          <w:tcPr>
            <w:tcW w:w="1730" w:type="dxa"/>
            <w:tcMar>
              <w:left w:w="28" w:type="dxa"/>
              <w:right w:w="28" w:type="dxa"/>
            </w:tcMar>
            <w:vAlign w:val="center"/>
          </w:tcPr>
          <w:p>
            <w:pPr>
              <w:snapToGrid w:val="0"/>
              <w:spacing w:line="400" w:lineRule="exact"/>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成立时间</w:t>
            </w:r>
          </w:p>
        </w:tc>
        <w:tc>
          <w:tcPr>
            <w:tcW w:w="2477" w:type="dxa"/>
            <w:gridSpan w:val="3"/>
            <w:tcMar>
              <w:left w:w="28" w:type="dxa"/>
              <w:right w:w="28" w:type="dxa"/>
            </w:tcMar>
            <w:vAlign w:val="center"/>
          </w:tcPr>
          <w:p>
            <w:pPr>
              <w:snapToGrid w:val="0"/>
              <w:spacing w:line="400" w:lineRule="exact"/>
              <w:rPr>
                <w:rFonts w:ascii="宋体" w:cs="宋体"/>
                <w:color w:val="auto"/>
                <w:szCs w:val="21"/>
              </w:rPr>
            </w:pPr>
          </w:p>
        </w:tc>
        <w:tc>
          <w:tcPr>
            <w:tcW w:w="4787" w:type="dxa"/>
            <w:gridSpan w:val="8"/>
            <w:tcMar>
              <w:left w:w="28" w:type="dxa"/>
              <w:right w:w="28" w:type="dxa"/>
            </w:tcMar>
            <w:vAlign w:val="center"/>
          </w:tcPr>
          <w:p>
            <w:pPr>
              <w:snapToGrid w:val="0"/>
              <w:spacing w:line="400" w:lineRule="exact"/>
              <w:rPr>
                <w:rFonts w:ascii="宋体" w:cs="宋体"/>
                <w:color w:val="auto"/>
                <w:szCs w:val="21"/>
              </w:rPr>
            </w:pPr>
            <w:r>
              <w:rPr>
                <w:rFonts w:hint="eastAsia" w:ascii="宋体" w:hAnsi="宋体" w:cs="宋体"/>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企业资质等级</w:t>
            </w:r>
          </w:p>
        </w:tc>
        <w:tc>
          <w:tcPr>
            <w:tcW w:w="2477" w:type="dxa"/>
            <w:gridSpan w:val="3"/>
            <w:tcMar>
              <w:left w:w="28" w:type="dxa"/>
              <w:right w:w="28" w:type="dxa"/>
            </w:tcMar>
            <w:vAlign w:val="center"/>
          </w:tcPr>
          <w:p>
            <w:pPr>
              <w:snapToGrid w:val="0"/>
              <w:spacing w:line="400" w:lineRule="exact"/>
              <w:rPr>
                <w:rFonts w:ascii="宋体" w:cs="宋体"/>
                <w:color w:val="auto"/>
                <w:szCs w:val="21"/>
              </w:rPr>
            </w:pPr>
          </w:p>
        </w:tc>
        <w:tc>
          <w:tcPr>
            <w:tcW w:w="952" w:type="dxa"/>
            <w:vMerge w:val="restart"/>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其中</w:t>
            </w:r>
          </w:p>
        </w:tc>
        <w:tc>
          <w:tcPr>
            <w:tcW w:w="1837" w:type="dxa"/>
            <w:gridSpan w:val="5"/>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高级职称人员</w:t>
            </w:r>
          </w:p>
        </w:tc>
        <w:tc>
          <w:tcPr>
            <w:tcW w:w="1998" w:type="dxa"/>
            <w:gridSpan w:val="2"/>
            <w:tcMar>
              <w:left w:w="28" w:type="dxa"/>
              <w:right w:w="28" w:type="dxa"/>
            </w:tcMar>
            <w:vAlign w:val="center"/>
          </w:tcPr>
          <w:p>
            <w:pPr>
              <w:snapToGrid w:val="0"/>
              <w:spacing w:line="400" w:lineRule="exact"/>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营业执照号</w:t>
            </w:r>
          </w:p>
        </w:tc>
        <w:tc>
          <w:tcPr>
            <w:tcW w:w="2477" w:type="dxa"/>
            <w:gridSpan w:val="3"/>
            <w:tcMar>
              <w:left w:w="28" w:type="dxa"/>
              <w:right w:w="28" w:type="dxa"/>
            </w:tcMar>
            <w:vAlign w:val="center"/>
          </w:tcPr>
          <w:p>
            <w:pPr>
              <w:snapToGrid w:val="0"/>
              <w:spacing w:line="400" w:lineRule="exact"/>
              <w:rPr>
                <w:rFonts w:ascii="宋体" w:cs="宋体"/>
                <w:color w:val="auto"/>
                <w:szCs w:val="21"/>
              </w:rPr>
            </w:pPr>
          </w:p>
        </w:tc>
        <w:tc>
          <w:tcPr>
            <w:tcW w:w="952" w:type="dxa"/>
            <w:vMerge w:val="continue"/>
            <w:tcMar>
              <w:left w:w="28" w:type="dxa"/>
              <w:right w:w="28" w:type="dxa"/>
            </w:tcMar>
            <w:vAlign w:val="center"/>
          </w:tcPr>
          <w:p>
            <w:pPr>
              <w:snapToGrid w:val="0"/>
              <w:spacing w:line="400" w:lineRule="exact"/>
              <w:rPr>
                <w:rFonts w:ascii="宋体" w:cs="宋体"/>
                <w:color w:val="auto"/>
                <w:szCs w:val="21"/>
              </w:rPr>
            </w:pPr>
          </w:p>
        </w:tc>
        <w:tc>
          <w:tcPr>
            <w:tcW w:w="1837" w:type="dxa"/>
            <w:gridSpan w:val="5"/>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中级职称人员</w:t>
            </w:r>
          </w:p>
        </w:tc>
        <w:tc>
          <w:tcPr>
            <w:tcW w:w="1998" w:type="dxa"/>
            <w:gridSpan w:val="2"/>
            <w:tcMar>
              <w:left w:w="28" w:type="dxa"/>
              <w:right w:w="28" w:type="dxa"/>
            </w:tcMar>
            <w:vAlign w:val="center"/>
          </w:tcPr>
          <w:p>
            <w:pPr>
              <w:snapToGrid w:val="0"/>
              <w:spacing w:line="400" w:lineRule="exact"/>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注册资金</w:t>
            </w:r>
          </w:p>
        </w:tc>
        <w:tc>
          <w:tcPr>
            <w:tcW w:w="2477" w:type="dxa"/>
            <w:gridSpan w:val="3"/>
            <w:tcMar>
              <w:left w:w="28" w:type="dxa"/>
              <w:right w:w="28" w:type="dxa"/>
            </w:tcMar>
            <w:vAlign w:val="center"/>
          </w:tcPr>
          <w:p>
            <w:pPr>
              <w:snapToGrid w:val="0"/>
              <w:spacing w:line="400" w:lineRule="exact"/>
              <w:rPr>
                <w:rFonts w:ascii="宋体" w:cs="宋体"/>
                <w:color w:val="auto"/>
                <w:szCs w:val="21"/>
              </w:rPr>
            </w:pPr>
          </w:p>
        </w:tc>
        <w:tc>
          <w:tcPr>
            <w:tcW w:w="952" w:type="dxa"/>
            <w:vMerge w:val="continue"/>
            <w:tcMar>
              <w:left w:w="28" w:type="dxa"/>
              <w:right w:w="28" w:type="dxa"/>
            </w:tcMar>
            <w:vAlign w:val="center"/>
          </w:tcPr>
          <w:p>
            <w:pPr>
              <w:snapToGrid w:val="0"/>
              <w:spacing w:line="400" w:lineRule="exact"/>
              <w:rPr>
                <w:rFonts w:ascii="宋体" w:cs="宋体"/>
                <w:color w:val="auto"/>
                <w:szCs w:val="21"/>
              </w:rPr>
            </w:pPr>
          </w:p>
        </w:tc>
        <w:tc>
          <w:tcPr>
            <w:tcW w:w="1837" w:type="dxa"/>
            <w:gridSpan w:val="5"/>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初级职称人员</w:t>
            </w:r>
          </w:p>
        </w:tc>
        <w:tc>
          <w:tcPr>
            <w:tcW w:w="1998" w:type="dxa"/>
            <w:gridSpan w:val="2"/>
            <w:tcMar>
              <w:left w:w="28" w:type="dxa"/>
              <w:right w:w="28" w:type="dxa"/>
            </w:tcMar>
            <w:vAlign w:val="center"/>
          </w:tcPr>
          <w:p>
            <w:pPr>
              <w:snapToGrid w:val="0"/>
              <w:spacing w:line="400" w:lineRule="exact"/>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开户银行</w:t>
            </w:r>
          </w:p>
        </w:tc>
        <w:tc>
          <w:tcPr>
            <w:tcW w:w="2477" w:type="dxa"/>
            <w:gridSpan w:val="3"/>
            <w:tcMar>
              <w:left w:w="28" w:type="dxa"/>
              <w:right w:w="28" w:type="dxa"/>
            </w:tcMar>
            <w:vAlign w:val="center"/>
          </w:tcPr>
          <w:p>
            <w:pPr>
              <w:snapToGrid w:val="0"/>
              <w:spacing w:line="400" w:lineRule="exact"/>
              <w:rPr>
                <w:rFonts w:ascii="宋体" w:cs="宋体"/>
                <w:color w:val="auto"/>
                <w:szCs w:val="21"/>
              </w:rPr>
            </w:pPr>
          </w:p>
        </w:tc>
        <w:tc>
          <w:tcPr>
            <w:tcW w:w="952" w:type="dxa"/>
            <w:vMerge w:val="continue"/>
            <w:tcMar>
              <w:left w:w="28" w:type="dxa"/>
              <w:right w:w="28" w:type="dxa"/>
            </w:tcMar>
            <w:vAlign w:val="center"/>
          </w:tcPr>
          <w:p>
            <w:pPr>
              <w:snapToGrid w:val="0"/>
              <w:spacing w:line="400" w:lineRule="exact"/>
              <w:rPr>
                <w:rFonts w:ascii="宋体" w:cs="宋体"/>
                <w:color w:val="auto"/>
                <w:szCs w:val="21"/>
              </w:rPr>
            </w:pPr>
          </w:p>
        </w:tc>
        <w:tc>
          <w:tcPr>
            <w:tcW w:w="1837" w:type="dxa"/>
            <w:gridSpan w:val="5"/>
            <w:tcMar>
              <w:left w:w="28" w:type="dxa"/>
              <w:right w:w="28" w:type="dxa"/>
            </w:tcMar>
            <w:vAlign w:val="center"/>
          </w:tcPr>
          <w:p>
            <w:pPr>
              <w:snapToGrid w:val="0"/>
              <w:spacing w:line="400" w:lineRule="exact"/>
              <w:rPr>
                <w:rFonts w:ascii="宋体" w:cs="宋体"/>
                <w:color w:val="auto"/>
                <w:szCs w:val="21"/>
              </w:rPr>
            </w:pPr>
          </w:p>
        </w:tc>
        <w:tc>
          <w:tcPr>
            <w:tcW w:w="1998" w:type="dxa"/>
            <w:gridSpan w:val="2"/>
            <w:tcMar>
              <w:left w:w="28" w:type="dxa"/>
              <w:right w:w="28" w:type="dxa"/>
            </w:tcMar>
            <w:vAlign w:val="center"/>
          </w:tcPr>
          <w:p>
            <w:pPr>
              <w:snapToGrid w:val="0"/>
              <w:spacing w:line="400" w:lineRule="exact"/>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账号</w:t>
            </w:r>
          </w:p>
        </w:tc>
        <w:tc>
          <w:tcPr>
            <w:tcW w:w="2477" w:type="dxa"/>
            <w:gridSpan w:val="3"/>
            <w:tcMar>
              <w:left w:w="28" w:type="dxa"/>
              <w:right w:w="28" w:type="dxa"/>
            </w:tcMar>
            <w:vAlign w:val="center"/>
          </w:tcPr>
          <w:p>
            <w:pPr>
              <w:snapToGrid w:val="0"/>
              <w:spacing w:line="400" w:lineRule="exact"/>
              <w:rPr>
                <w:rFonts w:ascii="宋体" w:cs="宋体"/>
                <w:color w:val="auto"/>
                <w:szCs w:val="21"/>
              </w:rPr>
            </w:pPr>
          </w:p>
        </w:tc>
        <w:tc>
          <w:tcPr>
            <w:tcW w:w="952" w:type="dxa"/>
            <w:vMerge w:val="continue"/>
            <w:tcMar>
              <w:left w:w="28" w:type="dxa"/>
              <w:right w:w="28" w:type="dxa"/>
            </w:tcMar>
            <w:vAlign w:val="center"/>
          </w:tcPr>
          <w:p>
            <w:pPr>
              <w:snapToGrid w:val="0"/>
              <w:spacing w:line="400" w:lineRule="exact"/>
              <w:rPr>
                <w:rFonts w:ascii="宋体" w:cs="宋体"/>
                <w:color w:val="auto"/>
                <w:szCs w:val="21"/>
              </w:rPr>
            </w:pPr>
          </w:p>
        </w:tc>
        <w:tc>
          <w:tcPr>
            <w:tcW w:w="1837" w:type="dxa"/>
            <w:gridSpan w:val="5"/>
            <w:tcMar>
              <w:left w:w="28" w:type="dxa"/>
              <w:right w:w="28" w:type="dxa"/>
            </w:tcMar>
            <w:vAlign w:val="center"/>
          </w:tcPr>
          <w:p>
            <w:pPr>
              <w:snapToGrid w:val="0"/>
              <w:spacing w:line="400" w:lineRule="exact"/>
              <w:rPr>
                <w:rFonts w:ascii="宋体" w:cs="宋体"/>
                <w:color w:val="auto"/>
                <w:szCs w:val="21"/>
              </w:rPr>
            </w:pPr>
          </w:p>
        </w:tc>
        <w:tc>
          <w:tcPr>
            <w:tcW w:w="1998" w:type="dxa"/>
            <w:gridSpan w:val="2"/>
            <w:tcMar>
              <w:left w:w="28" w:type="dxa"/>
              <w:right w:w="28" w:type="dxa"/>
            </w:tcMar>
            <w:vAlign w:val="center"/>
          </w:tcPr>
          <w:p>
            <w:pPr>
              <w:snapToGrid w:val="0"/>
              <w:spacing w:line="400" w:lineRule="exact"/>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664" w:type="dxa"/>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经营范围</w:t>
            </w:r>
          </w:p>
        </w:tc>
        <w:tc>
          <w:tcPr>
            <w:tcW w:w="7264" w:type="dxa"/>
            <w:gridSpan w:val="11"/>
            <w:tcMar>
              <w:left w:w="28" w:type="dxa"/>
              <w:right w:w="28" w:type="dxa"/>
            </w:tcMar>
            <w:vAlign w:val="center"/>
          </w:tcPr>
          <w:p>
            <w:pPr>
              <w:snapToGrid w:val="0"/>
              <w:spacing w:line="400" w:lineRule="exact"/>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664" w:type="dxa"/>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备注</w:t>
            </w:r>
          </w:p>
        </w:tc>
        <w:tc>
          <w:tcPr>
            <w:tcW w:w="7264" w:type="dxa"/>
            <w:gridSpan w:val="11"/>
            <w:tcMar>
              <w:left w:w="28" w:type="dxa"/>
              <w:right w:w="28" w:type="dxa"/>
            </w:tcMar>
            <w:vAlign w:val="center"/>
          </w:tcPr>
          <w:p>
            <w:pPr>
              <w:snapToGrid w:val="0"/>
              <w:spacing w:line="400" w:lineRule="exact"/>
              <w:rPr>
                <w:rFonts w:ascii="宋体" w:cs="宋体"/>
                <w:color w:val="auto"/>
                <w:szCs w:val="21"/>
              </w:rPr>
            </w:pPr>
          </w:p>
        </w:tc>
      </w:tr>
    </w:tbl>
    <w:p>
      <w:pPr>
        <w:snapToGrid w:val="0"/>
        <w:spacing w:line="400" w:lineRule="exact"/>
        <w:rPr>
          <w:rFonts w:ascii="宋体" w:cs="宋体"/>
          <w:color w:val="auto"/>
          <w:szCs w:val="21"/>
        </w:rPr>
      </w:pPr>
    </w:p>
    <w:p>
      <w:pPr>
        <w:snapToGrid w:val="0"/>
        <w:spacing w:line="400" w:lineRule="exact"/>
        <w:rPr>
          <w:rFonts w:ascii="宋体" w:cs="宋体"/>
          <w:color w:val="auto"/>
          <w:szCs w:val="21"/>
        </w:rPr>
      </w:pPr>
      <w:r>
        <w:rPr>
          <w:rFonts w:ascii="宋体" w:cs="宋体"/>
          <w:color w:val="auto"/>
          <w:szCs w:val="21"/>
        </w:rPr>
        <w:br w:type="page"/>
      </w:r>
      <w:bookmarkStart w:id="80" w:name="_Toc31992"/>
      <w:r>
        <w:rPr>
          <w:rFonts w:hint="eastAsia" w:ascii="宋体" w:hAnsi="宋体" w:cs="宋体"/>
          <w:color w:val="auto"/>
          <w:szCs w:val="21"/>
        </w:rPr>
        <w:t>格式五：以往业绩</w:t>
      </w:r>
      <w:bookmarkEnd w:id="80"/>
    </w:p>
    <w:p>
      <w:pPr>
        <w:snapToGrid w:val="0"/>
        <w:spacing w:line="400" w:lineRule="exact"/>
        <w:rPr>
          <w:rFonts w:ascii="宋体" w:cs="宋体"/>
          <w:color w:val="auto"/>
          <w:szCs w:val="21"/>
        </w:rPr>
      </w:pPr>
    </w:p>
    <w:p>
      <w:pPr>
        <w:snapToGrid w:val="0"/>
        <w:spacing w:line="400" w:lineRule="exact"/>
        <w:jc w:val="center"/>
        <w:rPr>
          <w:rFonts w:ascii="宋体" w:cs="宋体"/>
          <w:b/>
          <w:bCs/>
          <w:color w:val="auto"/>
          <w:sz w:val="28"/>
          <w:szCs w:val="28"/>
        </w:rPr>
      </w:pPr>
      <w:r>
        <w:rPr>
          <w:rFonts w:hint="eastAsia" w:ascii="宋体" w:hAnsi="宋体" w:cs="宋体"/>
          <w:b/>
          <w:bCs/>
          <w:color w:val="auto"/>
          <w:sz w:val="28"/>
          <w:szCs w:val="28"/>
        </w:rPr>
        <w:t>以往业绩一览表</w:t>
      </w:r>
    </w:p>
    <w:tbl>
      <w:tblPr>
        <w:tblStyle w:val="29"/>
        <w:tblW w:w="8846"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61"/>
        <w:gridCol w:w="1702"/>
        <w:gridCol w:w="2028"/>
        <w:gridCol w:w="1143"/>
        <w:gridCol w:w="1260"/>
        <w:gridCol w:w="205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661" w:type="dxa"/>
            <w:tcBorders>
              <w:top w:val="single" w:color="auto" w:sz="4" w:space="0"/>
              <w:bottom w:val="single" w:color="auto" w:sz="4" w:space="0"/>
            </w:tcBorders>
            <w:tcMar>
              <w:left w:w="0" w:type="dxa"/>
              <w:right w:w="0"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序号</w:t>
            </w:r>
          </w:p>
        </w:tc>
        <w:tc>
          <w:tcPr>
            <w:tcW w:w="1702" w:type="dxa"/>
            <w:tcBorders>
              <w:top w:val="single" w:color="auto" w:sz="4" w:space="0"/>
              <w:bottom w:val="single" w:color="auto" w:sz="4" w:space="0"/>
            </w:tcBorders>
            <w:tcMar>
              <w:left w:w="0" w:type="dxa"/>
              <w:right w:w="0"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项目名称</w:t>
            </w:r>
          </w:p>
        </w:tc>
        <w:tc>
          <w:tcPr>
            <w:tcW w:w="2028" w:type="dxa"/>
            <w:tcBorders>
              <w:top w:val="single" w:color="auto" w:sz="4" w:space="0"/>
              <w:bottom w:val="single" w:color="auto" w:sz="4" w:space="0"/>
            </w:tcBorders>
            <w:tcMar>
              <w:left w:w="0" w:type="dxa"/>
              <w:right w:w="0"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业主名称</w:t>
            </w:r>
          </w:p>
        </w:tc>
        <w:tc>
          <w:tcPr>
            <w:tcW w:w="1143" w:type="dxa"/>
            <w:tcBorders>
              <w:top w:val="single" w:color="auto" w:sz="4" w:space="0"/>
              <w:bottom w:val="single" w:color="auto" w:sz="4" w:space="0"/>
            </w:tcBorders>
            <w:tcMar>
              <w:left w:w="0" w:type="dxa"/>
              <w:right w:w="0"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合同金额</w:t>
            </w:r>
          </w:p>
        </w:tc>
        <w:tc>
          <w:tcPr>
            <w:tcW w:w="1260" w:type="dxa"/>
            <w:tcBorders>
              <w:top w:val="single" w:color="auto" w:sz="4" w:space="0"/>
              <w:bottom w:val="single" w:color="auto" w:sz="4" w:space="0"/>
            </w:tcBorders>
            <w:tcMar>
              <w:left w:w="0" w:type="dxa"/>
              <w:right w:w="0"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合同签订</w:t>
            </w:r>
          </w:p>
          <w:p>
            <w:pPr>
              <w:snapToGrid w:val="0"/>
              <w:spacing w:line="400" w:lineRule="exact"/>
              <w:jc w:val="center"/>
              <w:rPr>
                <w:rFonts w:ascii="宋体" w:cs="宋体"/>
                <w:color w:val="auto"/>
                <w:szCs w:val="21"/>
              </w:rPr>
            </w:pPr>
            <w:r>
              <w:rPr>
                <w:rFonts w:hint="eastAsia" w:ascii="宋体" w:hAnsi="宋体" w:cs="宋体"/>
                <w:color w:val="auto"/>
                <w:szCs w:val="21"/>
              </w:rPr>
              <w:t>时间</w:t>
            </w:r>
          </w:p>
        </w:tc>
        <w:tc>
          <w:tcPr>
            <w:tcW w:w="2052" w:type="dxa"/>
            <w:tcBorders>
              <w:top w:val="single" w:color="auto" w:sz="4" w:space="0"/>
              <w:bottom w:val="single" w:color="auto" w:sz="4" w:space="0"/>
            </w:tcBorders>
            <w:tcMar>
              <w:left w:w="0" w:type="dxa"/>
              <w:right w:w="0"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联系人</w:t>
            </w:r>
            <w:r>
              <w:rPr>
                <w:rFonts w:ascii="宋体" w:hAnsi="宋体" w:cs="宋体"/>
                <w:color w:val="auto"/>
                <w:szCs w:val="21"/>
              </w:rPr>
              <w:t>/</w:t>
            </w:r>
            <w:r>
              <w:rPr>
                <w:rFonts w:hint="eastAsia" w:ascii="宋体" w:hAnsi="宋体" w:cs="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903" w:hRule="atLeast"/>
        </w:trPr>
        <w:tc>
          <w:tcPr>
            <w:tcW w:w="661" w:type="dxa"/>
            <w:tcBorders>
              <w:top w:val="single" w:color="auto" w:sz="4" w:space="0"/>
            </w:tcBorders>
            <w:tcMar>
              <w:left w:w="0" w:type="dxa"/>
              <w:right w:w="0" w:type="dxa"/>
            </w:tcMar>
            <w:vAlign w:val="center"/>
          </w:tcPr>
          <w:p>
            <w:pPr>
              <w:snapToGrid w:val="0"/>
              <w:spacing w:line="400" w:lineRule="exact"/>
              <w:jc w:val="center"/>
              <w:rPr>
                <w:rFonts w:ascii="宋体" w:cs="宋体"/>
                <w:color w:val="auto"/>
                <w:szCs w:val="21"/>
              </w:rPr>
            </w:pPr>
            <w:r>
              <w:rPr>
                <w:rFonts w:ascii="宋体" w:hAnsi="宋体" w:cs="宋体"/>
                <w:color w:val="auto"/>
                <w:szCs w:val="21"/>
              </w:rPr>
              <w:t>1</w:t>
            </w:r>
          </w:p>
        </w:tc>
        <w:tc>
          <w:tcPr>
            <w:tcW w:w="1702" w:type="dxa"/>
            <w:tcBorders>
              <w:top w:val="single" w:color="auto" w:sz="4" w:space="0"/>
            </w:tcBorders>
            <w:tcMar>
              <w:left w:w="0" w:type="dxa"/>
              <w:right w:w="0" w:type="dxa"/>
            </w:tcMar>
            <w:vAlign w:val="center"/>
          </w:tcPr>
          <w:p>
            <w:pPr>
              <w:snapToGrid w:val="0"/>
              <w:spacing w:line="400" w:lineRule="exact"/>
              <w:jc w:val="center"/>
              <w:rPr>
                <w:rFonts w:ascii="宋体" w:cs="宋体"/>
                <w:color w:val="auto"/>
                <w:szCs w:val="21"/>
              </w:rPr>
            </w:pPr>
          </w:p>
        </w:tc>
        <w:tc>
          <w:tcPr>
            <w:tcW w:w="2028" w:type="dxa"/>
            <w:tcBorders>
              <w:top w:val="single" w:color="auto" w:sz="4" w:space="0"/>
            </w:tcBorders>
            <w:tcMar>
              <w:left w:w="0" w:type="dxa"/>
              <w:right w:w="0" w:type="dxa"/>
            </w:tcMar>
            <w:vAlign w:val="center"/>
          </w:tcPr>
          <w:p>
            <w:pPr>
              <w:snapToGrid w:val="0"/>
              <w:spacing w:line="400" w:lineRule="exact"/>
              <w:jc w:val="center"/>
              <w:rPr>
                <w:rFonts w:ascii="宋体" w:cs="宋体"/>
                <w:color w:val="auto"/>
                <w:szCs w:val="21"/>
              </w:rPr>
            </w:pPr>
          </w:p>
        </w:tc>
        <w:tc>
          <w:tcPr>
            <w:tcW w:w="1143" w:type="dxa"/>
            <w:tcBorders>
              <w:top w:val="single" w:color="auto" w:sz="4" w:space="0"/>
            </w:tcBorders>
            <w:tcMar>
              <w:left w:w="0" w:type="dxa"/>
              <w:right w:w="0" w:type="dxa"/>
            </w:tcMar>
            <w:vAlign w:val="center"/>
          </w:tcPr>
          <w:p>
            <w:pPr>
              <w:snapToGrid w:val="0"/>
              <w:spacing w:line="400" w:lineRule="exact"/>
              <w:jc w:val="center"/>
              <w:rPr>
                <w:rFonts w:ascii="宋体" w:cs="宋体"/>
                <w:color w:val="auto"/>
                <w:szCs w:val="21"/>
              </w:rPr>
            </w:pPr>
          </w:p>
        </w:tc>
        <w:tc>
          <w:tcPr>
            <w:tcW w:w="1260" w:type="dxa"/>
            <w:tcBorders>
              <w:top w:val="single" w:color="auto" w:sz="4" w:space="0"/>
            </w:tcBorders>
            <w:tcMar>
              <w:left w:w="0" w:type="dxa"/>
              <w:right w:w="0" w:type="dxa"/>
            </w:tcMar>
            <w:vAlign w:val="center"/>
          </w:tcPr>
          <w:p>
            <w:pPr>
              <w:snapToGrid w:val="0"/>
              <w:spacing w:line="400" w:lineRule="exact"/>
              <w:jc w:val="center"/>
              <w:rPr>
                <w:rFonts w:ascii="宋体" w:cs="宋体"/>
                <w:color w:val="auto"/>
                <w:szCs w:val="21"/>
              </w:rPr>
            </w:pPr>
          </w:p>
        </w:tc>
        <w:tc>
          <w:tcPr>
            <w:tcW w:w="2052" w:type="dxa"/>
            <w:tcBorders>
              <w:top w:val="single" w:color="auto" w:sz="4" w:space="0"/>
            </w:tcBorders>
            <w:tcMar>
              <w:left w:w="0" w:type="dxa"/>
              <w:right w:w="0" w:type="dxa"/>
            </w:tcMar>
            <w:vAlign w:val="center"/>
          </w:tcPr>
          <w:p>
            <w:pPr>
              <w:snapToGrid w:val="0"/>
              <w:spacing w:line="400" w:lineRule="exact"/>
              <w:jc w:val="center"/>
              <w:rPr>
                <w:rFonts w:ascii="宋体" w:cs="宋体"/>
                <w:color w:val="auto"/>
                <w:szCs w:val="21"/>
              </w:rPr>
            </w:pPr>
          </w:p>
        </w:tc>
      </w:tr>
    </w:tbl>
    <w:p>
      <w:pPr>
        <w:snapToGrid w:val="0"/>
        <w:spacing w:line="400" w:lineRule="exact"/>
        <w:rPr>
          <w:rFonts w:ascii="宋体" w:cs="宋体"/>
          <w:color w:val="auto"/>
          <w:szCs w:val="21"/>
        </w:rPr>
      </w:pPr>
      <w:r>
        <w:rPr>
          <w:rFonts w:hint="eastAsia" w:ascii="宋体" w:hAnsi="宋体" w:cs="宋体"/>
          <w:color w:val="auto"/>
          <w:szCs w:val="21"/>
        </w:rPr>
        <w:t>注：根据评分标准要求提供相关证明材料。</w:t>
      </w: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r>
        <w:rPr>
          <w:rFonts w:hint="eastAsia" w:ascii="宋体" w:hAnsi="宋体" w:cs="宋体"/>
          <w:color w:val="auto"/>
          <w:szCs w:val="21"/>
        </w:rPr>
        <w:t>投标人全称（加盖公章）：</w:t>
      </w:r>
    </w:p>
    <w:p>
      <w:pPr>
        <w:snapToGrid w:val="0"/>
        <w:spacing w:line="400" w:lineRule="exact"/>
        <w:rPr>
          <w:rFonts w:ascii="宋体" w:cs="宋体"/>
          <w:color w:val="auto"/>
          <w:szCs w:val="21"/>
        </w:rPr>
      </w:pPr>
      <w:r>
        <w:rPr>
          <w:rFonts w:hint="eastAsia" w:ascii="宋体" w:hAnsi="宋体" w:cs="宋体"/>
          <w:color w:val="auto"/>
          <w:szCs w:val="21"/>
        </w:rPr>
        <w:t>法定代表人或授权代表（签字）：</w:t>
      </w:r>
    </w:p>
    <w:p>
      <w:pPr>
        <w:snapToGrid w:val="0"/>
        <w:spacing w:line="400" w:lineRule="exact"/>
        <w:rPr>
          <w:rFonts w:ascii="宋体" w:cs="宋体"/>
          <w:color w:val="auto"/>
          <w:szCs w:val="21"/>
        </w:rPr>
      </w:pPr>
      <w:r>
        <w:rPr>
          <w:rFonts w:hint="eastAsia" w:ascii="宋体" w:hAnsi="宋体" w:cs="宋体"/>
          <w:color w:val="auto"/>
          <w:szCs w:val="21"/>
        </w:rPr>
        <w:t>年月日</w:t>
      </w: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snapToGrid w:val="0"/>
        <w:spacing w:line="400" w:lineRule="exact"/>
        <w:rPr>
          <w:rFonts w:ascii="宋体" w:cs="宋体"/>
          <w:color w:val="auto"/>
          <w:szCs w:val="21"/>
        </w:rPr>
      </w:pPr>
      <w:bookmarkStart w:id="81" w:name="_Toc463726851"/>
      <w:bookmarkStart w:id="82" w:name="_Toc4098"/>
      <w:bookmarkStart w:id="83" w:name="_Toc3392"/>
      <w:bookmarkStart w:id="84" w:name="_Toc27342"/>
      <w:r>
        <w:rPr>
          <w:rFonts w:hint="eastAsia" w:ascii="宋体" w:hAnsi="宋体" w:cs="宋体"/>
          <w:color w:val="auto"/>
          <w:szCs w:val="21"/>
        </w:rPr>
        <w:t>格式</w:t>
      </w:r>
      <w:r>
        <w:rPr>
          <w:rFonts w:hint="eastAsia" w:ascii="宋体" w:hAnsi="宋体" w:cs="宋体"/>
          <w:color w:val="auto"/>
          <w:szCs w:val="21"/>
          <w:lang w:val="en-US" w:eastAsia="zh-CN"/>
        </w:rPr>
        <w:t>六</w:t>
      </w:r>
      <w:r>
        <w:rPr>
          <w:rFonts w:hint="eastAsia" w:ascii="宋体" w:hAnsi="宋体" w:cs="宋体"/>
          <w:color w:val="auto"/>
          <w:szCs w:val="21"/>
        </w:rPr>
        <w:t>：商务条款偏离表</w:t>
      </w:r>
      <w:bookmarkEnd w:id="81"/>
      <w:bookmarkEnd w:id="82"/>
      <w:bookmarkEnd w:id="83"/>
      <w:bookmarkEnd w:id="84"/>
    </w:p>
    <w:p>
      <w:pPr>
        <w:snapToGrid w:val="0"/>
        <w:spacing w:line="400" w:lineRule="exact"/>
        <w:jc w:val="center"/>
        <w:rPr>
          <w:rFonts w:hint="eastAsia" w:ascii="宋体" w:hAnsi="宋体" w:cs="宋体"/>
          <w:b/>
          <w:bCs/>
          <w:color w:val="auto"/>
          <w:sz w:val="28"/>
          <w:szCs w:val="28"/>
        </w:rPr>
      </w:pPr>
    </w:p>
    <w:p>
      <w:pPr>
        <w:snapToGrid w:val="0"/>
        <w:spacing w:line="400" w:lineRule="exact"/>
        <w:jc w:val="center"/>
        <w:rPr>
          <w:rFonts w:ascii="宋体" w:cs="宋体"/>
          <w:b/>
          <w:bCs/>
          <w:color w:val="auto"/>
          <w:sz w:val="28"/>
          <w:szCs w:val="28"/>
        </w:rPr>
      </w:pPr>
      <w:r>
        <w:rPr>
          <w:rFonts w:hint="eastAsia" w:ascii="宋体" w:hAnsi="宋体" w:cs="宋体"/>
          <w:b/>
          <w:bCs/>
          <w:color w:val="auto"/>
          <w:sz w:val="28"/>
          <w:szCs w:val="28"/>
        </w:rPr>
        <w:t>商务条款偏离表</w:t>
      </w:r>
    </w:p>
    <w:p>
      <w:pPr>
        <w:snapToGrid w:val="0"/>
        <w:spacing w:line="400" w:lineRule="exact"/>
        <w:rPr>
          <w:rFonts w:ascii="宋体" w:cs="宋体"/>
          <w:color w:val="auto"/>
          <w:szCs w:val="21"/>
        </w:rPr>
      </w:pPr>
      <w:r>
        <w:rPr>
          <w:rFonts w:hint="eastAsia" w:ascii="宋体" w:hAnsi="宋体" w:cs="宋体"/>
          <w:color w:val="auto"/>
          <w:szCs w:val="21"/>
        </w:rPr>
        <w:t>项目编号：项目名称：</w:t>
      </w:r>
    </w:p>
    <w:tbl>
      <w:tblPr>
        <w:tblStyle w:val="29"/>
        <w:tblW w:w="883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5066"/>
        <w:gridCol w:w="2450"/>
        <w:gridCol w:w="7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bottom w:val="single" w:color="auto" w:sz="4" w:space="0"/>
              <w:right w:val="single" w:color="auto" w:sz="4" w:space="0"/>
            </w:tcBorders>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序号</w:t>
            </w:r>
          </w:p>
        </w:tc>
        <w:tc>
          <w:tcPr>
            <w:tcW w:w="50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投标人的承诺和说明</w:t>
            </w:r>
          </w:p>
        </w:tc>
        <w:tc>
          <w:tcPr>
            <w:tcW w:w="776" w:type="dxa"/>
            <w:tcBorders>
              <w:top w:val="single" w:color="auto" w:sz="4" w:space="0"/>
              <w:left w:val="single" w:color="auto" w:sz="4" w:space="0"/>
              <w:bottom w:val="single" w:color="auto" w:sz="4" w:space="0"/>
            </w:tcBorders>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是否</w:t>
            </w:r>
          </w:p>
          <w:p>
            <w:pPr>
              <w:snapToGrid w:val="0"/>
              <w:spacing w:line="400" w:lineRule="exact"/>
              <w:jc w:val="center"/>
              <w:rPr>
                <w:rFonts w:ascii="宋体" w:cs="宋体"/>
                <w:color w:val="auto"/>
                <w:szCs w:val="21"/>
              </w:rPr>
            </w:pPr>
            <w:r>
              <w:rPr>
                <w:rFonts w:hint="eastAsia" w:ascii="宋体" w:hAnsi="宋体" w:cs="宋体"/>
                <w:color w:val="auto"/>
                <w:szCs w:val="21"/>
              </w:rPr>
              <w:t>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r>
              <w:rPr>
                <w:rFonts w:ascii="宋体" w:hAnsi="宋体" w:cs="宋体"/>
                <w:color w:val="auto"/>
                <w:szCs w:val="21"/>
              </w:rPr>
              <w:t>1</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776"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r>
              <w:rPr>
                <w:rFonts w:ascii="宋体" w:hAnsi="宋体" w:cs="宋体"/>
                <w:color w:val="auto"/>
                <w:szCs w:val="21"/>
              </w:rPr>
              <w:t>2</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776"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r>
              <w:rPr>
                <w:rFonts w:ascii="宋体" w:hAnsi="宋体" w:cs="宋体"/>
                <w:color w:val="auto"/>
                <w:szCs w:val="21"/>
              </w:rPr>
              <w:t>3</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776"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r>
              <w:rPr>
                <w:rFonts w:ascii="宋体" w:hAnsi="宋体" w:cs="宋体"/>
                <w:color w:val="auto"/>
                <w:szCs w:val="21"/>
              </w:rPr>
              <w:t>4</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776"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r>
              <w:rPr>
                <w:rFonts w:ascii="宋体" w:hAnsi="宋体" w:cs="宋体"/>
                <w:color w:val="auto"/>
                <w:szCs w:val="21"/>
              </w:rPr>
              <w:t>5</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776"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r>
              <w:rPr>
                <w:rFonts w:ascii="宋体" w:hAnsi="宋体" w:cs="宋体"/>
                <w:color w:val="auto"/>
                <w:szCs w:val="21"/>
              </w:rPr>
              <w:t>6</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776"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r>
              <w:rPr>
                <w:rFonts w:ascii="宋体" w:hAnsi="宋体" w:cs="宋体"/>
                <w:color w:val="auto"/>
                <w:szCs w:val="21"/>
              </w:rPr>
              <w:t>7</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776"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r>
              <w:rPr>
                <w:rFonts w:ascii="宋体" w:hAnsi="宋体" w:cs="宋体"/>
                <w:color w:val="auto"/>
                <w:szCs w:val="21"/>
              </w:rPr>
              <w:t>8</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776"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r>
              <w:rPr>
                <w:rFonts w:ascii="宋体" w:hAnsi="宋体" w:cs="宋体"/>
                <w:color w:val="auto"/>
                <w:szCs w:val="21"/>
              </w:rPr>
              <w:t>9</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776"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r>
              <w:rPr>
                <w:rFonts w:ascii="宋体" w:hAnsi="宋体" w:cs="宋体"/>
                <w:color w:val="auto"/>
                <w:szCs w:val="21"/>
              </w:rPr>
              <w:t>10</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776"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r>
              <w:rPr>
                <w:rFonts w:ascii="宋体" w:hAnsi="宋体" w:cs="宋体"/>
                <w:color w:val="auto"/>
                <w:szCs w:val="21"/>
              </w:rPr>
              <w:t>11</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r>
              <w:rPr>
                <w:rFonts w:hint="eastAsia" w:ascii="宋体" w:hAnsi="宋体" w:cs="宋体"/>
                <w:color w:val="auto"/>
                <w:szCs w:val="21"/>
              </w:rPr>
              <w:t>其他商务条款</w:t>
            </w: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r>
              <w:rPr>
                <w:rFonts w:hint="eastAsia" w:ascii="宋体" w:hAnsi="宋体" w:cs="宋体"/>
                <w:color w:val="auto"/>
                <w:szCs w:val="21"/>
              </w:rPr>
              <w:t>响应招标文件的其他商务条款。</w:t>
            </w:r>
          </w:p>
        </w:tc>
        <w:tc>
          <w:tcPr>
            <w:tcW w:w="776"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color w:val="auto"/>
                <w:szCs w:val="21"/>
              </w:rPr>
            </w:pPr>
            <w:r>
              <w:rPr>
                <w:rFonts w:hint="eastAsia" w:ascii="宋体" w:hAnsi="宋体" w:cs="宋体"/>
                <w:color w:val="auto"/>
                <w:szCs w:val="21"/>
              </w:rPr>
              <w:t>无偏离</w:t>
            </w:r>
          </w:p>
        </w:tc>
      </w:tr>
    </w:tbl>
    <w:p>
      <w:pPr>
        <w:snapToGrid w:val="0"/>
        <w:spacing w:line="400" w:lineRule="exact"/>
        <w:rPr>
          <w:rFonts w:ascii="宋体" w:cs="宋体"/>
          <w:color w:val="auto"/>
          <w:szCs w:val="21"/>
        </w:rPr>
      </w:pPr>
      <w:r>
        <w:rPr>
          <w:rFonts w:hint="eastAsia" w:ascii="宋体" w:hAnsi="宋体" w:cs="宋体"/>
          <w:color w:val="auto"/>
          <w:szCs w:val="21"/>
        </w:rPr>
        <w:t>注：</w:t>
      </w:r>
      <w:r>
        <w:rPr>
          <w:rFonts w:ascii="宋体" w:hAnsi="宋体" w:cs="宋体"/>
          <w:color w:val="auto"/>
          <w:szCs w:val="21"/>
        </w:rPr>
        <w:t>1</w:t>
      </w:r>
      <w:r>
        <w:rPr>
          <w:rFonts w:hint="eastAsia" w:ascii="宋体" w:hAnsi="宋体" w:cs="宋体"/>
          <w:color w:val="auto"/>
          <w:szCs w:val="21"/>
        </w:rPr>
        <w:t>、招标文件要求具体见招标文件商务条款的相关内容；</w:t>
      </w:r>
      <w:r>
        <w:rPr>
          <w:rFonts w:ascii="宋体" w:hAnsi="宋体" w:cs="宋体"/>
          <w:color w:val="auto"/>
          <w:szCs w:val="21"/>
        </w:rPr>
        <w:t>2</w:t>
      </w:r>
      <w:r>
        <w:rPr>
          <w:rFonts w:hint="eastAsia" w:ascii="宋体" w:hAnsi="宋体" w:cs="宋体"/>
          <w:color w:val="auto"/>
          <w:szCs w:val="21"/>
        </w:rPr>
        <w:t>、是否偏离应在本表空白处醒目地注明“正偏离或无偏离或负偏离”等字样。</w:t>
      </w:r>
    </w:p>
    <w:p>
      <w:pPr>
        <w:snapToGrid w:val="0"/>
        <w:spacing w:line="400" w:lineRule="exact"/>
        <w:rPr>
          <w:rFonts w:ascii="宋体" w:cs="宋体"/>
          <w:color w:val="auto"/>
          <w:szCs w:val="21"/>
        </w:rPr>
      </w:pPr>
    </w:p>
    <w:p>
      <w:pPr>
        <w:snapToGrid w:val="0"/>
        <w:spacing w:line="400" w:lineRule="exact"/>
        <w:rPr>
          <w:rFonts w:ascii="宋体" w:cs="宋体"/>
          <w:color w:val="auto"/>
          <w:szCs w:val="21"/>
        </w:rPr>
      </w:pPr>
      <w:r>
        <w:rPr>
          <w:rFonts w:hint="eastAsia" w:ascii="宋体" w:hAnsi="宋体" w:cs="宋体"/>
          <w:color w:val="auto"/>
          <w:szCs w:val="21"/>
        </w:rPr>
        <w:t>投标人全称（加盖公章）：</w:t>
      </w:r>
    </w:p>
    <w:p>
      <w:pPr>
        <w:snapToGrid w:val="0"/>
        <w:spacing w:line="400" w:lineRule="exact"/>
        <w:rPr>
          <w:rFonts w:ascii="宋体" w:cs="宋体"/>
          <w:color w:val="auto"/>
          <w:szCs w:val="21"/>
        </w:rPr>
      </w:pPr>
      <w:r>
        <w:rPr>
          <w:rFonts w:hint="eastAsia" w:ascii="宋体" w:hAnsi="宋体" w:cs="宋体"/>
          <w:color w:val="auto"/>
          <w:szCs w:val="21"/>
        </w:rPr>
        <w:t>法定代表人或授权代表（签字）：</w:t>
      </w:r>
    </w:p>
    <w:p>
      <w:pPr>
        <w:snapToGrid w:val="0"/>
        <w:spacing w:line="400" w:lineRule="exact"/>
        <w:rPr>
          <w:rFonts w:ascii="宋体" w:cs="宋体"/>
          <w:color w:val="auto"/>
          <w:szCs w:val="21"/>
        </w:rPr>
        <w:sectPr>
          <w:headerReference r:id="rId13" w:type="first"/>
          <w:footerReference r:id="rId15" w:type="first"/>
          <w:headerReference r:id="rId12" w:type="default"/>
          <w:footerReference r:id="rId14" w:type="default"/>
          <w:pgSz w:w="11906" w:h="16838"/>
          <w:pgMar w:top="1247" w:right="1531" w:bottom="1304" w:left="1531"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color w:val="auto"/>
          <w:szCs w:val="21"/>
        </w:rPr>
        <w:t>年月日</w:t>
      </w:r>
    </w:p>
    <w:p>
      <w:pPr>
        <w:snapToGrid w:val="0"/>
        <w:spacing w:line="400" w:lineRule="exact"/>
        <w:rPr>
          <w:rFonts w:ascii="宋体" w:cs="宋体"/>
          <w:color w:val="auto"/>
          <w:szCs w:val="21"/>
        </w:rPr>
      </w:pPr>
      <w:bookmarkStart w:id="85" w:name="_Toc13752"/>
      <w:r>
        <w:rPr>
          <w:rFonts w:hint="eastAsia" w:ascii="宋体" w:hAnsi="宋体" w:cs="宋体"/>
          <w:color w:val="auto"/>
          <w:szCs w:val="21"/>
        </w:rPr>
        <w:t>格式</w:t>
      </w:r>
      <w:r>
        <w:rPr>
          <w:rFonts w:hint="eastAsia" w:ascii="宋体" w:hAnsi="宋体" w:cs="宋体"/>
          <w:color w:val="auto"/>
          <w:szCs w:val="21"/>
          <w:lang w:val="en-US" w:eastAsia="zh-CN"/>
        </w:rPr>
        <w:t>七</w:t>
      </w:r>
      <w:r>
        <w:rPr>
          <w:rFonts w:hint="eastAsia" w:ascii="宋体" w:hAnsi="宋体" w:cs="宋体"/>
          <w:color w:val="auto"/>
          <w:szCs w:val="21"/>
        </w:rPr>
        <w:t>：技术条款偏离表</w:t>
      </w:r>
      <w:bookmarkEnd w:id="85"/>
    </w:p>
    <w:p>
      <w:pPr>
        <w:snapToGrid w:val="0"/>
        <w:spacing w:line="400" w:lineRule="exact"/>
        <w:jc w:val="center"/>
        <w:rPr>
          <w:rFonts w:hint="eastAsia" w:ascii="宋体" w:hAnsi="宋体" w:cs="宋体"/>
          <w:b/>
          <w:bCs/>
          <w:color w:val="auto"/>
          <w:sz w:val="28"/>
          <w:szCs w:val="28"/>
        </w:rPr>
      </w:pPr>
    </w:p>
    <w:p>
      <w:pPr>
        <w:snapToGrid w:val="0"/>
        <w:spacing w:line="400" w:lineRule="exact"/>
        <w:jc w:val="center"/>
        <w:rPr>
          <w:rFonts w:ascii="宋体" w:cs="宋体"/>
          <w:b/>
          <w:bCs/>
          <w:color w:val="auto"/>
          <w:sz w:val="28"/>
          <w:szCs w:val="28"/>
        </w:rPr>
      </w:pPr>
      <w:r>
        <w:rPr>
          <w:rFonts w:hint="eastAsia" w:ascii="宋体" w:hAnsi="宋体" w:cs="宋体"/>
          <w:b/>
          <w:bCs/>
          <w:color w:val="auto"/>
          <w:sz w:val="28"/>
          <w:szCs w:val="28"/>
        </w:rPr>
        <w:t>技术条款偏离表</w:t>
      </w:r>
    </w:p>
    <w:p>
      <w:pPr>
        <w:snapToGrid w:val="0"/>
        <w:spacing w:line="400" w:lineRule="exact"/>
        <w:ind w:firstLine="210" w:firstLineChars="100"/>
        <w:rPr>
          <w:rFonts w:ascii="宋体" w:cs="宋体"/>
          <w:color w:val="auto"/>
          <w:szCs w:val="21"/>
        </w:rPr>
      </w:pPr>
      <w:r>
        <w:rPr>
          <w:rFonts w:hint="eastAsia" w:ascii="宋体" w:hAnsi="宋体" w:cs="宋体"/>
          <w:color w:val="auto"/>
          <w:szCs w:val="21"/>
        </w:rPr>
        <w:t>项目编号：项目名称：</w:t>
      </w:r>
    </w:p>
    <w:tbl>
      <w:tblPr>
        <w:tblStyle w:val="29"/>
        <w:tblW w:w="882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5066"/>
        <w:gridCol w:w="2450"/>
        <w:gridCol w:w="7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bottom w:val="single" w:color="auto" w:sz="4" w:space="0"/>
              <w:right w:val="single" w:color="auto" w:sz="4" w:space="0"/>
            </w:tcBorders>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序号</w:t>
            </w:r>
          </w:p>
        </w:tc>
        <w:tc>
          <w:tcPr>
            <w:tcW w:w="50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投标人的承诺和说明</w:t>
            </w:r>
          </w:p>
        </w:tc>
        <w:tc>
          <w:tcPr>
            <w:tcW w:w="772" w:type="dxa"/>
            <w:tcBorders>
              <w:top w:val="single" w:color="auto" w:sz="4" w:space="0"/>
              <w:left w:val="single" w:color="auto" w:sz="4" w:space="0"/>
              <w:bottom w:val="single" w:color="auto" w:sz="4" w:space="0"/>
            </w:tcBorders>
            <w:tcMar>
              <w:left w:w="28" w:type="dxa"/>
              <w:right w:w="28" w:type="dxa"/>
            </w:tcMar>
            <w:vAlign w:val="center"/>
          </w:tcPr>
          <w:p>
            <w:pPr>
              <w:snapToGrid w:val="0"/>
              <w:spacing w:line="400" w:lineRule="exact"/>
              <w:jc w:val="center"/>
              <w:rPr>
                <w:rFonts w:ascii="宋体" w:cs="宋体"/>
                <w:color w:val="auto"/>
                <w:szCs w:val="21"/>
              </w:rPr>
            </w:pPr>
            <w:r>
              <w:rPr>
                <w:rFonts w:hint="eastAsia" w:ascii="宋体" w:hAnsi="宋体" w:cs="宋体"/>
                <w:color w:val="auto"/>
                <w:szCs w:val="21"/>
              </w:rPr>
              <w:t>是否</w:t>
            </w:r>
          </w:p>
          <w:p>
            <w:pPr>
              <w:snapToGrid w:val="0"/>
              <w:spacing w:line="400" w:lineRule="exact"/>
              <w:jc w:val="center"/>
              <w:rPr>
                <w:rFonts w:ascii="宋体" w:cs="宋体"/>
                <w:color w:val="auto"/>
                <w:szCs w:val="21"/>
              </w:rPr>
            </w:pPr>
            <w:r>
              <w:rPr>
                <w:rFonts w:hint="eastAsia" w:ascii="宋体" w:hAnsi="宋体" w:cs="宋体"/>
                <w:color w:val="auto"/>
                <w:szCs w:val="21"/>
              </w:rPr>
              <w:t>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r>
              <w:rPr>
                <w:rFonts w:ascii="宋体" w:hAnsi="宋体" w:cs="宋体"/>
                <w:color w:val="auto"/>
                <w:szCs w:val="21"/>
              </w:rPr>
              <w:t>1</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77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r>
              <w:rPr>
                <w:rFonts w:ascii="宋体" w:hAnsi="宋体" w:cs="宋体"/>
                <w:color w:val="auto"/>
                <w:szCs w:val="21"/>
              </w:rPr>
              <w:t>2</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77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r>
              <w:rPr>
                <w:rFonts w:ascii="宋体" w:hAnsi="宋体" w:cs="宋体"/>
                <w:color w:val="auto"/>
                <w:szCs w:val="21"/>
              </w:rPr>
              <w:t>3</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77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r>
              <w:rPr>
                <w:rFonts w:ascii="宋体" w:hAnsi="宋体" w:cs="宋体"/>
                <w:color w:val="auto"/>
                <w:szCs w:val="21"/>
              </w:rPr>
              <w:t>4</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77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r>
              <w:rPr>
                <w:rFonts w:ascii="宋体" w:hAnsi="宋体" w:cs="宋体"/>
                <w:color w:val="auto"/>
                <w:szCs w:val="21"/>
              </w:rPr>
              <w:t>5</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77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r>
              <w:rPr>
                <w:rFonts w:ascii="宋体" w:hAnsi="宋体" w:cs="宋体"/>
                <w:color w:val="auto"/>
                <w:szCs w:val="21"/>
              </w:rPr>
              <w:t>6</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77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r>
              <w:rPr>
                <w:rFonts w:ascii="宋体" w:hAnsi="宋体" w:cs="宋体"/>
                <w:color w:val="auto"/>
                <w:szCs w:val="21"/>
              </w:rPr>
              <w:t>7</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77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r>
              <w:rPr>
                <w:rFonts w:ascii="宋体" w:hAnsi="宋体" w:cs="宋体"/>
                <w:color w:val="auto"/>
                <w:szCs w:val="21"/>
              </w:rPr>
              <w:t>8</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77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r>
              <w:rPr>
                <w:rFonts w:ascii="宋体" w:hAnsi="宋体" w:cs="宋体"/>
                <w:color w:val="auto"/>
                <w:szCs w:val="21"/>
              </w:rPr>
              <w:t>9</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77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r>
              <w:rPr>
                <w:rFonts w:ascii="宋体" w:hAnsi="宋体" w:cs="宋体"/>
                <w:color w:val="auto"/>
                <w:szCs w:val="21"/>
              </w:rPr>
              <w:t>10</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p>
        </w:tc>
        <w:tc>
          <w:tcPr>
            <w:tcW w:w="77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r>
              <w:rPr>
                <w:rFonts w:ascii="宋体" w:hAnsi="宋体" w:cs="宋体"/>
                <w:color w:val="auto"/>
                <w:szCs w:val="21"/>
              </w:rPr>
              <w:t>11</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r>
              <w:rPr>
                <w:rFonts w:hint="eastAsia" w:ascii="宋体" w:hAnsi="宋体" w:cs="宋体"/>
                <w:color w:val="auto"/>
                <w:szCs w:val="21"/>
              </w:rPr>
              <w:t>其他技术条款</w:t>
            </w: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auto"/>
                <w:szCs w:val="21"/>
              </w:rPr>
            </w:pPr>
            <w:r>
              <w:rPr>
                <w:rFonts w:hint="eastAsia" w:ascii="宋体" w:hAnsi="宋体" w:cs="宋体"/>
                <w:color w:val="auto"/>
                <w:szCs w:val="21"/>
              </w:rPr>
              <w:t>响应招标文件的其他技术条款。</w:t>
            </w:r>
          </w:p>
        </w:tc>
        <w:tc>
          <w:tcPr>
            <w:tcW w:w="77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color w:val="auto"/>
                <w:szCs w:val="21"/>
              </w:rPr>
            </w:pPr>
            <w:r>
              <w:rPr>
                <w:rFonts w:hint="eastAsia" w:ascii="宋体" w:hAnsi="宋体" w:cs="宋体"/>
                <w:color w:val="auto"/>
                <w:szCs w:val="21"/>
              </w:rPr>
              <w:t>无偏离</w:t>
            </w:r>
          </w:p>
        </w:tc>
      </w:tr>
    </w:tbl>
    <w:p>
      <w:pPr>
        <w:snapToGrid w:val="0"/>
        <w:spacing w:line="400" w:lineRule="exact"/>
        <w:rPr>
          <w:rFonts w:ascii="宋体" w:cs="宋体"/>
          <w:color w:val="auto"/>
          <w:szCs w:val="21"/>
        </w:rPr>
      </w:pPr>
      <w:r>
        <w:rPr>
          <w:rFonts w:hint="eastAsia" w:ascii="宋体" w:hAnsi="宋体" w:cs="宋体"/>
          <w:color w:val="auto"/>
          <w:szCs w:val="21"/>
        </w:rPr>
        <w:t>注：</w:t>
      </w:r>
      <w:r>
        <w:rPr>
          <w:rFonts w:ascii="宋体" w:hAnsi="宋体" w:cs="宋体"/>
          <w:color w:val="auto"/>
          <w:szCs w:val="21"/>
        </w:rPr>
        <w:t>1</w:t>
      </w:r>
      <w:r>
        <w:rPr>
          <w:rFonts w:hint="eastAsia" w:ascii="宋体" w:hAnsi="宋体" w:cs="宋体"/>
          <w:color w:val="auto"/>
          <w:szCs w:val="21"/>
        </w:rPr>
        <w:t>、招标文件要求详见“第二章招标需求”中的各条款内容，以此类推完整填写“技术条款偏离表”；</w:t>
      </w:r>
      <w:r>
        <w:rPr>
          <w:rFonts w:ascii="宋体" w:hAnsi="宋体" w:cs="宋体"/>
          <w:color w:val="auto"/>
          <w:szCs w:val="21"/>
        </w:rPr>
        <w:t>2</w:t>
      </w:r>
      <w:r>
        <w:rPr>
          <w:rFonts w:hint="eastAsia" w:ascii="宋体" w:hAnsi="宋体" w:cs="宋体"/>
          <w:color w:val="auto"/>
          <w:szCs w:val="21"/>
        </w:rPr>
        <w:t>、是否偏离应在本表空白处醒目地注明“正偏离或无偏离或负偏离”等字样。</w:t>
      </w: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r>
        <w:rPr>
          <w:rFonts w:hint="eastAsia" w:ascii="宋体" w:hAnsi="宋体" w:cs="宋体"/>
          <w:color w:val="auto"/>
          <w:szCs w:val="21"/>
        </w:rPr>
        <w:t>投标人全称（加盖公章）：</w:t>
      </w:r>
    </w:p>
    <w:p>
      <w:pPr>
        <w:snapToGrid w:val="0"/>
        <w:spacing w:line="400" w:lineRule="exact"/>
        <w:rPr>
          <w:rFonts w:ascii="宋体" w:cs="宋体"/>
          <w:color w:val="auto"/>
          <w:szCs w:val="21"/>
        </w:rPr>
      </w:pPr>
      <w:r>
        <w:rPr>
          <w:rFonts w:hint="eastAsia" w:ascii="宋体" w:hAnsi="宋体" w:cs="宋体"/>
          <w:color w:val="auto"/>
          <w:szCs w:val="21"/>
        </w:rPr>
        <w:t>法定代表人或授权代表（签字或盖章）：</w:t>
      </w:r>
    </w:p>
    <w:p>
      <w:pPr>
        <w:snapToGrid w:val="0"/>
        <w:spacing w:line="400" w:lineRule="exact"/>
        <w:rPr>
          <w:rFonts w:ascii="宋体" w:cs="宋体"/>
          <w:color w:val="auto"/>
          <w:szCs w:val="21"/>
        </w:rPr>
      </w:pPr>
      <w:r>
        <w:rPr>
          <w:rFonts w:hint="eastAsia" w:ascii="宋体" w:hAnsi="宋体" w:cs="宋体"/>
          <w:color w:val="auto"/>
          <w:szCs w:val="21"/>
        </w:rPr>
        <w:t>年月日</w:t>
      </w: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snapToGrid w:val="0"/>
        <w:spacing w:line="400" w:lineRule="exact"/>
        <w:rPr>
          <w:rFonts w:ascii="宋体" w:cs="宋体"/>
          <w:color w:val="auto"/>
          <w:szCs w:val="21"/>
        </w:rPr>
      </w:pPr>
    </w:p>
    <w:p>
      <w:pPr>
        <w:pStyle w:val="14"/>
        <w:snapToGrid w:val="0"/>
        <w:spacing w:before="120" w:after="120" w:line="360" w:lineRule="auto"/>
        <w:rPr>
          <w:rFonts w:hint="eastAsia" w:ascii="宋体" w:hAnsi="宋体" w:eastAsia="宋体" w:cs="宋体"/>
          <w:color w:val="auto"/>
          <w:kern w:val="2"/>
          <w:sz w:val="21"/>
          <w:szCs w:val="21"/>
          <w:lang w:val="en-US" w:eastAsia="zh-CN" w:bidi="ar-SA"/>
        </w:rPr>
      </w:pPr>
    </w:p>
    <w:p>
      <w:pPr>
        <w:pStyle w:val="14"/>
        <w:snapToGrid w:val="0"/>
        <w:spacing w:before="120" w:after="120" w:line="360" w:lineRule="auto"/>
        <w:rPr>
          <w:rFonts w:hint="eastAsia" w:ascii="宋体" w:hAnsi="宋体" w:eastAsia="宋体" w:cs="宋体"/>
          <w:color w:val="auto"/>
          <w:kern w:val="2"/>
          <w:sz w:val="21"/>
          <w:szCs w:val="21"/>
          <w:lang w:val="en-US" w:eastAsia="zh-CN" w:bidi="ar-SA"/>
        </w:rPr>
      </w:pPr>
    </w:p>
    <w:p>
      <w:pPr>
        <w:pStyle w:val="14"/>
        <w:snapToGrid w:val="0"/>
        <w:spacing w:before="120" w:after="120"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格式</w:t>
      </w:r>
      <w:r>
        <w:rPr>
          <w:rFonts w:hint="eastAsia" w:hAnsi="宋体" w:cs="宋体"/>
          <w:color w:val="auto"/>
          <w:kern w:val="2"/>
          <w:sz w:val="21"/>
          <w:szCs w:val="21"/>
          <w:lang w:val="en-US" w:eastAsia="zh-CN" w:bidi="ar-SA"/>
        </w:rPr>
        <w:t>八</w:t>
      </w:r>
      <w:r>
        <w:rPr>
          <w:rFonts w:hint="eastAsia" w:ascii="宋体" w:hAnsi="宋体" w:eastAsia="宋体" w:cs="宋体"/>
          <w:color w:val="auto"/>
          <w:kern w:val="2"/>
          <w:sz w:val="21"/>
          <w:szCs w:val="21"/>
          <w:lang w:val="en-US" w:eastAsia="zh-CN" w:bidi="ar-SA"/>
        </w:rPr>
        <w:t>：评分标准、招标文件资格要求及投标人认为需要提供的其它投标文件资料（如有）。</w:t>
      </w:r>
    </w:p>
    <w:p>
      <w:pPr>
        <w:snapToGrid w:val="0"/>
        <w:spacing w:line="400" w:lineRule="exact"/>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snapToGrid w:val="0"/>
        <w:spacing w:line="400" w:lineRule="exact"/>
        <w:rPr>
          <w:rFonts w:ascii="宋体" w:cs="宋体"/>
          <w:color w:val="auto"/>
          <w:szCs w:val="21"/>
        </w:rPr>
      </w:pPr>
    </w:p>
    <w:p>
      <w:pPr>
        <w:numPr>
          <w:ilvl w:val="0"/>
          <w:numId w:val="12"/>
        </w:numPr>
        <w:snapToGrid w:val="0"/>
        <w:spacing w:before="50" w:afterLines="50"/>
        <w:jc w:val="center"/>
        <w:rPr>
          <w:rFonts w:ascii="宋体"/>
          <w:color w:val="auto"/>
          <w:szCs w:val="21"/>
        </w:rPr>
      </w:pPr>
      <w:r>
        <w:rPr>
          <w:rFonts w:hint="eastAsia" w:ascii="宋体" w:hAnsi="宋体"/>
          <w:color w:val="auto"/>
          <w:szCs w:val="21"/>
        </w:rPr>
        <w:t>报价文件格式</w:t>
      </w:r>
    </w:p>
    <w:p>
      <w:pPr>
        <w:snapToGrid w:val="0"/>
        <w:spacing w:before="50" w:afterLines="50"/>
        <w:rPr>
          <w:rFonts w:ascii="宋体"/>
          <w:b/>
          <w:color w:val="auto"/>
          <w:szCs w:val="21"/>
        </w:rPr>
      </w:pPr>
    </w:p>
    <w:p>
      <w:pPr>
        <w:snapToGrid w:val="0"/>
        <w:spacing w:before="50" w:afterLines="50"/>
        <w:rPr>
          <w:rFonts w:ascii="宋体"/>
          <w:b/>
          <w:bCs/>
          <w:color w:val="auto"/>
          <w:szCs w:val="21"/>
        </w:rPr>
      </w:pPr>
      <w:r>
        <w:rPr>
          <w:rFonts w:ascii="宋体" w:hAnsi="宋体"/>
          <w:b/>
          <w:color w:val="auto"/>
          <w:szCs w:val="21"/>
        </w:rPr>
        <w:t>1.</w:t>
      </w:r>
      <w:r>
        <w:rPr>
          <w:rFonts w:hint="eastAsia" w:ascii="宋体" w:hAnsi="宋体"/>
          <w:b/>
          <w:bCs/>
          <w:color w:val="auto"/>
          <w:szCs w:val="21"/>
        </w:rPr>
        <w:t>报价文件的外包装封面格式：</w:t>
      </w:r>
    </w:p>
    <w:p>
      <w:pPr>
        <w:snapToGrid w:val="0"/>
        <w:spacing w:beforeLines="50" w:after="50"/>
        <w:rPr>
          <w:rFonts w:ascii="宋体"/>
          <w:bCs/>
          <w:color w:val="auto"/>
          <w:szCs w:val="21"/>
        </w:rPr>
      </w:pPr>
    </w:p>
    <w:p>
      <w:pPr>
        <w:snapToGrid w:val="0"/>
        <w:spacing w:beforeLines="50" w:after="50"/>
        <w:jc w:val="center"/>
        <w:rPr>
          <w:rFonts w:ascii="宋体"/>
          <w:bCs/>
          <w:color w:val="auto"/>
          <w:szCs w:val="21"/>
        </w:rPr>
      </w:pPr>
      <w:r>
        <w:rPr>
          <w:rFonts w:hint="eastAsia" w:ascii="宋体" w:hAnsi="宋体"/>
          <w:bCs/>
          <w:color w:val="auto"/>
          <w:szCs w:val="21"/>
        </w:rPr>
        <w:t>报价文件</w:t>
      </w:r>
    </w:p>
    <w:p>
      <w:pPr>
        <w:snapToGrid w:val="0"/>
        <w:spacing w:beforeLines="50" w:after="50"/>
        <w:rPr>
          <w:rFonts w:ascii="宋体"/>
          <w:bCs/>
          <w:color w:val="auto"/>
          <w:szCs w:val="21"/>
        </w:rPr>
      </w:pPr>
    </w:p>
    <w:p>
      <w:pPr>
        <w:snapToGrid w:val="0"/>
        <w:spacing w:beforeLines="50" w:after="50"/>
        <w:ind w:firstLine="932" w:firstLineChars="444"/>
        <w:rPr>
          <w:color w:val="auto"/>
        </w:rPr>
      </w:pPr>
      <w:r>
        <w:rPr>
          <w:rFonts w:hint="eastAsia" w:ascii="宋体" w:hAnsi="宋体"/>
          <w:bCs/>
          <w:color w:val="auto"/>
          <w:szCs w:val="21"/>
        </w:rPr>
        <w:t>项目名称：</w:t>
      </w:r>
    </w:p>
    <w:p>
      <w:pPr>
        <w:snapToGrid w:val="0"/>
        <w:spacing w:beforeLines="50" w:after="50"/>
        <w:ind w:firstLine="932" w:firstLineChars="444"/>
        <w:rPr>
          <w:rFonts w:ascii="宋体"/>
          <w:bCs/>
          <w:color w:val="auto"/>
          <w:szCs w:val="21"/>
        </w:rPr>
      </w:pPr>
      <w:r>
        <w:rPr>
          <w:rFonts w:hint="eastAsia" w:ascii="宋体" w:hAnsi="宋体"/>
          <w:bCs/>
          <w:color w:val="auto"/>
          <w:szCs w:val="21"/>
        </w:rPr>
        <w:t>项目编号：</w:t>
      </w:r>
    </w:p>
    <w:p>
      <w:pPr>
        <w:snapToGrid w:val="0"/>
        <w:spacing w:beforeLines="50" w:after="50"/>
        <w:ind w:firstLine="932" w:firstLineChars="444"/>
        <w:rPr>
          <w:rFonts w:ascii="宋体"/>
          <w:bCs/>
          <w:color w:val="auto"/>
          <w:szCs w:val="21"/>
        </w:rPr>
      </w:pPr>
    </w:p>
    <w:p>
      <w:pPr>
        <w:snapToGrid w:val="0"/>
        <w:spacing w:beforeLines="50" w:after="50"/>
        <w:ind w:firstLine="840" w:firstLineChars="400"/>
        <w:rPr>
          <w:rFonts w:ascii="宋体"/>
          <w:bCs/>
          <w:color w:val="auto"/>
          <w:szCs w:val="21"/>
        </w:rPr>
      </w:pPr>
      <w:r>
        <w:rPr>
          <w:rFonts w:hint="eastAsia" w:ascii="宋体" w:hAnsi="宋体"/>
          <w:bCs/>
          <w:color w:val="auto"/>
          <w:szCs w:val="21"/>
        </w:rPr>
        <w:t>投标人名称：</w:t>
      </w:r>
    </w:p>
    <w:p>
      <w:pPr>
        <w:snapToGrid w:val="0"/>
        <w:spacing w:beforeLines="50" w:after="50"/>
        <w:ind w:firstLine="840" w:firstLineChars="400"/>
        <w:rPr>
          <w:rFonts w:ascii="宋体"/>
          <w:bCs/>
          <w:color w:val="auto"/>
          <w:szCs w:val="21"/>
        </w:rPr>
      </w:pPr>
      <w:r>
        <w:rPr>
          <w:rFonts w:hint="eastAsia" w:ascii="宋体" w:hAnsi="宋体"/>
          <w:bCs/>
          <w:color w:val="auto"/>
          <w:szCs w:val="21"/>
        </w:rPr>
        <w:t>投标人地址：</w:t>
      </w:r>
    </w:p>
    <w:p>
      <w:pPr>
        <w:pStyle w:val="7"/>
        <w:snapToGrid w:val="0"/>
        <w:spacing w:before="50" w:after="50"/>
        <w:ind w:firstLine="932" w:firstLineChars="444"/>
        <w:jc w:val="center"/>
        <w:rPr>
          <w:rFonts w:ascii="宋体"/>
          <w:bCs/>
          <w:color w:val="auto"/>
          <w:szCs w:val="21"/>
        </w:rPr>
      </w:pPr>
      <w:r>
        <w:rPr>
          <w:rFonts w:hint="eastAsia" w:ascii="宋体" w:hAnsi="宋体"/>
          <w:bCs/>
          <w:color w:val="auto"/>
          <w:szCs w:val="21"/>
        </w:rPr>
        <w:t>开标时启封</w:t>
      </w:r>
    </w:p>
    <w:p>
      <w:pPr>
        <w:pStyle w:val="7"/>
        <w:snapToGrid w:val="0"/>
        <w:spacing w:before="50" w:after="50"/>
        <w:ind w:firstLine="873" w:firstLineChars="416"/>
        <w:rPr>
          <w:rFonts w:ascii="宋体"/>
          <w:color w:val="auto"/>
          <w:szCs w:val="21"/>
        </w:rPr>
      </w:pPr>
    </w:p>
    <w:p>
      <w:pPr>
        <w:jc w:val="right"/>
        <w:rPr>
          <w:color w:val="auto"/>
        </w:rPr>
      </w:pPr>
      <w:r>
        <w:rPr>
          <w:rFonts w:hint="eastAsia"/>
          <w:color w:val="auto"/>
        </w:rPr>
        <w:t>年月日</w:t>
      </w:r>
    </w:p>
    <w:p>
      <w:pPr>
        <w:rPr>
          <w:color w:val="auto"/>
        </w:rPr>
      </w:pPr>
    </w:p>
    <w:p>
      <w:pPr>
        <w:snapToGrid w:val="0"/>
        <w:spacing w:beforeLines="50" w:after="50"/>
        <w:rPr>
          <w:rFonts w:ascii="宋体"/>
          <w:color w:val="auto"/>
          <w:szCs w:val="21"/>
        </w:rPr>
      </w:pPr>
      <w:r>
        <w:rPr>
          <w:rFonts w:ascii="宋体" w:hAnsi="宋体"/>
          <w:b/>
          <w:bCs/>
          <w:color w:val="auto"/>
          <w:szCs w:val="21"/>
        </w:rPr>
        <w:t>2.</w:t>
      </w:r>
      <w:r>
        <w:rPr>
          <w:rFonts w:hint="eastAsia" w:ascii="宋体" w:hAnsi="宋体"/>
          <w:b/>
          <w:bCs/>
          <w:color w:val="auto"/>
          <w:szCs w:val="21"/>
        </w:rPr>
        <w:t>报价文件封面格式：</w:t>
      </w:r>
    </w:p>
    <w:p>
      <w:pPr>
        <w:snapToGrid w:val="0"/>
        <w:spacing w:beforeLines="50" w:after="50"/>
        <w:jc w:val="right"/>
        <w:rPr>
          <w:rFonts w:ascii="宋体"/>
          <w:b/>
          <w:bCs/>
          <w:color w:val="auto"/>
          <w:szCs w:val="21"/>
        </w:rPr>
      </w:pPr>
      <w:r>
        <w:rPr>
          <w:rFonts w:hint="eastAsia" w:ascii="宋体" w:hAnsi="宋体"/>
          <w:b/>
          <w:bCs/>
          <w:color w:val="auto"/>
          <w:szCs w:val="21"/>
        </w:rPr>
        <w:t>正本</w:t>
      </w:r>
      <w:r>
        <w:rPr>
          <w:rFonts w:ascii="宋体" w:hAnsi="宋体"/>
          <w:b/>
          <w:bCs/>
          <w:color w:val="auto"/>
          <w:szCs w:val="21"/>
        </w:rPr>
        <w:t>/</w:t>
      </w:r>
      <w:r>
        <w:rPr>
          <w:rFonts w:hint="eastAsia" w:ascii="宋体" w:hAnsi="宋体"/>
          <w:b/>
          <w:bCs/>
          <w:color w:val="auto"/>
          <w:szCs w:val="21"/>
        </w:rPr>
        <w:t>或副本</w:t>
      </w:r>
    </w:p>
    <w:p>
      <w:pPr>
        <w:snapToGrid w:val="0"/>
        <w:spacing w:beforeLines="50" w:after="50"/>
        <w:rPr>
          <w:rFonts w:ascii="宋体"/>
          <w:color w:val="auto"/>
          <w:szCs w:val="21"/>
        </w:rPr>
      </w:pPr>
    </w:p>
    <w:p>
      <w:pPr>
        <w:snapToGrid w:val="0"/>
        <w:spacing w:beforeLines="50" w:after="50"/>
        <w:jc w:val="center"/>
        <w:rPr>
          <w:rFonts w:ascii="宋体"/>
          <w:bCs/>
          <w:color w:val="auto"/>
          <w:szCs w:val="21"/>
        </w:rPr>
      </w:pPr>
      <w:r>
        <w:rPr>
          <w:rFonts w:hint="eastAsia" w:ascii="宋体" w:hAnsi="宋体"/>
          <w:bCs/>
          <w:color w:val="auto"/>
          <w:szCs w:val="21"/>
        </w:rPr>
        <w:t>报价文件</w:t>
      </w:r>
    </w:p>
    <w:p>
      <w:pPr>
        <w:snapToGrid w:val="0"/>
        <w:spacing w:beforeLines="50" w:after="50"/>
        <w:rPr>
          <w:rFonts w:ascii="宋体"/>
          <w:bCs/>
          <w:color w:val="auto"/>
          <w:szCs w:val="21"/>
        </w:rPr>
      </w:pPr>
    </w:p>
    <w:p>
      <w:pPr>
        <w:snapToGrid w:val="0"/>
        <w:spacing w:beforeLines="50" w:after="50"/>
        <w:ind w:firstLine="630" w:firstLineChars="300"/>
        <w:rPr>
          <w:rFonts w:ascii="宋体"/>
          <w:bCs/>
          <w:color w:val="auto"/>
          <w:szCs w:val="21"/>
        </w:rPr>
      </w:pPr>
      <w:r>
        <w:rPr>
          <w:rFonts w:hint="eastAsia" w:ascii="宋体" w:hAnsi="宋体"/>
          <w:bCs/>
          <w:color w:val="auto"/>
          <w:szCs w:val="21"/>
        </w:rPr>
        <w:t>项目名称：</w:t>
      </w:r>
    </w:p>
    <w:p>
      <w:pPr>
        <w:snapToGrid w:val="0"/>
        <w:spacing w:beforeLines="50" w:after="50"/>
        <w:ind w:firstLine="504" w:firstLineChars="240"/>
        <w:rPr>
          <w:rFonts w:ascii="宋体"/>
          <w:bCs/>
          <w:color w:val="auto"/>
          <w:szCs w:val="21"/>
        </w:rPr>
      </w:pPr>
      <w:r>
        <w:rPr>
          <w:rFonts w:hint="eastAsia" w:ascii="宋体" w:hAnsi="宋体"/>
          <w:bCs/>
          <w:color w:val="auto"/>
          <w:szCs w:val="21"/>
        </w:rPr>
        <w:t>项目编号：</w:t>
      </w:r>
    </w:p>
    <w:p>
      <w:pPr>
        <w:snapToGrid w:val="0"/>
        <w:spacing w:beforeLines="50" w:after="50"/>
        <w:ind w:firstLine="525" w:firstLineChars="250"/>
        <w:rPr>
          <w:rFonts w:ascii="宋体"/>
          <w:bCs/>
          <w:color w:val="auto"/>
          <w:szCs w:val="21"/>
        </w:rPr>
      </w:pPr>
    </w:p>
    <w:p>
      <w:pPr>
        <w:snapToGrid w:val="0"/>
        <w:spacing w:beforeLines="50" w:after="50"/>
        <w:ind w:firstLine="504" w:firstLineChars="240"/>
        <w:rPr>
          <w:rFonts w:ascii="宋体"/>
          <w:bCs/>
          <w:color w:val="auto"/>
          <w:szCs w:val="21"/>
        </w:rPr>
      </w:pPr>
      <w:r>
        <w:rPr>
          <w:rFonts w:hint="eastAsia" w:ascii="宋体" w:hAnsi="宋体"/>
          <w:bCs/>
          <w:color w:val="auto"/>
          <w:szCs w:val="21"/>
        </w:rPr>
        <w:t>投标人名称：</w:t>
      </w:r>
    </w:p>
    <w:p>
      <w:pPr>
        <w:snapToGrid w:val="0"/>
        <w:spacing w:beforeLines="50" w:after="50"/>
        <w:ind w:firstLine="504" w:firstLineChars="240"/>
        <w:rPr>
          <w:rFonts w:ascii="宋体"/>
          <w:bCs/>
          <w:color w:val="auto"/>
          <w:szCs w:val="21"/>
        </w:rPr>
      </w:pPr>
      <w:r>
        <w:rPr>
          <w:rFonts w:hint="eastAsia" w:ascii="宋体" w:hAnsi="宋体"/>
          <w:bCs/>
          <w:color w:val="auto"/>
          <w:szCs w:val="21"/>
        </w:rPr>
        <w:t>投标人地址：</w:t>
      </w:r>
    </w:p>
    <w:p>
      <w:pPr>
        <w:jc w:val="right"/>
        <w:rPr>
          <w:rFonts w:hint="eastAsia" w:eastAsia="宋体"/>
          <w:color w:val="auto"/>
        </w:rPr>
      </w:pPr>
      <w:r>
        <w:rPr>
          <w:rFonts w:hint="eastAsia" w:eastAsia="宋体"/>
          <w:color w:val="auto"/>
        </w:rPr>
        <w:t>年月日</w:t>
      </w:r>
    </w:p>
    <w:p>
      <w:pPr>
        <w:pStyle w:val="12"/>
        <w:spacing w:line="360" w:lineRule="auto"/>
        <w:ind w:firstLine="0"/>
        <w:rPr>
          <w:rFonts w:hAnsi="宋体" w:cs="宋体"/>
          <w:color w:val="auto"/>
          <w:spacing w:val="0"/>
          <w:sz w:val="21"/>
          <w:szCs w:val="21"/>
        </w:rPr>
      </w:pPr>
    </w:p>
    <w:p>
      <w:pPr>
        <w:pStyle w:val="12"/>
        <w:spacing w:line="360" w:lineRule="auto"/>
        <w:ind w:firstLine="0"/>
        <w:rPr>
          <w:rFonts w:hAnsi="宋体" w:cs="宋体"/>
          <w:color w:val="auto"/>
          <w:spacing w:val="0"/>
          <w:sz w:val="21"/>
          <w:szCs w:val="21"/>
        </w:rPr>
      </w:pPr>
    </w:p>
    <w:p>
      <w:pPr>
        <w:pStyle w:val="12"/>
        <w:spacing w:line="360" w:lineRule="auto"/>
        <w:ind w:firstLine="0"/>
        <w:rPr>
          <w:rFonts w:hAnsi="宋体" w:cs="宋体"/>
          <w:color w:val="auto"/>
          <w:spacing w:val="0"/>
          <w:sz w:val="21"/>
          <w:szCs w:val="21"/>
        </w:rPr>
      </w:pPr>
    </w:p>
    <w:p>
      <w:pPr>
        <w:pStyle w:val="12"/>
        <w:spacing w:line="360" w:lineRule="auto"/>
        <w:ind w:firstLine="0"/>
        <w:rPr>
          <w:rFonts w:hAnsi="宋体" w:cs="宋体"/>
          <w:color w:val="auto"/>
          <w:spacing w:val="0"/>
          <w:sz w:val="21"/>
          <w:szCs w:val="21"/>
        </w:rPr>
      </w:pPr>
    </w:p>
    <w:p>
      <w:pPr>
        <w:pStyle w:val="12"/>
        <w:spacing w:line="360" w:lineRule="auto"/>
        <w:ind w:firstLine="0"/>
        <w:rPr>
          <w:rFonts w:hAnsi="宋体" w:cs="宋体"/>
          <w:color w:val="auto"/>
          <w:spacing w:val="0"/>
          <w:sz w:val="21"/>
          <w:szCs w:val="21"/>
        </w:rPr>
      </w:pPr>
    </w:p>
    <w:p>
      <w:pPr>
        <w:pStyle w:val="12"/>
        <w:spacing w:line="360" w:lineRule="auto"/>
        <w:ind w:firstLine="0"/>
        <w:rPr>
          <w:rFonts w:hAnsi="宋体" w:cs="宋体"/>
          <w:color w:val="auto"/>
          <w:spacing w:val="0"/>
          <w:sz w:val="21"/>
          <w:szCs w:val="21"/>
        </w:rPr>
      </w:pPr>
    </w:p>
    <w:p>
      <w:pPr>
        <w:pStyle w:val="12"/>
        <w:spacing w:line="360" w:lineRule="auto"/>
        <w:ind w:firstLine="0"/>
        <w:rPr>
          <w:rFonts w:hAnsi="宋体" w:cs="宋体"/>
          <w:color w:val="auto"/>
          <w:spacing w:val="0"/>
          <w:sz w:val="21"/>
          <w:szCs w:val="21"/>
        </w:rPr>
      </w:pPr>
    </w:p>
    <w:p>
      <w:pPr>
        <w:pStyle w:val="12"/>
        <w:spacing w:line="360" w:lineRule="auto"/>
        <w:ind w:firstLine="0"/>
        <w:rPr>
          <w:rFonts w:hAnsi="宋体" w:cs="宋体"/>
          <w:color w:val="auto"/>
          <w:spacing w:val="0"/>
          <w:sz w:val="21"/>
          <w:szCs w:val="21"/>
        </w:rPr>
      </w:pPr>
    </w:p>
    <w:p>
      <w:pPr>
        <w:pStyle w:val="12"/>
        <w:spacing w:line="360" w:lineRule="auto"/>
        <w:ind w:firstLine="0"/>
        <w:rPr>
          <w:rFonts w:hAnsi="宋体" w:cs="宋体"/>
          <w:color w:val="auto"/>
          <w:spacing w:val="0"/>
          <w:sz w:val="21"/>
          <w:szCs w:val="21"/>
        </w:rPr>
      </w:pPr>
    </w:p>
    <w:p>
      <w:pPr>
        <w:pStyle w:val="12"/>
        <w:spacing w:line="360" w:lineRule="auto"/>
        <w:ind w:firstLine="0"/>
        <w:rPr>
          <w:rFonts w:hint="eastAsia" w:hAnsi="宋体" w:cs="宋体"/>
          <w:color w:val="auto"/>
          <w:spacing w:val="0"/>
          <w:sz w:val="21"/>
          <w:szCs w:val="21"/>
        </w:rPr>
      </w:pPr>
    </w:p>
    <w:p>
      <w:pPr>
        <w:rPr>
          <w:rFonts w:hint="eastAsia"/>
          <w:color w:val="auto"/>
        </w:rPr>
      </w:pPr>
    </w:p>
    <w:p>
      <w:pPr>
        <w:pStyle w:val="12"/>
        <w:spacing w:line="360" w:lineRule="auto"/>
        <w:ind w:firstLine="0"/>
        <w:rPr>
          <w:rFonts w:hAnsi="宋体" w:cs="宋体"/>
          <w:b/>
          <w:bCs/>
          <w:color w:val="auto"/>
          <w:spacing w:val="0"/>
          <w:sz w:val="28"/>
          <w:szCs w:val="28"/>
        </w:rPr>
      </w:pPr>
      <w:r>
        <w:rPr>
          <w:rFonts w:hint="eastAsia" w:hAnsi="宋体" w:cs="宋体"/>
          <w:color w:val="auto"/>
          <w:spacing w:val="0"/>
          <w:sz w:val="21"/>
          <w:szCs w:val="21"/>
        </w:rPr>
        <w:t>格式一：开</w:t>
      </w:r>
      <w:r>
        <w:rPr>
          <w:rFonts w:hint="eastAsia" w:hAnsi="宋体" w:cs="宋体"/>
          <w:color w:val="auto"/>
          <w:spacing w:val="0"/>
          <w:sz w:val="21"/>
          <w:szCs w:val="21"/>
          <w:lang w:val="en-US" w:eastAsia="zh-CN"/>
        </w:rPr>
        <w:t>标</w:t>
      </w:r>
      <w:r>
        <w:rPr>
          <w:rFonts w:hint="eastAsia" w:hAnsi="宋体" w:cs="宋体"/>
          <w:color w:val="auto"/>
          <w:spacing w:val="0"/>
          <w:sz w:val="21"/>
          <w:szCs w:val="21"/>
        </w:rPr>
        <w:t>一览表</w:t>
      </w:r>
    </w:p>
    <w:p>
      <w:pPr>
        <w:pStyle w:val="12"/>
        <w:spacing w:line="360" w:lineRule="auto"/>
        <w:ind w:firstLine="0"/>
        <w:jc w:val="center"/>
        <w:rPr>
          <w:rFonts w:hAnsi="宋体" w:cs="宋体"/>
          <w:b/>
          <w:bCs/>
          <w:color w:val="auto"/>
          <w:spacing w:val="0"/>
          <w:sz w:val="28"/>
          <w:szCs w:val="28"/>
        </w:rPr>
      </w:pPr>
      <w:r>
        <w:rPr>
          <w:rFonts w:hint="eastAsia" w:hAnsi="宋体" w:cs="宋体"/>
          <w:b/>
          <w:bCs/>
          <w:color w:val="auto"/>
          <w:spacing w:val="0"/>
          <w:sz w:val="28"/>
          <w:szCs w:val="28"/>
        </w:rPr>
        <w:t>开标一览表</w:t>
      </w:r>
    </w:p>
    <w:p>
      <w:pPr>
        <w:pStyle w:val="12"/>
        <w:spacing w:line="360" w:lineRule="auto"/>
        <w:ind w:firstLine="0"/>
        <w:rPr>
          <w:color w:val="auto"/>
          <w:sz w:val="21"/>
          <w:szCs w:val="21"/>
        </w:rPr>
      </w:pPr>
    </w:p>
    <w:p>
      <w:pPr>
        <w:pStyle w:val="12"/>
        <w:spacing w:line="360" w:lineRule="auto"/>
        <w:ind w:firstLine="0"/>
        <w:rPr>
          <w:color w:val="auto"/>
          <w:sz w:val="21"/>
          <w:szCs w:val="21"/>
        </w:rPr>
      </w:pPr>
      <w:r>
        <w:rPr>
          <w:rFonts w:hint="eastAsia"/>
          <w:color w:val="auto"/>
          <w:sz w:val="21"/>
          <w:szCs w:val="21"/>
        </w:rPr>
        <w:t>项目名称：</w:t>
      </w:r>
    </w:p>
    <w:p>
      <w:pPr>
        <w:pStyle w:val="12"/>
        <w:spacing w:line="360" w:lineRule="auto"/>
        <w:ind w:firstLine="0"/>
        <w:rPr>
          <w:rFonts w:hint="eastAsia"/>
          <w:color w:val="auto"/>
          <w:sz w:val="21"/>
          <w:szCs w:val="21"/>
        </w:rPr>
      </w:pPr>
      <w:r>
        <w:rPr>
          <w:rFonts w:hint="eastAsia"/>
          <w:color w:val="auto"/>
          <w:sz w:val="21"/>
          <w:szCs w:val="21"/>
        </w:rPr>
        <w:t>招标编号：</w:t>
      </w:r>
    </w:p>
    <w:tbl>
      <w:tblPr>
        <w:tblStyle w:val="29"/>
        <w:tblW w:w="10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45"/>
        <w:gridCol w:w="2505"/>
        <w:gridCol w:w="1505"/>
        <w:gridCol w:w="1335"/>
        <w:gridCol w:w="123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blHeader/>
          <w:jc w:val="center"/>
        </w:trPr>
        <w:tc>
          <w:tcPr>
            <w:tcW w:w="822"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序号</w:t>
            </w:r>
          </w:p>
        </w:tc>
        <w:tc>
          <w:tcPr>
            <w:tcW w:w="1545" w:type="dxa"/>
            <w:shd w:val="clear" w:color="auto" w:fill="auto"/>
            <w:vAlign w:val="center"/>
          </w:tcPr>
          <w:p>
            <w:pPr>
              <w:widowControl/>
              <w:jc w:val="center"/>
              <w:rPr>
                <w:rFonts w:ascii="宋体" w:hAnsi="宋体" w:cs="宋体"/>
                <w:color w:val="auto"/>
                <w:kern w:val="0"/>
                <w:szCs w:val="21"/>
              </w:rPr>
            </w:pPr>
            <w:r>
              <w:rPr>
                <w:rFonts w:ascii="宋体" w:hAnsi="宋体" w:cs="宋体"/>
                <w:color w:val="auto"/>
                <w:kern w:val="0"/>
                <w:szCs w:val="21"/>
              </w:rPr>
              <w:t>路段名称</w:t>
            </w:r>
          </w:p>
        </w:tc>
        <w:tc>
          <w:tcPr>
            <w:tcW w:w="2505"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服务范围</w:t>
            </w:r>
          </w:p>
        </w:tc>
        <w:tc>
          <w:tcPr>
            <w:tcW w:w="1505"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面积（㎡）</w:t>
            </w:r>
          </w:p>
        </w:tc>
        <w:tc>
          <w:tcPr>
            <w:tcW w:w="1335" w:type="dxa"/>
            <w:shd w:val="clear" w:color="auto" w:fill="auto"/>
            <w:vAlign w:val="center"/>
          </w:tcPr>
          <w:p>
            <w:pPr>
              <w:pStyle w:val="12"/>
              <w:spacing w:line="0" w:lineRule="atLeast"/>
              <w:ind w:firstLine="0"/>
              <w:jc w:val="center"/>
              <w:rPr>
                <w:rFonts w:ascii="Times New Roman" w:hAnsi="宋体" w:cs="宋体"/>
                <w:color w:val="auto"/>
                <w:spacing w:val="0"/>
                <w:sz w:val="21"/>
                <w:szCs w:val="21"/>
                <w:lang w:val="en-US" w:eastAsia="zh-CN"/>
              </w:rPr>
            </w:pPr>
            <w:r>
              <w:rPr>
                <w:rFonts w:ascii="Times New Roman" w:hAnsi="宋体" w:cs="宋体"/>
                <w:color w:val="auto"/>
                <w:spacing w:val="0"/>
                <w:sz w:val="21"/>
                <w:szCs w:val="21"/>
                <w:lang w:val="en-US" w:eastAsia="zh-CN"/>
              </w:rPr>
              <w:t>综合单价</w:t>
            </w:r>
          </w:p>
          <w:p>
            <w:pPr>
              <w:widowControl/>
              <w:jc w:val="center"/>
              <w:rPr>
                <w:rFonts w:hint="eastAsia" w:ascii="宋体" w:hAnsi="宋体" w:eastAsia="宋体" w:cs="宋体"/>
                <w:color w:val="auto"/>
                <w:kern w:val="0"/>
                <w:szCs w:val="21"/>
                <w:lang w:val="en-US" w:eastAsia="zh-CN"/>
              </w:rPr>
            </w:pPr>
            <w:r>
              <w:rPr>
                <w:rFonts w:ascii="Times New Roman" w:hAnsi="宋体" w:cs="宋体"/>
                <w:color w:val="auto"/>
                <w:spacing w:val="0"/>
                <w:sz w:val="21"/>
                <w:szCs w:val="21"/>
                <w:lang w:val="en-US" w:eastAsia="zh-CN"/>
              </w:rPr>
              <w:t>（</w:t>
            </w:r>
            <w:r>
              <w:rPr>
                <w:rFonts w:hint="eastAsia" w:ascii="Times New Roman" w:hAnsi="宋体" w:cs="宋体"/>
                <w:color w:val="auto"/>
                <w:spacing w:val="0"/>
                <w:sz w:val="21"/>
                <w:szCs w:val="21"/>
                <w:lang w:val="en-US" w:eastAsia="zh-CN"/>
              </w:rPr>
              <w:t>元/m².年</w:t>
            </w:r>
            <w:r>
              <w:rPr>
                <w:rFonts w:ascii="Times New Roman" w:hAnsi="宋体" w:cs="宋体"/>
                <w:color w:val="auto"/>
                <w:spacing w:val="0"/>
                <w:sz w:val="21"/>
                <w:szCs w:val="21"/>
                <w:lang w:val="en-US" w:eastAsia="zh-CN"/>
              </w:rPr>
              <w:t>）</w:t>
            </w:r>
          </w:p>
        </w:tc>
        <w:tc>
          <w:tcPr>
            <w:tcW w:w="1230" w:type="dxa"/>
            <w:shd w:val="clear" w:color="auto" w:fill="auto"/>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合价</w:t>
            </w:r>
          </w:p>
        </w:tc>
        <w:tc>
          <w:tcPr>
            <w:tcW w:w="1230" w:type="dxa"/>
            <w:shd w:val="clear" w:color="auto" w:fill="auto"/>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blHeader/>
          <w:jc w:val="center"/>
        </w:trPr>
        <w:tc>
          <w:tcPr>
            <w:tcW w:w="822"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1545" w:type="dxa"/>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color w:val="auto"/>
                <w:lang w:val="en-US" w:eastAsia="zh-CN"/>
              </w:rPr>
              <w:t>一标段/</w:t>
            </w:r>
            <w:r>
              <w:rPr>
                <w:rFonts w:hint="eastAsia" w:ascii="宋体" w:hAnsi="宋体" w:cs="宋体"/>
                <w:color w:val="auto"/>
                <w:kern w:val="0"/>
                <w:szCs w:val="21"/>
                <w:lang w:val="en-US" w:eastAsia="zh-CN"/>
              </w:rPr>
              <w:t>二标段/三标段</w:t>
            </w:r>
          </w:p>
        </w:tc>
        <w:tc>
          <w:tcPr>
            <w:tcW w:w="2505" w:type="dxa"/>
            <w:shd w:val="clear" w:color="auto" w:fill="auto"/>
            <w:vAlign w:val="center"/>
          </w:tcPr>
          <w:p>
            <w:pPr>
              <w:widowControl/>
              <w:jc w:val="center"/>
              <w:rPr>
                <w:rFonts w:ascii="宋体" w:hAnsi="宋体" w:cs="宋体"/>
                <w:color w:val="auto"/>
                <w:kern w:val="0"/>
                <w:szCs w:val="21"/>
                <w:highlight w:val="yellow"/>
              </w:rPr>
            </w:pPr>
          </w:p>
        </w:tc>
        <w:tc>
          <w:tcPr>
            <w:tcW w:w="1505" w:type="dxa"/>
            <w:shd w:val="clear" w:color="auto" w:fill="auto"/>
            <w:vAlign w:val="center"/>
          </w:tcPr>
          <w:p>
            <w:pPr>
              <w:widowControl/>
              <w:jc w:val="center"/>
              <w:rPr>
                <w:rFonts w:hint="default" w:ascii="宋体" w:hAnsi="宋体" w:eastAsia="宋体" w:cs="宋体"/>
                <w:color w:val="auto"/>
                <w:kern w:val="0"/>
                <w:szCs w:val="21"/>
                <w:lang w:val="en-US" w:eastAsia="zh-CN"/>
              </w:rPr>
            </w:pPr>
          </w:p>
        </w:tc>
        <w:tc>
          <w:tcPr>
            <w:tcW w:w="1335" w:type="dxa"/>
            <w:shd w:val="clear" w:color="auto" w:fill="auto"/>
            <w:vAlign w:val="center"/>
          </w:tcPr>
          <w:p>
            <w:pPr>
              <w:widowControl/>
              <w:jc w:val="center"/>
              <w:rPr>
                <w:rFonts w:hint="eastAsia" w:ascii="宋体" w:hAnsi="宋体" w:cs="宋体"/>
                <w:color w:val="auto"/>
                <w:kern w:val="0"/>
                <w:szCs w:val="21"/>
                <w:lang w:val="en-US" w:eastAsia="zh-CN"/>
              </w:rPr>
            </w:pPr>
          </w:p>
        </w:tc>
        <w:tc>
          <w:tcPr>
            <w:tcW w:w="1230" w:type="dxa"/>
            <w:shd w:val="clear" w:color="auto" w:fill="auto"/>
            <w:vAlign w:val="center"/>
          </w:tcPr>
          <w:p>
            <w:pPr>
              <w:widowControl/>
              <w:jc w:val="center"/>
              <w:rPr>
                <w:rFonts w:hint="eastAsia" w:ascii="宋体" w:hAnsi="宋体" w:cs="宋体"/>
                <w:color w:val="auto"/>
                <w:kern w:val="0"/>
                <w:szCs w:val="21"/>
                <w:lang w:val="en-US" w:eastAsia="zh-CN"/>
              </w:rPr>
            </w:pPr>
          </w:p>
        </w:tc>
        <w:tc>
          <w:tcPr>
            <w:tcW w:w="1230" w:type="dxa"/>
            <w:shd w:val="clear" w:color="auto" w:fill="auto"/>
            <w:vAlign w:val="center"/>
          </w:tcPr>
          <w:p>
            <w:pPr>
              <w:widowControl/>
              <w:jc w:val="center"/>
              <w:rPr>
                <w:rFonts w:hint="eastAsia" w:ascii="宋体" w:hAnsi="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blHeader/>
          <w:jc w:val="center"/>
        </w:trPr>
        <w:tc>
          <w:tcPr>
            <w:tcW w:w="2367" w:type="dxa"/>
            <w:gridSpan w:val="2"/>
            <w:vMerge w:val="restart"/>
            <w:shd w:val="clear" w:color="auto" w:fill="auto"/>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报价合计</w:t>
            </w:r>
          </w:p>
        </w:tc>
        <w:tc>
          <w:tcPr>
            <w:tcW w:w="2505" w:type="dxa"/>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第一年</w:t>
            </w:r>
          </w:p>
        </w:tc>
        <w:tc>
          <w:tcPr>
            <w:tcW w:w="5300" w:type="dxa"/>
            <w:gridSpan w:val="4"/>
            <w:shd w:val="clear" w:color="auto" w:fill="auto"/>
            <w:vAlign w:val="center"/>
          </w:tcPr>
          <w:p>
            <w:pPr>
              <w:widowControl/>
              <w:jc w:val="center"/>
              <w:rPr>
                <w:rFonts w:hint="eastAsia" w:ascii="宋体" w:hAnsi="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blHeader/>
          <w:jc w:val="center"/>
        </w:trPr>
        <w:tc>
          <w:tcPr>
            <w:tcW w:w="2367" w:type="dxa"/>
            <w:gridSpan w:val="2"/>
            <w:vMerge w:val="continue"/>
            <w:shd w:val="clear" w:color="auto" w:fill="auto"/>
            <w:vAlign w:val="center"/>
          </w:tcPr>
          <w:p>
            <w:pPr>
              <w:widowControl/>
              <w:jc w:val="center"/>
              <w:rPr>
                <w:rFonts w:hint="eastAsia" w:ascii="宋体" w:hAnsi="宋体" w:cs="宋体"/>
                <w:color w:val="auto"/>
                <w:kern w:val="0"/>
                <w:szCs w:val="21"/>
                <w:lang w:val="en-US" w:eastAsia="zh-CN"/>
              </w:rPr>
            </w:pPr>
          </w:p>
        </w:tc>
        <w:tc>
          <w:tcPr>
            <w:tcW w:w="2505" w:type="dxa"/>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第二年</w:t>
            </w:r>
          </w:p>
        </w:tc>
        <w:tc>
          <w:tcPr>
            <w:tcW w:w="5300" w:type="dxa"/>
            <w:gridSpan w:val="4"/>
            <w:shd w:val="clear" w:color="auto" w:fill="auto"/>
            <w:vAlign w:val="center"/>
          </w:tcPr>
          <w:p>
            <w:pPr>
              <w:widowControl/>
              <w:jc w:val="center"/>
              <w:rPr>
                <w:rFonts w:hint="eastAsia" w:ascii="宋体" w:hAnsi="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jc w:val="center"/>
        </w:trPr>
        <w:tc>
          <w:tcPr>
            <w:tcW w:w="2367" w:type="dxa"/>
            <w:gridSpan w:val="2"/>
            <w:vMerge w:val="continue"/>
            <w:shd w:val="clear" w:color="auto" w:fill="auto"/>
            <w:vAlign w:val="center"/>
          </w:tcPr>
          <w:p>
            <w:pPr>
              <w:widowControl/>
              <w:jc w:val="center"/>
              <w:rPr>
                <w:rFonts w:hint="eastAsia" w:ascii="宋体" w:hAnsi="宋体" w:cs="宋体"/>
                <w:color w:val="auto"/>
                <w:kern w:val="0"/>
                <w:szCs w:val="21"/>
                <w:lang w:val="en-US" w:eastAsia="zh-CN"/>
              </w:rPr>
            </w:pPr>
          </w:p>
        </w:tc>
        <w:tc>
          <w:tcPr>
            <w:tcW w:w="2505" w:type="dxa"/>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两年合计</w:t>
            </w:r>
          </w:p>
        </w:tc>
        <w:tc>
          <w:tcPr>
            <w:tcW w:w="5300" w:type="dxa"/>
            <w:gridSpan w:val="4"/>
            <w:shd w:val="clear" w:color="auto" w:fill="auto"/>
            <w:vAlign w:val="center"/>
          </w:tcPr>
          <w:p>
            <w:pPr>
              <w:widowControl/>
              <w:jc w:val="center"/>
              <w:rPr>
                <w:rFonts w:hint="eastAsia" w:ascii="宋体" w:hAnsi="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blHeader/>
          <w:jc w:val="center"/>
        </w:trPr>
        <w:tc>
          <w:tcPr>
            <w:tcW w:w="4872" w:type="dxa"/>
            <w:gridSpan w:val="3"/>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 xml:space="preserve"> 报价声明</w:t>
            </w:r>
          </w:p>
        </w:tc>
        <w:tc>
          <w:tcPr>
            <w:tcW w:w="5300" w:type="dxa"/>
            <w:gridSpan w:val="4"/>
            <w:shd w:val="clear" w:color="auto" w:fill="auto"/>
            <w:vAlign w:val="center"/>
          </w:tcPr>
          <w:p>
            <w:pPr>
              <w:widowControl/>
              <w:jc w:val="center"/>
              <w:rPr>
                <w:rFonts w:hint="eastAsia" w:ascii="宋体" w:hAnsi="宋体" w:cs="宋体"/>
                <w:color w:val="auto"/>
                <w:kern w:val="0"/>
                <w:szCs w:val="21"/>
                <w:lang w:val="en-US" w:eastAsia="zh-CN"/>
              </w:rPr>
            </w:pPr>
          </w:p>
        </w:tc>
      </w:tr>
    </w:tbl>
    <w:p>
      <w:pPr>
        <w:rPr>
          <w:color w:val="auto"/>
        </w:rPr>
      </w:pPr>
    </w:p>
    <w:p>
      <w:pPr>
        <w:pStyle w:val="12"/>
        <w:spacing w:line="360" w:lineRule="auto"/>
        <w:ind w:firstLine="0"/>
        <w:rPr>
          <w:rFonts w:hint="eastAsia"/>
          <w:color w:val="auto"/>
          <w:sz w:val="21"/>
          <w:szCs w:val="21"/>
        </w:rPr>
      </w:pPr>
    </w:p>
    <w:p>
      <w:pPr>
        <w:pStyle w:val="12"/>
        <w:spacing w:line="360" w:lineRule="auto"/>
        <w:ind w:firstLine="0"/>
        <w:rPr>
          <w:color w:val="auto"/>
          <w:sz w:val="21"/>
          <w:szCs w:val="21"/>
        </w:rPr>
      </w:pPr>
      <w:r>
        <w:rPr>
          <w:rFonts w:hint="eastAsia"/>
          <w:color w:val="auto"/>
          <w:sz w:val="21"/>
          <w:szCs w:val="21"/>
        </w:rPr>
        <w:t>投标人（盖章）：</w:t>
      </w:r>
    </w:p>
    <w:p>
      <w:pPr>
        <w:pStyle w:val="12"/>
        <w:spacing w:line="360" w:lineRule="auto"/>
        <w:ind w:firstLine="0"/>
        <w:rPr>
          <w:color w:val="auto"/>
          <w:sz w:val="21"/>
          <w:szCs w:val="21"/>
        </w:rPr>
      </w:pPr>
      <w:r>
        <w:rPr>
          <w:rFonts w:hint="eastAsia"/>
          <w:color w:val="auto"/>
          <w:sz w:val="21"/>
          <w:szCs w:val="21"/>
        </w:rPr>
        <w:t>法定代表人或授权代表人（签字）：</w:t>
      </w:r>
    </w:p>
    <w:p>
      <w:pPr>
        <w:pStyle w:val="12"/>
        <w:spacing w:line="360" w:lineRule="auto"/>
        <w:ind w:firstLine="0"/>
        <w:rPr>
          <w:color w:val="auto"/>
          <w:sz w:val="21"/>
          <w:szCs w:val="21"/>
        </w:rPr>
      </w:pPr>
      <w:r>
        <w:rPr>
          <w:rFonts w:hint="eastAsia"/>
          <w:color w:val="auto"/>
          <w:sz w:val="21"/>
          <w:szCs w:val="21"/>
        </w:rPr>
        <w:t>日期：</w:t>
      </w:r>
    </w:p>
    <w:p>
      <w:pPr>
        <w:pStyle w:val="12"/>
        <w:spacing w:line="360" w:lineRule="auto"/>
        <w:ind w:firstLine="0"/>
        <w:rPr>
          <w:rFonts w:hint="eastAsia"/>
          <w:color w:val="auto"/>
          <w:szCs w:val="18"/>
        </w:rPr>
      </w:pPr>
    </w:p>
    <w:p>
      <w:pPr>
        <w:pStyle w:val="12"/>
        <w:spacing w:line="360" w:lineRule="auto"/>
        <w:ind w:firstLine="0"/>
        <w:rPr>
          <w:rFonts w:hint="eastAsia"/>
          <w:color w:val="auto"/>
          <w:szCs w:val="18"/>
        </w:rPr>
      </w:pPr>
    </w:p>
    <w:p>
      <w:pPr>
        <w:pStyle w:val="12"/>
        <w:spacing w:line="360" w:lineRule="auto"/>
        <w:ind w:firstLine="0"/>
        <w:rPr>
          <w:rFonts w:hint="eastAsia"/>
          <w:color w:val="auto"/>
          <w:szCs w:val="18"/>
        </w:rPr>
      </w:pPr>
    </w:p>
    <w:p>
      <w:pPr>
        <w:pStyle w:val="12"/>
        <w:spacing w:line="360" w:lineRule="auto"/>
        <w:ind w:firstLine="0"/>
        <w:rPr>
          <w:rFonts w:hint="eastAsia"/>
          <w:color w:val="auto"/>
          <w:szCs w:val="18"/>
        </w:rPr>
      </w:pPr>
    </w:p>
    <w:p>
      <w:pPr>
        <w:pStyle w:val="12"/>
        <w:spacing w:line="360" w:lineRule="auto"/>
        <w:ind w:firstLine="0"/>
        <w:rPr>
          <w:rFonts w:hint="eastAsia"/>
          <w:color w:val="auto"/>
          <w:szCs w:val="18"/>
        </w:rPr>
      </w:pPr>
    </w:p>
    <w:p>
      <w:pPr>
        <w:rPr>
          <w:rFonts w:hint="eastAsia"/>
          <w:color w:val="auto"/>
          <w:szCs w:val="18"/>
        </w:rPr>
      </w:pPr>
    </w:p>
    <w:p>
      <w:pPr>
        <w:pStyle w:val="2"/>
        <w:rPr>
          <w:rFonts w:hint="eastAsia"/>
          <w:color w:val="auto"/>
          <w:szCs w:val="18"/>
        </w:rPr>
      </w:pPr>
    </w:p>
    <w:p>
      <w:pPr>
        <w:pStyle w:val="2"/>
        <w:rPr>
          <w:rFonts w:hint="eastAsia"/>
          <w:color w:val="auto"/>
          <w:szCs w:val="18"/>
        </w:rPr>
      </w:pPr>
    </w:p>
    <w:p>
      <w:pPr>
        <w:pStyle w:val="2"/>
        <w:rPr>
          <w:rFonts w:hint="eastAsia"/>
          <w:color w:val="auto"/>
          <w:szCs w:val="18"/>
        </w:rPr>
      </w:pPr>
    </w:p>
    <w:p>
      <w:pPr>
        <w:pStyle w:val="2"/>
        <w:rPr>
          <w:rFonts w:hint="eastAsia"/>
          <w:color w:val="auto"/>
          <w:szCs w:val="18"/>
        </w:rPr>
      </w:pPr>
    </w:p>
    <w:p>
      <w:pPr>
        <w:pStyle w:val="2"/>
        <w:rPr>
          <w:rFonts w:hint="eastAsia"/>
          <w:color w:val="auto"/>
          <w:szCs w:val="18"/>
        </w:rPr>
      </w:pPr>
    </w:p>
    <w:p>
      <w:pPr>
        <w:pStyle w:val="4"/>
        <w:spacing w:before="0" w:after="0" w:line="240" w:lineRule="auto"/>
        <w:ind w:right="-567"/>
        <w:jc w:val="left"/>
        <w:rPr>
          <w:rFonts w:hint="eastAsia" w:ascii="Times New Roman" w:hAnsi="Times New Roman" w:eastAsia="宋体"/>
          <w:b w:val="0"/>
          <w:color w:val="auto"/>
          <w:sz w:val="18"/>
          <w:szCs w:val="18"/>
          <w:lang w:eastAsia="zh-CN"/>
        </w:rPr>
      </w:pPr>
      <w:r>
        <w:rPr>
          <w:rFonts w:hint="eastAsia" w:ascii="Times New Roman" w:hAnsi="Times New Roman" w:eastAsia="宋体"/>
          <w:b w:val="0"/>
          <w:color w:val="auto"/>
          <w:sz w:val="21"/>
          <w:szCs w:val="21"/>
        </w:rPr>
        <w:t>格式</w:t>
      </w:r>
      <w:r>
        <w:rPr>
          <w:rFonts w:hint="eastAsia" w:ascii="Times New Roman" w:hAnsi="Times New Roman" w:eastAsia="宋体"/>
          <w:b w:val="0"/>
          <w:color w:val="auto"/>
          <w:sz w:val="21"/>
          <w:szCs w:val="21"/>
          <w:lang w:val="en-US" w:eastAsia="zh-CN"/>
        </w:rPr>
        <w:t>二</w:t>
      </w:r>
      <w:r>
        <w:rPr>
          <w:rFonts w:hint="eastAsia" w:ascii="Times New Roman" w:hAnsi="Times New Roman" w:eastAsia="宋体"/>
          <w:b w:val="0"/>
          <w:color w:val="auto"/>
          <w:sz w:val="21"/>
          <w:szCs w:val="21"/>
        </w:rPr>
        <w:t xml:space="preserve">  </w:t>
      </w:r>
      <w:r>
        <w:rPr>
          <w:rFonts w:hint="eastAsia" w:ascii="Times New Roman" w:hAnsi="Times New Roman" w:eastAsia="宋体"/>
          <w:b w:val="0"/>
          <w:color w:val="auto"/>
          <w:sz w:val="21"/>
          <w:szCs w:val="21"/>
          <w:lang w:val="en-US" w:eastAsia="zh-CN"/>
        </w:rPr>
        <w:t>分项报价表</w:t>
      </w:r>
    </w:p>
    <w:p>
      <w:pPr>
        <w:pStyle w:val="3"/>
        <w:spacing w:line="360" w:lineRule="exact"/>
        <w:jc w:val="center"/>
        <w:rPr>
          <w:rFonts w:eastAsia="宋体"/>
          <w:color w:val="auto"/>
          <w:w w:val="80"/>
          <w:sz w:val="21"/>
          <w:szCs w:val="21"/>
        </w:rPr>
      </w:pPr>
      <w:r>
        <w:rPr>
          <w:rFonts w:hint="eastAsia" w:ascii="Times New Roman"/>
          <w:color w:val="auto"/>
          <w:szCs w:val="28"/>
          <w:lang w:val="en-US" w:eastAsia="zh-CN"/>
        </w:rPr>
        <w:t>分项报价表</w:t>
      </w:r>
    </w:p>
    <w:p>
      <w:pPr>
        <w:pStyle w:val="12"/>
        <w:spacing w:line="0" w:lineRule="atLeast"/>
        <w:ind w:firstLine="0"/>
        <w:jc w:val="center"/>
        <w:rPr>
          <w:rFonts w:eastAsia="仿宋_GB2312"/>
          <w:color w:val="auto"/>
          <w:w w:val="80"/>
          <w:sz w:val="24"/>
          <w:szCs w:val="24"/>
          <w:bdr w:val="single" w:color="auto" w:sz="4" w:space="0"/>
          <w:shd w:val="pct10" w:color="auto" w:fill="FFFFFF"/>
        </w:rPr>
      </w:pPr>
      <w:r>
        <w:rPr>
          <w:color w:val="auto"/>
          <w:w w:val="80"/>
          <w:sz w:val="24"/>
          <w:szCs w:val="24"/>
          <w:bdr w:val="single" w:color="auto" w:sz="4" w:space="0"/>
          <w:shd w:val="pct10" w:color="auto" w:fill="FFFFFF"/>
        </w:rPr>
        <w:t>投标分项报价表或服务费用报价明细表格格式可由投标人要求自行设计</w:t>
      </w:r>
    </w:p>
    <w:p>
      <w:pPr>
        <w:pStyle w:val="12"/>
        <w:tabs>
          <w:tab w:val="left" w:pos="4841"/>
        </w:tabs>
        <w:ind w:firstLine="0"/>
        <w:rPr>
          <w:rFonts w:hint="eastAsia" w:eastAsia="宋体"/>
          <w:color w:val="auto"/>
          <w:sz w:val="21"/>
          <w:szCs w:val="21"/>
          <w:lang w:val="en-US" w:eastAsia="zh-CN"/>
        </w:rPr>
      </w:pPr>
    </w:p>
    <w:p>
      <w:pPr>
        <w:pStyle w:val="12"/>
        <w:tabs>
          <w:tab w:val="left" w:pos="4841"/>
        </w:tabs>
        <w:spacing w:line="240" w:lineRule="auto"/>
        <w:ind w:firstLine="0"/>
        <w:rPr>
          <w:color w:val="auto"/>
        </w:rPr>
      </w:pPr>
      <w:r>
        <w:rPr>
          <w:rFonts w:hint="eastAsia" w:eastAsia="宋体"/>
          <w:color w:val="auto"/>
          <w:sz w:val="21"/>
          <w:szCs w:val="21"/>
          <w:lang w:val="en-US" w:eastAsia="zh-CN"/>
        </w:rPr>
        <w:t>招标编号</w:t>
      </w:r>
      <w:r>
        <w:rPr>
          <w:rFonts w:hint="eastAsia" w:eastAsia="宋体"/>
          <w:color w:val="auto"/>
          <w:sz w:val="21"/>
          <w:szCs w:val="21"/>
        </w:rPr>
        <w:t>：           项目名称：</w:t>
      </w:r>
      <w:r>
        <w:rPr>
          <w:rFonts w:hint="eastAsia" w:eastAsia="宋体"/>
          <w:color w:val="auto"/>
          <w:sz w:val="21"/>
          <w:szCs w:val="21"/>
        </w:rPr>
        <w:tab/>
      </w:r>
      <w:r>
        <w:rPr>
          <w:rFonts w:hint="eastAsia" w:eastAsia="宋体"/>
          <w:color w:val="auto"/>
          <w:sz w:val="21"/>
          <w:szCs w:val="21"/>
        </w:rPr>
        <w:t>单位：人民币元</w:t>
      </w:r>
    </w:p>
    <w:p>
      <w:pPr>
        <w:pStyle w:val="12"/>
        <w:tabs>
          <w:tab w:val="left" w:pos="4841"/>
        </w:tabs>
        <w:spacing w:line="240" w:lineRule="auto"/>
        <w:ind w:firstLine="0"/>
        <w:rPr>
          <w:rFonts w:eastAsia="宋体"/>
          <w:color w:val="auto"/>
          <w:sz w:val="21"/>
          <w:szCs w:val="21"/>
        </w:rPr>
      </w:pPr>
      <w:r>
        <w:rPr>
          <w:rFonts w:hint="eastAsia" w:eastAsia="宋体"/>
          <w:color w:val="auto"/>
          <w:sz w:val="21"/>
          <w:szCs w:val="21"/>
        </w:rPr>
        <w:t>标段号：</w:t>
      </w:r>
    </w:p>
    <w:tbl>
      <w:tblPr>
        <w:tblStyle w:val="29"/>
        <w:tblW w:w="8955" w:type="dxa"/>
        <w:tblInd w:w="-100" w:type="dxa"/>
        <w:tblLayout w:type="fixed"/>
        <w:tblCellMar>
          <w:top w:w="0" w:type="dxa"/>
          <w:left w:w="0" w:type="dxa"/>
          <w:bottom w:w="0" w:type="dxa"/>
          <w:right w:w="0" w:type="dxa"/>
        </w:tblCellMar>
      </w:tblPr>
      <w:tblGrid>
        <w:gridCol w:w="600"/>
        <w:gridCol w:w="1807"/>
        <w:gridCol w:w="1037"/>
        <w:gridCol w:w="1491"/>
        <w:gridCol w:w="960"/>
        <w:gridCol w:w="3060"/>
      </w:tblGrid>
      <w:tr>
        <w:tblPrEx>
          <w:tblCellMar>
            <w:top w:w="0" w:type="dxa"/>
            <w:left w:w="0" w:type="dxa"/>
            <w:bottom w:w="0" w:type="dxa"/>
            <w:right w:w="0" w:type="dxa"/>
          </w:tblCellMar>
        </w:tblPrEx>
        <w:trPr>
          <w:trHeight w:val="611" w:hRule="atLeast"/>
        </w:trPr>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序号</w:t>
            </w: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项目名称</w:t>
            </w: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数量</w:t>
            </w:r>
          </w:p>
        </w:tc>
        <w:tc>
          <w:tcPr>
            <w:tcW w:w="14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单价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养护经费（元/年）</w:t>
            </w: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备注</w:t>
            </w:r>
          </w:p>
        </w:tc>
      </w:tr>
      <w:tr>
        <w:tblPrEx>
          <w:tblCellMar>
            <w:top w:w="0" w:type="dxa"/>
            <w:left w:w="0" w:type="dxa"/>
            <w:bottom w:w="0" w:type="dxa"/>
            <w:right w:w="0" w:type="dxa"/>
          </w:tblCellMar>
        </w:tblPrEx>
        <w:trPr>
          <w:trHeight w:val="451"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rPr>
            </w:pPr>
          </w:p>
        </w:tc>
        <w:tc>
          <w:tcPr>
            <w:tcW w:w="3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auto"/>
                <w:sz w:val="18"/>
                <w:szCs w:val="18"/>
              </w:rPr>
            </w:pPr>
          </w:p>
        </w:tc>
      </w:tr>
      <w:tr>
        <w:tblPrEx>
          <w:tblCellMar>
            <w:top w:w="0" w:type="dxa"/>
            <w:left w:w="0" w:type="dxa"/>
            <w:bottom w:w="0" w:type="dxa"/>
            <w:right w:w="0" w:type="dxa"/>
          </w:tblCellMar>
        </w:tblPrEx>
        <w:trPr>
          <w:trHeight w:val="505"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18"/>
                <w:szCs w:val="18"/>
              </w:rPr>
            </w:pPr>
          </w:p>
        </w:tc>
      </w:tr>
      <w:tr>
        <w:tblPrEx>
          <w:tblCellMar>
            <w:top w:w="0" w:type="dxa"/>
            <w:left w:w="0" w:type="dxa"/>
            <w:bottom w:w="0" w:type="dxa"/>
            <w:right w:w="0" w:type="dxa"/>
          </w:tblCellMar>
        </w:tblPrEx>
        <w:trPr>
          <w:trHeight w:val="505"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18"/>
                <w:szCs w:val="18"/>
              </w:rPr>
            </w:pPr>
          </w:p>
        </w:tc>
      </w:tr>
      <w:tr>
        <w:tblPrEx>
          <w:tblCellMar>
            <w:top w:w="0" w:type="dxa"/>
            <w:left w:w="0" w:type="dxa"/>
            <w:bottom w:w="0" w:type="dxa"/>
            <w:right w:w="0" w:type="dxa"/>
          </w:tblCellMar>
        </w:tblPrEx>
        <w:trPr>
          <w:trHeight w:val="462"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kern w:val="0"/>
                <w:sz w:val="18"/>
                <w:szCs w:val="18"/>
              </w:rPr>
            </w:pPr>
          </w:p>
        </w:tc>
      </w:tr>
      <w:tr>
        <w:tblPrEx>
          <w:tblCellMar>
            <w:top w:w="0" w:type="dxa"/>
            <w:left w:w="0" w:type="dxa"/>
            <w:bottom w:w="0" w:type="dxa"/>
            <w:right w:w="0" w:type="dxa"/>
          </w:tblCellMar>
        </w:tblPrEx>
        <w:trPr>
          <w:trHeight w:val="462"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kern w:val="0"/>
                <w:sz w:val="18"/>
                <w:szCs w:val="18"/>
              </w:rPr>
            </w:pPr>
          </w:p>
        </w:tc>
      </w:tr>
      <w:tr>
        <w:tblPrEx>
          <w:tblCellMar>
            <w:top w:w="0" w:type="dxa"/>
            <w:left w:w="0" w:type="dxa"/>
            <w:bottom w:w="0" w:type="dxa"/>
            <w:right w:w="0" w:type="dxa"/>
          </w:tblCellMar>
        </w:tblPrEx>
        <w:trPr>
          <w:trHeight w:val="462"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kern w:val="0"/>
                <w:sz w:val="18"/>
                <w:szCs w:val="18"/>
              </w:rPr>
            </w:pPr>
          </w:p>
        </w:tc>
      </w:tr>
      <w:tr>
        <w:tblPrEx>
          <w:tblCellMar>
            <w:top w:w="0" w:type="dxa"/>
            <w:left w:w="0" w:type="dxa"/>
            <w:bottom w:w="0" w:type="dxa"/>
            <w:right w:w="0" w:type="dxa"/>
          </w:tblCellMar>
        </w:tblPrEx>
        <w:trPr>
          <w:trHeight w:val="462"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kern w:val="0"/>
                <w:sz w:val="18"/>
                <w:szCs w:val="18"/>
              </w:rPr>
            </w:pPr>
          </w:p>
        </w:tc>
      </w:tr>
      <w:tr>
        <w:tblPrEx>
          <w:tblCellMar>
            <w:top w:w="0" w:type="dxa"/>
            <w:left w:w="0" w:type="dxa"/>
            <w:bottom w:w="0" w:type="dxa"/>
            <w:right w:w="0" w:type="dxa"/>
          </w:tblCellMar>
        </w:tblPrEx>
        <w:trPr>
          <w:trHeight w:val="462"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kern w:val="0"/>
                <w:sz w:val="18"/>
                <w:szCs w:val="18"/>
              </w:rPr>
            </w:pPr>
          </w:p>
        </w:tc>
      </w:tr>
      <w:tr>
        <w:tblPrEx>
          <w:tblCellMar>
            <w:top w:w="0" w:type="dxa"/>
            <w:left w:w="0" w:type="dxa"/>
            <w:bottom w:w="0" w:type="dxa"/>
            <w:right w:w="0" w:type="dxa"/>
          </w:tblCellMar>
        </w:tblPrEx>
        <w:trPr>
          <w:trHeight w:val="462"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kern w:val="0"/>
                <w:sz w:val="18"/>
                <w:szCs w:val="18"/>
              </w:rPr>
            </w:pPr>
          </w:p>
        </w:tc>
      </w:tr>
      <w:tr>
        <w:tblPrEx>
          <w:tblCellMar>
            <w:top w:w="0" w:type="dxa"/>
            <w:left w:w="0" w:type="dxa"/>
            <w:bottom w:w="0" w:type="dxa"/>
            <w:right w:w="0" w:type="dxa"/>
          </w:tblCellMar>
        </w:tblPrEx>
        <w:trPr>
          <w:trHeight w:val="462"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kern w:val="0"/>
                <w:sz w:val="18"/>
                <w:szCs w:val="18"/>
              </w:rPr>
            </w:pPr>
          </w:p>
        </w:tc>
      </w:tr>
      <w:tr>
        <w:tblPrEx>
          <w:tblCellMar>
            <w:top w:w="0" w:type="dxa"/>
            <w:left w:w="0" w:type="dxa"/>
            <w:bottom w:w="0" w:type="dxa"/>
            <w:right w:w="0" w:type="dxa"/>
          </w:tblCellMar>
        </w:tblPrEx>
        <w:trPr>
          <w:trHeight w:val="462"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kern w:val="0"/>
                <w:sz w:val="18"/>
                <w:szCs w:val="18"/>
              </w:rPr>
            </w:pPr>
          </w:p>
        </w:tc>
      </w:tr>
      <w:tr>
        <w:tblPrEx>
          <w:tblCellMar>
            <w:top w:w="0" w:type="dxa"/>
            <w:left w:w="0" w:type="dxa"/>
            <w:bottom w:w="0" w:type="dxa"/>
            <w:right w:w="0" w:type="dxa"/>
          </w:tblCellMar>
        </w:tblPrEx>
        <w:trPr>
          <w:trHeight w:val="462"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kern w:val="0"/>
                <w:sz w:val="18"/>
                <w:szCs w:val="18"/>
              </w:rPr>
            </w:pPr>
          </w:p>
        </w:tc>
      </w:tr>
      <w:tr>
        <w:tblPrEx>
          <w:tblCellMar>
            <w:top w:w="0" w:type="dxa"/>
            <w:left w:w="0" w:type="dxa"/>
            <w:bottom w:w="0" w:type="dxa"/>
            <w:right w:w="0" w:type="dxa"/>
          </w:tblCellMar>
        </w:tblPrEx>
        <w:trPr>
          <w:trHeight w:val="462"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kern w:val="0"/>
                <w:sz w:val="18"/>
                <w:szCs w:val="18"/>
              </w:rPr>
            </w:pPr>
          </w:p>
        </w:tc>
      </w:tr>
      <w:tr>
        <w:tblPrEx>
          <w:tblCellMar>
            <w:top w:w="0" w:type="dxa"/>
            <w:left w:w="0" w:type="dxa"/>
            <w:bottom w:w="0" w:type="dxa"/>
            <w:right w:w="0" w:type="dxa"/>
          </w:tblCellMar>
        </w:tblPrEx>
        <w:trPr>
          <w:trHeight w:val="462"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kern w:val="0"/>
                <w:sz w:val="18"/>
                <w:szCs w:val="18"/>
              </w:rPr>
            </w:pPr>
          </w:p>
        </w:tc>
      </w:tr>
      <w:tr>
        <w:tblPrEx>
          <w:tblCellMar>
            <w:top w:w="0" w:type="dxa"/>
            <w:left w:w="0" w:type="dxa"/>
            <w:bottom w:w="0" w:type="dxa"/>
            <w:right w:w="0" w:type="dxa"/>
          </w:tblCellMar>
        </w:tblPrEx>
        <w:trPr>
          <w:trHeight w:val="462"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合计</w:t>
            </w: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kern w:val="0"/>
                <w:sz w:val="18"/>
                <w:szCs w:val="18"/>
              </w:rPr>
            </w:pPr>
          </w:p>
        </w:tc>
      </w:tr>
    </w:tbl>
    <w:p>
      <w:pPr>
        <w:pStyle w:val="12"/>
        <w:tabs>
          <w:tab w:val="left" w:pos="4841"/>
        </w:tabs>
        <w:ind w:firstLine="0"/>
        <w:rPr>
          <w:rFonts w:hint="eastAsia" w:eastAsia="宋体"/>
          <w:color w:val="auto"/>
          <w:sz w:val="21"/>
          <w:szCs w:val="21"/>
        </w:rPr>
      </w:pPr>
    </w:p>
    <w:p>
      <w:pPr>
        <w:pStyle w:val="12"/>
        <w:tabs>
          <w:tab w:val="left" w:pos="4841"/>
        </w:tabs>
        <w:spacing w:line="240" w:lineRule="auto"/>
        <w:ind w:firstLine="0"/>
        <w:rPr>
          <w:rFonts w:eastAsia="宋体"/>
          <w:color w:val="auto"/>
          <w:sz w:val="21"/>
          <w:szCs w:val="21"/>
        </w:rPr>
      </w:pPr>
      <w:r>
        <w:rPr>
          <w:rFonts w:hint="eastAsia" w:eastAsia="宋体"/>
          <w:color w:val="auto"/>
          <w:sz w:val="21"/>
          <w:szCs w:val="21"/>
        </w:rPr>
        <w:t>备注：投标人应根据招标项目特征及理解分解，如实填报有关各分项有关报价的情况，并核实价格组成与总和。</w:t>
      </w:r>
    </w:p>
    <w:p>
      <w:pPr>
        <w:pStyle w:val="12"/>
        <w:tabs>
          <w:tab w:val="left" w:pos="4841"/>
        </w:tabs>
        <w:ind w:firstLine="0"/>
        <w:rPr>
          <w:rFonts w:eastAsia="宋体"/>
          <w:color w:val="auto"/>
          <w:sz w:val="21"/>
          <w:szCs w:val="21"/>
        </w:rPr>
      </w:pPr>
    </w:p>
    <w:p>
      <w:pPr>
        <w:pStyle w:val="12"/>
        <w:spacing w:line="240" w:lineRule="auto"/>
        <w:ind w:firstLine="0"/>
        <w:jc w:val="left"/>
        <w:rPr>
          <w:rFonts w:eastAsia="仿宋_GB2312"/>
          <w:color w:val="auto"/>
          <w:w w:val="80"/>
          <w:sz w:val="21"/>
          <w:szCs w:val="21"/>
        </w:rPr>
      </w:pPr>
    </w:p>
    <w:p>
      <w:pPr>
        <w:pStyle w:val="12"/>
        <w:spacing w:line="240" w:lineRule="auto"/>
        <w:ind w:firstLine="0"/>
        <w:jc w:val="left"/>
        <w:rPr>
          <w:rFonts w:eastAsia="仿宋_GB2312"/>
          <w:color w:val="auto"/>
          <w:w w:val="80"/>
          <w:sz w:val="21"/>
          <w:szCs w:val="21"/>
        </w:rPr>
      </w:pPr>
    </w:p>
    <w:p>
      <w:pPr>
        <w:pStyle w:val="12"/>
        <w:tabs>
          <w:tab w:val="left" w:pos="4841"/>
        </w:tabs>
        <w:spacing w:line="240" w:lineRule="auto"/>
        <w:ind w:firstLine="0"/>
        <w:rPr>
          <w:rFonts w:eastAsia="宋体"/>
          <w:color w:val="auto"/>
          <w:sz w:val="21"/>
          <w:szCs w:val="21"/>
        </w:rPr>
      </w:pPr>
      <w:r>
        <w:rPr>
          <w:rFonts w:hint="eastAsia" w:eastAsia="宋体"/>
          <w:color w:val="auto"/>
          <w:sz w:val="21"/>
          <w:szCs w:val="21"/>
        </w:rPr>
        <w:t>投标人（盖章）：</w:t>
      </w:r>
    </w:p>
    <w:p>
      <w:pPr>
        <w:pStyle w:val="12"/>
        <w:tabs>
          <w:tab w:val="left" w:pos="4841"/>
        </w:tabs>
        <w:spacing w:line="240" w:lineRule="auto"/>
        <w:ind w:firstLine="0"/>
        <w:rPr>
          <w:rFonts w:eastAsia="宋体"/>
          <w:color w:val="auto"/>
          <w:sz w:val="21"/>
          <w:szCs w:val="21"/>
        </w:rPr>
      </w:pPr>
      <w:r>
        <w:rPr>
          <w:rFonts w:hint="eastAsia" w:eastAsia="宋体"/>
          <w:color w:val="auto"/>
          <w:sz w:val="21"/>
          <w:szCs w:val="21"/>
        </w:rPr>
        <w:t>授权代表人（签字）：</w:t>
      </w:r>
    </w:p>
    <w:p>
      <w:pPr>
        <w:pStyle w:val="12"/>
        <w:tabs>
          <w:tab w:val="left" w:pos="4841"/>
        </w:tabs>
        <w:spacing w:line="240" w:lineRule="auto"/>
        <w:ind w:firstLine="0"/>
        <w:rPr>
          <w:rFonts w:eastAsia="宋体"/>
          <w:color w:val="auto"/>
          <w:sz w:val="21"/>
          <w:szCs w:val="21"/>
        </w:rPr>
      </w:pPr>
      <w:r>
        <w:rPr>
          <w:rFonts w:hint="eastAsia" w:eastAsia="宋体"/>
          <w:color w:val="auto"/>
          <w:sz w:val="21"/>
          <w:szCs w:val="21"/>
        </w:rPr>
        <w:t>日期：</w:t>
      </w:r>
    </w:p>
    <w:p>
      <w:pPr>
        <w:widowControl/>
        <w:spacing w:line="360" w:lineRule="auto"/>
        <w:jc w:val="left"/>
        <w:rPr>
          <w:rFonts w:ascii="宋体"/>
          <w:color w:val="auto"/>
          <w:szCs w:val="21"/>
        </w:rPr>
        <w:sectPr>
          <w:footerReference r:id="rId16" w:type="default"/>
          <w:pgSz w:w="11906" w:h="16838"/>
          <w:pgMar w:top="1440" w:right="1361" w:bottom="1304" w:left="1361" w:header="720" w:footer="720" w:gutter="0"/>
          <w:pgBorders>
            <w:top w:val="none" w:sz="0" w:space="0"/>
            <w:left w:val="none" w:sz="0" w:space="0"/>
            <w:bottom w:val="none" w:sz="0" w:space="0"/>
            <w:right w:val="none" w:sz="0" w:space="0"/>
          </w:pgBorders>
          <w:pgNumType w:fmt="decimal"/>
          <w:cols w:space="720" w:num="1"/>
        </w:sectPr>
      </w:pPr>
    </w:p>
    <w:p>
      <w:pPr>
        <w:snapToGrid w:val="0"/>
        <w:spacing w:line="400" w:lineRule="exact"/>
        <w:rPr>
          <w:rFonts w:ascii="宋体" w:cs="宋体"/>
          <w:color w:val="auto"/>
          <w:szCs w:val="21"/>
        </w:rPr>
      </w:pPr>
      <w:r>
        <w:rPr>
          <w:rFonts w:hint="eastAsia" w:ascii="宋体" w:hAnsi="宋体" w:cs="宋体"/>
          <w:color w:val="auto"/>
          <w:szCs w:val="21"/>
        </w:rPr>
        <w:t>格式</w:t>
      </w:r>
      <w:r>
        <w:rPr>
          <w:rFonts w:hint="eastAsia" w:ascii="宋体" w:hAnsi="宋体" w:cs="宋体"/>
          <w:color w:val="auto"/>
          <w:szCs w:val="21"/>
          <w:lang w:val="en-US" w:eastAsia="zh-CN"/>
        </w:rPr>
        <w:t>三</w:t>
      </w:r>
      <w:r>
        <w:rPr>
          <w:rFonts w:hint="eastAsia" w:ascii="宋体" w:hAnsi="宋体" w:cs="宋体"/>
          <w:color w:val="auto"/>
          <w:szCs w:val="21"/>
        </w:rPr>
        <w:t>：小微企业声明函</w:t>
      </w:r>
    </w:p>
    <w:p>
      <w:pPr>
        <w:pStyle w:val="12"/>
        <w:spacing w:line="380" w:lineRule="exact"/>
        <w:jc w:val="center"/>
        <w:rPr>
          <w:rFonts w:hAnsi="宋体"/>
          <w:b/>
          <w:color w:val="auto"/>
          <w:sz w:val="28"/>
        </w:rPr>
      </w:pPr>
    </w:p>
    <w:p>
      <w:pPr>
        <w:pStyle w:val="12"/>
        <w:spacing w:line="380" w:lineRule="exact"/>
        <w:jc w:val="center"/>
        <w:rPr>
          <w:rFonts w:hAnsi="宋体"/>
          <w:b/>
          <w:color w:val="auto"/>
          <w:sz w:val="28"/>
        </w:rPr>
      </w:pPr>
      <w:r>
        <w:rPr>
          <w:rFonts w:hint="eastAsia" w:hAnsi="宋体"/>
          <w:b/>
          <w:color w:val="auto"/>
          <w:sz w:val="28"/>
        </w:rPr>
        <w:t>小微企业声明函（如有）</w:t>
      </w:r>
    </w:p>
    <w:p>
      <w:pPr>
        <w:snapToGrid w:val="0"/>
        <w:spacing w:line="360" w:lineRule="auto"/>
        <w:jc w:val="left"/>
        <w:rPr>
          <w:rFonts w:ascii="宋体" w:cs="宋体"/>
          <w:color w:val="auto"/>
          <w:szCs w:val="21"/>
        </w:rPr>
      </w:pP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全部由符合政策要求的中小企业</w:t>
      </w:r>
      <w:r>
        <w:rPr>
          <w:rFonts w:hint="eastAsia" w:ascii="宋体" w:hAnsi="宋体" w:eastAsia="宋体" w:cs="宋体"/>
          <w:color w:val="auto"/>
          <w:sz w:val="21"/>
          <w:szCs w:val="21"/>
          <w:highlight w:val="none"/>
          <w:lang w:val="en-US" w:eastAsia="zh-CN"/>
        </w:rPr>
        <w:t>承接</w:t>
      </w:r>
      <w:r>
        <w:rPr>
          <w:rFonts w:hint="eastAsia" w:ascii="宋体" w:hAnsi="宋体" w:eastAsia="宋体" w:cs="宋体"/>
          <w:color w:val="auto"/>
          <w:sz w:val="21"/>
          <w:szCs w:val="21"/>
          <w:highlight w:val="none"/>
        </w:rPr>
        <w:t>。相关企业（含联合体中的中小企业、签订分包意向协议的中小企业）的具体情况如下：</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i/>
          <w:color w:val="auto"/>
          <w:sz w:val="21"/>
          <w:szCs w:val="21"/>
          <w:highlight w:val="none"/>
          <w:u w:val="single"/>
        </w:rPr>
        <w:t xml:space="preserve"> （标的名称） </w:t>
      </w:r>
      <w:r>
        <w:rPr>
          <w:rFonts w:hint="eastAsia" w:ascii="宋体" w:hAnsi="宋体" w:eastAsia="宋体" w:cs="宋体"/>
          <w:color w:val="auto"/>
          <w:sz w:val="21"/>
          <w:szCs w:val="21"/>
          <w:highlight w:val="none"/>
        </w:rPr>
        <w:t>，属于</w:t>
      </w:r>
      <w:r>
        <w:rPr>
          <w:rFonts w:hint="eastAsia" w:ascii="宋体" w:hAnsi="宋体" w:eastAsia="宋体" w:cs="宋体"/>
          <w:i/>
          <w:color w:val="auto"/>
          <w:sz w:val="21"/>
          <w:szCs w:val="21"/>
          <w:highlight w:val="none"/>
          <w:u w:val="single"/>
        </w:rPr>
        <w:t>（其他未列明行业）</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承接企业</w:t>
      </w:r>
      <w:r>
        <w:rPr>
          <w:rFonts w:hint="eastAsia" w:ascii="宋体" w:hAnsi="宋体" w:eastAsia="宋体" w:cs="宋体"/>
          <w:color w:val="auto"/>
          <w:sz w:val="21"/>
          <w:szCs w:val="21"/>
          <w:highlight w:val="none"/>
        </w:rPr>
        <w:t>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i/>
          <w:color w:val="auto"/>
          <w:sz w:val="21"/>
          <w:szCs w:val="21"/>
          <w:highlight w:val="none"/>
          <w:u w:val="single"/>
        </w:rPr>
        <w:t xml:space="preserve"> （标的名称） </w:t>
      </w:r>
      <w:r>
        <w:rPr>
          <w:rFonts w:hint="eastAsia" w:ascii="宋体" w:hAnsi="宋体" w:eastAsia="宋体" w:cs="宋体"/>
          <w:color w:val="auto"/>
          <w:sz w:val="21"/>
          <w:szCs w:val="21"/>
          <w:highlight w:val="none"/>
        </w:rPr>
        <w:t>，属于</w:t>
      </w:r>
      <w:r>
        <w:rPr>
          <w:rFonts w:hint="eastAsia" w:ascii="宋体" w:hAnsi="宋体" w:eastAsia="宋体" w:cs="宋体"/>
          <w:i/>
          <w:color w:val="auto"/>
          <w:sz w:val="21"/>
          <w:szCs w:val="21"/>
          <w:highlight w:val="none"/>
          <w:u w:val="single"/>
        </w:rPr>
        <w:t>（其他未列明行业）</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承接企业</w:t>
      </w:r>
      <w:r>
        <w:rPr>
          <w:rFonts w:hint="eastAsia" w:ascii="宋体" w:hAnsi="宋体" w:eastAsia="宋体" w:cs="宋体"/>
          <w:color w:val="auto"/>
          <w:sz w:val="21"/>
          <w:szCs w:val="21"/>
          <w:highlight w:val="none"/>
        </w:rPr>
        <w:t>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企业名称（盖章）：</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p>
    <w:p>
      <w:pPr>
        <w:spacing w:line="500" w:lineRule="exact"/>
        <w:rPr>
          <w:rFonts w:hint="eastAsia" w:ascii="仿宋" w:hAnsi="仿宋" w:eastAsia="仿宋"/>
          <w:color w:val="auto"/>
          <w:sz w:val="32"/>
          <w:szCs w:val="32"/>
          <w:highlight w:val="none"/>
          <w:u w:val="single"/>
        </w:rPr>
      </w:pPr>
      <w:r>
        <w:rPr>
          <w:rFonts w:hint="eastAsia" w:ascii="仿宋" w:hAnsi="仿宋" w:eastAsia="仿宋"/>
          <w:color w:val="auto"/>
          <w:sz w:val="32"/>
          <w:szCs w:val="32"/>
          <w:highlight w:val="none"/>
          <w:u w:val="single"/>
        </w:rPr>
        <w:t xml:space="preserve">                  </w:t>
      </w:r>
    </w:p>
    <w:p>
      <w:pPr>
        <w:pStyle w:val="12"/>
        <w:spacing w:line="520" w:lineRule="exact"/>
        <w:ind w:left="0" w:lef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说明：</w:t>
      </w:r>
    </w:p>
    <w:p>
      <w:pPr>
        <w:pStyle w:val="12"/>
        <w:spacing w:line="520" w:lineRule="exact"/>
        <w:ind w:left="0" w:lef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1、从业人员、营业收入、资产总额填报上一年度数据，无上一年度数据的新成立企业可不填报。</w:t>
      </w:r>
    </w:p>
    <w:p>
      <w:pPr>
        <w:pStyle w:val="12"/>
        <w:spacing w:line="520" w:lineRule="exact"/>
        <w:ind w:left="0" w:lef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2、根据工信部联企业[2011]300号规定。其他未列明行业：从业人员300人以下的为中小微型企业。其中，从业人员100人及以上的为中型企业；从业人员10人及以上的为小型企业；从业人员10人以下的为微型企业。</w:t>
      </w:r>
    </w:p>
    <w:p>
      <w:pPr>
        <w:pStyle w:val="14"/>
        <w:snapToGrid w:val="0"/>
        <w:spacing w:before="120" w:after="120"/>
        <w:rPr>
          <w:rFonts w:hint="eastAsia" w:hAnsi="宋体" w:cs="宋体"/>
          <w:color w:val="auto"/>
        </w:rPr>
      </w:pPr>
      <w:r>
        <w:rPr>
          <w:rFonts w:hint="eastAsia" w:hAnsi="宋体" w:cs="宋体"/>
          <w:color w:val="auto"/>
          <w:spacing w:val="6"/>
          <w:sz w:val="21"/>
        </w:rPr>
        <w:t>4.残疾人福利性单位声明函格式（如有）</w:t>
      </w:r>
    </w:p>
    <w:p>
      <w:pPr>
        <w:spacing w:before="240" w:line="360" w:lineRule="auto"/>
        <w:rPr>
          <w:rFonts w:ascii="宋体" w:cs="宋体"/>
          <w:color w:val="auto"/>
        </w:rPr>
      </w:pPr>
      <w:r>
        <w:rPr>
          <w:rFonts w:hint="eastAsia" w:ascii="宋体" w:hAnsi="宋体"/>
          <w:color w:val="auto"/>
          <w:szCs w:val="21"/>
        </w:rPr>
        <w:t>格式四：残疾人福利性单位声明函</w:t>
      </w:r>
    </w:p>
    <w:p>
      <w:pPr>
        <w:pStyle w:val="12"/>
        <w:spacing w:line="380" w:lineRule="exact"/>
        <w:jc w:val="center"/>
        <w:rPr>
          <w:rFonts w:hAnsi="宋体"/>
          <w:b/>
          <w:color w:val="auto"/>
          <w:sz w:val="28"/>
        </w:rPr>
      </w:pPr>
    </w:p>
    <w:p>
      <w:pPr>
        <w:spacing w:before="240" w:line="360" w:lineRule="auto"/>
        <w:rPr>
          <w:rFonts w:hint="eastAsia" w:ascii="宋体" w:hAnsi="宋体"/>
          <w:color w:val="auto"/>
          <w:szCs w:val="21"/>
        </w:rPr>
      </w:pPr>
    </w:p>
    <w:p>
      <w:pPr>
        <w:spacing w:before="240" w:line="360" w:lineRule="auto"/>
        <w:rPr>
          <w:rFonts w:ascii="宋体" w:cs="宋体"/>
          <w:color w:val="auto"/>
        </w:rPr>
      </w:pPr>
      <w:r>
        <w:rPr>
          <w:rFonts w:hint="eastAsia" w:ascii="宋体" w:hAnsi="宋体"/>
          <w:color w:val="auto"/>
          <w:szCs w:val="21"/>
        </w:rPr>
        <w:t>格式</w:t>
      </w:r>
      <w:r>
        <w:rPr>
          <w:rFonts w:hint="eastAsia" w:ascii="宋体" w:hAnsi="宋体"/>
          <w:color w:val="auto"/>
          <w:szCs w:val="21"/>
          <w:lang w:val="en-US" w:eastAsia="zh-CN"/>
        </w:rPr>
        <w:t>四</w:t>
      </w:r>
      <w:r>
        <w:rPr>
          <w:rFonts w:hint="eastAsia" w:ascii="宋体" w:hAnsi="宋体"/>
          <w:color w:val="auto"/>
          <w:szCs w:val="21"/>
        </w:rPr>
        <w:t>：残疾人福利性单位声明函</w:t>
      </w:r>
    </w:p>
    <w:p>
      <w:pPr>
        <w:pStyle w:val="12"/>
        <w:spacing w:line="380" w:lineRule="exact"/>
        <w:jc w:val="center"/>
        <w:rPr>
          <w:rFonts w:hAnsi="宋体"/>
          <w:b/>
          <w:color w:val="auto"/>
          <w:sz w:val="28"/>
        </w:rPr>
      </w:pPr>
    </w:p>
    <w:p>
      <w:pPr>
        <w:pStyle w:val="12"/>
        <w:spacing w:line="380" w:lineRule="exact"/>
        <w:jc w:val="center"/>
        <w:rPr>
          <w:rFonts w:hAnsi="宋体" w:cs="宋体"/>
          <w:b/>
          <w:color w:val="auto"/>
          <w:spacing w:val="6"/>
          <w:szCs w:val="21"/>
        </w:rPr>
      </w:pPr>
      <w:r>
        <w:rPr>
          <w:rFonts w:hint="eastAsia" w:hAnsi="宋体"/>
          <w:b/>
          <w:color w:val="auto"/>
          <w:sz w:val="28"/>
        </w:rPr>
        <w:t>残疾人福利性单位声明函</w:t>
      </w:r>
    </w:p>
    <w:p>
      <w:pPr>
        <w:spacing w:line="360" w:lineRule="auto"/>
        <w:ind w:firstLine="444" w:firstLineChars="200"/>
        <w:rPr>
          <w:rFonts w:ascii="宋体" w:cs="宋体"/>
          <w:color w:val="auto"/>
          <w:spacing w:val="6"/>
          <w:szCs w:val="21"/>
        </w:rPr>
      </w:pPr>
    </w:p>
    <w:p>
      <w:pPr>
        <w:spacing w:line="360" w:lineRule="auto"/>
        <w:ind w:firstLine="444" w:firstLineChars="200"/>
        <w:rPr>
          <w:rFonts w:ascii="宋体" w:cs="宋体"/>
          <w:color w:val="auto"/>
          <w:spacing w:val="6"/>
          <w:szCs w:val="21"/>
        </w:rPr>
      </w:pPr>
      <w:r>
        <w:rPr>
          <w:rFonts w:hint="eastAsia" w:ascii="宋体" w:hAnsi="宋体" w:cs="宋体"/>
          <w:color w:val="auto"/>
          <w:spacing w:val="6"/>
          <w:szCs w:val="21"/>
        </w:rPr>
        <w:t>本单位郑重声明，根据《财政部民政部中国残疾人联合会关于促进残疾人就业政府采购政策的通知》（财库</w:t>
      </w:r>
      <w:r>
        <w:rPr>
          <w:rFonts w:hint="eastAsia" w:ascii="宋体" w:hAnsi="宋体" w:cs="宋体"/>
          <w:color w:val="auto"/>
          <w:szCs w:val="21"/>
        </w:rPr>
        <w:t>〔</w:t>
      </w:r>
      <w:r>
        <w:rPr>
          <w:rFonts w:ascii="宋体" w:hAnsi="宋体" w:cs="宋体"/>
          <w:color w:val="auto"/>
          <w:szCs w:val="21"/>
        </w:rPr>
        <w:t>2017</w:t>
      </w:r>
      <w:r>
        <w:rPr>
          <w:rFonts w:hint="eastAsia" w:ascii="宋体" w:hAnsi="宋体" w:cs="宋体"/>
          <w:color w:val="auto"/>
          <w:szCs w:val="21"/>
        </w:rPr>
        <w:t>〕</w:t>
      </w:r>
      <w:r>
        <w:rPr>
          <w:rFonts w:ascii="宋体" w:hAnsi="宋体" w:cs="宋体"/>
          <w:color w:val="auto"/>
          <w:szCs w:val="21"/>
        </w:rPr>
        <w:t xml:space="preserve"> 141</w:t>
      </w:r>
      <w:r>
        <w:rPr>
          <w:rFonts w:hint="eastAsia" w:ascii="宋体" w:hAnsi="宋体" w:cs="宋体"/>
          <w:color w:val="auto"/>
          <w:spacing w:val="6"/>
          <w:szCs w:val="21"/>
        </w:rPr>
        <w:t>号）的规定，本单位为符合条件的残疾人福利性单位，且本单位参加</w:t>
      </w:r>
      <w:r>
        <w:rPr>
          <w:rFonts w:ascii="宋体" w:hAnsi="宋体" w:cs="宋体"/>
          <w:color w:val="auto"/>
          <w:spacing w:val="6"/>
          <w:szCs w:val="21"/>
        </w:rPr>
        <w:t>______</w:t>
      </w:r>
      <w:r>
        <w:rPr>
          <w:rFonts w:hint="eastAsia" w:ascii="宋体" w:hAnsi="宋体" w:cs="宋体"/>
          <w:color w:val="auto"/>
          <w:spacing w:val="6"/>
          <w:szCs w:val="21"/>
        </w:rPr>
        <w:t>单位的</w:t>
      </w:r>
      <w:r>
        <w:rPr>
          <w:rFonts w:ascii="宋体" w:hAnsi="宋体" w:cs="宋体"/>
          <w:color w:val="auto"/>
          <w:spacing w:val="6"/>
          <w:szCs w:val="21"/>
        </w:rPr>
        <w:t>______</w:t>
      </w:r>
      <w:r>
        <w:rPr>
          <w:rFonts w:hint="eastAsia" w:ascii="宋体" w:hAnsi="宋体" w:cs="宋体"/>
          <w:color w:val="auto"/>
          <w:spacing w:val="6"/>
          <w:szCs w:val="21"/>
        </w:rPr>
        <w:t>项目采购活动提供本单位制造的货物（由本单位承担工程</w:t>
      </w:r>
      <w:r>
        <w:rPr>
          <w:rFonts w:ascii="宋体" w:hAnsi="宋体" w:cs="宋体"/>
          <w:color w:val="auto"/>
          <w:spacing w:val="6"/>
          <w:szCs w:val="21"/>
        </w:rPr>
        <w:t>/</w:t>
      </w:r>
      <w:r>
        <w:rPr>
          <w:rFonts w:hint="eastAsia" w:ascii="宋体" w:hAnsi="宋体" w:cs="宋体"/>
          <w:color w:val="auto"/>
          <w:spacing w:val="6"/>
          <w:szCs w:val="21"/>
        </w:rPr>
        <w:t>提供服务），或者提供其他残疾人福利性单位制造的货物（不包括使用非残疾人福利性单位注册商标的货物）。</w:t>
      </w:r>
    </w:p>
    <w:p>
      <w:pPr>
        <w:spacing w:line="360" w:lineRule="auto"/>
        <w:ind w:firstLine="444" w:firstLineChars="200"/>
        <w:rPr>
          <w:rFonts w:ascii="宋体" w:cs="宋体"/>
          <w:color w:val="auto"/>
          <w:spacing w:val="6"/>
          <w:szCs w:val="21"/>
        </w:rPr>
      </w:pPr>
      <w:r>
        <w:rPr>
          <w:rFonts w:hint="eastAsia" w:ascii="宋体" w:hAnsi="宋体" w:cs="宋体"/>
          <w:color w:val="auto"/>
          <w:spacing w:val="6"/>
          <w:szCs w:val="21"/>
        </w:rPr>
        <w:t>本单位对上述声明的真实性负责。如有虚假，将依法承担相应责任。</w:t>
      </w:r>
    </w:p>
    <w:p>
      <w:pPr>
        <w:tabs>
          <w:tab w:val="left" w:pos="4860"/>
        </w:tabs>
        <w:spacing w:line="588" w:lineRule="exact"/>
        <w:ind w:right="1560"/>
        <w:jc w:val="right"/>
        <w:rPr>
          <w:rFonts w:ascii="宋体" w:cs="宋体"/>
          <w:color w:val="auto"/>
          <w:spacing w:val="6"/>
          <w:szCs w:val="21"/>
        </w:rPr>
      </w:pPr>
      <w:r>
        <w:rPr>
          <w:rFonts w:hint="eastAsia" w:ascii="宋体" w:hAnsi="宋体" w:cs="宋体"/>
          <w:color w:val="auto"/>
          <w:spacing w:val="6"/>
          <w:szCs w:val="21"/>
        </w:rPr>
        <w:t>单位名称（盖章）：</w:t>
      </w:r>
    </w:p>
    <w:p>
      <w:pPr>
        <w:tabs>
          <w:tab w:val="left" w:pos="4860"/>
        </w:tabs>
        <w:spacing w:line="588" w:lineRule="exact"/>
        <w:ind w:right="1560" w:firstLine="444" w:firstLineChars="200"/>
        <w:jc w:val="right"/>
        <w:rPr>
          <w:rFonts w:ascii="宋体" w:cs="宋体"/>
          <w:color w:val="auto"/>
          <w:spacing w:val="6"/>
          <w:szCs w:val="21"/>
        </w:rPr>
      </w:pPr>
      <w:r>
        <w:rPr>
          <w:rFonts w:hint="eastAsia" w:ascii="宋体" w:hAnsi="宋体" w:cs="宋体"/>
          <w:color w:val="auto"/>
          <w:spacing w:val="6"/>
          <w:szCs w:val="21"/>
        </w:rPr>
        <w:t>日期：</w:t>
      </w:r>
    </w:p>
    <w:p>
      <w:pPr>
        <w:tabs>
          <w:tab w:val="left" w:pos="4860"/>
        </w:tabs>
        <w:spacing w:line="360" w:lineRule="auto"/>
        <w:rPr>
          <w:rFonts w:ascii="宋体" w:cs="宋体"/>
          <w:color w:val="auto"/>
          <w:spacing w:val="6"/>
          <w:szCs w:val="21"/>
        </w:rPr>
      </w:pPr>
    </w:p>
    <w:p>
      <w:pPr>
        <w:tabs>
          <w:tab w:val="left" w:pos="4860"/>
        </w:tabs>
        <w:spacing w:line="360" w:lineRule="auto"/>
        <w:rPr>
          <w:rFonts w:ascii="宋体" w:cs="宋体"/>
          <w:color w:val="auto"/>
          <w:spacing w:val="6"/>
          <w:szCs w:val="21"/>
        </w:rPr>
      </w:pPr>
      <w:r>
        <w:rPr>
          <w:rFonts w:hint="eastAsia" w:ascii="宋体" w:hAnsi="宋体" w:cs="宋体"/>
          <w:color w:val="auto"/>
          <w:spacing w:val="6"/>
          <w:szCs w:val="21"/>
        </w:rPr>
        <w:t>注：</w:t>
      </w:r>
      <w:r>
        <w:rPr>
          <w:rFonts w:ascii="宋体" w:hAnsi="宋体" w:cs="宋体"/>
          <w:color w:val="auto"/>
          <w:spacing w:val="6"/>
          <w:szCs w:val="21"/>
        </w:rPr>
        <w:t>1</w:t>
      </w:r>
      <w:r>
        <w:rPr>
          <w:rFonts w:hint="eastAsia" w:ascii="宋体" w:hAnsi="宋体" w:cs="宋体"/>
          <w:color w:val="auto"/>
          <w:spacing w:val="6"/>
          <w:szCs w:val="21"/>
        </w:rPr>
        <w:t>、如投标人为非残疾人福利性单位的可不提供本声明函。</w:t>
      </w:r>
    </w:p>
    <w:p>
      <w:pPr>
        <w:tabs>
          <w:tab w:val="left" w:pos="4860"/>
        </w:tabs>
        <w:spacing w:line="360" w:lineRule="auto"/>
        <w:ind w:firstLine="444" w:firstLineChars="200"/>
        <w:rPr>
          <w:rFonts w:ascii="宋体" w:cs="宋体"/>
          <w:color w:val="auto"/>
          <w:spacing w:val="6"/>
          <w:szCs w:val="21"/>
        </w:rPr>
      </w:pPr>
      <w:r>
        <w:rPr>
          <w:rFonts w:ascii="宋体" w:hAnsi="宋体" w:cs="宋体"/>
          <w:color w:val="auto"/>
          <w:spacing w:val="6"/>
          <w:szCs w:val="21"/>
        </w:rPr>
        <w:t>2</w:t>
      </w:r>
      <w:r>
        <w:rPr>
          <w:rFonts w:hint="eastAsia" w:ascii="宋体" w:hAnsi="宋体" w:cs="宋体"/>
          <w:color w:val="auto"/>
          <w:spacing w:val="6"/>
          <w:szCs w:val="21"/>
        </w:rPr>
        <w:t>、享受政府采购支持政策的残疾人福利性单位应当同时满足以下条件：</w:t>
      </w:r>
    </w:p>
    <w:p>
      <w:pPr>
        <w:tabs>
          <w:tab w:val="left" w:pos="4860"/>
        </w:tabs>
        <w:spacing w:line="360" w:lineRule="auto"/>
        <w:ind w:firstLine="444" w:firstLineChars="200"/>
        <w:rPr>
          <w:rFonts w:ascii="宋体" w:cs="宋体"/>
          <w:color w:val="auto"/>
          <w:spacing w:val="6"/>
          <w:szCs w:val="21"/>
        </w:rPr>
      </w:pPr>
      <w:r>
        <w:rPr>
          <w:rFonts w:hint="eastAsia" w:ascii="宋体" w:hAnsi="宋体" w:cs="宋体"/>
          <w:color w:val="auto"/>
          <w:spacing w:val="6"/>
          <w:szCs w:val="21"/>
        </w:rPr>
        <w:t>（</w:t>
      </w:r>
      <w:r>
        <w:rPr>
          <w:rFonts w:ascii="宋体" w:hAnsi="宋体" w:cs="宋体"/>
          <w:color w:val="auto"/>
          <w:spacing w:val="6"/>
          <w:szCs w:val="21"/>
        </w:rPr>
        <w:t>1</w:t>
      </w:r>
      <w:r>
        <w:rPr>
          <w:rFonts w:hint="eastAsia" w:ascii="宋体" w:hAnsi="宋体" w:cs="宋体"/>
          <w:color w:val="auto"/>
          <w:spacing w:val="6"/>
          <w:szCs w:val="21"/>
        </w:rPr>
        <w:t>）安置的残疾人占本单位在职职工人数的比例不低于</w:t>
      </w:r>
      <w:r>
        <w:rPr>
          <w:rFonts w:ascii="宋体" w:hAnsi="宋体" w:cs="宋体"/>
          <w:color w:val="auto"/>
          <w:spacing w:val="6"/>
          <w:szCs w:val="21"/>
        </w:rPr>
        <w:t>25%</w:t>
      </w:r>
      <w:r>
        <w:rPr>
          <w:rFonts w:hint="eastAsia" w:ascii="宋体" w:hAnsi="宋体" w:cs="宋体"/>
          <w:color w:val="auto"/>
          <w:spacing w:val="6"/>
          <w:szCs w:val="21"/>
        </w:rPr>
        <w:t>（含</w:t>
      </w:r>
      <w:r>
        <w:rPr>
          <w:rFonts w:ascii="宋体" w:hAnsi="宋体" w:cs="宋体"/>
          <w:color w:val="auto"/>
          <w:spacing w:val="6"/>
          <w:szCs w:val="21"/>
        </w:rPr>
        <w:t>25%</w:t>
      </w:r>
      <w:r>
        <w:rPr>
          <w:rFonts w:hint="eastAsia" w:ascii="宋体" w:hAnsi="宋体" w:cs="宋体"/>
          <w:color w:val="auto"/>
          <w:spacing w:val="6"/>
          <w:szCs w:val="21"/>
        </w:rPr>
        <w:t>），并且安置的残疾人人数不少于</w:t>
      </w:r>
      <w:r>
        <w:rPr>
          <w:rFonts w:ascii="宋体" w:hAnsi="宋体" w:cs="宋体"/>
          <w:color w:val="auto"/>
          <w:spacing w:val="6"/>
          <w:szCs w:val="21"/>
        </w:rPr>
        <w:t>10</w:t>
      </w:r>
      <w:r>
        <w:rPr>
          <w:rFonts w:hint="eastAsia" w:ascii="宋体" w:hAnsi="宋体" w:cs="宋体"/>
          <w:color w:val="auto"/>
          <w:spacing w:val="6"/>
          <w:szCs w:val="21"/>
        </w:rPr>
        <w:t>人（含</w:t>
      </w:r>
      <w:r>
        <w:rPr>
          <w:rFonts w:ascii="宋体" w:hAnsi="宋体" w:cs="宋体"/>
          <w:color w:val="auto"/>
          <w:spacing w:val="6"/>
          <w:szCs w:val="21"/>
        </w:rPr>
        <w:t>10</w:t>
      </w:r>
      <w:r>
        <w:rPr>
          <w:rFonts w:hint="eastAsia" w:ascii="宋体" w:hAnsi="宋体" w:cs="宋体"/>
          <w:color w:val="auto"/>
          <w:spacing w:val="6"/>
          <w:szCs w:val="21"/>
        </w:rPr>
        <w:t>人）；</w:t>
      </w:r>
    </w:p>
    <w:p>
      <w:pPr>
        <w:tabs>
          <w:tab w:val="left" w:pos="4860"/>
        </w:tabs>
        <w:spacing w:line="360" w:lineRule="auto"/>
        <w:ind w:firstLine="444" w:firstLineChars="200"/>
        <w:rPr>
          <w:rFonts w:ascii="宋体" w:cs="宋体"/>
          <w:color w:val="auto"/>
          <w:spacing w:val="6"/>
          <w:szCs w:val="21"/>
        </w:rPr>
      </w:pPr>
      <w:r>
        <w:rPr>
          <w:rFonts w:hint="eastAsia" w:ascii="宋体" w:hAnsi="宋体" w:cs="宋体"/>
          <w:color w:val="auto"/>
          <w:spacing w:val="6"/>
          <w:szCs w:val="21"/>
        </w:rPr>
        <w:t>（</w:t>
      </w:r>
      <w:r>
        <w:rPr>
          <w:rFonts w:ascii="宋体" w:hAnsi="宋体" w:cs="宋体"/>
          <w:color w:val="auto"/>
          <w:spacing w:val="6"/>
          <w:szCs w:val="21"/>
        </w:rPr>
        <w:t>2</w:t>
      </w:r>
      <w:r>
        <w:rPr>
          <w:rFonts w:hint="eastAsia" w:ascii="宋体" w:hAnsi="宋体" w:cs="宋体"/>
          <w:color w:val="auto"/>
          <w:spacing w:val="6"/>
          <w:szCs w:val="21"/>
        </w:rPr>
        <w:t>）依法与安置的每位残疾人签订了一年以上（含一年）的劳动合同或服务协议；</w:t>
      </w:r>
    </w:p>
    <w:p>
      <w:pPr>
        <w:tabs>
          <w:tab w:val="left" w:pos="4860"/>
        </w:tabs>
        <w:spacing w:line="360" w:lineRule="auto"/>
        <w:ind w:firstLine="444" w:firstLineChars="200"/>
        <w:rPr>
          <w:rFonts w:ascii="宋体" w:cs="宋体"/>
          <w:color w:val="auto"/>
          <w:spacing w:val="6"/>
          <w:szCs w:val="21"/>
        </w:rPr>
      </w:pPr>
      <w:r>
        <w:rPr>
          <w:rFonts w:hint="eastAsia" w:ascii="宋体" w:hAnsi="宋体" w:cs="宋体"/>
          <w:color w:val="auto"/>
          <w:spacing w:val="6"/>
          <w:szCs w:val="21"/>
        </w:rPr>
        <w:t>（</w:t>
      </w:r>
      <w:r>
        <w:rPr>
          <w:rFonts w:ascii="宋体" w:hAnsi="宋体" w:cs="宋体"/>
          <w:color w:val="auto"/>
          <w:spacing w:val="6"/>
          <w:szCs w:val="21"/>
        </w:rPr>
        <w:t>3</w:t>
      </w:r>
      <w:r>
        <w:rPr>
          <w:rFonts w:hint="eastAsia" w:ascii="宋体" w:hAnsi="宋体" w:cs="宋体"/>
          <w:color w:val="auto"/>
          <w:spacing w:val="6"/>
          <w:szCs w:val="21"/>
        </w:rPr>
        <w:t>）为安置的每位残疾人按月足额缴纳了基本养老保险、基本医疗保险、失业保险、工伤保险和生育保险等社会保险费；</w:t>
      </w:r>
    </w:p>
    <w:p>
      <w:pPr>
        <w:tabs>
          <w:tab w:val="left" w:pos="4860"/>
        </w:tabs>
        <w:spacing w:line="360" w:lineRule="auto"/>
        <w:ind w:firstLine="444" w:firstLineChars="200"/>
        <w:rPr>
          <w:rFonts w:ascii="宋体" w:cs="宋体"/>
          <w:color w:val="auto"/>
          <w:spacing w:val="6"/>
          <w:szCs w:val="21"/>
        </w:rPr>
      </w:pPr>
      <w:r>
        <w:rPr>
          <w:rFonts w:hint="eastAsia" w:ascii="宋体" w:hAnsi="宋体" w:cs="宋体"/>
          <w:color w:val="auto"/>
          <w:spacing w:val="6"/>
          <w:szCs w:val="21"/>
        </w:rPr>
        <w:t>（</w:t>
      </w:r>
      <w:r>
        <w:rPr>
          <w:rFonts w:ascii="宋体" w:hAnsi="宋体" w:cs="宋体"/>
          <w:color w:val="auto"/>
          <w:spacing w:val="6"/>
          <w:szCs w:val="21"/>
        </w:rPr>
        <w:t>4</w:t>
      </w:r>
      <w:r>
        <w:rPr>
          <w:rFonts w:hint="eastAsia" w:ascii="宋体" w:hAnsi="宋体" w:cs="宋体"/>
          <w:color w:val="auto"/>
          <w:spacing w:val="6"/>
          <w:szCs w:val="21"/>
        </w:rPr>
        <w:t>）通过银行等金融机构向安置的每位残疾人，按月支付了不低于单位所在区县适用的经省级人民政府批准的月最低工资标准的工资；</w:t>
      </w:r>
    </w:p>
    <w:p>
      <w:pPr>
        <w:tabs>
          <w:tab w:val="left" w:pos="4860"/>
        </w:tabs>
        <w:spacing w:line="360" w:lineRule="auto"/>
        <w:ind w:firstLine="444" w:firstLineChars="200"/>
        <w:rPr>
          <w:rFonts w:ascii="宋体" w:cs="宋体"/>
          <w:color w:val="auto"/>
          <w:spacing w:val="6"/>
          <w:szCs w:val="21"/>
        </w:rPr>
      </w:pPr>
      <w:r>
        <w:rPr>
          <w:rFonts w:hint="eastAsia" w:ascii="宋体" w:hAnsi="宋体" w:cs="宋体"/>
          <w:color w:val="auto"/>
          <w:spacing w:val="6"/>
          <w:szCs w:val="21"/>
        </w:rPr>
        <w:t>（</w:t>
      </w:r>
      <w:r>
        <w:rPr>
          <w:rFonts w:ascii="宋体" w:hAnsi="宋体" w:cs="宋体"/>
          <w:color w:val="auto"/>
          <w:spacing w:val="6"/>
          <w:szCs w:val="21"/>
        </w:rPr>
        <w:t>5</w:t>
      </w:r>
      <w:r>
        <w:rPr>
          <w:rFonts w:hint="eastAsia" w:ascii="宋体" w:hAnsi="宋体" w:cs="宋体"/>
          <w:color w:val="auto"/>
          <w:spacing w:val="6"/>
          <w:szCs w:val="21"/>
        </w:rPr>
        <w:t>）提供本单位制造的货物、承担的工程或者服务（以下简称产品），或者提供其他残疾人福利性单位制造的货物（不包括使用非残疾人福利性单位注册商标的货物）。</w:t>
      </w:r>
    </w:p>
    <w:p>
      <w:pPr>
        <w:tabs>
          <w:tab w:val="left" w:pos="4860"/>
        </w:tabs>
        <w:spacing w:line="360" w:lineRule="auto"/>
        <w:ind w:firstLine="444" w:firstLineChars="200"/>
        <w:rPr>
          <w:rFonts w:ascii="宋体" w:cs="宋体"/>
          <w:color w:val="auto"/>
          <w:spacing w:val="6"/>
          <w:szCs w:val="21"/>
        </w:rPr>
      </w:pPr>
      <w:r>
        <w:rPr>
          <w:rFonts w:hint="eastAsia" w:ascii="宋体" w:hAnsi="宋体" w:cs="宋体"/>
          <w:color w:val="auto"/>
          <w:spacing w:val="6"/>
          <w:szCs w:val="21"/>
        </w:rPr>
        <w:t>前款所称残疾人是指法定劳动年龄内，持有《中华人民共和国残疾人证》或者《中华人民共和国残疾军人证（</w:t>
      </w:r>
      <w:r>
        <w:rPr>
          <w:rFonts w:ascii="宋体" w:hAnsi="宋体" w:cs="宋体"/>
          <w:color w:val="auto"/>
          <w:spacing w:val="6"/>
          <w:szCs w:val="21"/>
        </w:rPr>
        <w:t>1</w:t>
      </w:r>
      <w:r>
        <w:rPr>
          <w:rFonts w:hint="eastAsia" w:ascii="宋体" w:hAnsi="宋体" w:cs="宋体"/>
          <w:color w:val="auto"/>
          <w:spacing w:val="6"/>
          <w:szCs w:val="21"/>
        </w:rPr>
        <w:t>至</w:t>
      </w:r>
      <w:r>
        <w:rPr>
          <w:rFonts w:ascii="宋体" w:hAnsi="宋体" w:cs="宋体"/>
          <w:color w:val="auto"/>
          <w:spacing w:val="6"/>
          <w:szCs w:val="21"/>
        </w:rPr>
        <w:t>8</w:t>
      </w:r>
      <w:r>
        <w:rPr>
          <w:rFonts w:hint="eastAsia" w:ascii="宋体" w:hAnsi="宋体" w:cs="宋体"/>
          <w:color w:val="auto"/>
          <w:spacing w:val="6"/>
          <w:szCs w:val="21"/>
        </w:rPr>
        <w:t>级）》的自然人，包括具有劳动条件和劳动意愿的精神残疾人。在职职工人数是指与残疾人福利性单位建立劳动关系并依法签订劳动合同或者服务协议的雇员人数。</w:t>
      </w:r>
    </w:p>
    <w:p>
      <w:pPr>
        <w:rPr>
          <w:rFonts w:ascii="宋体" w:cs="宋体"/>
          <w:b/>
          <w:bCs/>
          <w:color w:val="auto"/>
          <w:szCs w:val="21"/>
        </w:rPr>
      </w:pPr>
    </w:p>
    <w:p>
      <w:pPr>
        <w:rPr>
          <w:rFonts w:ascii="宋体"/>
          <w:b/>
          <w:color w:val="auto"/>
          <w:szCs w:val="21"/>
        </w:rPr>
      </w:pPr>
      <w:r>
        <w:rPr>
          <w:rFonts w:hint="eastAsia" w:ascii="宋体" w:hAnsi="宋体" w:cs="宋体"/>
          <w:b/>
          <w:bCs/>
          <w:color w:val="auto"/>
          <w:szCs w:val="21"/>
        </w:rPr>
        <w:t>格式</w:t>
      </w:r>
      <w:r>
        <w:rPr>
          <w:rFonts w:hint="eastAsia" w:ascii="宋体" w:hAnsi="宋体" w:cs="宋体"/>
          <w:b/>
          <w:bCs/>
          <w:color w:val="auto"/>
          <w:szCs w:val="21"/>
          <w:lang w:val="en-US" w:eastAsia="zh-CN"/>
        </w:rPr>
        <w:t>五</w:t>
      </w:r>
      <w:r>
        <w:rPr>
          <w:rFonts w:hint="eastAsia" w:ascii="宋体" w:hAnsi="宋体" w:cs="宋体"/>
          <w:b/>
          <w:bCs/>
          <w:color w:val="auto"/>
          <w:szCs w:val="21"/>
        </w:rPr>
        <w:t>：投标人针对报价需要说明的其他文件和说明（格式自拟）</w:t>
      </w:r>
    </w:p>
    <w:p>
      <w:pPr>
        <w:pStyle w:val="14"/>
        <w:numPr>
          <w:ilvl w:val="0"/>
          <w:numId w:val="13"/>
        </w:numPr>
        <w:snapToGrid w:val="0"/>
        <w:spacing w:before="156" w:after="156" w:line="360" w:lineRule="auto"/>
        <w:jc w:val="center"/>
        <w:rPr>
          <w:rFonts w:hAnsi="宋体"/>
          <w:b/>
          <w:color w:val="auto"/>
          <w:sz w:val="30"/>
        </w:rPr>
      </w:pPr>
      <w:r>
        <w:rPr>
          <w:rFonts w:hAnsi="宋体" w:cs="宋体"/>
          <w:color w:val="auto"/>
          <w:szCs w:val="21"/>
        </w:rPr>
        <w:br w:type="page"/>
      </w:r>
      <w:r>
        <w:rPr>
          <w:rFonts w:hint="eastAsia" w:hAnsi="宋体"/>
          <w:b/>
          <w:color w:val="auto"/>
          <w:sz w:val="30"/>
        </w:rPr>
        <w:t>合同样本</w:t>
      </w:r>
    </w:p>
    <w:p>
      <w:pPr>
        <w:spacing w:line="520" w:lineRule="exact"/>
        <w:jc w:val="center"/>
        <w:rPr>
          <w:rFonts w:hAnsi="宋体"/>
          <w:color w:val="auto"/>
        </w:rPr>
      </w:pPr>
      <w:r>
        <w:rPr>
          <w:rFonts w:hint="eastAsia" w:hAnsi="宋体"/>
          <w:b/>
          <w:color w:val="auto"/>
          <w:sz w:val="28"/>
          <w:szCs w:val="28"/>
          <w:lang w:val="zh-CN"/>
        </w:rPr>
        <w:t>宁海县公路与运输管理中心2023年公路绿化养护服务采购</w:t>
      </w:r>
      <w:r>
        <w:rPr>
          <w:rFonts w:hint="eastAsia" w:hAnsi="宋体"/>
          <w:b/>
          <w:color w:val="auto"/>
          <w:sz w:val="28"/>
          <w:szCs w:val="28"/>
        </w:rPr>
        <w:t>合同（作为参考）</w:t>
      </w:r>
    </w:p>
    <w:p>
      <w:pPr>
        <w:snapToGrid w:val="0"/>
        <w:spacing w:line="400" w:lineRule="exact"/>
        <w:rPr>
          <w:rFonts w:hint="eastAsia" w:ascii="宋体" w:hAnsi="宋体" w:cs="宋体"/>
          <w:color w:val="auto"/>
          <w:szCs w:val="21"/>
        </w:rPr>
      </w:pPr>
    </w:p>
    <w:p>
      <w:pPr>
        <w:spacing w:line="4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一.养护项目相关情况</w:t>
      </w:r>
    </w:p>
    <w:p>
      <w:pPr>
        <w:spacing w:line="440" w:lineRule="exact"/>
        <w:ind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养护项目名称：</w:t>
      </w:r>
      <w:r>
        <w:rPr>
          <w:rFonts w:hint="eastAsia" w:asciiTheme="minorEastAsia" w:hAnsiTheme="minorEastAsia" w:eastAsiaTheme="minorEastAsia" w:cstheme="minorEastAsia"/>
          <w:color w:val="auto"/>
          <w:szCs w:val="21"/>
          <w:lang w:eastAsia="zh-CN"/>
        </w:rPr>
        <w:t>宁海县公路与运输管理中心2023年公路绿化养护服务采购</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养护项目范围：</w:t>
      </w:r>
      <w:r>
        <w:rPr>
          <w:rFonts w:hint="eastAsia" w:asciiTheme="minorEastAsia" w:hAnsiTheme="minorEastAsia" w:eastAsiaTheme="minorEastAsia" w:cstheme="minorEastAsia"/>
          <w:color w:val="auto"/>
          <w:szCs w:val="21"/>
          <w:lang w:eastAsia="zh-CN"/>
        </w:rPr>
        <w:t>宁海县公路与运输管理中心2023年公路绿化养护服务采购</w:t>
      </w:r>
      <w:r>
        <w:rPr>
          <w:rFonts w:hint="eastAsia" w:asciiTheme="minorEastAsia" w:hAnsiTheme="minorEastAsia" w:eastAsiaTheme="minorEastAsia" w:cstheme="minorEastAsia"/>
          <w:color w:val="auto"/>
          <w:szCs w:val="21"/>
        </w:rPr>
        <w:t>范围内的所有绿化养护（含各养护所、路政中队内绿化面积）。</w:t>
      </w:r>
    </w:p>
    <w:tbl>
      <w:tblPr>
        <w:tblStyle w:val="29"/>
        <w:tblW w:w="9785" w:type="dxa"/>
        <w:jc w:val="center"/>
        <w:tblLayout w:type="fixed"/>
        <w:tblCellMar>
          <w:top w:w="0" w:type="dxa"/>
          <w:left w:w="108" w:type="dxa"/>
          <w:bottom w:w="0" w:type="dxa"/>
          <w:right w:w="108" w:type="dxa"/>
        </w:tblCellMar>
      </w:tblPr>
      <w:tblGrid>
        <w:gridCol w:w="724"/>
        <w:gridCol w:w="3686"/>
        <w:gridCol w:w="1701"/>
        <w:gridCol w:w="1837"/>
        <w:gridCol w:w="1837"/>
      </w:tblGrid>
      <w:tr>
        <w:tblPrEx>
          <w:tblCellMar>
            <w:top w:w="0" w:type="dxa"/>
            <w:left w:w="108" w:type="dxa"/>
            <w:bottom w:w="0" w:type="dxa"/>
            <w:right w:w="108" w:type="dxa"/>
          </w:tblCellMar>
        </w:tblPrEx>
        <w:trPr>
          <w:trHeight w:val="834" w:hRule="exac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序号</w:t>
            </w:r>
          </w:p>
        </w:tc>
        <w:tc>
          <w:tcPr>
            <w:tcW w:w="3686" w:type="dxa"/>
            <w:tcBorders>
              <w:top w:val="single" w:color="auto" w:sz="4" w:space="0"/>
              <w:left w:val="nil"/>
              <w:bottom w:val="single" w:color="auto" w:sz="4" w:space="0"/>
              <w:right w:val="single" w:color="auto" w:sz="4" w:space="0"/>
            </w:tcBorders>
            <w:vAlign w:val="center"/>
          </w:tcPr>
          <w:p>
            <w:pPr>
              <w:widowControl/>
              <w:ind w:firstLine="422" w:firstLineChars="200"/>
              <w:jc w:val="center"/>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养护范围</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里程(KM)</w:t>
            </w:r>
          </w:p>
        </w:tc>
        <w:tc>
          <w:tcPr>
            <w:tcW w:w="18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绿化面积（M</w:t>
            </w:r>
            <w:r>
              <w:rPr>
                <w:rFonts w:hint="eastAsia" w:asciiTheme="minorEastAsia" w:hAnsiTheme="minorEastAsia" w:eastAsiaTheme="minorEastAsia" w:cstheme="minorEastAsia"/>
                <w:b/>
                <w:color w:val="auto"/>
                <w:kern w:val="0"/>
                <w:szCs w:val="21"/>
                <w:vertAlign w:val="superscript"/>
              </w:rPr>
              <w:t>2</w:t>
            </w:r>
            <w:r>
              <w:rPr>
                <w:rFonts w:hint="eastAsia" w:asciiTheme="minorEastAsia" w:hAnsiTheme="minorEastAsia" w:eastAsiaTheme="minorEastAsia" w:cstheme="minorEastAsia"/>
                <w:b/>
                <w:color w:val="auto"/>
                <w:kern w:val="0"/>
                <w:szCs w:val="21"/>
              </w:rPr>
              <w:t>）</w:t>
            </w:r>
          </w:p>
        </w:tc>
        <w:tc>
          <w:tcPr>
            <w:tcW w:w="18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养护综合单价</w:t>
            </w:r>
          </w:p>
          <w:p>
            <w:pPr>
              <w:widowControl/>
              <w:jc w:val="center"/>
              <w:rPr>
                <w:rFonts w:asciiTheme="minorEastAsia" w:hAnsiTheme="minorEastAsia" w:eastAsiaTheme="minorEastAsia" w:cstheme="minorEastAsia"/>
                <w:b/>
                <w:color w:val="auto"/>
                <w:kern w:val="0"/>
                <w:szCs w:val="21"/>
              </w:rPr>
            </w:pPr>
            <w:r>
              <w:rPr>
                <w:rFonts w:hint="eastAsia" w:ascii="宋体" w:hAnsi="宋体" w:cs="宋体"/>
                <w:b/>
                <w:color w:val="auto"/>
                <w:kern w:val="0"/>
                <w:szCs w:val="21"/>
              </w:rPr>
              <w:t>（元/㎡•年）</w:t>
            </w:r>
          </w:p>
        </w:tc>
      </w:tr>
      <w:tr>
        <w:tblPrEx>
          <w:tblCellMar>
            <w:top w:w="0" w:type="dxa"/>
            <w:left w:w="108" w:type="dxa"/>
            <w:bottom w:w="0" w:type="dxa"/>
            <w:right w:w="108" w:type="dxa"/>
          </w:tblCellMar>
        </w:tblPrEx>
        <w:trPr>
          <w:trHeight w:val="1000" w:hRule="exac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1</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1"/>
                <w:highlight w:val="yellow"/>
              </w:rPr>
            </w:pP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p>
        </w:tc>
        <w:tc>
          <w:tcPr>
            <w:tcW w:w="1837"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auto"/>
                <w:kern w:val="0"/>
                <w:szCs w:val="21"/>
              </w:rPr>
            </w:pPr>
          </w:p>
        </w:tc>
      </w:tr>
      <w:tr>
        <w:tblPrEx>
          <w:tblCellMar>
            <w:top w:w="0" w:type="dxa"/>
            <w:left w:w="108" w:type="dxa"/>
            <w:bottom w:w="0" w:type="dxa"/>
            <w:right w:w="108" w:type="dxa"/>
          </w:tblCellMar>
        </w:tblPrEx>
        <w:trPr>
          <w:trHeight w:val="1127" w:hRule="exac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2</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1"/>
                <w:highlight w:val="yellow"/>
              </w:rPr>
            </w:pP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p>
        </w:tc>
        <w:tc>
          <w:tcPr>
            <w:tcW w:w="1837"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auto"/>
                <w:kern w:val="0"/>
                <w:szCs w:val="21"/>
              </w:rPr>
            </w:pPr>
          </w:p>
        </w:tc>
      </w:tr>
      <w:tr>
        <w:tblPrEx>
          <w:tblCellMar>
            <w:top w:w="0" w:type="dxa"/>
            <w:left w:w="108" w:type="dxa"/>
            <w:bottom w:w="0" w:type="dxa"/>
            <w:right w:w="108" w:type="dxa"/>
          </w:tblCellMar>
        </w:tblPrEx>
        <w:trPr>
          <w:trHeight w:val="1284" w:hRule="exac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1"/>
                <w:highlight w:val="yellow"/>
              </w:rPr>
            </w:pP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p>
        </w:tc>
        <w:tc>
          <w:tcPr>
            <w:tcW w:w="1837"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auto"/>
                <w:kern w:val="0"/>
                <w:szCs w:val="21"/>
              </w:rPr>
            </w:pPr>
          </w:p>
        </w:tc>
      </w:tr>
      <w:tr>
        <w:tblPrEx>
          <w:tblCellMar>
            <w:top w:w="0" w:type="dxa"/>
            <w:left w:w="108" w:type="dxa"/>
            <w:bottom w:w="0" w:type="dxa"/>
            <w:right w:w="108" w:type="dxa"/>
          </w:tblCellMar>
        </w:tblPrEx>
        <w:trPr>
          <w:trHeight w:val="694" w:hRule="exact"/>
          <w:jc w:val="center"/>
        </w:trPr>
        <w:tc>
          <w:tcPr>
            <w:tcW w:w="441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合计</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1"/>
                <w:highlight w:val="yellow"/>
              </w:rPr>
            </w:pPr>
          </w:p>
        </w:tc>
        <w:tc>
          <w:tcPr>
            <w:tcW w:w="18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p>
        </w:tc>
        <w:tc>
          <w:tcPr>
            <w:tcW w:w="1837"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auto"/>
                <w:kern w:val="0"/>
                <w:szCs w:val="21"/>
              </w:rPr>
            </w:pPr>
          </w:p>
        </w:tc>
      </w:tr>
    </w:tbl>
    <w:p>
      <w:pPr>
        <w:spacing w:line="440" w:lineRule="exact"/>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注：以上均为暂定面积和暂定里程，结算时按经甲方确认的实际面积结合本合同综合单价结算。</w:t>
      </w:r>
    </w:p>
    <w:p>
      <w:pPr>
        <w:spacing w:line="440" w:lineRule="exact"/>
        <w:jc w:val="both"/>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二.全年养护管理经费</w:t>
      </w:r>
    </w:p>
    <w:p>
      <w:pPr>
        <w:spacing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根据招投标文件，本合同养护项目养护经费为工程量（按实计量）*单价，承包方式为全额经济责任制承包。</w:t>
      </w:r>
    </w:p>
    <w:p>
      <w:pPr>
        <w:pStyle w:val="36"/>
        <w:rPr>
          <w:rFonts w:hint="default" w:eastAsiaTheme="minorEastAsia"/>
          <w:color w:val="auto"/>
          <w:lang w:val="en-US" w:eastAsia="zh-CN"/>
        </w:rPr>
      </w:pPr>
      <w:r>
        <w:rPr>
          <w:rFonts w:hint="eastAsia" w:asciiTheme="minorEastAsia" w:hAnsiTheme="minorEastAsia" w:eastAsiaTheme="minorEastAsia" w:cstheme="minorEastAsia"/>
          <w:color w:val="auto"/>
          <w:szCs w:val="21"/>
          <w:lang w:val="en-US" w:eastAsia="zh-CN"/>
        </w:rPr>
        <w:t>中标后，中标人不得以招标人移交的项目现状无法达到招标人考核要求为由，向招标人提出增加相关费用。</w:t>
      </w:r>
    </w:p>
    <w:p>
      <w:pPr>
        <w:numPr>
          <w:ilvl w:val="0"/>
          <w:numId w:val="14"/>
        </w:num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服务</w:t>
      </w:r>
      <w:r>
        <w:rPr>
          <w:rFonts w:hint="eastAsia" w:asciiTheme="minorEastAsia" w:hAnsiTheme="minorEastAsia" w:eastAsiaTheme="minorEastAsia" w:cstheme="minorEastAsia"/>
          <w:color w:val="auto"/>
          <w:szCs w:val="21"/>
        </w:rPr>
        <w:t>期限</w:t>
      </w:r>
    </w:p>
    <w:p>
      <w:pPr>
        <w:pStyle w:val="2"/>
        <w:numPr>
          <w:ilvl w:val="0"/>
          <w:numId w:val="0"/>
        </w:numPr>
        <w:spacing w:line="360" w:lineRule="auto"/>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服务期限: 起始时间以合同签订为准，本项目一招暂定2年，协议一年一签。由采购人及行业主管部门根据中标人的合同履约情况决定是否续签，并在符合县级年度预算安排要求下，方可续签下一年度合同。除不可抗力外，精品苗木在养护期内出现死亡，中标人须按原规格赔偿，否则死一赔二。</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第一年服务期限：</w:t>
      </w:r>
      <w:r>
        <w:rPr>
          <w:rFonts w:hint="eastAsia" w:asciiTheme="minorEastAsia" w:hAnsiTheme="minorEastAsia" w:eastAsiaTheme="minorEastAsia" w:cstheme="minorEastAsia"/>
          <w:color w:val="auto"/>
          <w:szCs w:val="21"/>
        </w:rPr>
        <w:t>20</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日至20</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rPr>
        <w:t>日</w:t>
      </w:r>
      <w:r>
        <w:rPr>
          <w:rFonts w:hint="eastAsia" w:asciiTheme="minorEastAsia" w:hAnsiTheme="minorEastAsia" w:eastAsiaTheme="minorEastAsia" w:cstheme="minorEastAsia"/>
          <w:color w:val="auto"/>
          <w:szCs w:val="21"/>
          <w:lang w:val="en-US" w:eastAsia="zh-CN"/>
        </w:rPr>
        <w:t>止</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 xml:space="preserve">  </w:t>
      </w:r>
    </w:p>
    <w:p>
      <w:pPr>
        <w:spacing w:line="360" w:lineRule="auto"/>
        <w:ind w:firstLine="420" w:firstLineChars="200"/>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第二年服务期限合同根据第一阶段合同履约情况另行签订。</w:t>
      </w:r>
    </w:p>
    <w:p>
      <w:pPr>
        <w:spacing w:line="4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四.双方职责</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（一）甲方职责</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1.提供给乙方本合同所述养护项目有关养护设施量等有关资料；</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2.对乙方养护管理项目进行监督和考核检查；</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3.按考核成绩按季支付给乙方养护经费；</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4.合同期限届满，对本合同养护项目设施量进行清点。</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（二）乙方职责</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一、承包职责：</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1、乙方在搞好日常养护工作的同时，必须配合甲方参加市</w:t>
      </w:r>
      <w:r>
        <w:rPr>
          <w:rFonts w:hint="eastAsia" w:asciiTheme="minorEastAsia" w:hAnsiTheme="minorEastAsia" w:eastAsiaTheme="minorEastAsia" w:cstheme="minorEastAsia"/>
          <w:color w:val="auto"/>
          <w:szCs w:val="21"/>
          <w:lang w:val="en-US" w:eastAsia="zh-CN"/>
        </w:rPr>
        <w:t>公运中心</w:t>
      </w:r>
      <w:r>
        <w:rPr>
          <w:rFonts w:hint="eastAsia" w:asciiTheme="minorEastAsia" w:hAnsiTheme="minorEastAsia" w:eastAsiaTheme="minorEastAsia" w:cstheme="minorEastAsia"/>
          <w:color w:val="auto"/>
          <w:szCs w:val="21"/>
        </w:rPr>
        <w:t>、县交通局布置的各重大节庆和重大活动的临时布置任务。</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乙方对管养范围内发生的各种违反《宁波市城市绿化条例》的行为应及时劝阻；对未经审批擅自占用绿地的需及时阻止，不得擅自作主同意占用；对未经审批擅自在绿地中设置标牌的，负责及时清除。如情况特殊，难以清除的，应及时向甲方报告。</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3、乙方要做好动态绿地保洁，有节假日或重要活动时，做到随时保洁。对清除的垃圾和各类生产垃圾不得乱堆乱倒，必须出具消纳场地证明。</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4、乙方必须认真做好爱国卫生除“四害”工作，自觉接受业主单位及上级有关部门的考核检查。</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如遇因道路改造、绿化接养、实际养护面积变化或不可抗力损毁等特殊情况，甲方有权增加(养护单价参照所处地段的绿化养护投标单价）或减少养护面积，即变更养护面积直至解除双方的养护合同，乙方应承担相应的合同风险。</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6、布设规范，安全设施齐全，施工人员着装规范，交通组织有序，现场无安全隐患，机械设备安全整洁。操作人员不带病危险作业，发现未按要求执行的，每人每次扣200元，在季度养护费中累计结算。</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7、乙方应当按照相关规定的最低人员配置进行养护工作。发现人数不满标准的，少一人，每人每次扣1000元，在季度养护费中累计结算。</w:t>
      </w:r>
    </w:p>
    <w:p>
      <w:pPr>
        <w:pStyle w:val="2"/>
        <w:spacing w:line="360" w:lineRule="auto"/>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8、人员考勤：中标人需自行配备考勤设备，对中标人的项目负责人及评分表加分人员的出勤进行人脸特征识别考勤。离开工地必须向招标人书面请假，并经招标人同意后才能离开；每月在工地天数应大于22天（特殊情况经招标人批准同意例外），少一天扣除罚款1000元，以此类推。累计两个月到岗率达不到50%，甲方有权终止合同。</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二、养护标准职责：</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由乙方承包养护的本合同养护项目应达道路绿地标准（见《宁波市城市绿地等级标准》）。承包养护期限内，乙方应严格执行《宁波市城市绿地养护技术规程》及《道路绿化养护质量标准》，合理组织，精心养护，保质、保量完成养护管理任务。</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2、承包期限内，除不可抗力外，因承包单位自身原因养护不当，造成绿化死亡（高温天气没有及时浇水等原因）乙方应及时补齐或修复，并自行承担所需费用。</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3、乙方内业资料必须按甲方内业规范标准整理上报。每月25日前上报下月计划，当月台账在下月8日前上报，以便甲方进行监督考核，并按照投标文件中上报的主要机械设备到位。</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4、乙方对甲方在日常考核、监督中提出的存在问题，要及时予以整改。同一问题被连续三次发现未及时整改的，无论当季考核成绩如何，加扣当季养护经费</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5、发生突发性事故，台风、地震、水涝等不可预见性自然因素引起的损失，应立即向甲方汇报，并及时上报处置方案及损失统计经甲方核实认可，该费用由甲方承担。</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6、乙方必须负责两侧绿地的清卫，不含中央绿化带、侧分带。</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7、乙方必须每年对零星绿化进行补种，补种前，面积统计数据（附照片）上报给养护科，经养护科批准后，方可进行补种，补种完成后，须由养护科验收并签字确认。</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8、在中标通知下发后乙方应在10天内向甲方上报养护范围内的死株情况，具体补种由甲方负责，如逾期未上报的，甲方认为无死株情况，由乙方自行负责。</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9、遇台风及特殊日子，乙方应对养护范围内的树木进行加固及防护，该费用由甲方承担。</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车辆压损、人为损坏：承包期限内，人为损坏的由乙方自行负责；车辆事故损坏，乙方有责任有义务及时上报甲方，甲方及时处理（逃逸或未理赔到位除外），损坏苗木由乙方补种，根据工程量按实计量。（在3月至 6月、 10月、 11月里发生的车损、人损事故，应在15天内按不低于原标准补种；7月至9月里发现的车损、人损情况，在10月份里按不低于原标准补种，1月至次年12月里发现的车损、人损情况，在3月份里按原标准补种），该费用由乙方承担。乙方若未按上述要求补种或补种不及时、降低补种标准的，甲方有权在养护费中双倍扣除该面积费用，并委托其他单位补种，补种后的绿化直接由乙方养护，乙方承担该面积的全部责任。</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11、工程损坏：承包期限内出现工程损坏，乙方及时向甲方汇报，甲方协商处理。</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三、基本设施职责：</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1、对本合同养护项目实施养护管理所需的一切劳动力、材料、设备和服务由乙方自行组织，由此产生的一切费用由乙方承担。</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2、对本合同养护项目实施养护管理所需的养护管理房由乙方自行解决。</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 乙方应当按照招标文件规定的最低肥料标准施肥。</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4、乙方应按甲方通知要求禁止使用高毒高残留农药，所用的农药包装物必须分类收集，并送至专业部门处置，办好转移单手续。</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5、乙方应当按照招标文件规定的最低标准配备人员。</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四、安全职责：</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1、乙方必须重视安全工作确保全年不出安全事故，如发生安全事故一切责任由乙方自行负责。</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2、养护期内项目负责人必须到岗到位,每年参加业主召开的各种会议到会率必须在75%以上。</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五、考核验收</w:t>
      </w:r>
    </w:p>
    <w:p>
      <w:pPr>
        <w:numPr>
          <w:ilvl w:val="0"/>
          <w:numId w:val="0"/>
        </w:numPr>
        <w:spacing w:line="46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考核细则（附件A、B、C）：实行百分等级评定。日常巡查考核由</w:t>
      </w:r>
      <w:r>
        <w:rPr>
          <w:rFonts w:hint="eastAsia" w:asciiTheme="minorEastAsia" w:hAnsiTheme="minorEastAsia" w:eastAsiaTheme="minorEastAsia" w:cstheme="minorEastAsia"/>
          <w:color w:val="auto"/>
          <w:szCs w:val="21"/>
          <w:lang w:val="en-US" w:eastAsia="zh-CN"/>
        </w:rPr>
        <w:t>公运中心</w:t>
      </w:r>
      <w:r>
        <w:rPr>
          <w:rFonts w:hint="eastAsia" w:asciiTheme="minorEastAsia" w:hAnsiTheme="minorEastAsia" w:eastAsiaTheme="minorEastAsia" w:cstheme="minorEastAsia"/>
          <w:color w:val="auto"/>
          <w:szCs w:val="21"/>
        </w:rPr>
        <w:t>养护中心进行考核，所占比重40%；考核扣分以90分（含90分）为基准，每月平均日常考核所得分数低于90分，每下降1分，扣除1000元，直接从养护经费中扣除；</w:t>
      </w:r>
      <w:r>
        <w:rPr>
          <w:rFonts w:hint="eastAsia" w:asciiTheme="minorEastAsia" w:hAnsiTheme="minorEastAsia" w:eastAsiaTheme="minorEastAsia" w:cstheme="minorEastAsia"/>
          <w:color w:val="auto"/>
          <w:kern w:val="0"/>
          <w:szCs w:val="21"/>
        </w:rPr>
        <w:t>月度检查由</w:t>
      </w:r>
      <w:r>
        <w:rPr>
          <w:rFonts w:hint="eastAsia" w:asciiTheme="minorEastAsia" w:hAnsiTheme="minorEastAsia" w:eastAsiaTheme="minorEastAsia" w:cstheme="minorEastAsia"/>
          <w:color w:val="auto"/>
          <w:szCs w:val="21"/>
          <w:lang w:val="en-US" w:eastAsia="zh-CN"/>
        </w:rPr>
        <w:t>公运中心</w:t>
      </w:r>
      <w:r>
        <w:rPr>
          <w:rFonts w:hint="eastAsia" w:asciiTheme="minorEastAsia" w:hAnsiTheme="minorEastAsia" w:eastAsiaTheme="minorEastAsia" w:cstheme="minorEastAsia"/>
          <w:color w:val="auto"/>
          <w:kern w:val="0"/>
          <w:szCs w:val="21"/>
        </w:rPr>
        <w:t>养护科进行考核，所占比重20%；考核扣分以90分（含90分）为基准，所得分数低于90分的，每下降1分，每分扣除1000元，直接从养护经费中扣除。</w:t>
      </w:r>
    </w:p>
    <w:p>
      <w:pPr>
        <w:numPr>
          <w:ilvl w:val="0"/>
          <w:numId w:val="0"/>
        </w:numPr>
        <w:spacing w:line="460" w:lineRule="exact"/>
        <w:ind w:firstLine="420" w:firstLineChars="200"/>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季度考核由宁海县公路与运输管理中心组织（</w:t>
      </w:r>
      <w:r>
        <w:rPr>
          <w:rFonts w:hint="eastAsia" w:asciiTheme="minorEastAsia" w:hAnsiTheme="minorEastAsia" w:eastAsiaTheme="minorEastAsia" w:cstheme="minorEastAsia"/>
          <w:color w:val="auto"/>
          <w:szCs w:val="21"/>
          <w:lang w:val="en-US" w:eastAsia="zh-CN"/>
        </w:rPr>
        <w:t>交通局</w:t>
      </w:r>
      <w:r>
        <w:rPr>
          <w:rFonts w:hint="eastAsia" w:asciiTheme="minorEastAsia" w:hAnsiTheme="minorEastAsia" w:eastAsiaTheme="minorEastAsia" w:cstheme="minorEastAsia"/>
          <w:color w:val="auto"/>
          <w:szCs w:val="21"/>
        </w:rPr>
        <w:t>建管科、</w:t>
      </w:r>
      <w:r>
        <w:rPr>
          <w:rFonts w:hint="eastAsia" w:asciiTheme="minorEastAsia" w:hAnsiTheme="minorEastAsia" w:eastAsiaTheme="minorEastAsia" w:cstheme="minorEastAsia"/>
          <w:color w:val="auto"/>
          <w:szCs w:val="21"/>
          <w:lang w:val="en-US" w:eastAsia="zh-CN"/>
        </w:rPr>
        <w:t>公运中心</w:t>
      </w:r>
      <w:r>
        <w:rPr>
          <w:rFonts w:hint="eastAsia" w:asciiTheme="minorEastAsia" w:hAnsiTheme="minorEastAsia" w:eastAsiaTheme="minorEastAsia" w:cstheme="minorEastAsia"/>
          <w:color w:val="auto"/>
          <w:szCs w:val="21"/>
        </w:rPr>
        <w:t>各科室成员参加），每季度</w:t>
      </w:r>
      <w:r>
        <w:rPr>
          <w:rFonts w:hint="eastAsia" w:asciiTheme="minorEastAsia" w:hAnsiTheme="minorEastAsia" w:eastAsiaTheme="minorEastAsia" w:cstheme="minorEastAsia"/>
          <w:color w:val="auto"/>
          <w:szCs w:val="21"/>
          <w:lang w:val="en-US" w:eastAsia="zh-CN"/>
        </w:rPr>
        <w:t>考核综合得分</w:t>
      </w:r>
      <w:r>
        <w:rPr>
          <w:rFonts w:hint="eastAsia" w:asciiTheme="minorEastAsia" w:hAnsiTheme="minorEastAsia" w:eastAsiaTheme="minorEastAsia" w:cstheme="minorEastAsia"/>
          <w:color w:val="auto"/>
          <w:szCs w:val="21"/>
        </w:rPr>
        <w:t>在90分以上（包含90分）的为合格；95分以上的为优秀。</w:t>
      </w:r>
      <w:r>
        <w:rPr>
          <w:rFonts w:hint="eastAsia" w:asciiTheme="minorEastAsia" w:hAnsiTheme="minorEastAsia" w:eastAsiaTheme="minorEastAsia" w:cstheme="minorEastAsia"/>
          <w:color w:val="auto"/>
          <w:szCs w:val="21"/>
          <w:lang w:val="en-US" w:eastAsia="zh-CN"/>
        </w:rPr>
        <w:t>低于90分的按以下规定执行：</w:t>
      </w:r>
    </w:p>
    <w:p>
      <w:pPr>
        <w:numPr>
          <w:ilvl w:val="0"/>
          <w:numId w:val="0"/>
        </w:numPr>
        <w:spacing w:line="460" w:lineRule="exact"/>
        <w:ind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1.季度考核综合得分</w:t>
      </w:r>
      <w:r>
        <w:rPr>
          <w:rFonts w:hint="eastAsia" w:asciiTheme="minorEastAsia" w:hAnsiTheme="minorEastAsia" w:eastAsiaTheme="minorEastAsia" w:cstheme="minorEastAsia"/>
          <w:color w:val="auto"/>
          <w:szCs w:val="21"/>
        </w:rPr>
        <w:t>低于90分的，每下降一分，扣除当季养护经费的百分之三</w:t>
      </w:r>
      <w:r>
        <w:rPr>
          <w:rFonts w:hint="eastAsia" w:asciiTheme="minorEastAsia" w:hAnsiTheme="minorEastAsia" w:eastAsiaTheme="minorEastAsia" w:cstheme="minorEastAsia"/>
          <w:color w:val="auto"/>
          <w:szCs w:val="21"/>
          <w:lang w:eastAsia="zh-CN"/>
        </w:rPr>
        <w:t>。</w:t>
      </w:r>
    </w:p>
    <w:p>
      <w:pPr>
        <w:numPr>
          <w:ilvl w:val="0"/>
          <w:numId w:val="0"/>
        </w:numPr>
        <w:spacing w:line="46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2.季度考核综合得分</w:t>
      </w:r>
      <w:r>
        <w:rPr>
          <w:rFonts w:hint="eastAsia" w:asciiTheme="minorEastAsia" w:hAnsiTheme="minorEastAsia" w:eastAsiaTheme="minorEastAsia" w:cstheme="minorEastAsia"/>
          <w:color w:val="auto"/>
          <w:szCs w:val="21"/>
        </w:rPr>
        <w:t>低于80分的，暂不拨</w:t>
      </w:r>
      <w:r>
        <w:rPr>
          <w:rFonts w:hint="eastAsia" w:asciiTheme="minorEastAsia" w:hAnsiTheme="minorEastAsia" w:eastAsiaTheme="minorEastAsia" w:cstheme="minorEastAsia"/>
          <w:color w:val="auto"/>
          <w:szCs w:val="21"/>
          <w:lang w:val="en-US" w:eastAsia="zh-CN"/>
        </w:rPr>
        <w:t>付</w:t>
      </w:r>
      <w:r>
        <w:rPr>
          <w:rFonts w:hint="eastAsia" w:asciiTheme="minorEastAsia" w:hAnsiTheme="minorEastAsia" w:eastAsiaTheme="minorEastAsia" w:cstheme="minorEastAsia"/>
          <w:color w:val="auto"/>
          <w:szCs w:val="21"/>
        </w:rPr>
        <w:t>当季养护经费</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连续两个</w:t>
      </w:r>
      <w:r>
        <w:rPr>
          <w:rFonts w:hint="eastAsia" w:asciiTheme="minorEastAsia" w:hAnsiTheme="minorEastAsia" w:eastAsiaTheme="minorEastAsia" w:cstheme="minorEastAsia"/>
          <w:color w:val="auto"/>
          <w:szCs w:val="21"/>
          <w:lang w:val="en-US" w:eastAsia="zh-CN"/>
        </w:rPr>
        <w:t>季度考核综合得分</w:t>
      </w:r>
      <w:r>
        <w:rPr>
          <w:rFonts w:hint="eastAsia" w:asciiTheme="minorEastAsia" w:hAnsiTheme="minorEastAsia" w:eastAsiaTheme="minorEastAsia" w:cstheme="minorEastAsia"/>
          <w:color w:val="auto"/>
          <w:szCs w:val="21"/>
        </w:rPr>
        <w:t>不合格的甲方有权终止施工合同且只拨付第一季度的50%养护经费，取消第二季度养护经费拨付</w:t>
      </w:r>
      <w:r>
        <w:rPr>
          <w:rFonts w:hint="eastAsia" w:asciiTheme="minorEastAsia" w:hAnsiTheme="minorEastAsia" w:eastAsiaTheme="minorEastAsia" w:cstheme="minorEastAsia"/>
          <w:color w:val="auto"/>
          <w:szCs w:val="21"/>
          <w:lang w:eastAsia="zh-CN"/>
        </w:rPr>
        <w:t>。</w:t>
      </w:r>
    </w:p>
    <w:p>
      <w:pPr>
        <w:spacing w:line="480" w:lineRule="exact"/>
        <w:ind w:firstLine="420" w:firstLineChars="200"/>
        <w:rPr>
          <w:rFonts w:ascii="宋体" w:hAnsi="宋体"/>
          <w:color w:val="auto"/>
          <w:szCs w:val="21"/>
        </w:rPr>
      </w:pPr>
      <w:r>
        <w:rPr>
          <w:rFonts w:hint="eastAsia" w:asciiTheme="minorEastAsia" w:hAnsiTheme="minorEastAsia" w:eastAsiaTheme="minorEastAsia" w:cstheme="minorEastAsia"/>
          <w:color w:val="auto"/>
          <w:szCs w:val="21"/>
          <w:lang w:val="en-US" w:eastAsia="zh-CN"/>
        </w:rPr>
        <w:t>3.季度考核综合得分</w:t>
      </w:r>
      <w:r>
        <w:rPr>
          <w:rFonts w:hint="eastAsia" w:asciiTheme="minorEastAsia" w:hAnsiTheme="minorEastAsia" w:eastAsiaTheme="minorEastAsia" w:cstheme="minorEastAsia"/>
          <w:color w:val="auto"/>
          <w:szCs w:val="21"/>
        </w:rPr>
        <w:t>低于75分取消其养护资格，解除合同并取消当季养护经费。</w:t>
      </w:r>
    </w:p>
    <w:p>
      <w:pPr>
        <w:numPr>
          <w:ilvl w:val="0"/>
          <w:numId w:val="0"/>
        </w:numPr>
        <w:spacing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考核验收依据</w:t>
      </w:r>
      <w:r>
        <w:rPr>
          <w:rFonts w:hint="eastAsia" w:asciiTheme="minorEastAsia" w:hAnsiTheme="minorEastAsia" w:eastAsiaTheme="minorEastAsia" w:cstheme="minorEastAsia"/>
          <w:color w:val="auto"/>
          <w:szCs w:val="21"/>
          <w:highlight w:val="none"/>
        </w:rPr>
        <w:t>根据《公路养护技术规范》、《中国公路养护安全作业规程》、《公路技术状况评定标准》、《宁波市公路养护条例》、文件要求，结合我单位管养绿地的实际情况，制定本考核办法。本考核办法适用</w:t>
      </w:r>
      <w:r>
        <w:rPr>
          <w:rFonts w:hint="eastAsia" w:asciiTheme="minorEastAsia" w:hAnsiTheme="minorEastAsia" w:eastAsiaTheme="minorEastAsia" w:cstheme="minorEastAsia"/>
          <w:color w:val="auto"/>
          <w:szCs w:val="21"/>
          <w:highlight w:val="none"/>
          <w:lang w:eastAsia="zh-CN"/>
        </w:rPr>
        <w:t>宁海县公路与运输管理中心2023年公路绿化养护服务采购</w:t>
      </w:r>
      <w:r>
        <w:rPr>
          <w:rFonts w:hint="eastAsia" w:asciiTheme="minorEastAsia" w:hAnsiTheme="minorEastAsia" w:eastAsiaTheme="minorEastAsia" w:cstheme="minorEastAsia"/>
          <w:color w:val="auto"/>
          <w:szCs w:val="21"/>
          <w:highlight w:val="none"/>
        </w:rPr>
        <w:t>，每条线路季度考核的考核公里数须3公里（含）以上</w:t>
      </w:r>
      <w:r>
        <w:rPr>
          <w:rFonts w:hint="eastAsia" w:asciiTheme="minorEastAsia" w:hAnsiTheme="minorEastAsia" w:eastAsiaTheme="minorEastAsia" w:cstheme="minorEastAsia"/>
          <w:color w:val="auto"/>
          <w:szCs w:val="21"/>
        </w:rPr>
        <w:t>。</w:t>
      </w:r>
    </w:p>
    <w:p>
      <w:pPr>
        <w:pStyle w:val="36"/>
        <w:numPr>
          <w:ilvl w:val="0"/>
          <w:numId w:val="0"/>
        </w:numPr>
        <w:ind w:firstLine="420" w:firstLineChars="200"/>
        <w:rPr>
          <w:color w:val="auto"/>
        </w:rPr>
      </w:pPr>
      <w:r>
        <w:rPr>
          <w:rFonts w:hint="eastAsia"/>
          <w:color w:val="auto"/>
          <w:lang w:val="en-US" w:eastAsia="zh-CN"/>
        </w:rPr>
        <w:t>5.苗木清单：</w:t>
      </w:r>
      <w:r>
        <w:rPr>
          <w:rFonts w:hint="eastAsia" w:ascii="Calibri" w:hAnsi="Calibri" w:eastAsia="宋体" w:cs="黑体"/>
          <w:color w:val="auto"/>
          <w:kern w:val="2"/>
          <w:sz w:val="21"/>
          <w:szCs w:val="21"/>
          <w:lang w:val="en-US" w:eastAsia="zh-CN" w:bidi="ar-SA"/>
        </w:rPr>
        <w:t>具体清单以中标后中标人和采购人现场实地确认的为准，中标人应于合同签订前和采购人共同至养护现场清点苗木，双方确认无误后签字确认</w:t>
      </w:r>
      <w:r>
        <w:rPr>
          <w:rFonts w:hint="eastAsia" w:cs="黑体"/>
          <w:color w:val="auto"/>
          <w:kern w:val="2"/>
          <w:sz w:val="21"/>
          <w:szCs w:val="21"/>
          <w:lang w:val="en-US" w:eastAsia="zh-CN" w:bidi="ar-SA"/>
        </w:rPr>
        <w:t>。合同满后再清点一次，因乙方养护不到位导致苗木死亡的，履行合同义务中标方需进行赔偿。</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六、养护经费核拨方式</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1.全年养护经费按季核拨，由甲方核拨给乙方，不管每季度养护面积的增减变化，养护面积均按实际计量。</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2.由考核验收结果引起的经济扣罚直接在当季核拨的养护经费中扣除。</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3.如果承包商连续二个季度考核不合格，业主将有权终止绿化养护承包合同（与未中标排名第一的投标人签订承包合同，以此类推）并罚没该承包商相应的绿化养护履约保证金。</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七、履约保证金及违约责任</w:t>
      </w:r>
    </w:p>
    <w:p>
      <w:pPr>
        <w:widowControl/>
        <w:spacing w:line="440" w:lineRule="exact"/>
        <w:ind w:firstLine="420" w:firstLineChars="200"/>
        <w:jc w:val="left"/>
        <w:rPr>
          <w:color w:val="auto"/>
          <w:szCs w:val="24"/>
        </w:rPr>
      </w:pPr>
      <w:r>
        <w:rPr>
          <w:rFonts w:hint="eastAsia"/>
          <w:color w:val="auto"/>
          <w:szCs w:val="24"/>
        </w:rPr>
        <w:t>本合同签订之日起7日内，乙方向甲方提交履约保证金</w:t>
      </w:r>
      <w:r>
        <w:rPr>
          <w:rFonts w:hint="eastAsia"/>
          <w:color w:val="auto"/>
          <w:szCs w:val="24"/>
          <w:u w:val="single"/>
        </w:rPr>
        <w:t xml:space="preserve">      </w:t>
      </w:r>
      <w:r>
        <w:rPr>
          <w:rFonts w:hint="eastAsia"/>
          <w:color w:val="auto"/>
          <w:szCs w:val="24"/>
        </w:rPr>
        <w:t>元，</w:t>
      </w:r>
      <w:r>
        <w:rPr>
          <w:color w:val="auto"/>
          <w:szCs w:val="24"/>
        </w:rPr>
        <w:t>履约保证金形式为</w:t>
      </w:r>
      <w:r>
        <w:rPr>
          <w:rFonts w:hint="eastAsia"/>
          <w:color w:val="auto"/>
          <w:szCs w:val="24"/>
          <w:u w:val="single"/>
        </w:rPr>
        <w:t xml:space="preserve">        </w:t>
      </w:r>
      <w:r>
        <w:rPr>
          <w:rFonts w:hint="eastAsia"/>
          <w:color w:val="auto"/>
          <w:szCs w:val="24"/>
        </w:rPr>
        <w:t>。</w:t>
      </w:r>
    </w:p>
    <w:p>
      <w:pPr>
        <w:widowControl/>
        <w:spacing w:line="440" w:lineRule="exact"/>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履行期限内发生下列情况甲方有权扣除当季养护费的1%-5%，情节严重的，甲方可提前解除合同，并罚没全额履约保证金，造成甲方损失的，甲方有权要求乙方赔偿损失。因提前解除合同所造成的一切损失，由乙方自行承担。</w:t>
      </w:r>
    </w:p>
    <w:p>
      <w:pPr>
        <w:widowControl/>
        <w:spacing w:line="440" w:lineRule="exact"/>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1、合同期内累计三个季度考核不合格的；</w:t>
      </w:r>
    </w:p>
    <w:p>
      <w:pPr>
        <w:widowControl/>
        <w:spacing w:line="440" w:lineRule="exact"/>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2、非自然原因造成绿化大面积（300平方以上）死亡的,未按甲方要求补种的。</w:t>
      </w:r>
    </w:p>
    <w:p>
      <w:pPr>
        <w:widowControl/>
        <w:spacing w:line="440" w:lineRule="exact"/>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3、在养护过程中，乙方不按养护规范进行养护，养护质量差，造成很坏的社会影响。</w:t>
      </w:r>
    </w:p>
    <w:p>
      <w:pPr>
        <w:widowControl/>
        <w:spacing w:line="440" w:lineRule="exact"/>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4、乙方不服从甲方对绿化养护质量的管理，不及时处理甲方提出的书面整改意见累计三次。</w:t>
      </w:r>
    </w:p>
    <w:p>
      <w:pPr>
        <w:widowControl/>
        <w:spacing w:line="440" w:lineRule="exact"/>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履约保证金的退还：合同履约完毕后7日内无息退还。</w:t>
      </w:r>
    </w:p>
    <w:p>
      <w:pPr>
        <w:widowControl/>
        <w:spacing w:line="440" w:lineRule="exact"/>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八、附则</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1.本合同招标文件作为合同附件，对合同条款具有补充作用。</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2.未尽事宜，甲、乙双方协商解决，并作出书面补充协议。补充协议与本合同具有同等效力。</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九.本合同壹式肆份，甲、乙双方各贰份；经甲、乙双方法定代表人或授权人签章后生效。</w:t>
      </w:r>
    </w:p>
    <w:p>
      <w:pPr>
        <w:spacing w:line="400" w:lineRule="exact"/>
        <w:ind w:firstLine="420" w:firstLineChars="200"/>
        <w:rPr>
          <w:rFonts w:hint="eastAsia" w:asciiTheme="minorEastAsia" w:hAnsiTheme="minorEastAsia" w:eastAsiaTheme="minorEastAsia" w:cstheme="minorEastAsia"/>
          <w:color w:val="auto"/>
          <w:szCs w:val="21"/>
        </w:rPr>
      </w:pPr>
    </w:p>
    <w:p>
      <w:pPr>
        <w:spacing w:line="520" w:lineRule="exact"/>
        <w:rPr>
          <w:rFonts w:hint="eastAsia" w:ascii="宋体" w:hAnsi="宋体" w:cs="宋体"/>
          <w:color w:val="auto"/>
          <w:szCs w:val="21"/>
        </w:rPr>
      </w:pPr>
      <w:r>
        <w:rPr>
          <w:rFonts w:ascii="宋体" w:hAnsi="宋体" w:cs="宋体"/>
          <w:b/>
          <w:color w:val="auto"/>
          <w:szCs w:val="21"/>
        </w:rPr>
        <w:t>委托方</w:t>
      </w:r>
      <w:r>
        <w:rPr>
          <w:rFonts w:hint="eastAsia" w:ascii="宋体" w:hAnsi="宋体" w:cs="宋体"/>
          <w:b/>
          <w:color w:val="auto"/>
          <w:szCs w:val="21"/>
        </w:rPr>
        <w:t>（甲方）：</w:t>
      </w:r>
      <w:r>
        <w:rPr>
          <w:rFonts w:hint="eastAsia" w:ascii="宋体" w:hAnsi="宋体" w:cs="宋体"/>
          <w:b/>
          <w:color w:val="auto"/>
          <w:szCs w:val="21"/>
          <w:u w:val="single"/>
        </w:rPr>
        <w:t xml:space="preserve">              </w:t>
      </w:r>
      <w:r>
        <w:rPr>
          <w:rFonts w:hint="eastAsia" w:ascii="宋体" w:hAnsi="宋体" w:cs="宋体"/>
          <w:color w:val="auto"/>
          <w:szCs w:val="21"/>
        </w:rPr>
        <w:t xml:space="preserve">（公章）      </w:t>
      </w:r>
      <w:r>
        <w:rPr>
          <w:rFonts w:hint="eastAsia" w:ascii="宋体" w:hAnsi="宋体" w:cs="宋体"/>
          <w:b/>
          <w:bCs/>
          <w:color w:val="auto"/>
          <w:szCs w:val="21"/>
        </w:rPr>
        <w:t>受</w:t>
      </w:r>
      <w:r>
        <w:rPr>
          <w:rFonts w:ascii="宋体" w:hAnsi="宋体" w:cs="宋体"/>
          <w:b/>
          <w:bCs/>
          <w:color w:val="auto"/>
          <w:szCs w:val="21"/>
        </w:rPr>
        <w:t>托方</w:t>
      </w:r>
      <w:r>
        <w:rPr>
          <w:rFonts w:hint="eastAsia" w:ascii="宋体" w:hAnsi="宋体" w:cs="宋体"/>
          <w:b/>
          <w:color w:val="auto"/>
          <w:szCs w:val="21"/>
        </w:rPr>
        <w:t>（乙方）：</w:t>
      </w:r>
      <w:r>
        <w:rPr>
          <w:rFonts w:hint="eastAsia" w:ascii="宋体" w:hAnsi="宋体" w:cs="宋体"/>
          <w:b/>
          <w:color w:val="auto"/>
          <w:szCs w:val="21"/>
          <w:u w:val="single"/>
        </w:rPr>
        <w:t xml:space="preserve">             </w:t>
      </w:r>
      <w:r>
        <w:rPr>
          <w:rFonts w:hint="eastAsia" w:ascii="宋体" w:hAnsi="宋体" w:cs="宋体"/>
          <w:color w:val="auto"/>
          <w:szCs w:val="21"/>
        </w:rPr>
        <w:t>（公章）</w:t>
      </w:r>
    </w:p>
    <w:p>
      <w:pPr>
        <w:spacing w:line="520" w:lineRule="exact"/>
        <w:rPr>
          <w:rFonts w:hint="eastAsia" w:ascii="宋体" w:hAnsi="宋体" w:cs="宋体"/>
          <w:b/>
          <w:bCs/>
          <w:color w:val="auto"/>
          <w:szCs w:val="21"/>
        </w:rPr>
      </w:pPr>
      <w:r>
        <w:rPr>
          <w:rFonts w:hint="eastAsia" w:ascii="宋体" w:hAnsi="宋体" w:cs="宋体"/>
          <w:b/>
          <w:bCs/>
          <w:color w:val="auto"/>
          <w:szCs w:val="21"/>
        </w:rPr>
        <w:t>法定（授权）代表人：</w:t>
      </w:r>
      <w:r>
        <w:rPr>
          <w:rFonts w:hint="eastAsia" w:ascii="宋体" w:hAnsi="宋体" w:cs="宋体"/>
          <w:b/>
          <w:bCs/>
          <w:color w:val="auto"/>
          <w:szCs w:val="21"/>
          <w:u w:val="single"/>
        </w:rPr>
        <w:t xml:space="preserve">                </w:t>
      </w:r>
      <w:r>
        <w:rPr>
          <w:rFonts w:hint="eastAsia" w:ascii="宋体" w:hAnsi="宋体" w:cs="宋体"/>
          <w:b/>
          <w:bCs/>
          <w:color w:val="auto"/>
          <w:szCs w:val="21"/>
        </w:rPr>
        <w:t xml:space="preserve">       法定（授权）代表人：</w:t>
      </w:r>
      <w:r>
        <w:rPr>
          <w:rFonts w:hint="eastAsia" w:ascii="宋体" w:hAnsi="宋体" w:cs="宋体"/>
          <w:b/>
          <w:bCs/>
          <w:color w:val="auto"/>
          <w:szCs w:val="21"/>
          <w:u w:val="single"/>
        </w:rPr>
        <w:t xml:space="preserve">               </w:t>
      </w:r>
    </w:p>
    <w:p>
      <w:pPr>
        <w:spacing w:line="520" w:lineRule="exact"/>
        <w:rPr>
          <w:rFonts w:hint="eastAsia" w:ascii="宋体" w:hAnsi="宋体" w:cs="宋体"/>
          <w:b/>
          <w:bCs/>
          <w:color w:val="auto"/>
          <w:szCs w:val="21"/>
        </w:rPr>
      </w:pPr>
      <w:r>
        <w:rPr>
          <w:rFonts w:hint="eastAsia" w:ascii="宋体" w:hAnsi="宋体" w:cs="宋体"/>
          <w:b/>
          <w:bCs/>
          <w:color w:val="auto"/>
          <w:szCs w:val="21"/>
        </w:rPr>
        <w:t>开户银行：</w:t>
      </w:r>
      <w:r>
        <w:rPr>
          <w:rFonts w:hint="eastAsia" w:ascii="宋体" w:hAnsi="宋体" w:cs="宋体"/>
          <w:b/>
          <w:bCs/>
          <w:color w:val="auto"/>
          <w:szCs w:val="21"/>
          <w:u w:val="single"/>
        </w:rPr>
        <w:t xml:space="preserve">                           </w:t>
      </w:r>
      <w:r>
        <w:rPr>
          <w:rFonts w:hint="eastAsia" w:ascii="宋体" w:hAnsi="宋体" w:cs="宋体"/>
          <w:b/>
          <w:bCs/>
          <w:color w:val="auto"/>
          <w:szCs w:val="21"/>
        </w:rPr>
        <w:t xml:space="preserve">      开户银行：</w:t>
      </w:r>
      <w:r>
        <w:rPr>
          <w:rFonts w:hint="eastAsia" w:ascii="宋体" w:hAnsi="宋体" w:cs="宋体"/>
          <w:b/>
          <w:bCs/>
          <w:color w:val="auto"/>
          <w:szCs w:val="21"/>
          <w:u w:val="single"/>
        </w:rPr>
        <w:t xml:space="preserve">                         </w:t>
      </w:r>
    </w:p>
    <w:p>
      <w:pPr>
        <w:spacing w:line="520" w:lineRule="exact"/>
        <w:rPr>
          <w:rFonts w:hint="eastAsia" w:ascii="宋体" w:hAnsi="宋体" w:cs="宋体"/>
          <w:color w:val="auto"/>
          <w:szCs w:val="21"/>
        </w:rPr>
      </w:pPr>
      <w:r>
        <w:rPr>
          <w:rFonts w:hint="eastAsia" w:ascii="宋体" w:hAnsi="宋体" w:cs="宋体"/>
          <w:b/>
          <w:color w:val="auto"/>
          <w:szCs w:val="21"/>
        </w:rPr>
        <w:t>帐    号：</w:t>
      </w:r>
      <w:r>
        <w:rPr>
          <w:rFonts w:hint="eastAsia" w:ascii="宋体" w:hAnsi="宋体" w:cs="宋体"/>
          <w:b/>
          <w:color w:val="auto"/>
          <w:szCs w:val="21"/>
          <w:u w:val="single"/>
        </w:rPr>
        <w:t xml:space="preserve">                           </w:t>
      </w:r>
      <w:r>
        <w:rPr>
          <w:rFonts w:hint="eastAsia" w:ascii="宋体" w:hAnsi="宋体" w:cs="宋体"/>
          <w:b/>
          <w:color w:val="auto"/>
          <w:szCs w:val="21"/>
        </w:rPr>
        <w:t xml:space="preserve"> </w:t>
      </w:r>
      <w:r>
        <w:rPr>
          <w:rFonts w:hint="eastAsia" w:ascii="宋体" w:hAnsi="宋体" w:cs="宋体"/>
          <w:color w:val="auto"/>
          <w:szCs w:val="21"/>
        </w:rPr>
        <w:t xml:space="preserve">     </w:t>
      </w:r>
      <w:r>
        <w:rPr>
          <w:rFonts w:hint="eastAsia" w:ascii="宋体" w:hAnsi="宋体" w:cs="宋体"/>
          <w:b/>
          <w:color w:val="auto"/>
          <w:szCs w:val="21"/>
        </w:rPr>
        <w:t>帐    号：</w:t>
      </w:r>
      <w:r>
        <w:rPr>
          <w:rFonts w:hint="eastAsia" w:ascii="宋体" w:hAnsi="宋体" w:cs="宋体"/>
          <w:color w:val="auto"/>
          <w:szCs w:val="21"/>
          <w:u w:val="single"/>
        </w:rPr>
        <w:t xml:space="preserve">                         </w:t>
      </w:r>
    </w:p>
    <w:p>
      <w:pPr>
        <w:spacing w:line="520" w:lineRule="exact"/>
        <w:rPr>
          <w:rFonts w:hint="eastAsia" w:ascii="宋体" w:hAnsi="宋体" w:cs="宋体"/>
          <w:color w:val="auto"/>
          <w:szCs w:val="21"/>
        </w:rPr>
      </w:pPr>
      <w:r>
        <w:rPr>
          <w:rFonts w:hint="eastAsia" w:ascii="宋体" w:hAnsi="宋体" w:cs="宋体"/>
          <w:b/>
          <w:color w:val="auto"/>
          <w:szCs w:val="21"/>
        </w:rPr>
        <w:t>联系电话：</w:t>
      </w:r>
      <w:r>
        <w:rPr>
          <w:rFonts w:hint="eastAsia" w:ascii="宋体" w:hAnsi="宋体" w:cs="宋体"/>
          <w:b/>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b/>
          <w:color w:val="auto"/>
          <w:szCs w:val="21"/>
        </w:rPr>
        <w:t>联系电话：</w:t>
      </w:r>
      <w:r>
        <w:rPr>
          <w:rFonts w:hint="eastAsia" w:ascii="宋体" w:hAnsi="宋体" w:cs="宋体"/>
          <w:color w:val="auto"/>
          <w:szCs w:val="21"/>
          <w:u w:val="single"/>
        </w:rPr>
        <w:t xml:space="preserve">                         </w:t>
      </w:r>
    </w:p>
    <w:p>
      <w:pPr>
        <w:spacing w:line="520" w:lineRule="exact"/>
        <w:rPr>
          <w:rFonts w:hint="eastAsia"/>
          <w:color w:val="auto"/>
        </w:rPr>
      </w:pPr>
      <w:r>
        <w:rPr>
          <w:rFonts w:hint="eastAsia"/>
          <w:color w:val="auto"/>
        </w:rPr>
        <w:t>日期：         年      月      日           日期：         年      月      日</w:t>
      </w:r>
    </w:p>
    <w:p>
      <w:pPr>
        <w:ind w:firstLine="336" w:firstLineChars="200"/>
        <w:jc w:val="left"/>
        <w:rPr>
          <w:rFonts w:asciiTheme="minorEastAsia" w:hAnsiTheme="minorEastAsia" w:eastAsiaTheme="minorEastAsia" w:cstheme="minorEastAsia"/>
          <w:color w:val="auto"/>
          <w:w w:val="80"/>
          <w:szCs w:val="21"/>
        </w:rPr>
      </w:pPr>
    </w:p>
    <w:p>
      <w:pPr>
        <w:pStyle w:val="2"/>
        <w:rPr>
          <w:rFonts w:asciiTheme="minorEastAsia" w:hAnsiTheme="minorEastAsia" w:eastAsiaTheme="minorEastAsia" w:cstheme="minorEastAsia"/>
          <w:color w:val="auto"/>
          <w:w w:val="80"/>
          <w:szCs w:val="21"/>
        </w:rPr>
      </w:pPr>
    </w:p>
    <w:p>
      <w:pPr>
        <w:pStyle w:val="14"/>
        <w:snapToGrid w:val="0"/>
        <w:spacing w:before="120" w:beforeLines="0" w:after="120" w:afterLines="0" w:line="360" w:lineRule="exact"/>
        <w:ind w:firstLine="210" w:firstLineChars="100"/>
        <w:rPr>
          <w:rFonts w:hint="eastAsia" w:hAnsi="宋体" w:cs="宋体"/>
          <w:color w:val="auto"/>
          <w:sz w:val="21"/>
          <w:szCs w:val="21"/>
        </w:rPr>
      </w:pPr>
      <w:r>
        <w:rPr>
          <w:rFonts w:hint="eastAsia" w:hAnsi="宋体" w:cs="宋体"/>
          <w:color w:val="auto"/>
          <w:sz w:val="21"/>
          <w:szCs w:val="21"/>
        </w:rPr>
        <w:t>合同见证方:</w:t>
      </w:r>
      <w:r>
        <w:rPr>
          <w:rFonts w:hint="eastAsia" w:hAnsi="宋体" w:cs="宋体"/>
          <w:color w:val="auto"/>
          <w:sz w:val="21"/>
          <w:szCs w:val="21"/>
          <w:lang w:eastAsia="zh-CN"/>
        </w:rPr>
        <w:t>宁波中屹工程管理咨询有限公司</w:t>
      </w:r>
    </w:p>
    <w:p>
      <w:pPr>
        <w:pStyle w:val="14"/>
        <w:snapToGrid w:val="0"/>
        <w:spacing w:before="120" w:beforeLines="0" w:after="120" w:afterLines="0" w:line="360" w:lineRule="exact"/>
        <w:ind w:firstLine="105" w:firstLineChars="50"/>
        <w:rPr>
          <w:rFonts w:hint="eastAsia" w:hAnsi="宋体" w:cs="宋体"/>
          <w:color w:val="auto"/>
          <w:sz w:val="21"/>
          <w:szCs w:val="21"/>
        </w:rPr>
      </w:pPr>
      <w:r>
        <w:rPr>
          <w:rFonts w:hint="eastAsia" w:hAnsi="宋体" w:cs="宋体"/>
          <w:color w:val="auto"/>
          <w:sz w:val="21"/>
          <w:szCs w:val="21"/>
        </w:rPr>
        <w:t xml:space="preserve"> 法定代表人或主要负责人:</w:t>
      </w:r>
    </w:p>
    <w:p>
      <w:pPr>
        <w:pStyle w:val="14"/>
        <w:snapToGrid w:val="0"/>
        <w:spacing w:before="120" w:beforeLines="0" w:after="120" w:afterLines="0" w:line="360" w:lineRule="exact"/>
        <w:ind w:firstLine="105" w:firstLineChars="50"/>
        <w:rPr>
          <w:rFonts w:hint="default" w:ascii="宋体" w:eastAsia="宋体" w:cs="宋体"/>
          <w:color w:val="auto"/>
          <w:szCs w:val="21"/>
          <w:lang w:val="en-US" w:eastAsia="zh-CN"/>
        </w:rPr>
      </w:pPr>
      <w:r>
        <w:rPr>
          <w:rFonts w:hint="eastAsia" w:hAnsi="宋体" w:cs="宋体"/>
          <w:color w:val="auto"/>
          <w:sz w:val="21"/>
          <w:szCs w:val="21"/>
        </w:rPr>
        <w:t xml:space="preserve"> 日</w:t>
      </w:r>
      <w:r>
        <w:rPr>
          <w:rFonts w:hint="eastAsia" w:hAnsi="宋体" w:cs="宋体"/>
          <w:color w:val="auto"/>
          <w:sz w:val="21"/>
          <w:szCs w:val="21"/>
          <w:lang w:val="en-US" w:eastAsia="zh-CN"/>
        </w:rPr>
        <w:t>期</w:t>
      </w:r>
      <w:r>
        <w:rPr>
          <w:rFonts w:hint="eastAsia" w:hAnsi="宋体" w:cs="宋体"/>
          <w:color w:val="auto"/>
          <w:sz w:val="21"/>
          <w:szCs w:val="21"/>
        </w:rPr>
        <w:t>:</w:t>
      </w:r>
    </w:p>
    <w:sectPr>
      <w:headerReference r:id="rId17" w:type="default"/>
      <w:footerReference r:id="rId1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swiss"/>
    <w:pitch w:val="default"/>
    <w:sig w:usb0="80000287" w:usb1="2ACF001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FangSong_GB2312,Bold">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630"/>
      <w:rPr>
        <w:rStyle w:val="33"/>
        <w:rFonts w:cs="黑体"/>
      </w:rPr>
    </w:pPr>
  </w:p>
  <w:p>
    <w:pPr>
      <w:pStyle w:val="18"/>
      <w:ind w:right="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Fonts w:cs="黑体"/>
      </w:rPr>
    </w:pPr>
    <w:r>
      <w:rPr>
        <w:rStyle w:val="33"/>
        <w:rFonts w:cs="黑体"/>
      </w:rPr>
      <w:fldChar w:fldCharType="begin"/>
    </w:r>
    <w:r>
      <w:rPr>
        <w:rStyle w:val="33"/>
        <w:rFonts w:cs="黑体"/>
      </w:rPr>
      <w:instrText xml:space="preserve">PAGE  </w:instrText>
    </w:r>
    <w:r>
      <w:rPr>
        <w:rStyle w:val="33"/>
        <w:rFonts w:cs="黑体"/>
      </w:rPr>
      <w:fldChar w:fldCharType="separate"/>
    </w:r>
    <w:r>
      <w:rPr>
        <w:rStyle w:val="33"/>
        <w:rFonts w:cs="黑体"/>
      </w:rPr>
      <w:t>24</w:t>
    </w:r>
    <w:r>
      <w:rPr>
        <w:rStyle w:val="33"/>
        <w:rFonts w:cs="黑体"/>
      </w:rP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630"/>
      <w:rPr>
        <w:rStyle w:val="33"/>
        <w:rFonts w:cs="黑体"/>
      </w:rPr>
    </w:pPr>
  </w:p>
  <w:p>
    <w:pPr>
      <w:pStyle w:val="18"/>
      <w:ind w:right="7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630"/>
      <w:rPr>
        <w:rStyle w:val="33"/>
        <w:rFonts w:cs="黑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w:t>
                    </w:r>
                    <w:r>
                      <w:fldChar w:fldCharType="end"/>
                    </w:r>
                  </w:p>
                </w:txbxContent>
              </v:textbox>
            </v:shape>
          </w:pict>
        </mc:Fallback>
      </mc:AlternateContent>
    </w:r>
  </w:p>
  <w:p>
    <w:pPr>
      <w:pStyle w:val="18"/>
      <w:ind w:right="72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630"/>
      <w:rPr>
        <w:rStyle w:val="33"/>
        <w:rFonts w:cs="黑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9axMo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RZ&#10;vV5mhfoANSY+BExNw50fcG9mP6AzEx9UtPmLlAjGUd/zVV85JCLyo/Vqva4wJDA2XxCfPT4PEdJb&#10;6S3JRkMjDrDoyk/vIY2pc0qu5vy9NqYM0bi/HIiZPSz3PvaYrTTsh4nQ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T9axMoBAACcAwAADgAAAAAAAAABACAAAAAeAQAAZHJzL2Uyb0Rv&#10;Yy54bWxQSwUGAAAAAAYABgBZAQAAWg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p>
    <w:pPr>
      <w:pStyle w:val="18"/>
      <w:ind w:right="72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hnRM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l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m4Z0TLAQAAnAMAAA4AAAAAAAAAAQAgAAAAHgEAAGRycy9lMm9E&#10;b2MueG1sUEsFBgAAAAAGAAYAWQEAAFs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uvqMsBAACcAwAADgAAAGRycy9lMm9Eb2MueG1srVPNjtMwEL4j8Q6W&#10;79RpF6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fUmJ4xYHfvn+7fLj1+XnV7Ks&#10;bm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sLr6jLAQAAnAMAAA4AAAAAAAAAAQAgAAAAHgEAAGRycy9lMm9E&#10;b2MueG1sUEsFBgAAAAAGAAYAWQEAAFs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f2aMsBAACcAwAADgAAAGRycy9lMm9Eb2MueG1srVPNjtMwEL4j8Q6W&#10;79RpQ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lDiuMWBX75/u/z4dfn5lSyr&#10;l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tH9mjLAQAAnAMAAA4AAAAAAAAAAQAgAAAAHgEAAGRycy9lMm9E&#10;b2MueG1sUEsFBgAAAAAGAAYAWQEAAFs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Cs w:val="15"/>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spacing w:line="360" w:lineRule="auto"/>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spacing w:line="360" w:lineRule="auto"/>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910D8"/>
    <w:multiLevelType w:val="singleLevel"/>
    <w:tmpl w:val="807910D8"/>
    <w:lvl w:ilvl="0" w:tentative="0">
      <w:start w:val="1"/>
      <w:numFmt w:val="decimal"/>
      <w:lvlText w:val="%1."/>
      <w:lvlJc w:val="left"/>
      <w:pPr>
        <w:tabs>
          <w:tab w:val="left" w:pos="312"/>
        </w:tabs>
      </w:pPr>
    </w:lvl>
  </w:abstractNum>
  <w:abstractNum w:abstractNumId="1">
    <w:nsid w:val="A9E01D06"/>
    <w:multiLevelType w:val="singleLevel"/>
    <w:tmpl w:val="A9E01D06"/>
    <w:lvl w:ilvl="0" w:tentative="0">
      <w:start w:val="1"/>
      <w:numFmt w:val="chineseCounting"/>
      <w:suff w:val="nothing"/>
      <w:lvlText w:val="%1、"/>
      <w:lvlJc w:val="left"/>
      <w:rPr>
        <w:rFonts w:hint="eastAsia"/>
      </w:rPr>
    </w:lvl>
  </w:abstractNum>
  <w:abstractNum w:abstractNumId="2">
    <w:nsid w:val="B0DAA993"/>
    <w:multiLevelType w:val="singleLevel"/>
    <w:tmpl w:val="B0DAA993"/>
    <w:lvl w:ilvl="0" w:tentative="0">
      <w:start w:val="3"/>
      <w:numFmt w:val="chineseCounting"/>
      <w:suff w:val="nothing"/>
      <w:lvlText w:val="%1、"/>
      <w:lvlJc w:val="left"/>
      <w:rPr>
        <w:rFonts w:hint="eastAsia" w:cs="Times New Roman"/>
      </w:rPr>
    </w:lvl>
  </w:abstractNum>
  <w:abstractNum w:abstractNumId="3">
    <w:nsid w:val="B245BC0D"/>
    <w:multiLevelType w:val="singleLevel"/>
    <w:tmpl w:val="B245BC0D"/>
    <w:lvl w:ilvl="0" w:tentative="0">
      <w:start w:val="3"/>
      <w:numFmt w:val="chineseCounting"/>
      <w:lvlText w:val="%1."/>
      <w:lvlJc w:val="left"/>
      <w:pPr>
        <w:tabs>
          <w:tab w:val="left" w:pos="312"/>
        </w:tabs>
      </w:pPr>
      <w:rPr>
        <w:rFonts w:hint="eastAsia"/>
      </w:rPr>
    </w:lvl>
  </w:abstractNum>
  <w:abstractNum w:abstractNumId="4">
    <w:nsid w:val="CBFA4539"/>
    <w:multiLevelType w:val="singleLevel"/>
    <w:tmpl w:val="CBFA4539"/>
    <w:lvl w:ilvl="0" w:tentative="0">
      <w:start w:val="1"/>
      <w:numFmt w:val="decimal"/>
      <w:suff w:val="nothing"/>
      <w:lvlText w:val="（%1）"/>
      <w:lvlJc w:val="left"/>
    </w:lvl>
  </w:abstractNum>
  <w:abstractNum w:abstractNumId="5">
    <w:nsid w:val="D1E4BB99"/>
    <w:multiLevelType w:val="singleLevel"/>
    <w:tmpl w:val="D1E4BB99"/>
    <w:lvl w:ilvl="0" w:tentative="0">
      <w:start w:val="2"/>
      <w:numFmt w:val="chineseCounting"/>
      <w:suff w:val="space"/>
      <w:lvlText w:val="第%1章"/>
      <w:lvlJc w:val="left"/>
      <w:rPr>
        <w:rFonts w:hint="eastAsia"/>
      </w:rPr>
    </w:lvl>
  </w:abstractNum>
  <w:abstractNum w:abstractNumId="6">
    <w:nsid w:val="F597299F"/>
    <w:multiLevelType w:val="singleLevel"/>
    <w:tmpl w:val="F597299F"/>
    <w:lvl w:ilvl="0" w:tentative="0">
      <w:start w:val="1"/>
      <w:numFmt w:val="decimal"/>
      <w:pStyle w:val="6"/>
      <w:lvlText w:val="%1."/>
      <w:lvlJc w:val="left"/>
      <w:pPr>
        <w:tabs>
          <w:tab w:val="left" w:pos="360"/>
        </w:tabs>
        <w:ind w:left="360" w:hanging="360"/>
      </w:pPr>
    </w:lvl>
  </w:abstractNum>
  <w:abstractNum w:abstractNumId="7">
    <w:nsid w:val="29D120CC"/>
    <w:multiLevelType w:val="singleLevel"/>
    <w:tmpl w:val="29D120CC"/>
    <w:lvl w:ilvl="0" w:tentative="0">
      <w:start w:val="1"/>
      <w:numFmt w:val="decimal"/>
      <w:suff w:val="nothing"/>
      <w:lvlText w:val="（%1）"/>
      <w:lvlJc w:val="left"/>
    </w:lvl>
  </w:abstractNum>
  <w:abstractNum w:abstractNumId="8">
    <w:nsid w:val="2F7B1D60"/>
    <w:multiLevelType w:val="singleLevel"/>
    <w:tmpl w:val="2F7B1D60"/>
    <w:lvl w:ilvl="0" w:tentative="0">
      <w:start w:val="1"/>
      <w:numFmt w:val="decimal"/>
      <w:lvlText w:val="%1."/>
      <w:lvlJc w:val="left"/>
      <w:pPr>
        <w:tabs>
          <w:tab w:val="left" w:pos="312"/>
        </w:tabs>
      </w:pPr>
    </w:lvl>
  </w:abstractNum>
  <w:abstractNum w:abstractNumId="9">
    <w:nsid w:val="314B09FF"/>
    <w:multiLevelType w:val="singleLevel"/>
    <w:tmpl w:val="314B09FF"/>
    <w:lvl w:ilvl="0" w:tentative="0">
      <w:start w:val="1"/>
      <w:numFmt w:val="decimal"/>
      <w:suff w:val="nothing"/>
      <w:lvlText w:val="（%1）"/>
      <w:lvlJc w:val="left"/>
    </w:lvl>
  </w:abstractNum>
  <w:abstractNum w:abstractNumId="10">
    <w:nsid w:val="35A9FF00"/>
    <w:multiLevelType w:val="singleLevel"/>
    <w:tmpl w:val="35A9FF00"/>
    <w:lvl w:ilvl="0" w:tentative="0">
      <w:start w:val="1"/>
      <w:numFmt w:val="decimal"/>
      <w:suff w:val="nothing"/>
      <w:lvlText w:val="（%1）"/>
      <w:lvlJc w:val="left"/>
      <w:rPr>
        <w:rFonts w:cs="Times New Roman"/>
      </w:rPr>
    </w:lvl>
  </w:abstractNum>
  <w:abstractNum w:abstractNumId="11">
    <w:nsid w:val="56FB16F3"/>
    <w:multiLevelType w:val="multilevel"/>
    <w:tmpl w:val="56FB16F3"/>
    <w:lvl w:ilvl="0" w:tentative="0">
      <w:start w:val="1"/>
      <w:numFmt w:val="decimal"/>
      <w:pStyle w:val="72"/>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12">
    <w:nsid w:val="59E701E1"/>
    <w:multiLevelType w:val="singleLevel"/>
    <w:tmpl w:val="59E701E1"/>
    <w:lvl w:ilvl="0" w:tentative="0">
      <w:start w:val="1"/>
      <w:numFmt w:val="decimal"/>
      <w:suff w:val="nothing"/>
      <w:lvlText w:val="（%1）"/>
      <w:lvlJc w:val="left"/>
      <w:rPr>
        <w:rFonts w:cs="Times New Roman"/>
      </w:rPr>
    </w:lvl>
  </w:abstractNum>
  <w:abstractNum w:abstractNumId="13">
    <w:nsid w:val="5A715733"/>
    <w:multiLevelType w:val="singleLevel"/>
    <w:tmpl w:val="5A715733"/>
    <w:lvl w:ilvl="0" w:tentative="0">
      <w:start w:val="6"/>
      <w:numFmt w:val="chineseCounting"/>
      <w:suff w:val="space"/>
      <w:lvlText w:val="第%1章"/>
      <w:lvlJc w:val="left"/>
      <w:rPr>
        <w:rFonts w:cs="Times New Roman"/>
      </w:rPr>
    </w:lvl>
  </w:abstractNum>
  <w:num w:numId="1">
    <w:abstractNumId w:val="6"/>
  </w:num>
  <w:num w:numId="2">
    <w:abstractNumId w:val="11"/>
  </w:num>
  <w:num w:numId="3">
    <w:abstractNumId w:val="5"/>
  </w:num>
  <w:num w:numId="4">
    <w:abstractNumId w:val="1"/>
  </w:num>
  <w:num w:numId="5">
    <w:abstractNumId w:val="8"/>
  </w:num>
  <w:num w:numId="6">
    <w:abstractNumId w:val="10"/>
  </w:num>
  <w:num w:numId="7">
    <w:abstractNumId w:val="7"/>
  </w:num>
  <w:num w:numId="8">
    <w:abstractNumId w:val="12"/>
  </w:num>
  <w:num w:numId="9">
    <w:abstractNumId w:val="4"/>
  </w:num>
  <w:num w:numId="10">
    <w:abstractNumId w:val="0"/>
  </w:num>
  <w:num w:numId="11">
    <w:abstractNumId w:val="9"/>
  </w:num>
  <w:num w:numId="12">
    <w:abstractNumId w:val="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Y2NlZjliNzNlZjZjNmQwOGJkNzE4YWQyMjk5NDgifQ=="/>
  </w:docVars>
  <w:rsids>
    <w:rsidRoot w:val="00D471AC"/>
    <w:rsid w:val="00043628"/>
    <w:rsid w:val="000438CF"/>
    <w:rsid w:val="00046469"/>
    <w:rsid w:val="00067C52"/>
    <w:rsid w:val="00072CA6"/>
    <w:rsid w:val="00092090"/>
    <w:rsid w:val="00093EDB"/>
    <w:rsid w:val="000A3CC8"/>
    <w:rsid w:val="000A5E0C"/>
    <w:rsid w:val="000C6FCD"/>
    <w:rsid w:val="00124427"/>
    <w:rsid w:val="00136A8D"/>
    <w:rsid w:val="00167910"/>
    <w:rsid w:val="00195603"/>
    <w:rsid w:val="001D3F23"/>
    <w:rsid w:val="00205374"/>
    <w:rsid w:val="00224CAA"/>
    <w:rsid w:val="002503D0"/>
    <w:rsid w:val="00266EF2"/>
    <w:rsid w:val="002866B7"/>
    <w:rsid w:val="002D4EF8"/>
    <w:rsid w:val="00324E72"/>
    <w:rsid w:val="0034632B"/>
    <w:rsid w:val="00395E44"/>
    <w:rsid w:val="003A43D8"/>
    <w:rsid w:val="00504C8A"/>
    <w:rsid w:val="00542875"/>
    <w:rsid w:val="005548D3"/>
    <w:rsid w:val="00581A7D"/>
    <w:rsid w:val="005C31E8"/>
    <w:rsid w:val="005D133D"/>
    <w:rsid w:val="00651359"/>
    <w:rsid w:val="00677167"/>
    <w:rsid w:val="006A02E9"/>
    <w:rsid w:val="006A113A"/>
    <w:rsid w:val="006E68E3"/>
    <w:rsid w:val="0071209B"/>
    <w:rsid w:val="00742E06"/>
    <w:rsid w:val="00774797"/>
    <w:rsid w:val="00784D25"/>
    <w:rsid w:val="00795D01"/>
    <w:rsid w:val="00796092"/>
    <w:rsid w:val="007C2014"/>
    <w:rsid w:val="007E03D2"/>
    <w:rsid w:val="00803A68"/>
    <w:rsid w:val="0080633F"/>
    <w:rsid w:val="00822506"/>
    <w:rsid w:val="008A7FF6"/>
    <w:rsid w:val="008E1AC5"/>
    <w:rsid w:val="00916F40"/>
    <w:rsid w:val="00963723"/>
    <w:rsid w:val="009A4362"/>
    <w:rsid w:val="009F317B"/>
    <w:rsid w:val="00A13BAD"/>
    <w:rsid w:val="00B352BA"/>
    <w:rsid w:val="00B67E54"/>
    <w:rsid w:val="00B771B3"/>
    <w:rsid w:val="00BF4A1B"/>
    <w:rsid w:val="00C2712D"/>
    <w:rsid w:val="00C414CA"/>
    <w:rsid w:val="00C43E46"/>
    <w:rsid w:val="00C9628D"/>
    <w:rsid w:val="00CF40BD"/>
    <w:rsid w:val="00D111B4"/>
    <w:rsid w:val="00D471AC"/>
    <w:rsid w:val="00D62105"/>
    <w:rsid w:val="00E0590B"/>
    <w:rsid w:val="00E87D22"/>
    <w:rsid w:val="00EC1E41"/>
    <w:rsid w:val="00F163AF"/>
    <w:rsid w:val="00F22F11"/>
    <w:rsid w:val="00F34833"/>
    <w:rsid w:val="00F97FE8"/>
    <w:rsid w:val="00FD3CD4"/>
    <w:rsid w:val="01243845"/>
    <w:rsid w:val="012C2953"/>
    <w:rsid w:val="01430827"/>
    <w:rsid w:val="01E8268F"/>
    <w:rsid w:val="01F3521E"/>
    <w:rsid w:val="025136CE"/>
    <w:rsid w:val="02597C15"/>
    <w:rsid w:val="03056297"/>
    <w:rsid w:val="03310369"/>
    <w:rsid w:val="03423503"/>
    <w:rsid w:val="03861F5B"/>
    <w:rsid w:val="03A025E5"/>
    <w:rsid w:val="03A60F79"/>
    <w:rsid w:val="03AA066B"/>
    <w:rsid w:val="040B6014"/>
    <w:rsid w:val="04180C71"/>
    <w:rsid w:val="041A726D"/>
    <w:rsid w:val="0428192D"/>
    <w:rsid w:val="04B52C5F"/>
    <w:rsid w:val="04B70A1A"/>
    <w:rsid w:val="04F632CA"/>
    <w:rsid w:val="05017C52"/>
    <w:rsid w:val="051D4760"/>
    <w:rsid w:val="051F0E28"/>
    <w:rsid w:val="059B00A7"/>
    <w:rsid w:val="063E1434"/>
    <w:rsid w:val="063E4861"/>
    <w:rsid w:val="065A7F28"/>
    <w:rsid w:val="067C6586"/>
    <w:rsid w:val="06826CFA"/>
    <w:rsid w:val="06E664F6"/>
    <w:rsid w:val="07193154"/>
    <w:rsid w:val="08F6354F"/>
    <w:rsid w:val="090C0608"/>
    <w:rsid w:val="09407AFF"/>
    <w:rsid w:val="09816FF1"/>
    <w:rsid w:val="09884FF0"/>
    <w:rsid w:val="0A135F1E"/>
    <w:rsid w:val="0A88708F"/>
    <w:rsid w:val="0ADC767B"/>
    <w:rsid w:val="0B0C60DD"/>
    <w:rsid w:val="0B1820B7"/>
    <w:rsid w:val="0B29695B"/>
    <w:rsid w:val="0B793641"/>
    <w:rsid w:val="0BA72173"/>
    <w:rsid w:val="0C624801"/>
    <w:rsid w:val="0C9D4260"/>
    <w:rsid w:val="0CB4167B"/>
    <w:rsid w:val="0D242EEB"/>
    <w:rsid w:val="0D3A009E"/>
    <w:rsid w:val="0D714362"/>
    <w:rsid w:val="0E121EF0"/>
    <w:rsid w:val="0E504642"/>
    <w:rsid w:val="0EA50733"/>
    <w:rsid w:val="0F5E0556"/>
    <w:rsid w:val="0FE933E4"/>
    <w:rsid w:val="104D121B"/>
    <w:rsid w:val="111711E9"/>
    <w:rsid w:val="11530A73"/>
    <w:rsid w:val="11622CCB"/>
    <w:rsid w:val="116705D7"/>
    <w:rsid w:val="119A56B6"/>
    <w:rsid w:val="11A10E2C"/>
    <w:rsid w:val="11B226FD"/>
    <w:rsid w:val="11DF756D"/>
    <w:rsid w:val="120846CE"/>
    <w:rsid w:val="120967FA"/>
    <w:rsid w:val="12224E87"/>
    <w:rsid w:val="12664A14"/>
    <w:rsid w:val="12D214EF"/>
    <w:rsid w:val="12DB0330"/>
    <w:rsid w:val="13274D28"/>
    <w:rsid w:val="133C7554"/>
    <w:rsid w:val="1387364E"/>
    <w:rsid w:val="1438546B"/>
    <w:rsid w:val="147E306D"/>
    <w:rsid w:val="14B22D17"/>
    <w:rsid w:val="150A18F9"/>
    <w:rsid w:val="15AD360F"/>
    <w:rsid w:val="15BB08AF"/>
    <w:rsid w:val="16081784"/>
    <w:rsid w:val="16330800"/>
    <w:rsid w:val="16691333"/>
    <w:rsid w:val="16833BD2"/>
    <w:rsid w:val="16CF1CFB"/>
    <w:rsid w:val="16DC7FB0"/>
    <w:rsid w:val="16E3375C"/>
    <w:rsid w:val="16EF3DAF"/>
    <w:rsid w:val="170F6D30"/>
    <w:rsid w:val="172D421D"/>
    <w:rsid w:val="1764038C"/>
    <w:rsid w:val="17BE37F0"/>
    <w:rsid w:val="188A11C2"/>
    <w:rsid w:val="19735B94"/>
    <w:rsid w:val="19824894"/>
    <w:rsid w:val="19EA77FA"/>
    <w:rsid w:val="1A420555"/>
    <w:rsid w:val="1B067919"/>
    <w:rsid w:val="1B351FAC"/>
    <w:rsid w:val="1B3A3F8E"/>
    <w:rsid w:val="1B8D2C3F"/>
    <w:rsid w:val="1B913A0C"/>
    <w:rsid w:val="1BF14125"/>
    <w:rsid w:val="1C292529"/>
    <w:rsid w:val="1C2B42A4"/>
    <w:rsid w:val="1C4701E9"/>
    <w:rsid w:val="1C6C0401"/>
    <w:rsid w:val="1C7D545A"/>
    <w:rsid w:val="1D316506"/>
    <w:rsid w:val="1D5F1562"/>
    <w:rsid w:val="1D824F16"/>
    <w:rsid w:val="1E3A1AC2"/>
    <w:rsid w:val="1E4D5000"/>
    <w:rsid w:val="1EA058B5"/>
    <w:rsid w:val="1EB33165"/>
    <w:rsid w:val="1ED80DD4"/>
    <w:rsid w:val="1EE602D3"/>
    <w:rsid w:val="1EF359DF"/>
    <w:rsid w:val="201F629E"/>
    <w:rsid w:val="2028178C"/>
    <w:rsid w:val="20322891"/>
    <w:rsid w:val="207C488B"/>
    <w:rsid w:val="209C3D4E"/>
    <w:rsid w:val="20A83807"/>
    <w:rsid w:val="2125340C"/>
    <w:rsid w:val="21970573"/>
    <w:rsid w:val="21991FB1"/>
    <w:rsid w:val="221D30A5"/>
    <w:rsid w:val="22223DAF"/>
    <w:rsid w:val="2254486F"/>
    <w:rsid w:val="22B934C3"/>
    <w:rsid w:val="22EC18DD"/>
    <w:rsid w:val="2306417E"/>
    <w:rsid w:val="23115623"/>
    <w:rsid w:val="231F2E16"/>
    <w:rsid w:val="233F5920"/>
    <w:rsid w:val="2379488D"/>
    <w:rsid w:val="237C10C0"/>
    <w:rsid w:val="23F725AB"/>
    <w:rsid w:val="24847199"/>
    <w:rsid w:val="249A5874"/>
    <w:rsid w:val="24F64A17"/>
    <w:rsid w:val="24FD260E"/>
    <w:rsid w:val="250B0D38"/>
    <w:rsid w:val="25141A53"/>
    <w:rsid w:val="25240956"/>
    <w:rsid w:val="256702B4"/>
    <w:rsid w:val="25876DFD"/>
    <w:rsid w:val="2593660F"/>
    <w:rsid w:val="260B0489"/>
    <w:rsid w:val="26264FCA"/>
    <w:rsid w:val="26C52697"/>
    <w:rsid w:val="26CD21E8"/>
    <w:rsid w:val="271B3E6D"/>
    <w:rsid w:val="2742617D"/>
    <w:rsid w:val="2759263F"/>
    <w:rsid w:val="279B3AC0"/>
    <w:rsid w:val="27C161AE"/>
    <w:rsid w:val="27EC60E8"/>
    <w:rsid w:val="282541FA"/>
    <w:rsid w:val="28507290"/>
    <w:rsid w:val="285C0938"/>
    <w:rsid w:val="28866D03"/>
    <w:rsid w:val="28FE60D3"/>
    <w:rsid w:val="29206404"/>
    <w:rsid w:val="29830906"/>
    <w:rsid w:val="2A021201"/>
    <w:rsid w:val="2AB32EED"/>
    <w:rsid w:val="2AC154AB"/>
    <w:rsid w:val="2AC16B1D"/>
    <w:rsid w:val="2AE21F11"/>
    <w:rsid w:val="2AEA3B3F"/>
    <w:rsid w:val="2B2C3A65"/>
    <w:rsid w:val="2B4D1B15"/>
    <w:rsid w:val="2B780678"/>
    <w:rsid w:val="2C0241AC"/>
    <w:rsid w:val="2C1A509C"/>
    <w:rsid w:val="2C3F78DD"/>
    <w:rsid w:val="2C632E05"/>
    <w:rsid w:val="2CAB6E6D"/>
    <w:rsid w:val="2CBC3324"/>
    <w:rsid w:val="2D37076F"/>
    <w:rsid w:val="2D8172D3"/>
    <w:rsid w:val="2DC46814"/>
    <w:rsid w:val="2DF003D9"/>
    <w:rsid w:val="2E045F3A"/>
    <w:rsid w:val="2E1B3283"/>
    <w:rsid w:val="2E5A4D4E"/>
    <w:rsid w:val="2E70537D"/>
    <w:rsid w:val="2EB57D7D"/>
    <w:rsid w:val="2F0E7699"/>
    <w:rsid w:val="2F8E06FF"/>
    <w:rsid w:val="302642EE"/>
    <w:rsid w:val="30576FA0"/>
    <w:rsid w:val="306C7DC6"/>
    <w:rsid w:val="30B72ED7"/>
    <w:rsid w:val="30DF0ADC"/>
    <w:rsid w:val="31286232"/>
    <w:rsid w:val="317C199B"/>
    <w:rsid w:val="31A17C16"/>
    <w:rsid w:val="32042B7D"/>
    <w:rsid w:val="32D81E00"/>
    <w:rsid w:val="330A7F5F"/>
    <w:rsid w:val="3317670F"/>
    <w:rsid w:val="336254B1"/>
    <w:rsid w:val="33866D5B"/>
    <w:rsid w:val="33BE5356"/>
    <w:rsid w:val="33E02FA5"/>
    <w:rsid w:val="33F1209E"/>
    <w:rsid w:val="33FC1326"/>
    <w:rsid w:val="340F4E76"/>
    <w:rsid w:val="346F4E38"/>
    <w:rsid w:val="34AB6809"/>
    <w:rsid w:val="34EC248E"/>
    <w:rsid w:val="35307BAB"/>
    <w:rsid w:val="355E26C5"/>
    <w:rsid w:val="35671868"/>
    <w:rsid w:val="3599165E"/>
    <w:rsid w:val="35D0330C"/>
    <w:rsid w:val="35ED2F20"/>
    <w:rsid w:val="36C8583E"/>
    <w:rsid w:val="370E1966"/>
    <w:rsid w:val="37124147"/>
    <w:rsid w:val="374F1A68"/>
    <w:rsid w:val="37531CE0"/>
    <w:rsid w:val="37D4759C"/>
    <w:rsid w:val="37E330E8"/>
    <w:rsid w:val="38237904"/>
    <w:rsid w:val="38790421"/>
    <w:rsid w:val="38A31C6B"/>
    <w:rsid w:val="38F85BA0"/>
    <w:rsid w:val="392C1B1A"/>
    <w:rsid w:val="393523EF"/>
    <w:rsid w:val="39535FC7"/>
    <w:rsid w:val="39551126"/>
    <w:rsid w:val="396E70EE"/>
    <w:rsid w:val="39CA05A9"/>
    <w:rsid w:val="39E70032"/>
    <w:rsid w:val="39FC3E94"/>
    <w:rsid w:val="3A5C0EAC"/>
    <w:rsid w:val="3A7E4889"/>
    <w:rsid w:val="3ABF2E7F"/>
    <w:rsid w:val="3ACE1A3C"/>
    <w:rsid w:val="3B4A33E5"/>
    <w:rsid w:val="3B9F6273"/>
    <w:rsid w:val="3BBA30C0"/>
    <w:rsid w:val="3BD87160"/>
    <w:rsid w:val="3C3539BA"/>
    <w:rsid w:val="3C581B4B"/>
    <w:rsid w:val="3C5B6C9E"/>
    <w:rsid w:val="3C69530D"/>
    <w:rsid w:val="3C7C12C2"/>
    <w:rsid w:val="3CF040C1"/>
    <w:rsid w:val="3D234845"/>
    <w:rsid w:val="3D673DEF"/>
    <w:rsid w:val="3DA31D02"/>
    <w:rsid w:val="3E0A75AD"/>
    <w:rsid w:val="3E2B3DAF"/>
    <w:rsid w:val="3E3D1BDA"/>
    <w:rsid w:val="3F1B2901"/>
    <w:rsid w:val="3F4F2F28"/>
    <w:rsid w:val="3F571DD2"/>
    <w:rsid w:val="3FC7326B"/>
    <w:rsid w:val="3FD634AE"/>
    <w:rsid w:val="3FE048D3"/>
    <w:rsid w:val="40806F3C"/>
    <w:rsid w:val="40D664CD"/>
    <w:rsid w:val="40F0393A"/>
    <w:rsid w:val="41200E85"/>
    <w:rsid w:val="412B5592"/>
    <w:rsid w:val="41D34A2F"/>
    <w:rsid w:val="41EF6221"/>
    <w:rsid w:val="41FD370B"/>
    <w:rsid w:val="42215DB6"/>
    <w:rsid w:val="42D82544"/>
    <w:rsid w:val="436057D9"/>
    <w:rsid w:val="43EF46F2"/>
    <w:rsid w:val="44513EF9"/>
    <w:rsid w:val="44C82306"/>
    <w:rsid w:val="451F5A64"/>
    <w:rsid w:val="455D3D6C"/>
    <w:rsid w:val="45757717"/>
    <w:rsid w:val="45983EDC"/>
    <w:rsid w:val="45F75CEB"/>
    <w:rsid w:val="465463B0"/>
    <w:rsid w:val="467D2580"/>
    <w:rsid w:val="46C17D16"/>
    <w:rsid w:val="46DF4F04"/>
    <w:rsid w:val="46FB679A"/>
    <w:rsid w:val="471E3B01"/>
    <w:rsid w:val="472100B2"/>
    <w:rsid w:val="478D6B48"/>
    <w:rsid w:val="47913EA5"/>
    <w:rsid w:val="48084518"/>
    <w:rsid w:val="480C59B4"/>
    <w:rsid w:val="48986BDF"/>
    <w:rsid w:val="48E8649B"/>
    <w:rsid w:val="494F5253"/>
    <w:rsid w:val="49586DEC"/>
    <w:rsid w:val="49D93385"/>
    <w:rsid w:val="4A390CF7"/>
    <w:rsid w:val="4A554800"/>
    <w:rsid w:val="4B325D24"/>
    <w:rsid w:val="4B5E1965"/>
    <w:rsid w:val="4BD20FCE"/>
    <w:rsid w:val="4C325F10"/>
    <w:rsid w:val="4C787DC7"/>
    <w:rsid w:val="4C905A31"/>
    <w:rsid w:val="4D0F0E76"/>
    <w:rsid w:val="4D540032"/>
    <w:rsid w:val="4E5E288B"/>
    <w:rsid w:val="4EC02C51"/>
    <w:rsid w:val="4EC2427A"/>
    <w:rsid w:val="4F195E9A"/>
    <w:rsid w:val="4FB85102"/>
    <w:rsid w:val="508911FE"/>
    <w:rsid w:val="50974E45"/>
    <w:rsid w:val="50C07F8E"/>
    <w:rsid w:val="50D624C3"/>
    <w:rsid w:val="510D7C71"/>
    <w:rsid w:val="51594997"/>
    <w:rsid w:val="516A1E24"/>
    <w:rsid w:val="51D05FAF"/>
    <w:rsid w:val="51DD06CC"/>
    <w:rsid w:val="51E67934"/>
    <w:rsid w:val="51FD316B"/>
    <w:rsid w:val="527E0622"/>
    <w:rsid w:val="5302242E"/>
    <w:rsid w:val="53206EE7"/>
    <w:rsid w:val="546400DB"/>
    <w:rsid w:val="54A14576"/>
    <w:rsid w:val="54AD082A"/>
    <w:rsid w:val="54B06E77"/>
    <w:rsid w:val="54FA1FFD"/>
    <w:rsid w:val="55747287"/>
    <w:rsid w:val="561636C8"/>
    <w:rsid w:val="56AA767B"/>
    <w:rsid w:val="56C1236A"/>
    <w:rsid w:val="56CF36FB"/>
    <w:rsid w:val="572C049F"/>
    <w:rsid w:val="575012BC"/>
    <w:rsid w:val="575256B8"/>
    <w:rsid w:val="57AF3C52"/>
    <w:rsid w:val="57E4057F"/>
    <w:rsid w:val="58270847"/>
    <w:rsid w:val="582F6F19"/>
    <w:rsid w:val="586909CD"/>
    <w:rsid w:val="587D1420"/>
    <w:rsid w:val="588B5686"/>
    <w:rsid w:val="59205F69"/>
    <w:rsid w:val="595135A4"/>
    <w:rsid w:val="5984333F"/>
    <w:rsid w:val="59F3071D"/>
    <w:rsid w:val="59F40A9A"/>
    <w:rsid w:val="5A045656"/>
    <w:rsid w:val="5A240E5C"/>
    <w:rsid w:val="5A5D0203"/>
    <w:rsid w:val="5A5E52B0"/>
    <w:rsid w:val="5A8B7D89"/>
    <w:rsid w:val="5ADA2BD3"/>
    <w:rsid w:val="5AF870FA"/>
    <w:rsid w:val="5B0B4D20"/>
    <w:rsid w:val="5B437EA1"/>
    <w:rsid w:val="5BC07ECB"/>
    <w:rsid w:val="5BC91971"/>
    <w:rsid w:val="5BCB77E7"/>
    <w:rsid w:val="5C27009C"/>
    <w:rsid w:val="5C277AD2"/>
    <w:rsid w:val="5C3253B4"/>
    <w:rsid w:val="5C714550"/>
    <w:rsid w:val="5C907E7B"/>
    <w:rsid w:val="5CCD601D"/>
    <w:rsid w:val="5CE97AEB"/>
    <w:rsid w:val="5CEC78FF"/>
    <w:rsid w:val="5D10604B"/>
    <w:rsid w:val="5D2656C7"/>
    <w:rsid w:val="5D375134"/>
    <w:rsid w:val="5D810325"/>
    <w:rsid w:val="5DF55672"/>
    <w:rsid w:val="5E303A33"/>
    <w:rsid w:val="5EB14BA1"/>
    <w:rsid w:val="5F094C77"/>
    <w:rsid w:val="5FB11D3D"/>
    <w:rsid w:val="603070A6"/>
    <w:rsid w:val="603E1A61"/>
    <w:rsid w:val="609D7672"/>
    <w:rsid w:val="6124179C"/>
    <w:rsid w:val="614B63EE"/>
    <w:rsid w:val="62147916"/>
    <w:rsid w:val="634201F3"/>
    <w:rsid w:val="638135AD"/>
    <w:rsid w:val="63857033"/>
    <w:rsid w:val="63927568"/>
    <w:rsid w:val="63D82954"/>
    <w:rsid w:val="643C1B8C"/>
    <w:rsid w:val="6451167A"/>
    <w:rsid w:val="64960153"/>
    <w:rsid w:val="64F32289"/>
    <w:rsid w:val="651E383A"/>
    <w:rsid w:val="653919FB"/>
    <w:rsid w:val="653A2C40"/>
    <w:rsid w:val="65741EA4"/>
    <w:rsid w:val="65A140F7"/>
    <w:rsid w:val="65F704F9"/>
    <w:rsid w:val="66030D64"/>
    <w:rsid w:val="661E1820"/>
    <w:rsid w:val="662621EA"/>
    <w:rsid w:val="66691B19"/>
    <w:rsid w:val="669B30B4"/>
    <w:rsid w:val="66E8338F"/>
    <w:rsid w:val="675114E9"/>
    <w:rsid w:val="67557727"/>
    <w:rsid w:val="678E6299"/>
    <w:rsid w:val="67D53EC8"/>
    <w:rsid w:val="68021272"/>
    <w:rsid w:val="681355E8"/>
    <w:rsid w:val="69144E0F"/>
    <w:rsid w:val="693408EC"/>
    <w:rsid w:val="69967C92"/>
    <w:rsid w:val="699C74EB"/>
    <w:rsid w:val="6A095594"/>
    <w:rsid w:val="6A2427F6"/>
    <w:rsid w:val="6A537326"/>
    <w:rsid w:val="6A7F49DF"/>
    <w:rsid w:val="6A8504DF"/>
    <w:rsid w:val="6A9874D2"/>
    <w:rsid w:val="6ADF380C"/>
    <w:rsid w:val="6B0F76F1"/>
    <w:rsid w:val="6BFB112E"/>
    <w:rsid w:val="6C0F40FE"/>
    <w:rsid w:val="6C165000"/>
    <w:rsid w:val="6C842861"/>
    <w:rsid w:val="6C9A748E"/>
    <w:rsid w:val="6CA209DE"/>
    <w:rsid w:val="6E7B1B10"/>
    <w:rsid w:val="6E903995"/>
    <w:rsid w:val="6E9D37A0"/>
    <w:rsid w:val="6F866D9E"/>
    <w:rsid w:val="700C7095"/>
    <w:rsid w:val="700F1F41"/>
    <w:rsid w:val="70541FAA"/>
    <w:rsid w:val="7056329E"/>
    <w:rsid w:val="712249F0"/>
    <w:rsid w:val="714E0C15"/>
    <w:rsid w:val="7151531D"/>
    <w:rsid w:val="7169753E"/>
    <w:rsid w:val="719418BD"/>
    <w:rsid w:val="7195375A"/>
    <w:rsid w:val="71D26B2B"/>
    <w:rsid w:val="722038F6"/>
    <w:rsid w:val="726E6E50"/>
    <w:rsid w:val="7286066C"/>
    <w:rsid w:val="72A2709C"/>
    <w:rsid w:val="736F2225"/>
    <w:rsid w:val="73AB115A"/>
    <w:rsid w:val="73CE2563"/>
    <w:rsid w:val="73E159A2"/>
    <w:rsid w:val="74170E8C"/>
    <w:rsid w:val="74373814"/>
    <w:rsid w:val="747B0CE0"/>
    <w:rsid w:val="748F53FE"/>
    <w:rsid w:val="756F044F"/>
    <w:rsid w:val="75A010E7"/>
    <w:rsid w:val="75AD3D8E"/>
    <w:rsid w:val="75B40298"/>
    <w:rsid w:val="76BD4528"/>
    <w:rsid w:val="76D45DE2"/>
    <w:rsid w:val="76FA15CA"/>
    <w:rsid w:val="771A43CC"/>
    <w:rsid w:val="773510B9"/>
    <w:rsid w:val="774F6CD9"/>
    <w:rsid w:val="77525064"/>
    <w:rsid w:val="77AA1AB4"/>
    <w:rsid w:val="77AA4DBA"/>
    <w:rsid w:val="783D52C3"/>
    <w:rsid w:val="78A23DC7"/>
    <w:rsid w:val="79155564"/>
    <w:rsid w:val="791C4062"/>
    <w:rsid w:val="793B3DA7"/>
    <w:rsid w:val="79554AB2"/>
    <w:rsid w:val="797E29DF"/>
    <w:rsid w:val="79A30E65"/>
    <w:rsid w:val="79A656C4"/>
    <w:rsid w:val="79AA4B06"/>
    <w:rsid w:val="79DA536E"/>
    <w:rsid w:val="79E813E8"/>
    <w:rsid w:val="7A1A4FB4"/>
    <w:rsid w:val="7A3629A3"/>
    <w:rsid w:val="7AB21AD8"/>
    <w:rsid w:val="7AC23781"/>
    <w:rsid w:val="7AEA50F2"/>
    <w:rsid w:val="7B742055"/>
    <w:rsid w:val="7BB61FBB"/>
    <w:rsid w:val="7C352BA7"/>
    <w:rsid w:val="7CA4733E"/>
    <w:rsid w:val="7CAB4817"/>
    <w:rsid w:val="7CF81629"/>
    <w:rsid w:val="7CFE086B"/>
    <w:rsid w:val="7D7F7EA4"/>
    <w:rsid w:val="7DA0067C"/>
    <w:rsid w:val="7DC53433"/>
    <w:rsid w:val="7E07567F"/>
    <w:rsid w:val="7E891110"/>
    <w:rsid w:val="7E8D7DD7"/>
    <w:rsid w:val="7E8F1143"/>
    <w:rsid w:val="7EE041D4"/>
    <w:rsid w:val="7EE06F82"/>
    <w:rsid w:val="7EFD31B7"/>
    <w:rsid w:val="7F2B3445"/>
    <w:rsid w:val="7F4A3C39"/>
    <w:rsid w:val="7F6022DF"/>
    <w:rsid w:val="7F6B2667"/>
    <w:rsid w:val="7F8C01CA"/>
    <w:rsid w:val="7FF3005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qFormat="1" w:unhideWhenUsed="0" w:uiPriority="99" w:semiHidden="0" w:name="table of figures"/>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38"/>
    <w:qFormat/>
    <w:uiPriority w:val="99"/>
    <w:pPr>
      <w:keepNext/>
      <w:keepLines/>
      <w:spacing w:before="340" w:after="330" w:line="578" w:lineRule="auto"/>
      <w:outlineLvl w:val="0"/>
    </w:pPr>
    <w:rPr>
      <w:rFonts w:cs="Times New Roman"/>
      <w:b/>
      <w:bCs/>
      <w:kern w:val="44"/>
      <w:sz w:val="44"/>
      <w:szCs w:val="44"/>
    </w:rPr>
  </w:style>
  <w:style w:type="paragraph" w:styleId="4">
    <w:name w:val="heading 2"/>
    <w:basedOn w:val="1"/>
    <w:next w:val="1"/>
    <w:link w:val="39"/>
    <w:qFormat/>
    <w:uiPriority w:val="99"/>
    <w:pPr>
      <w:keepNext/>
      <w:keepLines/>
      <w:spacing w:line="413" w:lineRule="auto"/>
      <w:outlineLvl w:val="1"/>
    </w:pPr>
    <w:rPr>
      <w:rFonts w:ascii="Arial" w:hAnsi="Arial" w:eastAsia="黑体"/>
      <w:b/>
      <w:bCs/>
      <w:sz w:val="32"/>
      <w:szCs w:val="32"/>
    </w:rPr>
  </w:style>
  <w:style w:type="paragraph" w:styleId="5">
    <w:name w:val="heading 3"/>
    <w:basedOn w:val="1"/>
    <w:next w:val="1"/>
    <w:link w:val="40"/>
    <w:qFormat/>
    <w:uiPriority w:val="99"/>
    <w:pPr>
      <w:keepNext/>
      <w:keepLines/>
      <w:spacing w:before="260" w:after="260" w:line="416" w:lineRule="auto"/>
      <w:outlineLvl w:val="2"/>
    </w:pPr>
    <w:rPr>
      <w:b/>
      <w:bCs/>
      <w:sz w:val="32"/>
      <w:szCs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无间距1"/>
    <w:qFormat/>
    <w:uiPriority w:val="1"/>
    <w:pPr>
      <w:widowControl w:val="0"/>
      <w:jc w:val="both"/>
    </w:pPr>
    <w:rPr>
      <w:rFonts w:ascii="Calibri" w:hAnsi="Calibri" w:eastAsia="微软雅黑 Light" w:cs="Times New Roman"/>
      <w:kern w:val="2"/>
      <w:sz w:val="24"/>
      <w:szCs w:val="22"/>
      <w:lang w:val="en-US" w:eastAsia="zh-CN" w:bidi="ar-SA"/>
    </w:rPr>
  </w:style>
  <w:style w:type="paragraph" w:styleId="6">
    <w:name w:val="List Number"/>
    <w:basedOn w:val="1"/>
    <w:qFormat/>
    <w:uiPriority w:val="0"/>
    <w:pPr>
      <w:numPr>
        <w:ilvl w:val="0"/>
        <w:numId w:val="1"/>
      </w:numPr>
    </w:pPr>
  </w:style>
  <w:style w:type="paragraph" w:styleId="7">
    <w:name w:val="Normal Indent"/>
    <w:basedOn w:val="1"/>
    <w:qFormat/>
    <w:uiPriority w:val="99"/>
    <w:pPr>
      <w:ind w:firstLine="420"/>
    </w:pPr>
    <w:rPr>
      <w:szCs w:val="20"/>
    </w:rPr>
  </w:style>
  <w:style w:type="paragraph" w:styleId="8">
    <w:name w:val="annotation text"/>
    <w:basedOn w:val="1"/>
    <w:link w:val="41"/>
    <w:qFormat/>
    <w:uiPriority w:val="99"/>
    <w:pPr>
      <w:jc w:val="left"/>
    </w:pPr>
    <w:rPr>
      <w:rFonts w:cs="Times New Roman"/>
    </w:rPr>
  </w:style>
  <w:style w:type="paragraph" w:styleId="9">
    <w:name w:val="Salutation"/>
    <w:basedOn w:val="1"/>
    <w:next w:val="1"/>
    <w:link w:val="42"/>
    <w:qFormat/>
    <w:uiPriority w:val="99"/>
    <w:rPr>
      <w:rFonts w:cs="Times New Roman"/>
    </w:rPr>
  </w:style>
  <w:style w:type="paragraph" w:styleId="10">
    <w:name w:val="Body Text"/>
    <w:basedOn w:val="1"/>
    <w:next w:val="11"/>
    <w:link w:val="43"/>
    <w:qFormat/>
    <w:uiPriority w:val="99"/>
    <w:rPr>
      <w:rFonts w:eastAsia="黑体"/>
      <w:b/>
      <w:bCs/>
      <w:spacing w:val="20"/>
      <w:kern w:val="52"/>
      <w:sz w:val="56"/>
    </w:rPr>
  </w:style>
  <w:style w:type="paragraph" w:styleId="11">
    <w:name w:val="Body Text First Indent"/>
    <w:basedOn w:val="10"/>
    <w:link w:val="54"/>
    <w:qFormat/>
    <w:uiPriority w:val="99"/>
    <w:pPr>
      <w:spacing w:after="120"/>
      <w:ind w:firstLine="420" w:firstLineChars="100"/>
    </w:pPr>
    <w:rPr>
      <w:rFonts w:ascii="Times New Roman" w:hAnsi="Times New Roman" w:eastAsia="宋体" w:cs="Times New Roman"/>
      <w:b w:val="0"/>
      <w:bCs w:val="0"/>
      <w:color w:val="000000"/>
      <w:spacing w:val="0"/>
      <w:kern w:val="0"/>
      <w:sz w:val="21"/>
    </w:rPr>
  </w:style>
  <w:style w:type="paragraph" w:styleId="12">
    <w:name w:val="Body Text Indent"/>
    <w:basedOn w:val="1"/>
    <w:next w:val="1"/>
    <w:link w:val="44"/>
    <w:qFormat/>
    <w:uiPriority w:val="99"/>
    <w:pPr>
      <w:spacing w:line="200" w:lineRule="exact"/>
      <w:ind w:firstLine="301"/>
    </w:pPr>
    <w:rPr>
      <w:rFonts w:ascii="宋体" w:hAnsi="Courier New"/>
      <w:spacing w:val="-4"/>
      <w:sz w:val="18"/>
      <w:szCs w:val="20"/>
    </w:rPr>
  </w:style>
  <w:style w:type="paragraph" w:styleId="13">
    <w:name w:val="toc 3"/>
    <w:basedOn w:val="1"/>
    <w:next w:val="1"/>
    <w:qFormat/>
    <w:uiPriority w:val="99"/>
    <w:pPr>
      <w:ind w:left="840" w:leftChars="400"/>
    </w:pPr>
  </w:style>
  <w:style w:type="paragraph" w:styleId="14">
    <w:name w:val="Plain Text"/>
    <w:basedOn w:val="1"/>
    <w:next w:val="15"/>
    <w:link w:val="45"/>
    <w:qFormat/>
    <w:uiPriority w:val="99"/>
    <w:pPr>
      <w:spacing w:beforeLines="50" w:afterLines="50" w:line="400" w:lineRule="exact"/>
    </w:pPr>
    <w:rPr>
      <w:rFonts w:ascii="宋体" w:hAnsi="Courier New"/>
      <w:sz w:val="24"/>
    </w:rPr>
  </w:style>
  <w:style w:type="paragraph" w:styleId="15">
    <w:name w:val="Date"/>
    <w:basedOn w:val="1"/>
    <w:next w:val="1"/>
    <w:link w:val="46"/>
    <w:qFormat/>
    <w:uiPriority w:val="99"/>
    <w:pPr>
      <w:ind w:left="2500" w:leftChars="2500"/>
    </w:pPr>
    <w:rPr>
      <w:rFonts w:eastAsia="楷体_GB2312"/>
      <w:sz w:val="32"/>
      <w:szCs w:val="20"/>
    </w:rPr>
  </w:style>
  <w:style w:type="paragraph" w:styleId="16">
    <w:name w:val="Body Text Indent 2"/>
    <w:basedOn w:val="1"/>
    <w:link w:val="47"/>
    <w:qFormat/>
    <w:uiPriority w:val="99"/>
    <w:pPr>
      <w:spacing w:after="120" w:line="480" w:lineRule="auto"/>
      <w:ind w:left="420" w:leftChars="200"/>
    </w:pPr>
    <w:rPr>
      <w:szCs w:val="20"/>
    </w:rPr>
  </w:style>
  <w:style w:type="paragraph" w:styleId="17">
    <w:name w:val="Balloon Text"/>
    <w:basedOn w:val="1"/>
    <w:link w:val="48"/>
    <w:qFormat/>
    <w:uiPriority w:val="99"/>
    <w:rPr>
      <w:rFonts w:cs="Times New Roman"/>
      <w:sz w:val="18"/>
      <w:szCs w:val="18"/>
    </w:rPr>
  </w:style>
  <w:style w:type="paragraph" w:styleId="18">
    <w:name w:val="footer"/>
    <w:basedOn w:val="1"/>
    <w:link w:val="49"/>
    <w:qFormat/>
    <w:uiPriority w:val="99"/>
    <w:pPr>
      <w:tabs>
        <w:tab w:val="center" w:pos="4153"/>
        <w:tab w:val="right" w:pos="8306"/>
      </w:tabs>
      <w:snapToGrid w:val="0"/>
      <w:jc w:val="left"/>
    </w:pPr>
    <w:rPr>
      <w:rFonts w:eastAsia="黑体"/>
      <w:kern w:val="0"/>
      <w:sz w:val="18"/>
      <w:szCs w:val="18"/>
    </w:rPr>
  </w:style>
  <w:style w:type="paragraph" w:styleId="19">
    <w:name w:val="header"/>
    <w:basedOn w:val="1"/>
    <w:link w:val="50"/>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20">
    <w:name w:val="toc 1"/>
    <w:basedOn w:val="1"/>
    <w:next w:val="1"/>
    <w:qFormat/>
    <w:uiPriority w:val="99"/>
  </w:style>
  <w:style w:type="paragraph" w:styleId="21">
    <w:name w:val="List"/>
    <w:basedOn w:val="1"/>
    <w:qFormat/>
    <w:uiPriority w:val="99"/>
    <w:pPr>
      <w:ind w:left="200" w:hanging="200" w:hangingChars="200"/>
    </w:pPr>
    <w:rPr>
      <w:sz w:val="28"/>
    </w:rPr>
  </w:style>
  <w:style w:type="paragraph" w:styleId="22">
    <w:name w:val="Body Text Indent 3"/>
    <w:basedOn w:val="1"/>
    <w:link w:val="51"/>
    <w:qFormat/>
    <w:uiPriority w:val="99"/>
    <w:pPr>
      <w:snapToGrid w:val="0"/>
      <w:ind w:firstLine="480" w:firstLineChars="200"/>
      <w:jc w:val="left"/>
    </w:pPr>
    <w:rPr>
      <w:rFonts w:ascii="仿宋_GB2312" w:hAnsi="宋体" w:eastAsia="仿宋_GB2312"/>
      <w:color w:val="000000"/>
      <w:sz w:val="24"/>
    </w:rPr>
  </w:style>
  <w:style w:type="paragraph" w:styleId="23">
    <w:name w:val="table of figures"/>
    <w:basedOn w:val="1"/>
    <w:next w:val="1"/>
    <w:qFormat/>
    <w:uiPriority w:val="99"/>
    <w:pPr>
      <w:widowControl/>
      <w:ind w:left="840" w:leftChars="200" w:hanging="420" w:hangingChars="200"/>
      <w:jc w:val="left"/>
    </w:pPr>
    <w:rPr>
      <w:rFonts w:ascii="Times New Roman"/>
    </w:rPr>
  </w:style>
  <w:style w:type="paragraph" w:styleId="24">
    <w:name w:val="toc 2"/>
    <w:basedOn w:val="1"/>
    <w:next w:val="1"/>
    <w:qFormat/>
    <w:uiPriority w:val="99"/>
    <w:pPr>
      <w:ind w:left="420" w:leftChars="200"/>
    </w:pPr>
  </w:style>
  <w:style w:type="paragraph" w:styleId="25">
    <w:name w:val="Body Text 2"/>
    <w:basedOn w:val="1"/>
    <w:link w:val="52"/>
    <w:qFormat/>
    <w:uiPriority w:val="99"/>
    <w:pPr>
      <w:widowControl/>
      <w:snapToGrid w:val="0"/>
      <w:spacing w:afterLines="50" w:line="400" w:lineRule="exact"/>
      <w:jc w:val="left"/>
    </w:pPr>
    <w:rPr>
      <w:rFonts w:ascii="宋体" w:hAnsi="宋体"/>
      <w:color w:val="000000"/>
      <w:sz w:val="24"/>
    </w:rPr>
  </w:style>
  <w:style w:type="paragraph" w:styleId="26">
    <w:name w:val="Normal (Web)"/>
    <w:basedOn w:val="1"/>
    <w:qFormat/>
    <w:uiPriority w:val="99"/>
    <w:pPr>
      <w:widowControl/>
      <w:spacing w:beforeAutospacing="1" w:afterAutospacing="1"/>
      <w:jc w:val="left"/>
    </w:pPr>
    <w:rPr>
      <w:rFonts w:ascii="宋体" w:hAnsi="宋体" w:cs="宋体"/>
      <w:color w:val="000000"/>
      <w:kern w:val="0"/>
      <w:sz w:val="24"/>
    </w:rPr>
  </w:style>
  <w:style w:type="paragraph" w:styleId="27">
    <w:name w:val="annotation subject"/>
    <w:basedOn w:val="8"/>
    <w:next w:val="8"/>
    <w:link w:val="53"/>
    <w:qFormat/>
    <w:uiPriority w:val="99"/>
    <w:rPr>
      <w:b/>
      <w:bCs/>
    </w:rPr>
  </w:style>
  <w:style w:type="paragraph" w:styleId="28">
    <w:name w:val="Body Text First Indent 2"/>
    <w:basedOn w:val="12"/>
    <w:next w:val="1"/>
    <w:qFormat/>
    <w:locked/>
    <w:uiPriority w:val="0"/>
    <w:pPr>
      <w:ind w:firstLine="420" w:firstLineChars="200"/>
    </w:pPr>
  </w:style>
  <w:style w:type="table" w:styleId="30">
    <w:name w:val="Table Grid"/>
    <w:basedOn w:val="2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basedOn w:val="31"/>
    <w:qFormat/>
    <w:uiPriority w:val="99"/>
    <w:rPr>
      <w:rFonts w:ascii="Tahoma" w:hAnsi="Tahoma" w:cs="Times New Roman"/>
      <w:b/>
      <w:sz w:val="20"/>
    </w:rPr>
  </w:style>
  <w:style w:type="character" w:styleId="33">
    <w:name w:val="page number"/>
    <w:basedOn w:val="31"/>
    <w:qFormat/>
    <w:uiPriority w:val="99"/>
    <w:rPr>
      <w:rFonts w:cs="Times New Roman"/>
    </w:rPr>
  </w:style>
  <w:style w:type="character" w:styleId="34">
    <w:name w:val="Hyperlink"/>
    <w:basedOn w:val="31"/>
    <w:qFormat/>
    <w:uiPriority w:val="99"/>
    <w:rPr>
      <w:rFonts w:cs="Times New Roman"/>
      <w:color w:val="0000FF"/>
      <w:u w:val="single"/>
    </w:rPr>
  </w:style>
  <w:style w:type="character" w:styleId="35">
    <w:name w:val="annotation reference"/>
    <w:basedOn w:val="31"/>
    <w:qFormat/>
    <w:uiPriority w:val="99"/>
    <w:rPr>
      <w:rFonts w:cs="Times New Roman"/>
      <w:sz w:val="21"/>
    </w:rPr>
  </w:style>
  <w:style w:type="paragraph" w:customStyle="1" w:styleId="36">
    <w:name w:val="List Paragraph"/>
    <w:basedOn w:val="1"/>
    <w:qFormat/>
    <w:uiPriority w:val="0"/>
    <w:pPr>
      <w:spacing w:line="360" w:lineRule="auto"/>
      <w:ind w:firstLine="420" w:firstLineChars="200"/>
    </w:pPr>
    <w:rPr>
      <w:rFonts w:ascii="Calibri" w:hAnsi="Calibri"/>
      <w:szCs w:val="22"/>
    </w:rPr>
  </w:style>
  <w:style w:type="paragraph" w:customStyle="1" w:styleId="37">
    <w:name w:val="正文1"/>
    <w:basedOn w:val="1"/>
    <w:qFormat/>
    <w:uiPriority w:val="99"/>
    <w:pPr>
      <w:adjustRightInd w:val="0"/>
      <w:spacing w:line="318" w:lineRule="atLeast"/>
      <w:ind w:left="369" w:firstLine="369"/>
      <w:textAlignment w:val="baseline"/>
    </w:pPr>
    <w:rPr>
      <w:rFonts w:ascii="宋体"/>
      <w:szCs w:val="20"/>
    </w:rPr>
  </w:style>
  <w:style w:type="character" w:customStyle="1" w:styleId="38">
    <w:name w:val="标题 1 Char"/>
    <w:basedOn w:val="31"/>
    <w:link w:val="3"/>
    <w:qFormat/>
    <w:locked/>
    <w:uiPriority w:val="99"/>
    <w:rPr>
      <w:rFonts w:ascii="Calibri" w:hAnsi="Calibri" w:eastAsia="宋体"/>
      <w:b/>
      <w:kern w:val="44"/>
      <w:sz w:val="44"/>
    </w:rPr>
  </w:style>
  <w:style w:type="character" w:customStyle="1" w:styleId="39">
    <w:name w:val="标题 2 Char"/>
    <w:basedOn w:val="31"/>
    <w:link w:val="4"/>
    <w:semiHidden/>
    <w:qFormat/>
    <w:uiPriority w:val="9"/>
    <w:rPr>
      <w:rFonts w:ascii="Cambria" w:hAnsi="Cambria" w:eastAsia="宋体" w:cs="Times New Roman"/>
      <w:b/>
      <w:bCs/>
      <w:sz w:val="32"/>
      <w:szCs w:val="32"/>
    </w:rPr>
  </w:style>
  <w:style w:type="character" w:customStyle="1" w:styleId="40">
    <w:name w:val="标题 3 Char"/>
    <w:basedOn w:val="31"/>
    <w:link w:val="5"/>
    <w:semiHidden/>
    <w:qFormat/>
    <w:uiPriority w:val="9"/>
    <w:rPr>
      <w:rFonts w:cs="黑体"/>
      <w:b/>
      <w:bCs/>
      <w:sz w:val="32"/>
      <w:szCs w:val="32"/>
    </w:rPr>
  </w:style>
  <w:style w:type="character" w:customStyle="1" w:styleId="41">
    <w:name w:val="批注文字 Char"/>
    <w:basedOn w:val="31"/>
    <w:link w:val="8"/>
    <w:qFormat/>
    <w:locked/>
    <w:uiPriority w:val="99"/>
    <w:rPr>
      <w:rFonts w:ascii="Calibri" w:hAnsi="Calibri"/>
      <w:kern w:val="2"/>
      <w:sz w:val="24"/>
    </w:rPr>
  </w:style>
  <w:style w:type="character" w:customStyle="1" w:styleId="42">
    <w:name w:val="称呼 Char"/>
    <w:basedOn w:val="31"/>
    <w:link w:val="9"/>
    <w:semiHidden/>
    <w:qFormat/>
    <w:uiPriority w:val="99"/>
    <w:rPr>
      <w:rFonts w:cs="黑体"/>
      <w:szCs w:val="24"/>
    </w:rPr>
  </w:style>
  <w:style w:type="character" w:customStyle="1" w:styleId="43">
    <w:name w:val="正文文本 Char"/>
    <w:basedOn w:val="31"/>
    <w:link w:val="10"/>
    <w:semiHidden/>
    <w:qFormat/>
    <w:uiPriority w:val="99"/>
    <w:rPr>
      <w:rFonts w:cs="黑体"/>
      <w:szCs w:val="24"/>
    </w:rPr>
  </w:style>
  <w:style w:type="character" w:customStyle="1" w:styleId="44">
    <w:name w:val="正文文本缩进 Char"/>
    <w:basedOn w:val="31"/>
    <w:link w:val="12"/>
    <w:semiHidden/>
    <w:qFormat/>
    <w:uiPriority w:val="99"/>
    <w:rPr>
      <w:rFonts w:cs="黑体"/>
      <w:szCs w:val="24"/>
    </w:rPr>
  </w:style>
  <w:style w:type="character" w:customStyle="1" w:styleId="45">
    <w:name w:val="纯文本 Char"/>
    <w:basedOn w:val="31"/>
    <w:link w:val="14"/>
    <w:semiHidden/>
    <w:qFormat/>
    <w:uiPriority w:val="99"/>
    <w:rPr>
      <w:rFonts w:ascii="宋体" w:hAnsi="Courier New" w:cs="Courier New"/>
      <w:szCs w:val="21"/>
    </w:rPr>
  </w:style>
  <w:style w:type="character" w:customStyle="1" w:styleId="46">
    <w:name w:val="日期 Char"/>
    <w:basedOn w:val="31"/>
    <w:link w:val="15"/>
    <w:semiHidden/>
    <w:qFormat/>
    <w:uiPriority w:val="99"/>
    <w:rPr>
      <w:rFonts w:cs="黑体"/>
      <w:szCs w:val="24"/>
    </w:rPr>
  </w:style>
  <w:style w:type="character" w:customStyle="1" w:styleId="47">
    <w:name w:val="正文文本缩进 2 Char"/>
    <w:basedOn w:val="31"/>
    <w:link w:val="16"/>
    <w:semiHidden/>
    <w:qFormat/>
    <w:uiPriority w:val="99"/>
    <w:rPr>
      <w:rFonts w:cs="黑体"/>
      <w:szCs w:val="24"/>
    </w:rPr>
  </w:style>
  <w:style w:type="character" w:customStyle="1" w:styleId="48">
    <w:name w:val="批注框文本 Char"/>
    <w:basedOn w:val="31"/>
    <w:link w:val="17"/>
    <w:qFormat/>
    <w:locked/>
    <w:uiPriority w:val="99"/>
    <w:rPr>
      <w:rFonts w:ascii="Calibri" w:hAnsi="Calibri" w:eastAsia="宋体"/>
      <w:kern w:val="2"/>
      <w:sz w:val="18"/>
    </w:rPr>
  </w:style>
  <w:style w:type="character" w:customStyle="1" w:styleId="49">
    <w:name w:val="页脚 Char"/>
    <w:basedOn w:val="31"/>
    <w:link w:val="18"/>
    <w:semiHidden/>
    <w:qFormat/>
    <w:uiPriority w:val="99"/>
    <w:rPr>
      <w:rFonts w:cs="黑体"/>
      <w:sz w:val="18"/>
      <w:szCs w:val="18"/>
    </w:rPr>
  </w:style>
  <w:style w:type="character" w:customStyle="1" w:styleId="50">
    <w:name w:val="页眉 Char"/>
    <w:basedOn w:val="31"/>
    <w:link w:val="19"/>
    <w:semiHidden/>
    <w:qFormat/>
    <w:uiPriority w:val="99"/>
    <w:rPr>
      <w:rFonts w:cs="黑体"/>
      <w:sz w:val="18"/>
      <w:szCs w:val="18"/>
    </w:rPr>
  </w:style>
  <w:style w:type="character" w:customStyle="1" w:styleId="51">
    <w:name w:val="正文文本缩进 3 Char"/>
    <w:basedOn w:val="31"/>
    <w:link w:val="22"/>
    <w:semiHidden/>
    <w:qFormat/>
    <w:uiPriority w:val="99"/>
    <w:rPr>
      <w:rFonts w:cs="黑体"/>
      <w:sz w:val="16"/>
      <w:szCs w:val="16"/>
    </w:rPr>
  </w:style>
  <w:style w:type="character" w:customStyle="1" w:styleId="52">
    <w:name w:val="正文文本 2 Char"/>
    <w:basedOn w:val="31"/>
    <w:link w:val="25"/>
    <w:semiHidden/>
    <w:qFormat/>
    <w:uiPriority w:val="99"/>
    <w:rPr>
      <w:rFonts w:cs="黑体"/>
      <w:szCs w:val="24"/>
    </w:rPr>
  </w:style>
  <w:style w:type="character" w:customStyle="1" w:styleId="53">
    <w:name w:val="批注主题 Char"/>
    <w:basedOn w:val="41"/>
    <w:link w:val="27"/>
    <w:qFormat/>
    <w:locked/>
    <w:uiPriority w:val="99"/>
    <w:rPr>
      <w:b/>
    </w:rPr>
  </w:style>
  <w:style w:type="character" w:customStyle="1" w:styleId="54">
    <w:name w:val="正文首行缩进 Char"/>
    <w:basedOn w:val="43"/>
    <w:link w:val="11"/>
    <w:semiHidden/>
    <w:qFormat/>
    <w:uiPriority w:val="99"/>
  </w:style>
  <w:style w:type="paragraph" w:customStyle="1" w:styleId="55">
    <w:name w:val="正文段"/>
    <w:basedOn w:val="1"/>
    <w:qFormat/>
    <w:uiPriority w:val="99"/>
    <w:pPr>
      <w:widowControl/>
      <w:snapToGrid w:val="0"/>
      <w:spacing w:afterLines="50"/>
      <w:ind w:firstLine="200" w:firstLineChars="200"/>
    </w:pPr>
    <w:rPr>
      <w:kern w:val="0"/>
      <w:sz w:val="24"/>
      <w:szCs w:val="20"/>
    </w:rPr>
  </w:style>
  <w:style w:type="paragraph" w:customStyle="1" w:styleId="56">
    <w:name w:val="Char Char1 Char Char Char Char Char Char Char Char"/>
    <w:basedOn w:val="1"/>
    <w:qFormat/>
    <w:uiPriority w:val="99"/>
    <w:pPr>
      <w:widowControl/>
      <w:spacing w:line="240" w:lineRule="exact"/>
      <w:jc w:val="left"/>
    </w:pPr>
  </w:style>
  <w:style w:type="paragraph" w:customStyle="1" w:styleId="57">
    <w:name w:val="Proposals body"/>
    <w:basedOn w:val="1"/>
    <w:next w:val="1"/>
    <w:qFormat/>
    <w:uiPriority w:val="99"/>
    <w:pPr>
      <w:widowControl/>
      <w:spacing w:line="360" w:lineRule="auto"/>
      <w:jc w:val="left"/>
    </w:pPr>
    <w:rPr>
      <w:rFonts w:ascii="宋体"/>
      <w:color w:val="000000"/>
      <w:kern w:val="0"/>
      <w:sz w:val="24"/>
      <w:szCs w:val="20"/>
    </w:rPr>
  </w:style>
  <w:style w:type="paragraph" w:customStyle="1" w:styleId="58">
    <w:name w:val="lei.header1"/>
    <w:next w:val="59"/>
    <w:qFormat/>
    <w:uiPriority w:val="99"/>
    <w:pPr>
      <w:ind w:left="50" w:leftChars="50" w:right="50" w:rightChars="50"/>
      <w:jc w:val="center"/>
      <w:outlineLvl w:val="0"/>
    </w:pPr>
    <w:rPr>
      <w:rFonts w:ascii="宋体" w:hAnsi="Tahoma" w:eastAsia="宋体" w:cs="Times New Roman"/>
      <w:b/>
      <w:sz w:val="30"/>
      <w:szCs w:val="22"/>
      <w:lang w:val="en-US" w:eastAsia="zh-CN" w:bidi="ar-SA"/>
    </w:rPr>
  </w:style>
  <w:style w:type="paragraph" w:customStyle="1" w:styleId="59">
    <w:name w:val="lei.header2"/>
    <w:next w:val="60"/>
    <w:qFormat/>
    <w:uiPriority w:val="99"/>
    <w:pPr>
      <w:snapToGrid w:val="0"/>
      <w:spacing w:beforeLines="50" w:afterLines="50"/>
      <w:ind w:firstLine="200" w:firstLineChars="200"/>
      <w:outlineLvl w:val="1"/>
    </w:pPr>
    <w:rPr>
      <w:rFonts w:ascii="宋体" w:hAnsi="Tahoma" w:eastAsia="宋体" w:cs="Times New Roman"/>
      <w:b/>
      <w:sz w:val="24"/>
      <w:szCs w:val="22"/>
      <w:lang w:val="en-US" w:eastAsia="zh-CN" w:bidi="ar-SA"/>
    </w:rPr>
  </w:style>
  <w:style w:type="paragraph" w:customStyle="1" w:styleId="60">
    <w:name w:val="lei.header3"/>
    <w:next w:val="61"/>
    <w:qFormat/>
    <w:uiPriority w:val="99"/>
    <w:pPr>
      <w:spacing w:beforeLines="50" w:afterLines="50"/>
      <w:ind w:firstLine="200" w:firstLineChars="200"/>
      <w:outlineLvl w:val="2"/>
    </w:pPr>
    <w:rPr>
      <w:rFonts w:ascii="宋体" w:hAnsi="Tahoma" w:eastAsia="宋体" w:cs="Times New Roman"/>
      <w:sz w:val="24"/>
      <w:szCs w:val="22"/>
      <w:lang w:val="en-US" w:eastAsia="zh-CN" w:bidi="ar-SA"/>
    </w:rPr>
  </w:style>
  <w:style w:type="paragraph" w:customStyle="1" w:styleId="61">
    <w:name w:val="lei.text"/>
    <w:qFormat/>
    <w:uiPriority w:val="99"/>
    <w:pPr>
      <w:spacing w:line="360" w:lineRule="exact"/>
      <w:ind w:firstLine="200" w:firstLineChars="200"/>
    </w:pPr>
    <w:rPr>
      <w:rFonts w:ascii="宋体" w:hAnsi="Tahoma" w:eastAsia="宋体" w:cs="Times New Roman"/>
      <w:sz w:val="24"/>
      <w:szCs w:val="22"/>
      <w:lang w:val="en-US" w:eastAsia="zh-CN" w:bidi="ar-SA"/>
    </w:rPr>
  </w:style>
  <w:style w:type="paragraph" w:customStyle="1" w:styleId="62">
    <w:name w:val="样式1"/>
    <w:basedOn w:val="1"/>
    <w:qFormat/>
    <w:uiPriority w:val="99"/>
    <w:pPr>
      <w:spacing w:line="480" w:lineRule="auto"/>
    </w:pPr>
    <w:rPr>
      <w:sz w:val="24"/>
      <w:szCs w:val="20"/>
    </w:rPr>
  </w:style>
  <w:style w:type="paragraph" w:customStyle="1" w:styleId="63">
    <w:name w:val="列出段落1"/>
    <w:basedOn w:val="1"/>
    <w:qFormat/>
    <w:uiPriority w:val="99"/>
    <w:pPr>
      <w:ind w:firstLine="420" w:firstLineChars="200"/>
    </w:pPr>
  </w:style>
  <w:style w:type="paragraph" w:customStyle="1" w:styleId="64">
    <w:name w:val="_Style 61"/>
    <w:basedOn w:val="1"/>
    <w:qFormat/>
    <w:uiPriority w:val="99"/>
    <w:pPr>
      <w:widowControl/>
      <w:spacing w:after="160" w:line="240" w:lineRule="exact"/>
      <w:jc w:val="left"/>
    </w:pPr>
    <w:rPr>
      <w:rFonts w:ascii="Times New Roman" w:hAnsi="Times New Roman" w:cs="Times New Roman"/>
    </w:rPr>
  </w:style>
  <w:style w:type="paragraph" w:customStyle="1" w:styleId="65">
    <w:name w:val="列出段落2"/>
    <w:basedOn w:val="1"/>
    <w:qFormat/>
    <w:uiPriority w:val="99"/>
    <w:pPr>
      <w:ind w:firstLine="420" w:firstLineChars="200"/>
    </w:pPr>
  </w:style>
  <w:style w:type="paragraph" w:customStyle="1" w:styleId="66">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7">
    <w:name w:val="普通(网站)1"/>
    <w:basedOn w:val="1"/>
    <w:qFormat/>
    <w:uiPriority w:val="99"/>
    <w:pPr>
      <w:widowControl/>
      <w:spacing w:before="100" w:beforeAutospacing="1" w:after="100" w:afterAutospacing="1"/>
      <w:jc w:val="left"/>
    </w:pPr>
    <w:rPr>
      <w:rFonts w:ascii="宋体" w:hAnsi="宋体"/>
      <w:kern w:val="0"/>
      <w:sz w:val="24"/>
    </w:rPr>
  </w:style>
  <w:style w:type="paragraph" w:customStyle="1" w:styleId="68">
    <w:name w:val="p-t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9">
    <w:name w:val="02正文"/>
    <w:basedOn w:val="1"/>
    <w:qFormat/>
    <w:uiPriority w:val="99"/>
    <w:pPr>
      <w:spacing w:line="360" w:lineRule="auto"/>
      <w:ind w:firstLine="200" w:firstLineChars="200"/>
    </w:pPr>
    <w:rPr>
      <w:rFonts w:ascii="仿宋_GB2312" w:eastAsia="仿宋_GB2312" w:cs="宋体"/>
      <w:color w:val="000000"/>
      <w:sz w:val="28"/>
      <w:szCs w:val="20"/>
    </w:rPr>
  </w:style>
  <w:style w:type="paragraph" w:customStyle="1" w:styleId="70">
    <w:name w:val="标书正文1"/>
    <w:basedOn w:val="1"/>
    <w:qFormat/>
    <w:uiPriority w:val="99"/>
    <w:pPr>
      <w:spacing w:line="520" w:lineRule="exact"/>
      <w:ind w:firstLine="640" w:firstLineChars="200"/>
    </w:pPr>
  </w:style>
  <w:style w:type="paragraph" w:customStyle="1" w:styleId="71">
    <w:name w:val="List Paragraph_8c10a5f1-10ce-4de6-9fb4-d808594f75ee"/>
    <w:basedOn w:val="1"/>
    <w:qFormat/>
    <w:uiPriority w:val="99"/>
    <w:pPr>
      <w:ind w:firstLine="420" w:firstLineChars="200"/>
    </w:pPr>
    <w:rPr>
      <w:szCs w:val="22"/>
    </w:rPr>
  </w:style>
  <w:style w:type="paragraph" w:customStyle="1" w:styleId="72">
    <w:name w:val="hea"/>
    <w:basedOn w:val="1"/>
    <w:next w:val="1"/>
    <w:qFormat/>
    <w:uiPriority w:val="99"/>
    <w:pPr>
      <w:keepNext/>
      <w:keepLines/>
      <w:numPr>
        <w:ilvl w:val="0"/>
        <w:numId w:val="2"/>
      </w:numPr>
      <w:spacing w:before="340" w:after="330" w:line="578" w:lineRule="auto"/>
      <w:outlineLvl w:val="0"/>
    </w:pPr>
    <w:rPr>
      <w:b/>
      <w:bCs/>
      <w:kern w:val="44"/>
      <w:sz w:val="44"/>
      <w:szCs w:val="44"/>
    </w:rPr>
  </w:style>
  <w:style w:type="paragraph" w:customStyle="1" w:styleId="73">
    <w:name w:val="[Normal]"/>
    <w:qFormat/>
    <w:uiPriority w:val="99"/>
    <w:rPr>
      <w:rFonts w:ascii="宋体" w:hAnsi="宋体" w:eastAsia="宋体" w:cs="Times New Roman"/>
      <w:sz w:val="24"/>
      <w:lang w:val="en-US" w:eastAsia="en-US" w:bidi="ar-SA"/>
    </w:rPr>
  </w:style>
  <w:style w:type="paragraph" w:customStyle="1" w:styleId="74">
    <w:name w:val="正文ok"/>
    <w:qFormat/>
    <w:uiPriority w:val="99"/>
    <w:pPr>
      <w:spacing w:line="360" w:lineRule="auto"/>
      <w:ind w:firstLine="200" w:firstLineChars="200"/>
    </w:pPr>
    <w:rPr>
      <w:rFonts w:ascii="宋体" w:hAnsi="Times New Roman" w:eastAsia="宋体" w:cs="宋体"/>
      <w:sz w:val="24"/>
      <w:lang w:val="en-US" w:eastAsia="zh-CN" w:bidi="ar-SA"/>
    </w:rPr>
  </w:style>
  <w:style w:type="character" w:customStyle="1" w:styleId="75">
    <w:name w:val="font11"/>
    <w:basedOn w:val="31"/>
    <w:qFormat/>
    <w:uiPriority w:val="0"/>
    <w:rPr>
      <w:rFonts w:hint="eastAsia" w:ascii="宋体" w:hAnsi="宋体" w:eastAsia="宋体" w:cs="宋体"/>
      <w:color w:val="000000"/>
      <w:sz w:val="21"/>
      <w:szCs w:val="21"/>
      <w:u w:val="none"/>
    </w:rPr>
  </w:style>
  <w:style w:type="paragraph" w:customStyle="1" w:styleId="76">
    <w:name w:val="正文文本 21"/>
    <w:basedOn w:val="1"/>
    <w:qFormat/>
    <w:uiPriority w:val="0"/>
    <w:pPr>
      <w:widowControl/>
      <w:snapToGrid w:val="0"/>
      <w:spacing w:afterLines="50" w:line="400" w:lineRule="exact"/>
      <w:jc w:val="left"/>
    </w:pPr>
  </w:style>
  <w:style w:type="character" w:customStyle="1" w:styleId="77">
    <w:name w:val="font31"/>
    <w:basedOn w:val="31"/>
    <w:qFormat/>
    <w:uiPriority w:val="0"/>
    <w:rPr>
      <w:rFonts w:ascii="Arial" w:hAnsi="Arial" w:cs="Arial"/>
      <w:color w:val="000000"/>
      <w:sz w:val="20"/>
      <w:szCs w:val="20"/>
      <w:u w:val="none"/>
    </w:rPr>
  </w:style>
  <w:style w:type="character" w:customStyle="1" w:styleId="78">
    <w:name w:val="font41"/>
    <w:basedOn w:val="31"/>
    <w:qFormat/>
    <w:uiPriority w:val="0"/>
    <w:rPr>
      <w:rFonts w:ascii="宋体" w:hAnsi="宋体" w:eastAsia="宋体" w:cs="宋体"/>
      <w:color w:val="000000"/>
      <w:sz w:val="20"/>
      <w:szCs w:val="20"/>
      <w:u w:val="none"/>
    </w:rPr>
  </w:style>
  <w:style w:type="character" w:customStyle="1" w:styleId="79">
    <w:name w:val="font21"/>
    <w:basedOn w:val="31"/>
    <w:qFormat/>
    <w:uiPriority w:val="0"/>
    <w:rPr>
      <w:rFonts w:hint="eastAsia" w:ascii="宋体" w:hAnsi="宋体" w:eastAsia="宋体" w:cs="宋体"/>
      <w:color w:val="000000"/>
      <w:sz w:val="20"/>
      <w:szCs w:val="20"/>
      <w:u w:val="none"/>
    </w:rPr>
  </w:style>
  <w:style w:type="character" w:customStyle="1" w:styleId="80">
    <w:name w:val="font71"/>
    <w:basedOn w:val="31"/>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68</Pages>
  <Words>36632</Words>
  <Characters>40531</Characters>
  <Lines>236</Lines>
  <Paragraphs>66</Paragraphs>
  <TotalTime>0</TotalTime>
  <ScaleCrop>false</ScaleCrop>
  <LinksUpToDate>false</LinksUpToDate>
  <CharactersWithSpaces>41925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2019-11-06T01:33:00Z</dcterms:created>
  <dc:creator>Administrator</dc:creator>
  <cp:lastModifiedBy>huhu</cp:lastModifiedBy>
  <cp:lastPrinted>2023-02-21T02:53:00Z</cp:lastPrinted>
  <dcterms:modified xsi:type="dcterms:W3CDTF">2023-02-24T02:07:19Z</dcterms:modified>
  <dc:title>国内公开招标文件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24575898B8324B2E9FFE765E4FB52E2E</vt:lpwstr>
  </property>
</Properties>
</file>