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beforeLines="0" w:afterLines="0" w:line="360" w:lineRule="auto"/>
        <w:rPr>
          <w:rFonts w:hAnsi="宋体"/>
          <w:lang w:val="en-IE"/>
        </w:rPr>
      </w:pPr>
    </w:p>
    <w:p>
      <w:pPr>
        <w:pStyle w:val="27"/>
        <w:spacing w:beforeLines="0" w:afterLines="0" w:line="360" w:lineRule="auto"/>
        <w:rPr>
          <w:rFonts w:hAnsi="宋体"/>
        </w:rPr>
      </w:pPr>
    </w:p>
    <w:p>
      <w:pPr>
        <w:spacing w:after="120"/>
        <w:jc w:val="center"/>
        <w:rPr>
          <w:rFonts w:ascii="宋体" w:hAnsi="宋体"/>
          <w:b/>
          <w:sz w:val="72"/>
        </w:rPr>
      </w:pPr>
    </w:p>
    <w:p>
      <w:pPr>
        <w:spacing w:after="120"/>
        <w:jc w:val="center"/>
        <w:rPr>
          <w:rFonts w:ascii="宋体" w:hAnsi="宋体"/>
          <w:b/>
          <w:sz w:val="72"/>
        </w:rPr>
      </w:pPr>
      <w:r>
        <w:rPr>
          <w:rFonts w:hint="eastAsia" w:ascii="宋体" w:hAnsi="宋体"/>
          <w:b/>
          <w:sz w:val="72"/>
        </w:rPr>
        <w:t>国内公开招标文件</w:t>
      </w:r>
    </w:p>
    <w:p>
      <w:pPr>
        <w:rPr>
          <w:rFonts w:ascii="宋体" w:hAnsi="宋体"/>
          <w:b/>
          <w:sz w:val="44"/>
        </w:rPr>
      </w:pPr>
    </w:p>
    <w:p>
      <w:pPr>
        <w:rPr>
          <w:rFonts w:ascii="宋体" w:hAnsi="宋体"/>
          <w:b/>
          <w:sz w:val="44"/>
        </w:rPr>
      </w:pPr>
    </w:p>
    <w:tbl>
      <w:tblPr>
        <w:tblStyle w:val="53"/>
        <w:tblpPr w:leftFromText="180" w:rightFromText="180" w:vertAnchor="text" w:horzAnchor="page" w:tblpXSpec="center" w:tblpY="569"/>
        <w:tblW w:w="9322" w:type="dxa"/>
        <w:jc w:val="center"/>
        <w:tblInd w:w="0" w:type="dxa"/>
        <w:tblLayout w:type="fixed"/>
        <w:tblCellMar>
          <w:top w:w="0" w:type="dxa"/>
          <w:left w:w="108" w:type="dxa"/>
          <w:bottom w:w="0" w:type="dxa"/>
          <w:right w:w="108" w:type="dxa"/>
        </w:tblCellMar>
      </w:tblPr>
      <w:tblGrid>
        <w:gridCol w:w="2268"/>
        <w:gridCol w:w="7054"/>
      </w:tblGrid>
      <w:tr>
        <w:tblPrEx>
          <w:tblLayout w:type="fixed"/>
          <w:tblCellMar>
            <w:top w:w="0" w:type="dxa"/>
            <w:left w:w="108" w:type="dxa"/>
            <w:bottom w:w="0" w:type="dxa"/>
            <w:right w:w="108" w:type="dxa"/>
          </w:tblCellMar>
        </w:tblPrEx>
        <w:trPr>
          <w:jc w:val="center"/>
        </w:trPr>
        <w:tc>
          <w:tcPr>
            <w:tcW w:w="2268" w:type="dxa"/>
          </w:tcPr>
          <w:p>
            <w:pPr>
              <w:jc w:val="right"/>
              <w:rPr>
                <w:rFonts w:ascii="宋体" w:hAnsi="宋体"/>
                <w:b/>
                <w:sz w:val="44"/>
              </w:rPr>
            </w:pPr>
            <w:r>
              <w:rPr>
                <w:rFonts w:hint="eastAsia" w:ascii="宋体" w:hAnsi="宋体"/>
                <w:b/>
                <w:sz w:val="44"/>
              </w:rPr>
              <w:t>项目编号：</w:t>
            </w:r>
          </w:p>
        </w:tc>
        <w:tc>
          <w:tcPr>
            <w:tcW w:w="7054" w:type="dxa"/>
          </w:tcPr>
          <w:p>
            <w:pPr>
              <w:rPr>
                <w:rFonts w:ascii="宋体" w:hAnsi="宋体"/>
                <w:b/>
                <w:sz w:val="44"/>
                <w:szCs w:val="44"/>
                <w:u w:val="single"/>
              </w:rPr>
            </w:pPr>
            <w:r>
              <w:rPr>
                <w:rFonts w:hint="eastAsia" w:ascii="宋体" w:hAnsi="宋体"/>
                <w:b/>
                <w:sz w:val="44"/>
                <w:szCs w:val="44"/>
                <w:u w:val="single"/>
              </w:rPr>
              <w:t>NBZY2020-CG001</w:t>
            </w:r>
          </w:p>
          <w:p>
            <w:pPr>
              <w:rPr>
                <w:rFonts w:ascii="宋体" w:hAnsi="宋体"/>
                <w:b/>
                <w:sz w:val="44"/>
                <w:szCs w:val="44"/>
                <w:u w:val="single"/>
              </w:rPr>
            </w:pPr>
          </w:p>
        </w:tc>
      </w:tr>
      <w:tr>
        <w:tblPrEx>
          <w:tblLayout w:type="fixed"/>
          <w:tblCellMar>
            <w:top w:w="0" w:type="dxa"/>
            <w:left w:w="108" w:type="dxa"/>
            <w:bottom w:w="0" w:type="dxa"/>
            <w:right w:w="108" w:type="dxa"/>
          </w:tblCellMar>
        </w:tblPrEx>
        <w:trPr>
          <w:trHeight w:val="1985" w:hRule="atLeast"/>
          <w:jc w:val="center"/>
        </w:trPr>
        <w:tc>
          <w:tcPr>
            <w:tcW w:w="2268" w:type="dxa"/>
            <w:vAlign w:val="center"/>
          </w:tcPr>
          <w:p>
            <w:pPr>
              <w:jc w:val="center"/>
              <w:rPr>
                <w:rFonts w:ascii="宋体" w:hAnsi="宋体"/>
                <w:b/>
                <w:sz w:val="44"/>
              </w:rPr>
            </w:pPr>
            <w:r>
              <w:rPr>
                <w:rFonts w:hint="eastAsia" w:ascii="宋体" w:hAnsi="宋体"/>
                <w:b/>
                <w:sz w:val="44"/>
              </w:rPr>
              <w:t>项目名称：</w:t>
            </w:r>
          </w:p>
        </w:tc>
        <w:tc>
          <w:tcPr>
            <w:tcW w:w="7054" w:type="dxa"/>
          </w:tcPr>
          <w:p>
            <w:pPr>
              <w:spacing w:line="800" w:lineRule="exact"/>
              <w:jc w:val="left"/>
              <w:rPr>
                <w:rFonts w:ascii="宋体" w:hAnsi="宋体"/>
                <w:b/>
                <w:sz w:val="44"/>
                <w:szCs w:val="44"/>
                <w:u w:val="single"/>
              </w:rPr>
            </w:pPr>
            <w:r>
              <w:rPr>
                <w:rFonts w:hint="eastAsia" w:ascii="宋体" w:hAnsi="宋体"/>
                <w:b/>
                <w:sz w:val="44"/>
                <w:szCs w:val="44"/>
                <w:u w:val="single"/>
              </w:rPr>
              <w:t>宁海县越沙线公路治超电子检测系统建设项目</w:t>
            </w:r>
          </w:p>
        </w:tc>
      </w:tr>
    </w:tbl>
    <w:p>
      <w:pPr>
        <w:rPr>
          <w:rFonts w:ascii="宋体" w:hAnsi="宋体"/>
          <w:b/>
        </w:rPr>
      </w:pPr>
    </w:p>
    <w:p>
      <w:pPr>
        <w:rPr>
          <w:rFonts w:ascii="宋体" w:hAnsi="宋体"/>
          <w:b/>
          <w:sz w:val="34"/>
        </w:rPr>
      </w:pPr>
    </w:p>
    <w:p>
      <w:pPr>
        <w:rPr>
          <w:rFonts w:ascii="宋体" w:hAnsi="宋体"/>
          <w:b/>
          <w:sz w:val="34"/>
        </w:rPr>
      </w:pPr>
    </w:p>
    <w:p>
      <w:pPr>
        <w:rPr>
          <w:rFonts w:ascii="宋体" w:hAnsi="宋体"/>
          <w:b/>
          <w:sz w:val="34"/>
        </w:rPr>
      </w:pPr>
    </w:p>
    <w:p>
      <w:pPr>
        <w:rPr>
          <w:rFonts w:ascii="宋体" w:hAnsi="宋体"/>
          <w:b/>
          <w:sz w:val="34"/>
        </w:rPr>
      </w:pPr>
    </w:p>
    <w:p>
      <w:pPr>
        <w:tabs>
          <w:tab w:val="left" w:pos="7004"/>
          <w:tab w:val="left" w:pos="7313"/>
        </w:tabs>
        <w:spacing w:line="800" w:lineRule="exact"/>
        <w:ind w:firstLine="502" w:firstLineChars="147"/>
        <w:rPr>
          <w:rFonts w:ascii="宋体" w:hAnsi="宋体"/>
          <w:b/>
          <w:sz w:val="44"/>
          <w:szCs w:val="44"/>
        </w:rPr>
      </w:pPr>
      <w:r>
        <w:rPr>
          <w:rFonts w:hint="eastAsia" w:ascii="宋体" w:hAnsi="宋体"/>
          <w:b/>
          <w:sz w:val="34"/>
        </w:rPr>
        <w:t>采   购   人：宁海县公路管理局</w:t>
      </w:r>
    </w:p>
    <w:p>
      <w:pPr>
        <w:spacing w:line="720" w:lineRule="exact"/>
        <w:ind w:firstLine="502" w:firstLineChars="147"/>
        <w:rPr>
          <w:rFonts w:ascii="宋体" w:hAnsi="宋体"/>
          <w:b/>
          <w:sz w:val="34"/>
        </w:rPr>
      </w:pPr>
      <w:r>
        <w:rPr>
          <w:rFonts w:hint="eastAsia" w:ascii="宋体" w:hAnsi="宋体"/>
          <w:b/>
          <w:sz w:val="34"/>
        </w:rPr>
        <w:t>招标代理机构：宁波中屹工程管理咨询有限公司</w:t>
      </w:r>
    </w:p>
    <w:p>
      <w:pPr>
        <w:spacing w:line="720" w:lineRule="exact"/>
        <w:ind w:firstLine="898" w:firstLineChars="263"/>
        <w:rPr>
          <w:rFonts w:ascii="宋体" w:hAnsi="宋体"/>
          <w:b/>
          <w:sz w:val="34"/>
        </w:rPr>
      </w:pPr>
    </w:p>
    <w:p>
      <w:pPr>
        <w:ind w:firstLine="898" w:firstLineChars="263"/>
        <w:jc w:val="center"/>
        <w:rPr>
          <w:rFonts w:ascii="宋体" w:hAnsi="宋体"/>
          <w:b/>
          <w:sz w:val="34"/>
        </w:rPr>
      </w:pPr>
    </w:p>
    <w:p>
      <w:pPr>
        <w:jc w:val="center"/>
        <w:rPr>
          <w:rFonts w:ascii="宋体" w:hAnsi="宋体"/>
          <w:b/>
          <w:sz w:val="34"/>
        </w:rPr>
      </w:pPr>
      <w:r>
        <w:rPr>
          <w:rFonts w:hint="eastAsia" w:ascii="宋体" w:hAnsi="宋体"/>
          <w:b/>
          <w:sz w:val="34"/>
        </w:rPr>
        <w:t>二O二0年八月</w:t>
      </w:r>
    </w:p>
    <w:p>
      <w:pPr>
        <w:pStyle w:val="27"/>
        <w:spacing w:beforeLines="0" w:afterLines="0" w:line="360" w:lineRule="auto"/>
        <w:rPr>
          <w:rFonts w:hAnsi="宋体"/>
        </w:rPr>
        <w:sectPr>
          <w:headerReference r:id="rId5" w:type="first"/>
          <w:footerReference r:id="rId8" w:type="first"/>
          <w:headerReference r:id="rId3" w:type="default"/>
          <w:footerReference r:id="rId6" w:type="default"/>
          <w:headerReference r:id="rId4" w:type="even"/>
          <w:footerReference r:id="rId7" w:type="even"/>
          <w:pgSz w:w="11906" w:h="16838"/>
          <w:pgMar w:top="1474" w:right="1134" w:bottom="1247" w:left="1134" w:header="851" w:footer="851" w:gutter="0"/>
          <w:pgNumType w:start="1"/>
          <w:cols w:space="720" w:num="1"/>
          <w:titlePg/>
          <w:docGrid w:linePitch="312" w:charSpace="0"/>
        </w:sectPr>
      </w:pPr>
    </w:p>
    <w:p>
      <w:pPr>
        <w:spacing w:line="600" w:lineRule="exact"/>
        <w:rPr>
          <w:rFonts w:ascii="宋体" w:hAnsi="宋体"/>
          <w:sz w:val="32"/>
          <w:szCs w:val="32"/>
        </w:rPr>
      </w:pPr>
    </w:p>
    <w:p>
      <w:pPr>
        <w:jc w:val="center"/>
        <w:rPr>
          <w:sz w:val="44"/>
          <w:szCs w:val="44"/>
        </w:rPr>
      </w:pPr>
      <w:r>
        <w:rPr>
          <w:rFonts w:hint="eastAsia"/>
          <w:sz w:val="44"/>
          <w:szCs w:val="44"/>
        </w:rPr>
        <w:t>目    录</w:t>
      </w:r>
    </w:p>
    <w:p>
      <w:pPr/>
    </w:p>
    <w:p>
      <w:pPr>
        <w:pStyle w:val="34"/>
        <w:tabs>
          <w:tab w:val="right" w:leader="dot" w:pos="8312"/>
        </w:tabs>
        <w:spacing w:line="480" w:lineRule="auto"/>
        <w:rPr>
          <w:rFonts w:ascii="宋体" w:hAnsi="宋体" w:cs="宋体"/>
          <w:b w:val="0"/>
          <w:bCs/>
          <w:sz w:val="30"/>
          <w:szCs w:val="30"/>
        </w:rPr>
      </w:pPr>
      <w:r>
        <w:rPr>
          <w:rFonts w:ascii="宋体" w:hAnsi="宋体" w:cs="宋体"/>
          <w:b w:val="0"/>
          <w:bCs/>
          <w:sz w:val="30"/>
          <w:szCs w:val="30"/>
        </w:rPr>
        <w:fldChar w:fldCharType="begin"/>
      </w:r>
      <w:r>
        <w:rPr>
          <w:rFonts w:hint="eastAsia" w:ascii="宋体" w:hAnsi="宋体" w:cs="宋体"/>
          <w:bCs/>
          <w:sz w:val="30"/>
          <w:szCs w:val="30"/>
        </w:rPr>
        <w:instrText xml:space="preserve">TOC \o "1-1" \h \u </w:instrText>
      </w:r>
      <w:r>
        <w:rPr>
          <w:rFonts w:ascii="宋体" w:hAnsi="宋体" w:cs="宋体"/>
          <w:b w:val="0"/>
          <w:bCs/>
          <w:sz w:val="30"/>
          <w:szCs w:val="30"/>
        </w:rPr>
        <w:fldChar w:fldCharType="separate"/>
      </w:r>
      <w:r>
        <w:fldChar w:fldCharType="begin"/>
      </w:r>
      <w:r>
        <w:instrText xml:space="preserve"> HYPERLINK \l "_Toc26241" </w:instrText>
      </w:r>
      <w:r>
        <w:fldChar w:fldCharType="separate"/>
      </w:r>
      <w:r>
        <w:rPr>
          <w:rFonts w:hint="eastAsia" w:ascii="宋体" w:hAnsi="宋体" w:cs="宋体"/>
          <w:bCs/>
          <w:sz w:val="30"/>
          <w:szCs w:val="30"/>
        </w:rPr>
        <w:t>第一章  公开招标采购公告</w:t>
      </w:r>
      <w:r>
        <w:rPr>
          <w:rFonts w:hint="eastAsia" w:ascii="宋体" w:hAnsi="宋体" w:cs="宋体"/>
          <w:bCs/>
          <w:sz w:val="30"/>
          <w:szCs w:val="30"/>
        </w:rPr>
        <w:tab/>
      </w:r>
      <w:r>
        <w:rPr>
          <w:rFonts w:hint="eastAsia" w:ascii="宋体" w:hAnsi="宋体" w:cs="宋体"/>
          <w:b w:val="0"/>
          <w:bCs/>
          <w:sz w:val="30"/>
          <w:szCs w:val="30"/>
        </w:rPr>
        <w:t>3</w:t>
      </w:r>
      <w:r>
        <w:rPr>
          <w:rFonts w:hint="eastAsia" w:ascii="宋体" w:hAnsi="宋体" w:cs="宋体"/>
          <w:b w:val="0"/>
          <w:bCs/>
          <w:sz w:val="30"/>
          <w:szCs w:val="30"/>
        </w:rPr>
        <w:fldChar w:fldCharType="end"/>
      </w:r>
    </w:p>
    <w:p>
      <w:pPr>
        <w:pStyle w:val="34"/>
        <w:tabs>
          <w:tab w:val="right" w:leader="dot" w:pos="8312"/>
        </w:tabs>
        <w:spacing w:line="480" w:lineRule="auto"/>
        <w:rPr>
          <w:rFonts w:ascii="宋体" w:hAnsi="宋体" w:cs="宋体"/>
          <w:b w:val="0"/>
          <w:bCs/>
          <w:sz w:val="30"/>
          <w:szCs w:val="30"/>
        </w:rPr>
      </w:pPr>
      <w:r>
        <w:fldChar w:fldCharType="begin"/>
      </w:r>
      <w:r>
        <w:instrText xml:space="preserve"> HYPERLINK \l "_Toc31358" </w:instrText>
      </w:r>
      <w:r>
        <w:fldChar w:fldCharType="separate"/>
      </w:r>
      <w:r>
        <w:rPr>
          <w:rFonts w:hint="eastAsia" w:ascii="宋体" w:hAnsi="宋体" w:cs="宋体"/>
          <w:bCs/>
          <w:sz w:val="30"/>
          <w:szCs w:val="30"/>
        </w:rPr>
        <w:t>第二章  采购需求</w:t>
      </w:r>
      <w:r>
        <w:rPr>
          <w:rFonts w:hint="eastAsia" w:ascii="宋体" w:hAnsi="宋体" w:cs="宋体"/>
          <w:bCs/>
          <w:sz w:val="30"/>
          <w:szCs w:val="30"/>
        </w:rPr>
        <w:tab/>
      </w:r>
      <w:r>
        <w:rPr>
          <w:rFonts w:hint="eastAsia" w:ascii="宋体" w:hAnsi="宋体" w:cs="宋体"/>
          <w:b w:val="0"/>
          <w:bCs/>
          <w:sz w:val="30"/>
          <w:szCs w:val="30"/>
        </w:rPr>
        <w:fldChar w:fldCharType="begin"/>
      </w:r>
      <w:r>
        <w:rPr>
          <w:rFonts w:hint="eastAsia" w:ascii="宋体" w:hAnsi="宋体" w:cs="宋体"/>
          <w:bCs/>
          <w:sz w:val="30"/>
          <w:szCs w:val="30"/>
        </w:rPr>
        <w:instrText xml:space="preserve"> PAGEREF _Toc31358 </w:instrText>
      </w:r>
      <w:r>
        <w:rPr>
          <w:rFonts w:hint="eastAsia" w:ascii="宋体" w:hAnsi="宋体" w:cs="宋体"/>
          <w:b w:val="0"/>
          <w:bCs/>
          <w:sz w:val="30"/>
          <w:szCs w:val="30"/>
        </w:rPr>
        <w:fldChar w:fldCharType="separate"/>
      </w:r>
      <w:r>
        <w:rPr>
          <w:rFonts w:hint="eastAsia" w:ascii="宋体" w:hAnsi="宋体" w:cs="宋体"/>
          <w:bCs/>
          <w:sz w:val="30"/>
          <w:szCs w:val="30"/>
        </w:rPr>
        <w:t>5</w:t>
      </w:r>
      <w:r>
        <w:rPr>
          <w:rFonts w:hint="eastAsia" w:ascii="宋体" w:hAnsi="宋体" w:cs="宋体"/>
          <w:b w:val="0"/>
          <w:bCs/>
          <w:sz w:val="30"/>
          <w:szCs w:val="30"/>
        </w:rPr>
        <w:fldChar w:fldCharType="end"/>
      </w:r>
      <w:r>
        <w:rPr>
          <w:rFonts w:hint="eastAsia" w:ascii="宋体" w:hAnsi="宋体" w:cs="宋体"/>
          <w:b w:val="0"/>
          <w:bCs/>
          <w:sz w:val="30"/>
          <w:szCs w:val="30"/>
        </w:rPr>
        <w:fldChar w:fldCharType="end"/>
      </w:r>
    </w:p>
    <w:p>
      <w:pPr>
        <w:pStyle w:val="34"/>
        <w:tabs>
          <w:tab w:val="right" w:leader="dot" w:pos="8312"/>
        </w:tabs>
        <w:spacing w:line="480" w:lineRule="auto"/>
        <w:rPr>
          <w:rFonts w:ascii="宋体" w:hAnsi="宋体" w:cs="宋体"/>
          <w:b w:val="0"/>
          <w:bCs/>
          <w:sz w:val="30"/>
          <w:szCs w:val="30"/>
        </w:rPr>
      </w:pPr>
      <w:r>
        <w:fldChar w:fldCharType="begin"/>
      </w:r>
      <w:r>
        <w:instrText xml:space="preserve"> HYPERLINK \l "_Toc2172" </w:instrText>
      </w:r>
      <w:r>
        <w:fldChar w:fldCharType="separate"/>
      </w:r>
      <w:r>
        <w:rPr>
          <w:rFonts w:hint="eastAsia" w:ascii="宋体" w:hAnsi="宋体" w:cs="宋体"/>
          <w:bCs/>
          <w:sz w:val="30"/>
          <w:szCs w:val="30"/>
        </w:rPr>
        <w:t>第三章  供应商须知</w:t>
      </w:r>
      <w:r>
        <w:rPr>
          <w:rFonts w:hint="eastAsia" w:ascii="宋体" w:hAnsi="宋体" w:cs="宋体"/>
          <w:bCs/>
          <w:sz w:val="30"/>
          <w:szCs w:val="30"/>
        </w:rPr>
        <w:tab/>
      </w:r>
      <w:r>
        <w:rPr>
          <w:rFonts w:hint="eastAsia" w:ascii="宋体" w:hAnsi="宋体" w:cs="宋体"/>
          <w:b w:val="0"/>
          <w:bCs/>
          <w:sz w:val="30"/>
          <w:szCs w:val="30"/>
        </w:rPr>
        <w:t>8</w:t>
      </w:r>
      <w:r>
        <w:rPr>
          <w:rFonts w:hint="eastAsia" w:ascii="宋体" w:hAnsi="宋体" w:cs="宋体"/>
          <w:b w:val="0"/>
          <w:bCs/>
          <w:sz w:val="30"/>
          <w:szCs w:val="30"/>
        </w:rPr>
        <w:fldChar w:fldCharType="end"/>
      </w:r>
    </w:p>
    <w:p>
      <w:pPr>
        <w:pStyle w:val="34"/>
        <w:tabs>
          <w:tab w:val="right" w:leader="dot" w:pos="8312"/>
        </w:tabs>
        <w:spacing w:line="480" w:lineRule="auto"/>
        <w:rPr>
          <w:rFonts w:ascii="宋体" w:hAnsi="宋体" w:cs="宋体"/>
          <w:b w:val="0"/>
          <w:bCs/>
          <w:sz w:val="30"/>
          <w:szCs w:val="30"/>
        </w:rPr>
      </w:pPr>
      <w:r>
        <w:fldChar w:fldCharType="begin"/>
      </w:r>
      <w:r>
        <w:instrText xml:space="preserve"> HYPERLINK \l "_Toc7955" </w:instrText>
      </w:r>
      <w:r>
        <w:fldChar w:fldCharType="separate"/>
      </w:r>
      <w:r>
        <w:rPr>
          <w:rFonts w:hint="eastAsia" w:ascii="宋体" w:hAnsi="宋体" w:cs="宋体"/>
          <w:bCs/>
          <w:sz w:val="30"/>
          <w:szCs w:val="30"/>
        </w:rPr>
        <w:t>第四章  评标办法及评分标准</w:t>
      </w:r>
      <w:r>
        <w:rPr>
          <w:rFonts w:hint="eastAsia" w:ascii="宋体" w:hAnsi="宋体" w:cs="宋体"/>
          <w:bCs/>
          <w:sz w:val="30"/>
          <w:szCs w:val="30"/>
        </w:rPr>
        <w:tab/>
      </w:r>
      <w:r>
        <w:rPr>
          <w:rFonts w:hint="eastAsia" w:ascii="宋体" w:hAnsi="宋体" w:cs="宋体"/>
          <w:b w:val="0"/>
          <w:bCs/>
          <w:sz w:val="30"/>
          <w:szCs w:val="30"/>
        </w:rPr>
        <w:fldChar w:fldCharType="begin"/>
      </w:r>
      <w:r>
        <w:rPr>
          <w:rFonts w:hint="eastAsia" w:ascii="宋体" w:hAnsi="宋体" w:cs="宋体"/>
          <w:bCs/>
          <w:sz w:val="30"/>
          <w:szCs w:val="30"/>
        </w:rPr>
        <w:instrText xml:space="preserve"> PAGEREF _Toc7955 </w:instrText>
      </w:r>
      <w:r>
        <w:rPr>
          <w:rFonts w:hint="eastAsia" w:ascii="宋体" w:hAnsi="宋体" w:cs="宋体"/>
          <w:b w:val="0"/>
          <w:bCs/>
          <w:sz w:val="30"/>
          <w:szCs w:val="30"/>
        </w:rPr>
        <w:fldChar w:fldCharType="separate"/>
      </w:r>
      <w:r>
        <w:rPr>
          <w:rFonts w:hint="eastAsia" w:ascii="宋体" w:hAnsi="宋体" w:cs="宋体"/>
          <w:bCs/>
          <w:sz w:val="30"/>
          <w:szCs w:val="30"/>
        </w:rPr>
        <w:t>26</w:t>
      </w:r>
      <w:r>
        <w:rPr>
          <w:rFonts w:hint="eastAsia" w:ascii="宋体" w:hAnsi="宋体" w:cs="宋体"/>
          <w:b w:val="0"/>
          <w:bCs/>
          <w:sz w:val="30"/>
          <w:szCs w:val="30"/>
        </w:rPr>
        <w:fldChar w:fldCharType="end"/>
      </w:r>
      <w:r>
        <w:rPr>
          <w:rFonts w:hint="eastAsia" w:ascii="宋体" w:hAnsi="宋体" w:cs="宋体"/>
          <w:b w:val="0"/>
          <w:bCs/>
          <w:sz w:val="30"/>
          <w:szCs w:val="30"/>
        </w:rPr>
        <w:fldChar w:fldCharType="end"/>
      </w:r>
    </w:p>
    <w:p>
      <w:pPr>
        <w:pStyle w:val="34"/>
        <w:tabs>
          <w:tab w:val="right" w:leader="dot" w:pos="8312"/>
        </w:tabs>
        <w:spacing w:line="480" w:lineRule="auto"/>
        <w:rPr>
          <w:rFonts w:ascii="宋体" w:hAnsi="宋体" w:cs="宋体"/>
          <w:b w:val="0"/>
          <w:bCs/>
          <w:sz w:val="30"/>
          <w:szCs w:val="30"/>
        </w:rPr>
      </w:pPr>
      <w:r>
        <w:fldChar w:fldCharType="begin"/>
      </w:r>
      <w:r>
        <w:instrText xml:space="preserve"> HYPERLINK \l "_Toc32330" </w:instrText>
      </w:r>
      <w:r>
        <w:fldChar w:fldCharType="separate"/>
      </w:r>
      <w:r>
        <w:rPr>
          <w:rFonts w:hint="eastAsia" w:ascii="宋体" w:hAnsi="宋体" w:cs="宋体"/>
          <w:bCs/>
          <w:sz w:val="30"/>
          <w:szCs w:val="30"/>
        </w:rPr>
        <w:t>第五章  合同主要条款</w:t>
      </w:r>
      <w:r>
        <w:rPr>
          <w:rFonts w:hint="eastAsia" w:ascii="宋体" w:hAnsi="宋体" w:cs="宋体"/>
          <w:bCs/>
          <w:sz w:val="30"/>
          <w:szCs w:val="30"/>
        </w:rPr>
        <w:tab/>
      </w:r>
      <w:r>
        <w:rPr>
          <w:rFonts w:hint="eastAsia" w:ascii="宋体" w:hAnsi="宋体" w:cs="宋体"/>
          <w:b w:val="0"/>
          <w:bCs/>
          <w:sz w:val="30"/>
          <w:szCs w:val="30"/>
        </w:rPr>
        <w:fldChar w:fldCharType="begin"/>
      </w:r>
      <w:r>
        <w:rPr>
          <w:rFonts w:hint="eastAsia" w:ascii="宋体" w:hAnsi="宋体" w:cs="宋体"/>
          <w:bCs/>
          <w:sz w:val="30"/>
          <w:szCs w:val="30"/>
        </w:rPr>
        <w:instrText xml:space="preserve"> PAGEREF _Toc32330 </w:instrText>
      </w:r>
      <w:r>
        <w:rPr>
          <w:rFonts w:hint="eastAsia" w:ascii="宋体" w:hAnsi="宋体" w:cs="宋体"/>
          <w:b w:val="0"/>
          <w:bCs/>
          <w:sz w:val="30"/>
          <w:szCs w:val="30"/>
        </w:rPr>
        <w:fldChar w:fldCharType="separate"/>
      </w:r>
      <w:r>
        <w:rPr>
          <w:rFonts w:hint="eastAsia" w:ascii="宋体" w:hAnsi="宋体" w:cs="宋体"/>
          <w:bCs/>
          <w:sz w:val="30"/>
          <w:szCs w:val="30"/>
        </w:rPr>
        <w:t>34</w:t>
      </w:r>
      <w:r>
        <w:rPr>
          <w:rFonts w:hint="eastAsia" w:ascii="宋体" w:hAnsi="宋体" w:cs="宋体"/>
          <w:b w:val="0"/>
          <w:bCs/>
          <w:sz w:val="30"/>
          <w:szCs w:val="30"/>
        </w:rPr>
        <w:fldChar w:fldCharType="end"/>
      </w:r>
      <w:r>
        <w:rPr>
          <w:rFonts w:hint="eastAsia" w:ascii="宋体" w:hAnsi="宋体" w:cs="宋体"/>
          <w:b w:val="0"/>
          <w:bCs/>
          <w:sz w:val="30"/>
          <w:szCs w:val="30"/>
        </w:rPr>
        <w:fldChar w:fldCharType="end"/>
      </w:r>
    </w:p>
    <w:p>
      <w:pPr>
        <w:pStyle w:val="34"/>
        <w:tabs>
          <w:tab w:val="right" w:leader="dot" w:pos="8312"/>
        </w:tabs>
        <w:spacing w:line="480" w:lineRule="auto"/>
        <w:rPr>
          <w:rFonts w:ascii="宋体" w:hAnsi="宋体" w:cs="宋体"/>
          <w:b w:val="0"/>
          <w:bCs/>
          <w:sz w:val="30"/>
          <w:szCs w:val="30"/>
        </w:rPr>
      </w:pPr>
      <w:r>
        <w:fldChar w:fldCharType="begin"/>
      </w:r>
      <w:r>
        <w:instrText xml:space="preserve"> HYPERLINK \l "_Toc2464" </w:instrText>
      </w:r>
      <w:r>
        <w:fldChar w:fldCharType="separate"/>
      </w:r>
      <w:r>
        <w:rPr>
          <w:rFonts w:hint="eastAsia" w:ascii="宋体" w:hAnsi="宋体" w:cs="宋体"/>
          <w:bCs/>
          <w:sz w:val="30"/>
          <w:szCs w:val="30"/>
        </w:rPr>
        <w:t>第六章　投标文件格式</w:t>
      </w:r>
      <w:r>
        <w:rPr>
          <w:rFonts w:hint="eastAsia" w:ascii="宋体" w:hAnsi="宋体" w:cs="宋体"/>
          <w:bCs/>
          <w:sz w:val="30"/>
          <w:szCs w:val="30"/>
        </w:rPr>
        <w:tab/>
      </w:r>
      <w:r>
        <w:rPr>
          <w:rFonts w:hint="eastAsia" w:ascii="宋体" w:hAnsi="宋体" w:cs="宋体"/>
          <w:b w:val="0"/>
          <w:bCs/>
          <w:sz w:val="30"/>
          <w:szCs w:val="30"/>
        </w:rPr>
        <w:fldChar w:fldCharType="begin"/>
      </w:r>
      <w:r>
        <w:rPr>
          <w:rFonts w:hint="eastAsia" w:ascii="宋体" w:hAnsi="宋体" w:cs="宋体"/>
          <w:bCs/>
          <w:sz w:val="30"/>
          <w:szCs w:val="30"/>
        </w:rPr>
        <w:instrText xml:space="preserve"> PAGEREF _Toc2464 </w:instrText>
      </w:r>
      <w:r>
        <w:rPr>
          <w:rFonts w:hint="eastAsia" w:ascii="宋体" w:hAnsi="宋体" w:cs="宋体"/>
          <w:b w:val="0"/>
          <w:bCs/>
          <w:sz w:val="30"/>
          <w:szCs w:val="30"/>
        </w:rPr>
        <w:fldChar w:fldCharType="separate"/>
      </w:r>
      <w:r>
        <w:rPr>
          <w:rFonts w:hint="eastAsia" w:ascii="宋体" w:hAnsi="宋体" w:cs="宋体"/>
          <w:bCs/>
          <w:sz w:val="30"/>
          <w:szCs w:val="30"/>
        </w:rPr>
        <w:t>41</w:t>
      </w:r>
      <w:r>
        <w:rPr>
          <w:rFonts w:hint="eastAsia" w:ascii="宋体" w:hAnsi="宋体" w:cs="宋体"/>
          <w:b w:val="0"/>
          <w:bCs/>
          <w:sz w:val="30"/>
          <w:szCs w:val="30"/>
        </w:rPr>
        <w:fldChar w:fldCharType="end"/>
      </w:r>
      <w:r>
        <w:rPr>
          <w:rFonts w:hint="eastAsia" w:ascii="宋体" w:hAnsi="宋体" w:cs="宋体"/>
          <w:b w:val="0"/>
          <w:bCs/>
          <w:sz w:val="30"/>
          <w:szCs w:val="30"/>
        </w:rPr>
        <w:fldChar w:fldCharType="end"/>
      </w:r>
    </w:p>
    <w:p>
      <w:pPr>
        <w:spacing w:line="360" w:lineRule="auto"/>
        <w:jc w:val="right"/>
      </w:pPr>
      <w:r>
        <w:rPr>
          <w:rFonts w:hAnsi="宋体" w:cs="宋体"/>
          <w:b/>
          <w:bCs/>
          <w:sz w:val="30"/>
          <w:szCs w:val="30"/>
        </w:rPr>
        <w:fldChar w:fldCharType="end"/>
      </w:r>
    </w:p>
    <w:p>
      <w:pPr>
        <w:pStyle w:val="27"/>
        <w:snapToGrid w:val="0"/>
        <w:spacing w:beforeLines="0" w:afterLines="0"/>
        <w:jc w:val="center"/>
        <w:outlineLvl w:val="0"/>
        <w:rPr>
          <w:rFonts w:ascii="黑体" w:hAnsi="宋体" w:eastAsia="黑体"/>
          <w:b/>
          <w:bCs/>
          <w:sz w:val="28"/>
          <w:szCs w:val="28"/>
        </w:rPr>
      </w:pPr>
    </w:p>
    <w:p>
      <w:pPr>
        <w:pStyle w:val="27"/>
        <w:snapToGrid w:val="0"/>
        <w:spacing w:beforeLines="0" w:afterLines="0"/>
        <w:jc w:val="center"/>
        <w:outlineLvl w:val="0"/>
        <w:rPr>
          <w:rFonts w:ascii="黑体" w:hAnsi="宋体" w:eastAsia="黑体"/>
          <w:b/>
          <w:bCs/>
          <w:sz w:val="28"/>
          <w:szCs w:val="28"/>
        </w:rPr>
      </w:pPr>
    </w:p>
    <w:p>
      <w:pPr>
        <w:pStyle w:val="27"/>
        <w:snapToGrid w:val="0"/>
        <w:spacing w:beforeLines="0" w:afterLines="0"/>
        <w:jc w:val="center"/>
        <w:outlineLvl w:val="0"/>
        <w:rPr>
          <w:rFonts w:ascii="黑体" w:hAnsi="宋体" w:eastAsia="黑体"/>
          <w:b/>
          <w:bCs/>
          <w:sz w:val="28"/>
          <w:szCs w:val="28"/>
        </w:rPr>
      </w:pPr>
    </w:p>
    <w:p>
      <w:pPr>
        <w:pStyle w:val="27"/>
        <w:snapToGrid w:val="0"/>
        <w:spacing w:beforeLines="0" w:afterLines="0"/>
        <w:jc w:val="center"/>
        <w:outlineLvl w:val="0"/>
        <w:rPr>
          <w:rFonts w:ascii="黑体" w:hAnsi="宋体" w:eastAsia="黑体"/>
          <w:b/>
          <w:bCs/>
          <w:sz w:val="28"/>
          <w:szCs w:val="28"/>
        </w:rPr>
      </w:pPr>
    </w:p>
    <w:p>
      <w:pPr>
        <w:pStyle w:val="27"/>
        <w:snapToGrid w:val="0"/>
        <w:spacing w:beforeLines="0" w:afterLines="0"/>
        <w:jc w:val="center"/>
        <w:outlineLvl w:val="0"/>
        <w:rPr>
          <w:rFonts w:ascii="黑体" w:hAnsi="宋体" w:eastAsia="黑体"/>
          <w:b/>
          <w:bCs/>
          <w:sz w:val="28"/>
          <w:szCs w:val="28"/>
        </w:rPr>
      </w:pPr>
    </w:p>
    <w:p>
      <w:pPr>
        <w:pStyle w:val="27"/>
        <w:snapToGrid w:val="0"/>
        <w:spacing w:beforeLines="0" w:afterLines="0"/>
        <w:jc w:val="center"/>
        <w:outlineLvl w:val="0"/>
        <w:rPr>
          <w:rFonts w:ascii="黑体" w:hAnsi="宋体" w:eastAsia="黑体"/>
          <w:b/>
          <w:bCs/>
          <w:sz w:val="28"/>
          <w:szCs w:val="28"/>
        </w:rPr>
      </w:pPr>
    </w:p>
    <w:p>
      <w:pPr>
        <w:pStyle w:val="27"/>
        <w:snapToGrid w:val="0"/>
        <w:spacing w:beforeLines="0" w:afterLines="0"/>
        <w:jc w:val="center"/>
        <w:outlineLvl w:val="0"/>
        <w:rPr>
          <w:rFonts w:ascii="黑体" w:hAnsi="宋体" w:eastAsia="黑体"/>
          <w:b/>
          <w:bCs/>
          <w:sz w:val="28"/>
          <w:szCs w:val="28"/>
        </w:rPr>
      </w:pPr>
    </w:p>
    <w:p>
      <w:pPr>
        <w:pStyle w:val="27"/>
        <w:snapToGrid w:val="0"/>
        <w:spacing w:beforeLines="0" w:afterLines="0"/>
        <w:jc w:val="center"/>
        <w:outlineLvl w:val="0"/>
        <w:rPr>
          <w:rFonts w:ascii="黑体" w:hAnsi="宋体" w:eastAsia="黑体"/>
          <w:b/>
          <w:bCs/>
          <w:sz w:val="28"/>
          <w:szCs w:val="28"/>
        </w:rPr>
      </w:pPr>
    </w:p>
    <w:p>
      <w:pPr>
        <w:pStyle w:val="27"/>
        <w:snapToGrid w:val="0"/>
        <w:spacing w:beforeLines="0" w:afterLines="0"/>
        <w:jc w:val="center"/>
        <w:outlineLvl w:val="0"/>
        <w:rPr>
          <w:rFonts w:ascii="黑体" w:hAnsi="宋体" w:eastAsia="黑体"/>
          <w:b/>
          <w:bCs/>
          <w:sz w:val="28"/>
          <w:szCs w:val="28"/>
        </w:rPr>
      </w:pPr>
    </w:p>
    <w:p>
      <w:pPr>
        <w:pStyle w:val="27"/>
        <w:snapToGrid w:val="0"/>
        <w:spacing w:beforeLines="0" w:afterLines="0"/>
        <w:jc w:val="center"/>
        <w:outlineLvl w:val="0"/>
        <w:rPr>
          <w:rFonts w:ascii="黑体" w:hAnsi="宋体" w:eastAsia="黑体"/>
          <w:b/>
          <w:bCs/>
          <w:sz w:val="28"/>
          <w:szCs w:val="28"/>
        </w:rPr>
      </w:pPr>
    </w:p>
    <w:p>
      <w:pPr>
        <w:pStyle w:val="27"/>
        <w:snapToGrid w:val="0"/>
        <w:spacing w:beforeLines="0" w:afterLines="0"/>
        <w:jc w:val="center"/>
        <w:outlineLvl w:val="0"/>
        <w:rPr>
          <w:rFonts w:ascii="黑体" w:hAnsi="宋体" w:eastAsia="黑体"/>
          <w:b/>
          <w:bCs/>
          <w:sz w:val="28"/>
          <w:szCs w:val="28"/>
        </w:rPr>
      </w:pPr>
      <w:r>
        <w:rPr>
          <w:rFonts w:hint="eastAsia" w:ascii="黑体" w:hAnsi="宋体" w:eastAsia="黑体"/>
          <w:b/>
          <w:bCs/>
          <w:sz w:val="28"/>
          <w:szCs w:val="28"/>
        </w:rPr>
        <w:br w:type="page"/>
      </w:r>
      <w:r>
        <w:rPr>
          <w:rFonts w:hint="eastAsia" w:ascii="黑体" w:hAnsi="宋体" w:eastAsia="黑体"/>
          <w:b/>
          <w:bCs/>
          <w:sz w:val="28"/>
          <w:szCs w:val="28"/>
        </w:rPr>
        <w:t xml:space="preserve">第一章  </w:t>
      </w:r>
      <w:r>
        <w:rPr>
          <w:rFonts w:hint="eastAsia" w:ascii="黑体" w:hAnsi="黑体" w:eastAsia="黑体"/>
          <w:sz w:val="28"/>
          <w:szCs w:val="28"/>
        </w:rPr>
        <w:t>公开招标采购公告</w:t>
      </w:r>
    </w:p>
    <w:p>
      <w:pPr>
        <w:pStyle w:val="27"/>
        <w:snapToGrid w:val="0"/>
        <w:spacing w:beforeLines="0" w:afterLines="0"/>
        <w:jc w:val="center"/>
        <w:outlineLvl w:val="0"/>
        <w:rPr>
          <w:rFonts w:ascii="黑体" w:hAnsi="宋体" w:eastAsia="黑体"/>
          <w:b/>
          <w:bCs/>
          <w:sz w:val="28"/>
          <w:szCs w:val="28"/>
        </w:rPr>
      </w:pPr>
    </w:p>
    <w:p>
      <w:pPr>
        <w:spacing w:line="440" w:lineRule="exact"/>
        <w:ind w:firstLine="420" w:firstLineChars="200"/>
        <w:rPr>
          <w:rFonts w:ascii="宋体" w:hAnsi="宋体"/>
        </w:rPr>
      </w:pPr>
      <w:r>
        <w:rPr>
          <w:rFonts w:hint="eastAsia" w:ascii="宋体" w:hAnsi="宋体"/>
        </w:rPr>
        <w:t>根据《中华人民共和国政府采购法》、《政府采购货物和服务招标投标管理办法》、《中华人民共和国政府采购法实施条例》等规定，经宁海县政府采购管理办公室批准，现就宁海县越沙线公路治超电子检测系统建设项目</w:t>
      </w:r>
      <w:r>
        <w:rPr>
          <w:rFonts w:ascii="宋体" w:hAnsi="宋体"/>
        </w:rPr>
        <w:t>进行</w:t>
      </w:r>
      <w:r>
        <w:rPr>
          <w:rFonts w:hint="eastAsia" w:ascii="宋体" w:hAnsi="宋体"/>
        </w:rPr>
        <w:t>国内</w:t>
      </w:r>
      <w:r>
        <w:rPr>
          <w:rFonts w:ascii="宋体" w:hAnsi="宋体"/>
        </w:rPr>
        <w:t>公开招标，</w:t>
      </w:r>
      <w:r>
        <w:rPr>
          <w:rFonts w:hint="eastAsia" w:ascii="宋体" w:hAnsi="宋体"/>
        </w:rPr>
        <w:t>欢迎合格的供应商参加投标。</w:t>
      </w:r>
    </w:p>
    <w:p>
      <w:pPr>
        <w:spacing w:line="440" w:lineRule="exact"/>
        <w:ind w:firstLine="422" w:firstLineChars="200"/>
        <w:rPr>
          <w:rFonts w:ascii="宋体" w:hAnsi="宋体"/>
          <w:b/>
          <w:bCs/>
        </w:rPr>
      </w:pPr>
      <w:r>
        <w:rPr>
          <w:rFonts w:hint="eastAsia" w:ascii="宋体" w:hAnsi="宋体"/>
          <w:b/>
          <w:bCs/>
        </w:rPr>
        <w:t>一、项目基本情况</w:t>
      </w:r>
    </w:p>
    <w:p>
      <w:pPr>
        <w:spacing w:line="440" w:lineRule="exact"/>
        <w:ind w:firstLine="420" w:firstLineChars="200"/>
        <w:rPr>
          <w:rFonts w:ascii="宋体" w:hAnsi="宋体"/>
        </w:rPr>
      </w:pPr>
      <w:r>
        <w:rPr>
          <w:rFonts w:hint="eastAsia" w:ascii="宋体" w:hAnsi="宋体"/>
        </w:rPr>
        <w:t>项目编号：NBZY2020-CG001</w:t>
      </w:r>
    </w:p>
    <w:p>
      <w:pPr>
        <w:snapToGrid w:val="0"/>
        <w:spacing w:line="440" w:lineRule="exact"/>
        <w:ind w:firstLine="420" w:firstLineChars="200"/>
        <w:rPr>
          <w:rFonts w:ascii="宋体" w:hAnsi="宋体"/>
        </w:rPr>
      </w:pPr>
      <w:r>
        <w:rPr>
          <w:rFonts w:hint="eastAsia" w:ascii="宋体" w:hAnsi="宋体"/>
        </w:rPr>
        <w:t>采购组织类型：分散采购委托代理</w:t>
      </w:r>
    </w:p>
    <w:p>
      <w:pPr>
        <w:snapToGrid w:val="0"/>
        <w:spacing w:line="440" w:lineRule="exact"/>
        <w:ind w:firstLine="420" w:firstLineChars="200"/>
        <w:rPr>
          <w:rFonts w:ascii="宋体" w:hAnsi="宋体"/>
        </w:rPr>
      </w:pPr>
      <w:r>
        <w:rPr>
          <w:rFonts w:hint="eastAsia" w:ascii="宋体" w:hAnsi="宋体"/>
        </w:rPr>
        <w:t>采购方式、用途：公开招标、自用</w:t>
      </w:r>
    </w:p>
    <w:p>
      <w:pPr>
        <w:snapToGrid w:val="0"/>
        <w:spacing w:line="440" w:lineRule="exact"/>
        <w:ind w:firstLine="420" w:firstLineChars="200"/>
        <w:rPr>
          <w:rFonts w:ascii="宋体" w:hAnsi="宋体" w:cs="宋体"/>
          <w:color w:val="FF0000"/>
          <w:szCs w:val="21"/>
        </w:rPr>
      </w:pPr>
      <w:r>
        <w:rPr>
          <w:rFonts w:hint="eastAsia" w:ascii="宋体" w:hAnsi="宋体" w:cs="宋体"/>
          <w:szCs w:val="21"/>
        </w:rPr>
        <w:t>★预算金额（最高限价）：人民币148.09万元。</w:t>
      </w:r>
    </w:p>
    <w:p>
      <w:pPr>
        <w:snapToGrid w:val="0"/>
        <w:spacing w:line="440" w:lineRule="exact"/>
        <w:ind w:firstLine="420" w:firstLineChars="200"/>
        <w:rPr>
          <w:rFonts w:ascii="宋体" w:hAnsi="宋体" w:cs="宋体"/>
          <w:szCs w:val="21"/>
        </w:rPr>
      </w:pPr>
      <w:r>
        <w:rPr>
          <w:rFonts w:hint="eastAsia" w:ascii="宋体" w:hAnsi="宋体" w:cs="宋体"/>
          <w:szCs w:val="21"/>
        </w:rPr>
        <w:t>采购文件公告期限（5个工作</w:t>
      </w:r>
      <w:r>
        <w:rPr>
          <w:rFonts w:hint="eastAsia" w:ascii="宋体" w:hAnsi="宋体" w:cs="宋体"/>
          <w:color w:val="auto"/>
          <w:szCs w:val="21"/>
        </w:rPr>
        <w:t>日)：2020年</w:t>
      </w:r>
      <w:r>
        <w:rPr>
          <w:rFonts w:hint="eastAsia" w:ascii="宋体" w:hAnsi="宋体" w:cs="宋体"/>
          <w:color w:val="auto"/>
          <w:szCs w:val="21"/>
          <w:lang w:val="en-US" w:eastAsia="zh-CN"/>
        </w:rPr>
        <w:t>09</w:t>
      </w:r>
      <w:r>
        <w:rPr>
          <w:rFonts w:hint="eastAsia" w:ascii="宋体" w:hAnsi="宋体" w:cs="宋体"/>
          <w:color w:val="auto"/>
          <w:szCs w:val="21"/>
        </w:rPr>
        <w:t>月</w:t>
      </w:r>
      <w:r>
        <w:rPr>
          <w:rFonts w:hint="eastAsia" w:ascii="宋体" w:hAnsi="宋体" w:cs="宋体"/>
          <w:color w:val="auto"/>
          <w:szCs w:val="21"/>
          <w:lang w:val="en-US" w:eastAsia="zh-CN"/>
        </w:rPr>
        <w:t>03</w:t>
      </w:r>
      <w:r>
        <w:rPr>
          <w:rFonts w:hint="eastAsia" w:ascii="宋体" w:hAnsi="宋体" w:cs="宋体"/>
          <w:color w:val="auto"/>
          <w:szCs w:val="21"/>
        </w:rPr>
        <w:t xml:space="preserve">日至2020年 </w:t>
      </w:r>
      <w:r>
        <w:rPr>
          <w:rFonts w:hint="eastAsia" w:ascii="宋体" w:hAnsi="宋体" w:cs="宋体"/>
          <w:color w:val="auto"/>
          <w:szCs w:val="21"/>
          <w:lang w:val="en-US" w:eastAsia="zh-CN"/>
        </w:rPr>
        <w:t>09</w:t>
      </w:r>
      <w:r>
        <w:rPr>
          <w:rFonts w:hint="eastAsia" w:ascii="宋体" w:hAnsi="宋体" w:cs="宋体"/>
          <w:color w:val="auto"/>
          <w:szCs w:val="21"/>
        </w:rPr>
        <w:t>月</w:t>
      </w:r>
      <w:r>
        <w:rPr>
          <w:rFonts w:hint="eastAsia" w:ascii="宋体" w:hAnsi="宋体" w:cs="宋体"/>
          <w:color w:val="auto"/>
          <w:szCs w:val="21"/>
          <w:lang w:val="en-US" w:eastAsia="zh-CN"/>
        </w:rPr>
        <w:t>10</w:t>
      </w:r>
      <w:r>
        <w:rPr>
          <w:rFonts w:hint="eastAsia" w:ascii="宋体" w:hAnsi="宋体" w:cs="宋体"/>
          <w:color w:val="auto"/>
          <w:szCs w:val="21"/>
        </w:rPr>
        <w:t>日止</w:t>
      </w:r>
    </w:p>
    <w:p>
      <w:pPr>
        <w:spacing w:line="440" w:lineRule="exact"/>
        <w:ind w:firstLine="420" w:firstLineChars="200"/>
        <w:rPr>
          <w:rFonts w:ascii="宋体" w:hAnsi="宋体"/>
          <w:szCs w:val="21"/>
        </w:rPr>
      </w:pPr>
      <w:r>
        <w:rPr>
          <w:rFonts w:hint="eastAsia" w:ascii="宋体" w:hAnsi="宋体"/>
        </w:rPr>
        <w:t>采购内容：称重子系统、信息发布子系统、车牌识别子系统、预告牌及其他、后端基础设施建设、闯禁令系统</w:t>
      </w:r>
      <w:r>
        <w:rPr>
          <w:rFonts w:hint="eastAsia" w:ascii="宋体" w:hAnsi="宋体" w:cs="宋体"/>
        </w:rPr>
        <w:t>（详见采购文件）</w:t>
      </w:r>
    </w:p>
    <w:p>
      <w:pPr>
        <w:snapToGrid w:val="0"/>
        <w:spacing w:line="440" w:lineRule="exact"/>
        <w:ind w:firstLine="422" w:firstLineChars="200"/>
        <w:jc w:val="left"/>
        <w:rPr>
          <w:rFonts w:ascii="宋体" w:hAnsi="宋体" w:cs="宋体"/>
          <w:b/>
          <w:bCs/>
          <w:szCs w:val="21"/>
        </w:rPr>
      </w:pPr>
      <w:r>
        <w:rPr>
          <w:rFonts w:hint="eastAsia" w:ascii="宋体" w:hAnsi="宋体" w:cs="宋体"/>
          <w:b/>
          <w:bCs/>
          <w:szCs w:val="21"/>
        </w:rPr>
        <w:t>二、合格供应商的资格要求(本项目采用资格后审)</w:t>
      </w:r>
    </w:p>
    <w:p>
      <w:pPr>
        <w:widowControl/>
        <w:spacing w:line="465" w:lineRule="atLeast"/>
        <w:ind w:firstLine="420"/>
        <w:jc w:val="left"/>
        <w:rPr>
          <w:rFonts w:ascii="宋体" w:hAnsi="宋体" w:cs="Arial"/>
          <w:color w:val="383838"/>
          <w:kern w:val="0"/>
          <w:szCs w:val="21"/>
        </w:rPr>
      </w:pPr>
      <w:r>
        <w:rPr>
          <w:rFonts w:hint="eastAsia" w:ascii="宋体" w:hAnsi="宋体" w:cs="Arial"/>
          <w:color w:val="383838"/>
          <w:kern w:val="0"/>
          <w:szCs w:val="21"/>
        </w:rPr>
        <w:t>（一）符合《中华人民共和国政府采购法》第二十二条规定的供应商资格条件；</w:t>
      </w:r>
    </w:p>
    <w:p>
      <w:pPr>
        <w:widowControl/>
        <w:spacing w:line="465" w:lineRule="atLeast"/>
        <w:ind w:firstLine="420"/>
        <w:jc w:val="left"/>
        <w:rPr>
          <w:rFonts w:ascii="宋体" w:hAnsi="宋体" w:cs="Arial"/>
          <w:color w:val="383838"/>
          <w:kern w:val="0"/>
          <w:szCs w:val="21"/>
        </w:rPr>
      </w:pPr>
      <w:r>
        <w:rPr>
          <w:rFonts w:hint="eastAsia" w:ascii="宋体" w:hAnsi="宋体" w:cs="Arial"/>
          <w:color w:val="383838"/>
          <w:kern w:val="0"/>
          <w:szCs w:val="21"/>
        </w:rPr>
        <w:t>（二）本项目特定条件：无；</w:t>
      </w:r>
    </w:p>
    <w:p>
      <w:pPr>
        <w:widowControl/>
        <w:spacing w:line="465" w:lineRule="atLeast"/>
        <w:ind w:firstLine="420"/>
        <w:jc w:val="left"/>
        <w:rPr>
          <w:rFonts w:ascii="宋体" w:hAnsi="宋体" w:cs="Arial"/>
          <w:color w:val="383838"/>
          <w:kern w:val="0"/>
          <w:szCs w:val="21"/>
        </w:rPr>
      </w:pPr>
      <w:r>
        <w:rPr>
          <w:rFonts w:hint="eastAsia" w:ascii="宋体" w:hAnsi="宋体" w:cs="Arial"/>
          <w:color w:val="383838"/>
          <w:kern w:val="0"/>
          <w:szCs w:val="21"/>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widowControl/>
        <w:spacing w:line="465" w:lineRule="atLeast"/>
        <w:ind w:firstLine="420"/>
        <w:jc w:val="left"/>
        <w:rPr>
          <w:rFonts w:ascii="宋体" w:hAnsi="宋体" w:cs="Arial"/>
          <w:color w:val="383838"/>
          <w:kern w:val="0"/>
          <w:szCs w:val="21"/>
        </w:rPr>
      </w:pPr>
      <w:r>
        <w:rPr>
          <w:rFonts w:hint="eastAsia" w:ascii="宋体" w:hAnsi="宋体" w:cs="Arial"/>
          <w:color w:val="383838"/>
          <w:kern w:val="0"/>
          <w:szCs w:val="21"/>
        </w:rPr>
        <w:t xml:space="preserve">（四）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投标截止日当天在“信用中国”网站（www.creditchina.gov.cn）及中国政府采购网查询结果为准，如相关失信记录已失效，供应商需提供相关证明资料）； </w:t>
      </w:r>
    </w:p>
    <w:p>
      <w:pPr>
        <w:widowControl/>
        <w:spacing w:line="465" w:lineRule="atLeast"/>
        <w:ind w:firstLine="420"/>
        <w:jc w:val="left"/>
        <w:rPr>
          <w:rFonts w:ascii="Arial" w:hAnsi="Arial" w:cs="Arial"/>
          <w:color w:val="383838"/>
          <w:kern w:val="0"/>
          <w:sz w:val="24"/>
        </w:rPr>
      </w:pPr>
      <w:r>
        <w:rPr>
          <w:rFonts w:hint="eastAsia" w:ascii="宋体" w:hAnsi="宋体" w:cs="Arial"/>
          <w:color w:val="383838"/>
          <w:kern w:val="0"/>
          <w:szCs w:val="21"/>
        </w:rPr>
        <w:t>（五）本项目不接受联合体投标。</w:t>
      </w:r>
    </w:p>
    <w:p>
      <w:pPr>
        <w:snapToGrid w:val="0"/>
        <w:spacing w:line="440" w:lineRule="exact"/>
        <w:ind w:firstLine="474" w:firstLineChars="225"/>
        <w:jc w:val="left"/>
        <w:rPr>
          <w:rFonts w:ascii="宋体" w:hAnsi="宋体" w:cs="宋体"/>
          <w:b/>
          <w:bCs/>
          <w:szCs w:val="21"/>
        </w:rPr>
      </w:pPr>
      <w:r>
        <w:rPr>
          <w:rFonts w:hint="eastAsia" w:ascii="宋体" w:hAnsi="宋体" w:cs="宋体"/>
          <w:b/>
          <w:bCs/>
          <w:szCs w:val="21"/>
        </w:rPr>
        <w:t>三、获取招标文件：</w:t>
      </w:r>
    </w:p>
    <w:p>
      <w:pPr>
        <w:snapToGrid w:val="0"/>
        <w:spacing w:line="440" w:lineRule="exact"/>
        <w:ind w:firstLine="472" w:firstLineChars="225"/>
        <w:jc w:val="left"/>
        <w:rPr>
          <w:rFonts w:ascii="宋体" w:hAnsi="宋体" w:cs="宋体"/>
          <w:szCs w:val="21"/>
        </w:rPr>
      </w:pPr>
      <w:r>
        <w:rPr>
          <w:rFonts w:hint="eastAsia" w:ascii="宋体" w:hAnsi="宋体" w:cs="宋体"/>
          <w:szCs w:val="21"/>
        </w:rPr>
        <w:t>1、招标文件提供</w:t>
      </w:r>
      <w:r>
        <w:rPr>
          <w:rFonts w:hint="eastAsia" w:ascii="宋体" w:hAnsi="宋体" w:cs="宋体"/>
          <w:color w:val="auto"/>
          <w:szCs w:val="21"/>
        </w:rPr>
        <w:t>期限：2020年</w:t>
      </w:r>
      <w:r>
        <w:rPr>
          <w:rFonts w:hint="eastAsia" w:ascii="宋体" w:hAnsi="宋体" w:cs="宋体"/>
          <w:color w:val="auto"/>
          <w:szCs w:val="21"/>
          <w:lang w:val="en-US" w:eastAsia="zh-CN"/>
        </w:rPr>
        <w:t>09</w:t>
      </w:r>
      <w:r>
        <w:rPr>
          <w:rFonts w:hint="eastAsia" w:ascii="宋体" w:hAnsi="宋体" w:cs="宋体"/>
          <w:color w:val="auto"/>
          <w:szCs w:val="21"/>
        </w:rPr>
        <w:t>月</w:t>
      </w:r>
      <w:r>
        <w:rPr>
          <w:rFonts w:hint="eastAsia" w:ascii="宋体" w:hAnsi="宋体" w:cs="宋体"/>
          <w:color w:val="auto"/>
          <w:szCs w:val="21"/>
          <w:lang w:val="en-US" w:eastAsia="zh-CN"/>
        </w:rPr>
        <w:t>03</w:t>
      </w:r>
      <w:r>
        <w:rPr>
          <w:rFonts w:hint="eastAsia" w:ascii="宋体" w:hAnsi="宋体" w:cs="宋体"/>
          <w:color w:val="auto"/>
          <w:szCs w:val="21"/>
        </w:rPr>
        <w:t>日至2020年</w:t>
      </w:r>
      <w:r>
        <w:rPr>
          <w:rFonts w:hint="eastAsia" w:ascii="宋体" w:hAnsi="宋体" w:cs="宋体"/>
          <w:color w:val="auto"/>
          <w:szCs w:val="21"/>
          <w:lang w:val="en-US" w:eastAsia="zh-CN"/>
        </w:rPr>
        <w:t>09</w:t>
      </w:r>
      <w:r>
        <w:rPr>
          <w:rFonts w:hint="eastAsia" w:ascii="宋体" w:hAnsi="宋体" w:cs="宋体"/>
          <w:color w:val="auto"/>
          <w:szCs w:val="21"/>
        </w:rPr>
        <w:t>月</w:t>
      </w:r>
      <w:r>
        <w:rPr>
          <w:rFonts w:hint="eastAsia" w:ascii="宋体" w:hAnsi="宋体" w:cs="宋体"/>
          <w:color w:val="auto"/>
          <w:szCs w:val="21"/>
          <w:lang w:val="en-US" w:eastAsia="zh-CN"/>
        </w:rPr>
        <w:t>10</w:t>
      </w:r>
      <w:r>
        <w:rPr>
          <w:rFonts w:hint="eastAsia" w:ascii="宋体" w:hAnsi="宋体" w:cs="宋体"/>
          <w:color w:val="auto"/>
          <w:szCs w:val="21"/>
        </w:rPr>
        <w:t>日17：</w:t>
      </w:r>
      <w:r>
        <w:rPr>
          <w:rFonts w:hint="eastAsia" w:ascii="宋体" w:hAnsi="宋体" w:cs="宋体"/>
          <w:szCs w:val="21"/>
        </w:rPr>
        <w:t>00止（北京时间，双休日及法定节假日除外）。</w:t>
      </w:r>
    </w:p>
    <w:p>
      <w:pPr>
        <w:snapToGrid w:val="0"/>
        <w:spacing w:line="440" w:lineRule="exact"/>
        <w:ind w:firstLine="472" w:firstLineChars="225"/>
        <w:jc w:val="left"/>
        <w:rPr>
          <w:rFonts w:ascii="宋体" w:hAnsi="宋体" w:cs="宋体"/>
          <w:szCs w:val="21"/>
        </w:rPr>
      </w:pPr>
      <w:r>
        <w:rPr>
          <w:rFonts w:hint="eastAsia" w:ascii="宋体" w:hAnsi="宋体" w:cs="宋体"/>
          <w:szCs w:val="21"/>
        </w:rPr>
        <w:t>2、招标文件获取方式：政府采购云平台www.zcygov.cn。（免费获取）</w:t>
      </w:r>
    </w:p>
    <w:p>
      <w:pPr>
        <w:snapToGrid w:val="0"/>
        <w:spacing w:line="440" w:lineRule="exact"/>
        <w:ind w:firstLine="472" w:firstLineChars="225"/>
        <w:jc w:val="left"/>
        <w:rPr>
          <w:rFonts w:ascii="宋体" w:hAnsi="宋体" w:cs="宋体"/>
          <w:szCs w:val="21"/>
        </w:rPr>
      </w:pPr>
      <w:r>
        <w:rPr>
          <w:rFonts w:hint="eastAsia" w:ascii="宋体" w:hAnsi="宋体" w:cs="宋体"/>
          <w:szCs w:val="21"/>
        </w:rPr>
        <w:t>3、获取招标文件前，供应商应按照《浙江省政府采购供应商注册及诚信管理暂行办法》的规定在浙江政府采购网www.zjzfcg.gov.cn上注册，并登记加入浙江省政府采购供应商库，注册咨询电话：400-881-7190，如未注册的供应商，请注意注册所需时间。</w:t>
      </w:r>
    </w:p>
    <w:p>
      <w:pPr>
        <w:snapToGrid w:val="0"/>
        <w:spacing w:line="440" w:lineRule="exact"/>
        <w:ind w:firstLine="472" w:firstLineChars="225"/>
        <w:jc w:val="left"/>
        <w:rPr>
          <w:rFonts w:ascii="宋体" w:hAnsi="宋体" w:cs="宋体"/>
          <w:szCs w:val="21"/>
        </w:rPr>
      </w:pPr>
      <w:r>
        <w:rPr>
          <w:rFonts w:hint="eastAsia" w:ascii="宋体" w:hAnsi="宋体" w:cs="宋体"/>
          <w:szCs w:val="21"/>
        </w:rPr>
        <w:t>4、本采购公告附件中的招标文件仅供阅览使用，供应商应在规定的招标文件提供期限内在政府采购云平台www.zcygov.cn登录供应商注册的账号后获取招标文件，未在规定的招标文件提供期限内或未按上述方式获取招标文件的，不得对招标文件提起质疑投诉。</w:t>
      </w:r>
    </w:p>
    <w:p>
      <w:pPr>
        <w:snapToGrid w:val="0"/>
        <w:spacing w:line="440" w:lineRule="exact"/>
        <w:ind w:firstLine="474" w:firstLineChars="225"/>
        <w:jc w:val="left"/>
        <w:rPr>
          <w:rFonts w:ascii="宋体" w:hAnsi="宋体" w:cs="宋体"/>
          <w:b/>
          <w:bCs/>
          <w:szCs w:val="21"/>
        </w:rPr>
      </w:pPr>
      <w:r>
        <w:rPr>
          <w:rFonts w:hint="eastAsia" w:ascii="宋体" w:hAnsi="宋体" w:cs="宋体"/>
          <w:b/>
          <w:bCs/>
          <w:szCs w:val="21"/>
        </w:rPr>
        <w:t>四、投标截止时间和地点：</w:t>
      </w:r>
    </w:p>
    <w:p>
      <w:pPr>
        <w:snapToGrid w:val="0"/>
        <w:spacing w:line="440" w:lineRule="exact"/>
        <w:ind w:firstLine="472" w:firstLineChars="225"/>
        <w:jc w:val="left"/>
        <w:rPr>
          <w:rFonts w:ascii="宋体" w:hAnsi="宋体" w:cs="宋体"/>
          <w:color w:val="auto"/>
          <w:szCs w:val="21"/>
        </w:rPr>
      </w:pPr>
      <w:r>
        <w:rPr>
          <w:rFonts w:hint="eastAsia" w:ascii="宋体" w:hAnsi="宋体" w:cs="宋体"/>
          <w:szCs w:val="21"/>
        </w:rPr>
        <w:t>1、供应</w:t>
      </w:r>
      <w:r>
        <w:rPr>
          <w:rFonts w:hint="eastAsia" w:ascii="宋体" w:hAnsi="宋体" w:cs="宋体"/>
          <w:color w:val="auto"/>
          <w:szCs w:val="21"/>
        </w:rPr>
        <w:t>商应于2020年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13</w:t>
      </w:r>
      <w:r>
        <w:rPr>
          <w:rFonts w:hint="eastAsia" w:ascii="宋体" w:hAnsi="宋体" w:cs="宋体"/>
          <w:color w:val="auto"/>
          <w:szCs w:val="21"/>
        </w:rPr>
        <w:t>日</w:t>
      </w:r>
      <w:r>
        <w:rPr>
          <w:rFonts w:hint="eastAsia" w:ascii="宋体" w:hAnsi="宋体" w:cs="宋体"/>
          <w:color w:val="auto"/>
          <w:szCs w:val="21"/>
          <w:lang w:val="en-US" w:eastAsia="zh-CN"/>
        </w:rPr>
        <w:t>14:00</w:t>
      </w:r>
      <w:r>
        <w:rPr>
          <w:rFonts w:hint="eastAsia" w:ascii="宋体" w:hAnsi="宋体" w:cs="宋体"/>
          <w:color w:val="auto"/>
          <w:szCs w:val="21"/>
        </w:rPr>
        <w:t>时（北京时间）前将电子投标文件上传到政府采购云平台www.zcygov.cn，未上传电子投标文件，视为供应商放弃投标。</w:t>
      </w:r>
    </w:p>
    <w:p>
      <w:pPr>
        <w:snapToGrid w:val="0"/>
        <w:spacing w:line="440" w:lineRule="exact"/>
        <w:ind w:firstLine="472" w:firstLineChars="225"/>
        <w:jc w:val="left"/>
        <w:rPr>
          <w:rFonts w:ascii="宋体" w:hAnsi="宋体" w:cs="宋体"/>
          <w:color w:val="auto"/>
          <w:szCs w:val="21"/>
        </w:rPr>
      </w:pPr>
      <w:r>
        <w:rPr>
          <w:rFonts w:hint="eastAsia" w:ascii="宋体" w:hAnsi="宋体" w:cs="宋体"/>
          <w:color w:val="auto"/>
          <w:szCs w:val="21"/>
        </w:rPr>
        <w:t>2、供应商如提供备份投标文件的，应于2020年</w:t>
      </w:r>
      <w:r>
        <w:rPr>
          <w:rFonts w:hint="eastAsia" w:ascii="宋体" w:hAnsi="宋体" w:cs="宋体"/>
          <w:color w:val="auto"/>
          <w:szCs w:val="21"/>
          <w:lang w:val="en-US" w:eastAsia="zh-CN"/>
        </w:rPr>
        <w:t>10</w:t>
      </w:r>
      <w:r>
        <w:rPr>
          <w:rFonts w:hint="eastAsia" w:ascii="宋体" w:hAnsi="宋体" w:cs="宋体"/>
          <w:color w:val="auto"/>
          <w:szCs w:val="21"/>
        </w:rPr>
        <w:t>月</w:t>
      </w:r>
      <w:r>
        <w:rPr>
          <w:rFonts w:hint="eastAsia" w:ascii="宋体" w:hAnsi="宋体" w:cs="宋体"/>
          <w:color w:val="auto"/>
          <w:szCs w:val="21"/>
          <w:lang w:val="en-US" w:eastAsia="zh-CN"/>
        </w:rPr>
        <w:t>13</w:t>
      </w:r>
      <w:r>
        <w:rPr>
          <w:rFonts w:hint="eastAsia" w:ascii="宋体" w:hAnsi="宋体" w:cs="宋体"/>
          <w:color w:val="auto"/>
          <w:szCs w:val="21"/>
        </w:rPr>
        <w:t>日</w:t>
      </w:r>
      <w:r>
        <w:rPr>
          <w:rFonts w:hint="eastAsia" w:ascii="宋体" w:hAnsi="宋体" w:cs="宋体"/>
          <w:color w:val="auto"/>
          <w:szCs w:val="21"/>
          <w:lang w:val="en-US" w:eastAsia="zh-CN"/>
        </w:rPr>
        <w:t>14:00</w:t>
      </w:r>
      <w:r>
        <w:rPr>
          <w:rFonts w:hint="eastAsia" w:ascii="宋体" w:hAnsi="宋体" w:cs="宋体"/>
          <w:color w:val="auto"/>
          <w:szCs w:val="21"/>
        </w:rPr>
        <w:t>时（北京时间）前，将以U盘存储的电子备份投标文件和纸质备份投标文件分别密封，递交至宁海县公共资源交易中心（宁海县桃源街道金水东路5号五楼，详见五楼大厅公告），逾期送达或未密封将予以拒收。供应商仅提供备份投标文件（包括以U盘存储的电子备份投标文件或纸质备份投标）的，投标无效。</w:t>
      </w:r>
    </w:p>
    <w:p>
      <w:pPr>
        <w:snapToGrid w:val="0"/>
        <w:spacing w:line="440" w:lineRule="exact"/>
        <w:ind w:firstLine="472" w:firstLineChars="225"/>
        <w:jc w:val="left"/>
        <w:rPr>
          <w:rFonts w:ascii="宋体" w:hAnsi="宋体" w:cs="宋体"/>
          <w:color w:val="auto"/>
          <w:szCs w:val="21"/>
        </w:rPr>
      </w:pPr>
      <w:r>
        <w:rPr>
          <w:rFonts w:hint="eastAsia" w:ascii="宋体" w:hAnsi="宋体" w:cs="宋体"/>
          <w:color w:val="auto"/>
          <w:szCs w:val="21"/>
        </w:rPr>
        <w:t>3、如因系统或部分电子投标文件无法解密，而采用纸质投标</w:t>
      </w:r>
      <w:bookmarkStart w:id="30" w:name="_GoBack"/>
      <w:bookmarkEnd w:id="30"/>
      <w:r>
        <w:rPr>
          <w:rFonts w:hint="eastAsia" w:ascii="宋体" w:hAnsi="宋体" w:cs="宋体"/>
          <w:color w:val="auto"/>
          <w:szCs w:val="21"/>
        </w:rPr>
        <w:t>文件线下评审程序时，供应商在投标截止时间前未提交纸质备份投标文件的，视为供应商放弃投标。</w:t>
      </w:r>
    </w:p>
    <w:p>
      <w:pPr>
        <w:snapToGrid w:val="0"/>
        <w:spacing w:line="440" w:lineRule="exact"/>
        <w:ind w:firstLine="474" w:firstLineChars="225"/>
        <w:jc w:val="left"/>
        <w:rPr>
          <w:rFonts w:ascii="宋体" w:hAnsi="宋体" w:cs="宋体"/>
          <w:b/>
          <w:bCs/>
          <w:color w:val="auto"/>
          <w:szCs w:val="21"/>
        </w:rPr>
      </w:pPr>
      <w:r>
        <w:rPr>
          <w:rFonts w:hint="eastAsia" w:ascii="宋体" w:hAnsi="宋体" w:cs="宋体"/>
          <w:b/>
          <w:bCs/>
          <w:color w:val="auto"/>
          <w:szCs w:val="21"/>
        </w:rPr>
        <w:t>五、开标时间及地点：</w:t>
      </w:r>
    </w:p>
    <w:p>
      <w:pPr>
        <w:snapToGrid w:val="0"/>
        <w:spacing w:line="440" w:lineRule="exact"/>
        <w:ind w:firstLine="472" w:firstLineChars="225"/>
        <w:jc w:val="left"/>
        <w:rPr>
          <w:rFonts w:ascii="宋体" w:hAnsi="宋体" w:cs="宋体"/>
          <w:color w:val="auto"/>
          <w:szCs w:val="21"/>
        </w:rPr>
      </w:pPr>
      <w:r>
        <w:rPr>
          <w:rFonts w:hint="eastAsia" w:ascii="宋体" w:hAnsi="宋体" w:cs="宋体"/>
          <w:color w:val="auto"/>
          <w:szCs w:val="21"/>
        </w:rPr>
        <w:t>1.开标时间：2020年</w:t>
      </w:r>
      <w:r>
        <w:rPr>
          <w:rFonts w:hint="eastAsia" w:ascii="宋体" w:hAnsi="宋体" w:cs="宋体"/>
          <w:color w:val="auto"/>
          <w:szCs w:val="21"/>
          <w:lang w:val="en-US" w:eastAsia="zh-CN"/>
        </w:rPr>
        <w:t>10</w:t>
      </w:r>
      <w:r>
        <w:rPr>
          <w:rFonts w:hint="eastAsia" w:ascii="宋体" w:hAnsi="宋体" w:cs="宋体"/>
          <w:color w:val="auto"/>
          <w:szCs w:val="21"/>
        </w:rPr>
        <w:t xml:space="preserve">月 </w:t>
      </w:r>
      <w:r>
        <w:rPr>
          <w:rFonts w:hint="eastAsia" w:ascii="宋体" w:hAnsi="宋体" w:cs="宋体"/>
          <w:color w:val="auto"/>
          <w:szCs w:val="21"/>
          <w:lang w:val="en-US" w:eastAsia="zh-CN"/>
        </w:rPr>
        <w:t>13</w:t>
      </w:r>
      <w:r>
        <w:rPr>
          <w:rFonts w:hint="eastAsia" w:ascii="宋体" w:hAnsi="宋体" w:cs="宋体"/>
          <w:color w:val="auto"/>
          <w:szCs w:val="21"/>
        </w:rPr>
        <w:t>日</w:t>
      </w:r>
      <w:r>
        <w:rPr>
          <w:rFonts w:hint="eastAsia" w:ascii="宋体" w:hAnsi="宋体" w:cs="宋体"/>
          <w:color w:val="auto"/>
          <w:szCs w:val="21"/>
          <w:lang w:val="en-US" w:eastAsia="zh-CN"/>
        </w:rPr>
        <w:t>14:00</w:t>
      </w:r>
      <w:r>
        <w:rPr>
          <w:rFonts w:hint="eastAsia" w:ascii="宋体" w:hAnsi="宋体" w:cs="宋体"/>
          <w:color w:val="auto"/>
          <w:szCs w:val="21"/>
        </w:rPr>
        <w:t>时（北京时间）。</w:t>
      </w:r>
    </w:p>
    <w:p>
      <w:pPr>
        <w:snapToGrid w:val="0"/>
        <w:spacing w:line="440" w:lineRule="exact"/>
        <w:ind w:firstLine="472" w:firstLineChars="225"/>
        <w:jc w:val="left"/>
        <w:rPr>
          <w:rFonts w:ascii="宋体" w:hAnsi="宋体" w:cs="宋体"/>
          <w:color w:val="auto"/>
          <w:szCs w:val="21"/>
        </w:rPr>
      </w:pPr>
      <w:r>
        <w:rPr>
          <w:rFonts w:hint="eastAsia" w:ascii="宋体" w:hAnsi="宋体" w:cs="宋体"/>
          <w:color w:val="auto"/>
          <w:szCs w:val="21"/>
        </w:rPr>
        <w:t>2.开标地点：宁海县公共资源交易中心（宁海县桃源街道金水东路5号五楼，详见五楼大厅公告）。</w:t>
      </w:r>
    </w:p>
    <w:p>
      <w:pPr>
        <w:snapToGrid w:val="0"/>
        <w:spacing w:line="440" w:lineRule="exact"/>
        <w:ind w:firstLine="472" w:firstLineChars="225"/>
        <w:jc w:val="left"/>
        <w:rPr>
          <w:rFonts w:ascii="宋体" w:hAnsi="宋体" w:cs="宋体"/>
          <w:color w:val="auto"/>
          <w:szCs w:val="21"/>
        </w:rPr>
      </w:pPr>
      <w:r>
        <w:rPr>
          <w:rFonts w:hint="eastAsia" w:ascii="宋体" w:hAnsi="宋体" w:cs="宋体"/>
          <w:color w:val="auto"/>
          <w:szCs w:val="21"/>
        </w:rPr>
        <w:t>3.采购代理机构将在采购文件规定的时间通过政府采购云平台组织开标、开启投标文件，所有供应商均应准时在线参加。开标时间后30分钟内（2020年</w:t>
      </w:r>
      <w:r>
        <w:rPr>
          <w:rFonts w:hint="eastAsia" w:ascii="宋体" w:hAnsi="宋体" w:cs="宋体"/>
          <w:color w:val="auto"/>
          <w:szCs w:val="21"/>
          <w:lang w:val="en-US" w:eastAsia="zh-CN"/>
        </w:rPr>
        <w:t>10</w:t>
      </w:r>
      <w:r>
        <w:rPr>
          <w:rFonts w:hint="eastAsia" w:ascii="宋体" w:hAnsi="宋体" w:cs="宋体"/>
          <w:color w:val="auto"/>
          <w:szCs w:val="21"/>
        </w:rPr>
        <w:t xml:space="preserve">月 </w:t>
      </w:r>
      <w:r>
        <w:rPr>
          <w:rFonts w:hint="eastAsia" w:ascii="宋体" w:hAnsi="宋体" w:cs="宋体"/>
          <w:color w:val="auto"/>
          <w:szCs w:val="21"/>
          <w:lang w:val="en-US" w:eastAsia="zh-CN"/>
        </w:rPr>
        <w:t>13</w:t>
      </w:r>
      <w:r>
        <w:rPr>
          <w:rFonts w:hint="eastAsia" w:ascii="宋体" w:hAnsi="宋体" w:cs="宋体"/>
          <w:color w:val="auto"/>
          <w:szCs w:val="21"/>
        </w:rPr>
        <w:t>日</w:t>
      </w:r>
      <w:r>
        <w:rPr>
          <w:rFonts w:hint="eastAsia" w:ascii="宋体" w:hAnsi="宋体" w:cs="宋体"/>
          <w:color w:val="auto"/>
          <w:szCs w:val="21"/>
          <w:lang w:val="en-US" w:eastAsia="zh-CN"/>
        </w:rPr>
        <w:t>14:30</w:t>
      </w:r>
      <w:r>
        <w:rPr>
          <w:rFonts w:hint="eastAsia" w:ascii="宋体" w:hAnsi="宋体" w:cs="宋体"/>
          <w:color w:val="auto"/>
          <w:szCs w:val="21"/>
        </w:rPr>
        <w:t xml:space="preserve"> 时前）供应商可以登录政府采购云平台www.zcygov.cn，用“项目采购-开标评标”功能进行解密投标文件。若供应商在规定时间内（2020年</w:t>
      </w:r>
      <w:r>
        <w:rPr>
          <w:rFonts w:hint="eastAsia" w:ascii="宋体" w:hAnsi="宋体" w:cs="宋体"/>
          <w:color w:val="auto"/>
          <w:szCs w:val="21"/>
          <w:lang w:val="en-US" w:eastAsia="zh-CN"/>
        </w:rPr>
        <w:t>10</w:t>
      </w:r>
      <w:r>
        <w:rPr>
          <w:rFonts w:hint="eastAsia" w:ascii="宋体" w:hAnsi="宋体" w:cs="宋体"/>
          <w:color w:val="auto"/>
          <w:szCs w:val="21"/>
        </w:rPr>
        <w:t xml:space="preserve">月 </w:t>
      </w:r>
      <w:r>
        <w:rPr>
          <w:rFonts w:hint="eastAsia" w:ascii="宋体" w:hAnsi="宋体" w:cs="宋体"/>
          <w:color w:val="auto"/>
          <w:szCs w:val="21"/>
          <w:lang w:val="en-US" w:eastAsia="zh-CN"/>
        </w:rPr>
        <w:t>13</w:t>
      </w:r>
      <w:r>
        <w:rPr>
          <w:rFonts w:hint="eastAsia" w:ascii="宋体" w:hAnsi="宋体" w:cs="宋体"/>
          <w:color w:val="auto"/>
          <w:szCs w:val="21"/>
        </w:rPr>
        <w:t>日</w:t>
      </w:r>
      <w:r>
        <w:rPr>
          <w:rFonts w:hint="eastAsia" w:ascii="宋体" w:hAnsi="宋体" w:cs="宋体"/>
          <w:color w:val="auto"/>
          <w:szCs w:val="21"/>
          <w:lang w:val="en-US" w:eastAsia="zh-CN"/>
        </w:rPr>
        <w:t>14:30</w:t>
      </w:r>
      <w:r>
        <w:rPr>
          <w:rFonts w:hint="eastAsia" w:ascii="宋体" w:hAnsi="宋体" w:cs="宋体"/>
          <w:color w:val="auto"/>
          <w:szCs w:val="21"/>
        </w:rPr>
        <w:t>时前）无法解密或解密失败，可使用备份电子投标文件进行或使用纸质投标文件进行线下评标。</w:t>
      </w:r>
    </w:p>
    <w:p>
      <w:pPr>
        <w:snapToGrid w:val="0"/>
        <w:spacing w:line="440" w:lineRule="exact"/>
        <w:ind w:firstLine="474" w:firstLineChars="225"/>
        <w:jc w:val="left"/>
        <w:rPr>
          <w:rFonts w:ascii="宋体" w:hAnsi="宋体" w:cs="宋体"/>
          <w:b/>
          <w:bCs/>
          <w:szCs w:val="21"/>
        </w:rPr>
      </w:pPr>
      <w:r>
        <w:rPr>
          <w:rFonts w:hint="eastAsia" w:ascii="宋体" w:hAnsi="宋体" w:cs="宋体"/>
          <w:b/>
          <w:bCs/>
          <w:szCs w:val="21"/>
        </w:rPr>
        <w:t>六、投标与开标注意事项：</w:t>
      </w:r>
    </w:p>
    <w:p>
      <w:pPr>
        <w:snapToGrid w:val="0"/>
        <w:spacing w:line="440" w:lineRule="exact"/>
        <w:ind w:firstLine="472" w:firstLineChars="225"/>
        <w:jc w:val="left"/>
        <w:rPr>
          <w:rFonts w:ascii="宋体" w:hAnsi="宋体" w:cs="宋体"/>
          <w:szCs w:val="21"/>
        </w:rPr>
      </w:pPr>
      <w:r>
        <w:rPr>
          <w:rFonts w:hint="eastAsia" w:ascii="宋体" w:hAnsi="宋体" w:cs="宋体"/>
          <w:szCs w:val="21"/>
        </w:rPr>
        <w:t>1、本项目实行网上投标，采用电子投标文件。若供应商参与投标，自行承担投标一切费用。</w:t>
      </w:r>
    </w:p>
    <w:p>
      <w:pPr>
        <w:snapToGrid w:val="0"/>
        <w:spacing w:line="440" w:lineRule="exact"/>
        <w:ind w:firstLine="472" w:firstLineChars="225"/>
        <w:jc w:val="left"/>
        <w:rPr>
          <w:rFonts w:ascii="宋体" w:hAnsi="宋体" w:cs="宋体"/>
          <w:szCs w:val="21"/>
        </w:rPr>
      </w:pPr>
      <w:r>
        <w:rPr>
          <w:rFonts w:hint="eastAsia" w:ascii="宋体" w:hAnsi="宋体" w:cs="宋体"/>
          <w:szCs w:val="21"/>
        </w:rPr>
        <w:t>2、标前准备：各供应商应在开标前确保成为浙江政府采购网正式注册入库供应商，并完成CA数字证书办理。因未注册入库、未办理CA数字证书等原因造成无法投标或投标失败等后果由供应商自行承担。</w:t>
      </w:r>
    </w:p>
    <w:p>
      <w:pPr>
        <w:snapToGrid w:val="0"/>
        <w:spacing w:line="440" w:lineRule="exact"/>
        <w:ind w:firstLine="472" w:firstLineChars="225"/>
        <w:jc w:val="left"/>
        <w:rPr>
          <w:rFonts w:ascii="宋体" w:hAnsi="宋体" w:cs="宋体"/>
          <w:szCs w:val="21"/>
        </w:rPr>
      </w:pPr>
      <w:r>
        <w:rPr>
          <w:rFonts w:hint="eastAsia" w:ascii="宋体" w:hAnsi="宋体" w:cs="宋体"/>
          <w:szCs w:val="21"/>
        </w:rPr>
        <w:t>3、投标文件制作：</w:t>
      </w:r>
    </w:p>
    <w:p>
      <w:pPr>
        <w:snapToGrid w:val="0"/>
        <w:spacing w:line="440" w:lineRule="exact"/>
        <w:ind w:firstLine="472" w:firstLineChars="225"/>
        <w:jc w:val="left"/>
        <w:rPr>
          <w:rFonts w:ascii="宋体" w:hAnsi="宋体" w:cs="宋体"/>
          <w:szCs w:val="21"/>
        </w:rPr>
      </w:pPr>
      <w:r>
        <w:rPr>
          <w:rFonts w:hint="eastAsia" w:ascii="宋体" w:hAnsi="宋体" w:cs="宋体"/>
          <w:szCs w:val="21"/>
        </w:rPr>
        <w:t>（1）应按照本项目招标文件和政府采购云平台的要求编制、加密并递交投标文件。供应商在使用系统进行投标的过程中遇到涉及平台使用的任何问题，可致电政府采购云平台技术支持热线咨询，联系方式：4008817190。</w:t>
      </w:r>
    </w:p>
    <w:p>
      <w:pPr>
        <w:snapToGrid w:val="0"/>
        <w:spacing w:line="440" w:lineRule="exact"/>
        <w:ind w:firstLine="472" w:firstLineChars="225"/>
        <w:jc w:val="left"/>
        <w:rPr>
          <w:rFonts w:ascii="宋体" w:hAnsi="宋体" w:cs="宋体"/>
          <w:szCs w:val="21"/>
        </w:rPr>
      </w:pPr>
      <w:r>
        <w:rPr>
          <w:rFonts w:hint="eastAsia" w:ascii="宋体" w:hAnsi="宋体" w:cs="宋体"/>
          <w:szCs w:val="21"/>
        </w:rPr>
        <w:t>（2）供应商通过政府采购云平台电子投标工具制作投标文件，电子投标工具请供应商自行前往浙江政府采购网下载并安装，投标文件制作具体流程详见政府采购云平台。</w:t>
      </w:r>
    </w:p>
    <w:p>
      <w:pPr>
        <w:snapToGrid w:val="0"/>
        <w:spacing w:line="440" w:lineRule="exact"/>
        <w:ind w:firstLine="472" w:firstLineChars="225"/>
        <w:jc w:val="left"/>
        <w:rPr>
          <w:rFonts w:ascii="宋体" w:hAnsi="宋体" w:cs="宋体"/>
          <w:szCs w:val="21"/>
        </w:rPr>
      </w:pPr>
      <w:r>
        <w:rPr>
          <w:rFonts w:hint="eastAsia" w:ascii="宋体" w:hAnsi="宋体" w:cs="宋体"/>
          <w:szCs w:val="21"/>
        </w:rPr>
        <w:t>（3）以U盘存储的电子备份投标文件1份，按政府采购云平台要求制作的电子备份文件，以用于异常情况处理。</w:t>
      </w:r>
    </w:p>
    <w:p>
      <w:pPr>
        <w:snapToGrid w:val="0"/>
        <w:spacing w:line="440" w:lineRule="exact"/>
        <w:ind w:firstLine="472" w:firstLineChars="225"/>
        <w:jc w:val="left"/>
        <w:rPr>
          <w:rFonts w:ascii="宋体" w:hAnsi="宋体" w:cs="宋体"/>
          <w:szCs w:val="21"/>
        </w:rPr>
      </w:pPr>
      <w:r>
        <w:rPr>
          <w:rFonts w:hint="eastAsia" w:ascii="宋体" w:hAnsi="宋体" w:cs="宋体"/>
          <w:szCs w:val="21"/>
        </w:rPr>
        <w:t>（4）本项目供应商仍应准备纸质投标文件。当电子开评标无法正常进行时，即转为线下评标。若在此种情况下，由于供应商未提交纸质投标文件而导致该供应商放弃投标，由供应商自行承担。</w:t>
      </w:r>
    </w:p>
    <w:p>
      <w:pPr>
        <w:snapToGrid w:val="0"/>
        <w:spacing w:line="440" w:lineRule="exact"/>
        <w:ind w:firstLine="474" w:firstLineChars="225"/>
        <w:jc w:val="left"/>
        <w:rPr>
          <w:rFonts w:ascii="宋体" w:hAnsi="宋体" w:cs="宋体"/>
          <w:b/>
          <w:bCs/>
          <w:szCs w:val="21"/>
        </w:rPr>
      </w:pPr>
      <w:r>
        <w:rPr>
          <w:rFonts w:hint="eastAsia" w:ascii="宋体" w:hAnsi="宋体" w:cs="宋体"/>
          <w:b/>
          <w:bCs/>
          <w:szCs w:val="21"/>
        </w:rPr>
        <w:t>七、落实的政策：</w:t>
      </w:r>
    </w:p>
    <w:p>
      <w:pPr>
        <w:snapToGrid w:val="0"/>
        <w:spacing w:line="440" w:lineRule="exact"/>
        <w:ind w:firstLine="472" w:firstLineChars="225"/>
        <w:jc w:val="left"/>
        <w:rPr>
          <w:rFonts w:ascii="宋体" w:hAnsi="宋体" w:cs="宋体"/>
          <w:szCs w:val="21"/>
        </w:rPr>
      </w:pPr>
      <w:r>
        <w:rPr>
          <w:rFonts w:hint="eastAsia" w:ascii="宋体" w:hAnsi="宋体" w:cs="宋体"/>
          <w:szCs w:val="21"/>
        </w:rPr>
        <w:t>《关于促进残疾人就业政府采购政策的通知》（财库[2017]141号）、《政府采购促进中小企业发展暂行办法》（财库[2011]181号）、《关于政府采购支持监狱企业发展有关问题的通知》(财库[2014]68号)、《关于环境标志产品政府采购实施的意见》（财库〔2006〕90号、《节能产品政府采购实施意见》的通知（财库〔2004〕185号）。</w:t>
      </w:r>
    </w:p>
    <w:p>
      <w:pPr>
        <w:snapToGrid w:val="0"/>
        <w:spacing w:line="440" w:lineRule="exact"/>
        <w:ind w:firstLine="474" w:firstLineChars="225"/>
        <w:jc w:val="left"/>
        <w:rPr>
          <w:rFonts w:ascii="宋体" w:hAnsi="宋体" w:cs="宋体"/>
          <w:b/>
          <w:bCs/>
          <w:szCs w:val="21"/>
        </w:rPr>
      </w:pPr>
      <w:r>
        <w:rPr>
          <w:rFonts w:hint="eastAsia" w:ascii="宋体" w:hAnsi="宋体" w:cs="宋体"/>
          <w:b/>
          <w:bCs/>
          <w:szCs w:val="21"/>
        </w:rPr>
        <w:t>八、业务咨询</w:t>
      </w:r>
    </w:p>
    <w:p>
      <w:pPr>
        <w:spacing w:line="440" w:lineRule="exact"/>
        <w:ind w:firstLine="422" w:firstLineChars="200"/>
        <w:rPr>
          <w:rFonts w:ascii="宋体"/>
          <w:b/>
          <w:bCs/>
          <w:szCs w:val="21"/>
        </w:rPr>
      </w:pPr>
      <w:r>
        <w:rPr>
          <w:rFonts w:hint="eastAsia" w:ascii="宋体" w:hAnsi="宋体"/>
          <w:b/>
          <w:bCs/>
          <w:szCs w:val="21"/>
        </w:rPr>
        <w:t>采购人：宁海县公路管理局</w:t>
      </w:r>
    </w:p>
    <w:p>
      <w:pPr>
        <w:spacing w:line="440" w:lineRule="exact"/>
        <w:ind w:firstLine="420" w:firstLineChars="200"/>
        <w:rPr>
          <w:rFonts w:ascii="Arial" w:hAnsi="Arial" w:cs="Arial"/>
          <w:szCs w:val="21"/>
          <w:shd w:val="clear" w:color="auto" w:fill="FFFFFF"/>
        </w:rPr>
      </w:pPr>
      <w:r>
        <w:rPr>
          <w:rFonts w:hint="eastAsia" w:ascii="宋体" w:hAnsi="宋体"/>
          <w:szCs w:val="21"/>
        </w:rPr>
        <w:t>办公地址：</w:t>
      </w:r>
      <w:r>
        <w:rPr>
          <w:rFonts w:ascii="Arial" w:hAnsi="Arial" w:cs="Arial"/>
          <w:szCs w:val="21"/>
          <w:shd w:val="clear" w:color="auto" w:fill="FFFFFF"/>
        </w:rPr>
        <w:t>宁海县桃源街道兴海北路99号</w:t>
      </w:r>
    </w:p>
    <w:p>
      <w:pPr>
        <w:spacing w:line="440" w:lineRule="exact"/>
        <w:ind w:firstLine="420" w:firstLineChars="200"/>
        <w:rPr>
          <w:rFonts w:ascii="Arial" w:hAnsi="Arial" w:cs="Arial"/>
          <w:szCs w:val="21"/>
          <w:shd w:val="clear" w:color="auto" w:fill="FFFFFF"/>
        </w:rPr>
      </w:pPr>
      <w:r>
        <w:rPr>
          <w:rFonts w:hint="eastAsia" w:ascii="Arial" w:hAnsi="Arial" w:cs="Arial"/>
          <w:szCs w:val="21"/>
          <w:shd w:val="clear" w:color="auto" w:fill="FFFFFF"/>
        </w:rPr>
        <w:t>联系人：吴宇昂</w:t>
      </w:r>
      <w:r>
        <w:rPr>
          <w:rFonts w:ascii="Arial" w:hAnsi="Arial" w:cs="Arial"/>
          <w:szCs w:val="21"/>
          <w:shd w:val="clear" w:color="auto" w:fill="FFFFFF"/>
        </w:rPr>
        <w:tab/>
      </w:r>
      <w:r>
        <w:rPr>
          <w:rFonts w:ascii="Arial" w:hAnsi="Arial" w:cs="Arial"/>
          <w:szCs w:val="21"/>
          <w:shd w:val="clear" w:color="auto" w:fill="FFFFFF"/>
        </w:rPr>
        <w:tab/>
      </w:r>
    </w:p>
    <w:p>
      <w:pPr>
        <w:spacing w:line="440" w:lineRule="exact"/>
        <w:ind w:firstLine="420" w:firstLineChars="200"/>
        <w:rPr>
          <w:rFonts w:ascii="宋体" w:hAnsi="宋体"/>
          <w:szCs w:val="21"/>
        </w:rPr>
      </w:pPr>
      <w:r>
        <w:rPr>
          <w:rFonts w:hint="eastAsia" w:ascii="宋体" w:hAnsi="宋体"/>
          <w:szCs w:val="21"/>
        </w:rPr>
        <w:t>电话：</w:t>
      </w:r>
      <w:r>
        <w:rPr>
          <w:rFonts w:ascii="宋体" w:hAnsi="宋体"/>
          <w:szCs w:val="21"/>
        </w:rPr>
        <w:t>0574-83522135</w:t>
      </w:r>
    </w:p>
    <w:p>
      <w:pPr>
        <w:spacing w:line="440" w:lineRule="exact"/>
        <w:ind w:firstLine="422" w:firstLineChars="200"/>
        <w:rPr>
          <w:rFonts w:ascii="宋体" w:hAnsi="宋体"/>
          <w:b/>
          <w:bCs/>
          <w:szCs w:val="21"/>
        </w:rPr>
      </w:pPr>
      <w:r>
        <w:rPr>
          <w:rFonts w:hint="eastAsia" w:ascii="宋体" w:hAnsi="宋体"/>
          <w:b/>
          <w:bCs/>
          <w:szCs w:val="21"/>
        </w:rPr>
        <w:t>采购代理机构：宁波中屹工程管理咨询有限公司</w:t>
      </w:r>
    </w:p>
    <w:p>
      <w:pPr>
        <w:spacing w:line="440" w:lineRule="exact"/>
        <w:ind w:firstLine="420" w:firstLineChars="200"/>
        <w:rPr>
          <w:rFonts w:ascii="宋体" w:hAnsi="宋体"/>
          <w:szCs w:val="21"/>
        </w:rPr>
      </w:pPr>
      <w:r>
        <w:rPr>
          <w:rFonts w:hint="eastAsia" w:ascii="宋体" w:hAnsi="宋体"/>
          <w:szCs w:val="21"/>
        </w:rPr>
        <w:t>办公地址：宁海县桃源街道金山七路七号五楼</w:t>
      </w:r>
    </w:p>
    <w:p>
      <w:pPr>
        <w:spacing w:line="440" w:lineRule="exact"/>
        <w:ind w:firstLine="420" w:firstLineChars="200"/>
        <w:rPr>
          <w:rFonts w:ascii="宋体" w:hAnsi="宋体"/>
          <w:szCs w:val="21"/>
        </w:rPr>
      </w:pPr>
      <w:r>
        <w:rPr>
          <w:rFonts w:hint="eastAsia" w:ascii="宋体" w:hAnsi="宋体"/>
          <w:szCs w:val="21"/>
        </w:rPr>
        <w:t>联系人：仇依婷</w:t>
      </w:r>
    </w:p>
    <w:p>
      <w:pPr>
        <w:spacing w:line="440" w:lineRule="exact"/>
        <w:ind w:firstLine="420" w:firstLineChars="200"/>
        <w:rPr>
          <w:rFonts w:ascii="宋体" w:hAnsi="宋体"/>
          <w:szCs w:val="21"/>
        </w:rPr>
      </w:pPr>
      <w:r>
        <w:rPr>
          <w:rFonts w:hint="eastAsia" w:ascii="宋体" w:hAnsi="宋体"/>
          <w:szCs w:val="21"/>
        </w:rPr>
        <w:t>联系电话：</w:t>
      </w:r>
      <w:r>
        <w:rPr>
          <w:rFonts w:ascii="宋体" w:hAnsi="宋体"/>
          <w:szCs w:val="21"/>
        </w:rPr>
        <w:t>0574-65250082</w:t>
      </w:r>
      <w:r>
        <w:rPr>
          <w:rFonts w:hint="eastAsia" w:ascii="宋体" w:hAnsi="宋体"/>
          <w:szCs w:val="21"/>
        </w:rPr>
        <w:t xml:space="preserve">   传真：</w:t>
      </w:r>
      <w:r>
        <w:rPr>
          <w:rFonts w:ascii="宋体" w:hAnsi="宋体"/>
          <w:szCs w:val="21"/>
        </w:rPr>
        <w:t>0574-65250082</w:t>
      </w:r>
    </w:p>
    <w:p>
      <w:pPr>
        <w:spacing w:line="480" w:lineRule="exact"/>
        <w:ind w:firstLine="422" w:firstLineChars="200"/>
        <w:rPr>
          <w:rFonts w:ascii="宋体" w:hAnsi="宋体"/>
          <w:b/>
          <w:bCs/>
          <w:szCs w:val="21"/>
        </w:rPr>
      </w:pPr>
      <w:r>
        <w:rPr>
          <w:rFonts w:hint="eastAsia" w:ascii="宋体" w:hAnsi="宋体"/>
          <w:b/>
          <w:bCs/>
          <w:szCs w:val="21"/>
        </w:rPr>
        <w:t xml:space="preserve">政府采购监督管理部门及投诉受理部门：宁海县政府采购管理办公室 </w:t>
      </w:r>
    </w:p>
    <w:p>
      <w:pPr>
        <w:spacing w:line="480" w:lineRule="exact"/>
        <w:ind w:firstLine="420" w:firstLineChars="200"/>
        <w:rPr>
          <w:rFonts w:ascii="宋体" w:hAnsi="宋体"/>
          <w:szCs w:val="21"/>
        </w:rPr>
      </w:pPr>
      <w:r>
        <w:rPr>
          <w:rFonts w:hint="eastAsia" w:ascii="宋体" w:hAnsi="宋体"/>
          <w:szCs w:val="21"/>
        </w:rPr>
        <w:t xml:space="preserve">地址：宁海县跃龙街道桃源中路218号 </w:t>
      </w:r>
    </w:p>
    <w:p>
      <w:pPr>
        <w:spacing w:line="480" w:lineRule="exact"/>
        <w:ind w:firstLine="420" w:firstLineChars="200"/>
        <w:rPr>
          <w:rFonts w:ascii="宋体" w:hAnsi="宋体"/>
          <w:szCs w:val="21"/>
        </w:rPr>
      </w:pPr>
      <w:r>
        <w:rPr>
          <w:rFonts w:hint="eastAsia" w:ascii="宋体" w:hAnsi="宋体"/>
          <w:szCs w:val="21"/>
        </w:rPr>
        <w:t>联系人：王老师</w:t>
      </w:r>
    </w:p>
    <w:p>
      <w:pPr>
        <w:spacing w:line="480" w:lineRule="exact"/>
        <w:ind w:firstLine="420" w:firstLineChars="200"/>
        <w:rPr>
          <w:rFonts w:ascii="宋体" w:hAnsi="宋体"/>
          <w:szCs w:val="21"/>
        </w:rPr>
      </w:pPr>
      <w:r>
        <w:rPr>
          <w:rFonts w:hint="eastAsia" w:ascii="宋体" w:hAnsi="宋体"/>
          <w:szCs w:val="21"/>
        </w:rPr>
        <w:t xml:space="preserve">联系电话：0574-65265668  </w:t>
      </w:r>
    </w:p>
    <w:p>
      <w:pPr>
        <w:spacing w:line="480" w:lineRule="exact"/>
        <w:ind w:firstLine="420" w:firstLineChars="200"/>
        <w:rPr>
          <w:rFonts w:ascii="宋体" w:hAnsi="宋体"/>
          <w:szCs w:val="21"/>
        </w:rPr>
      </w:pPr>
      <w:r>
        <w:rPr>
          <w:rFonts w:hint="eastAsia" w:ascii="宋体" w:hAnsi="宋体"/>
          <w:szCs w:val="21"/>
        </w:rPr>
        <w:t>传真号码：0574-65265612</w:t>
      </w:r>
    </w:p>
    <w:p>
      <w:pPr>
        <w:numPr>
          <w:ilvl w:val="0"/>
          <w:numId w:val="1"/>
        </w:numPr>
        <w:snapToGrid w:val="0"/>
        <w:spacing w:line="480" w:lineRule="exact"/>
        <w:jc w:val="center"/>
        <w:rPr>
          <w:rFonts w:ascii="宋体" w:hAnsi="宋体" w:cs="宋体"/>
          <w:b/>
          <w:bCs/>
          <w:sz w:val="30"/>
          <w:szCs w:val="30"/>
        </w:rPr>
      </w:pPr>
      <w:bookmarkStart w:id="0" w:name="_Toc31358"/>
      <w:r>
        <w:rPr>
          <w:rFonts w:ascii="宋体" w:hAnsi="宋体" w:cs="宋体"/>
          <w:sz w:val="30"/>
          <w:szCs w:val="30"/>
        </w:rPr>
        <w:br w:type="page"/>
      </w:r>
      <w:bookmarkEnd w:id="0"/>
      <w:r>
        <w:rPr>
          <w:rFonts w:hint="eastAsia" w:ascii="宋体" w:hAnsi="宋体" w:cs="宋体"/>
          <w:b/>
          <w:bCs/>
          <w:sz w:val="30"/>
          <w:szCs w:val="30"/>
        </w:rPr>
        <w:t>采购需求</w:t>
      </w:r>
    </w:p>
    <w:p>
      <w:pPr>
        <w:snapToGrid w:val="0"/>
        <w:spacing w:line="480" w:lineRule="exact"/>
        <w:rPr>
          <w:rFonts w:ascii="宋体" w:hAnsi="宋体"/>
          <w:b/>
          <w:szCs w:val="21"/>
        </w:rPr>
      </w:pPr>
    </w:p>
    <w:p>
      <w:pPr>
        <w:pStyle w:val="139"/>
        <w:numPr>
          <w:ilvl w:val="0"/>
          <w:numId w:val="2"/>
        </w:numPr>
        <w:snapToGrid w:val="0"/>
        <w:spacing w:line="480" w:lineRule="exact"/>
        <w:ind w:firstLineChars="0"/>
        <w:rPr>
          <w:rFonts w:ascii="宋体" w:hAnsi="宋体" w:cs="宋体"/>
          <w:b/>
          <w:bCs/>
          <w:sz w:val="24"/>
          <w:szCs w:val="24"/>
        </w:rPr>
      </w:pPr>
      <w:bookmarkStart w:id="1" w:name="_Toc372547174"/>
      <w:r>
        <w:rPr>
          <w:rFonts w:hint="eastAsia" w:ascii="宋体" w:hAnsi="宋体" w:cs="宋体"/>
          <w:b/>
          <w:bCs/>
          <w:sz w:val="24"/>
          <w:szCs w:val="24"/>
        </w:rPr>
        <w:t>招标设备清单一览表</w:t>
      </w:r>
    </w:p>
    <w:tbl>
      <w:tblPr>
        <w:tblStyle w:val="53"/>
        <w:tblW w:w="8095" w:type="dxa"/>
        <w:tblInd w:w="784" w:type="dxa"/>
        <w:tblLayout w:type="fixed"/>
        <w:tblCellMar>
          <w:top w:w="0" w:type="dxa"/>
          <w:left w:w="108" w:type="dxa"/>
          <w:bottom w:w="0" w:type="dxa"/>
          <w:right w:w="108" w:type="dxa"/>
        </w:tblCellMar>
      </w:tblPr>
      <w:tblGrid>
        <w:gridCol w:w="1000"/>
        <w:gridCol w:w="3977"/>
        <w:gridCol w:w="1701"/>
        <w:gridCol w:w="1417"/>
      </w:tblGrid>
      <w:tr>
        <w:tblPrEx>
          <w:tblLayout w:type="fixed"/>
          <w:tblCellMar>
            <w:top w:w="0" w:type="dxa"/>
            <w:left w:w="108" w:type="dxa"/>
            <w:bottom w:w="0" w:type="dxa"/>
            <w:right w:w="108" w:type="dxa"/>
          </w:tblCellMar>
        </w:tblPrEx>
        <w:trPr>
          <w:trHeight w:val="540" w:hRule="atLeast"/>
        </w:trPr>
        <w:tc>
          <w:tcPr>
            <w:tcW w:w="1000"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3977"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kern w:val="0"/>
                <w:sz w:val="24"/>
              </w:rPr>
            </w:pPr>
            <w:r>
              <w:rPr>
                <w:rFonts w:hint="eastAsia" w:ascii="宋体" w:hAnsi="宋体" w:cs="宋体"/>
                <w:b/>
                <w:bCs/>
                <w:kern w:val="0"/>
                <w:sz w:val="24"/>
              </w:rPr>
              <w:t>名称</w:t>
            </w:r>
          </w:p>
        </w:tc>
        <w:tc>
          <w:tcPr>
            <w:tcW w:w="1701"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kern w:val="0"/>
                <w:sz w:val="24"/>
              </w:rPr>
            </w:pPr>
            <w:r>
              <w:rPr>
                <w:rFonts w:hint="eastAsia" w:ascii="宋体" w:hAnsi="宋体" w:cs="宋体"/>
                <w:b/>
                <w:bCs/>
                <w:kern w:val="0"/>
                <w:sz w:val="24"/>
              </w:rPr>
              <w:t>数量</w:t>
            </w:r>
          </w:p>
        </w:tc>
        <w:tc>
          <w:tcPr>
            <w:tcW w:w="1417"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ascii="宋体" w:hAnsi="宋体" w:cs="宋体"/>
                <w:b/>
                <w:bCs/>
                <w:kern w:val="0"/>
                <w:sz w:val="24"/>
              </w:rPr>
            </w:pPr>
            <w:r>
              <w:rPr>
                <w:rFonts w:hint="eastAsia" w:ascii="宋体" w:hAnsi="宋体" w:cs="宋体"/>
                <w:b/>
                <w:bCs/>
                <w:kern w:val="0"/>
                <w:sz w:val="24"/>
              </w:rPr>
              <w:t>单位</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一、</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工程建设费用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　</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（一）</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称重子系统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　</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轴重式称重平台</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车道</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称重传感器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16</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只</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3</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车辆检测器（含线圈）</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4</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4</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高速动态称重控制器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5</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数据处理器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6</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数据集成控制柜（含基础）</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7</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数据采集、匹配处理系统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8</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防盗报警取证系统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项</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9</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接入交换机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台</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10</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串口服务器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11</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触发服务器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12</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称重平台基础</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车道</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13</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供电初装</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54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14</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辅材/安装调试</w:t>
            </w:r>
            <w:r>
              <w:rPr>
                <w:rFonts w:hint="eastAsia" w:ascii="宋体" w:hAnsi="宋体"/>
                <w:szCs w:val="21"/>
              </w:rPr>
              <w:br w:type="textWrapping"/>
            </w:r>
            <w:r>
              <w:rPr>
                <w:rFonts w:hint="eastAsia" w:ascii="宋体" w:hAnsi="宋体"/>
                <w:szCs w:val="21"/>
              </w:rPr>
              <w:t>（包括割缝、抛缝等内容）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项</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（二）</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信息发布子系统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　</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LED显示屏</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RAM控制系统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3</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屏体防雷接地</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4</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设备机箱</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5</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立杆/基础</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6</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接入交换机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台</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7</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供电初装</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项</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8</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辅材/安装调试</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项</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（三）</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车牌识别子系统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高清抓拍单元</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超限专用球机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3</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闪光灯</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4</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补光灯</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6</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5</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设备机箱</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6</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车牌抓拍立杆/基础</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7</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接入交换机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台</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8</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管理主机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9</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供电</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项</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10</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辅材/安装调试</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项</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（四）</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预告牌及其他</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预告牌（含基础）</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标线</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项</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3</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热镀锌护栏</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（五）</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后端基础设施建设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系统支撑软件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项</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治超查询APP</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3</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 xml:space="preserve">治超查询一体机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4</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存储设备</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5</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网络租赁费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年</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（六）</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bCs/>
                <w:kern w:val="0"/>
                <w:sz w:val="24"/>
              </w:rPr>
              <w:t>闯禁令系统</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2"/>
                <w:szCs w:val="22"/>
              </w:rPr>
            </w:pPr>
            <w:r>
              <w:rPr>
                <w:rFonts w:hint="eastAsia" w:ascii="仿宋_GB2312" w:hAnsi="宋体" w:eastAsia="仿宋_GB2312" w:cs="宋体"/>
                <w:b/>
                <w:bCs/>
                <w:kern w:val="0"/>
                <w:sz w:val="22"/>
                <w:szCs w:val="22"/>
              </w:rPr>
              <w:t>　</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高清抓拍单元</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补光灯</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3</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闪光灯</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2</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4</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球机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5</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终端服务器</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6</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抓拍单元相关软件</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7</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前端汇聚光端机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8</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中心接收光端机</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9</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抱杆箱</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10</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提示牌</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套</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11</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网络租赁费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5</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年</w:t>
            </w:r>
          </w:p>
        </w:tc>
      </w:tr>
      <w:tr>
        <w:tblPrEx>
          <w:tblLayout w:type="fixed"/>
          <w:tblCellMar>
            <w:top w:w="0" w:type="dxa"/>
            <w:left w:w="108" w:type="dxa"/>
            <w:bottom w:w="0" w:type="dxa"/>
            <w:right w:w="108" w:type="dxa"/>
          </w:tblCellMar>
        </w:tblPrEx>
        <w:trPr>
          <w:trHeight w:val="270" w:hRule="atLeast"/>
        </w:trPr>
        <w:tc>
          <w:tcPr>
            <w:tcW w:w="10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12</w:t>
            </w:r>
          </w:p>
        </w:tc>
        <w:tc>
          <w:tcPr>
            <w:tcW w:w="397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安装调试费</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1</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szCs w:val="21"/>
              </w:rPr>
            </w:pPr>
            <w:r>
              <w:rPr>
                <w:rFonts w:hint="eastAsia" w:ascii="宋体" w:hAnsi="宋体"/>
                <w:szCs w:val="21"/>
              </w:rPr>
              <w:t>项</w:t>
            </w:r>
          </w:p>
        </w:tc>
      </w:tr>
    </w:tbl>
    <w:p>
      <w:pPr/>
    </w:p>
    <w:p>
      <w:pPr/>
    </w:p>
    <w:p>
      <w:pPr/>
    </w:p>
    <w:p>
      <w:pPr>
        <w:pStyle w:val="139"/>
        <w:numPr>
          <w:ilvl w:val="0"/>
          <w:numId w:val="2"/>
        </w:numPr>
        <w:snapToGrid w:val="0"/>
        <w:spacing w:line="480" w:lineRule="exact"/>
        <w:ind w:firstLineChars="0"/>
        <w:rPr>
          <w:rFonts w:ascii="宋体" w:hAnsi="宋体" w:cs="宋体"/>
          <w:b/>
          <w:bCs/>
          <w:sz w:val="24"/>
          <w:szCs w:val="24"/>
        </w:rPr>
      </w:pPr>
      <w:r>
        <w:rPr>
          <w:rFonts w:hint="eastAsia" w:ascii="宋体" w:hAnsi="宋体" w:cs="宋体"/>
          <w:b/>
          <w:bCs/>
          <w:sz w:val="24"/>
          <w:szCs w:val="24"/>
        </w:rPr>
        <w:t>主要产品技术参数</w:t>
      </w:r>
    </w:p>
    <w:tbl>
      <w:tblPr>
        <w:tblStyle w:val="53"/>
        <w:tblW w:w="10938" w:type="dxa"/>
        <w:jc w:val="center"/>
        <w:tblInd w:w="0" w:type="dxa"/>
        <w:tblLayout w:type="fixed"/>
        <w:tblCellMar>
          <w:top w:w="0" w:type="dxa"/>
          <w:left w:w="108" w:type="dxa"/>
          <w:bottom w:w="0" w:type="dxa"/>
          <w:right w:w="108" w:type="dxa"/>
        </w:tblCellMar>
      </w:tblPr>
      <w:tblGrid>
        <w:gridCol w:w="1044"/>
        <w:gridCol w:w="2485"/>
        <w:gridCol w:w="7409"/>
      </w:tblGrid>
      <w:tr>
        <w:tblPrEx>
          <w:tblLayout w:type="fixed"/>
          <w:tblCellMar>
            <w:top w:w="0" w:type="dxa"/>
            <w:left w:w="108" w:type="dxa"/>
            <w:bottom w:w="0" w:type="dxa"/>
            <w:right w:w="108" w:type="dxa"/>
          </w:tblCellMar>
        </w:tblPrEx>
        <w:trPr>
          <w:tblHeader/>
          <w:jc w:val="center"/>
        </w:trPr>
        <w:tc>
          <w:tcPr>
            <w:tcW w:w="1044" w:type="dxa"/>
            <w:tcBorders>
              <w:top w:val="single" w:color="auto" w:sz="4" w:space="0"/>
              <w:left w:val="single" w:color="auto" w:sz="4" w:space="0"/>
              <w:bottom w:val="single" w:color="auto" w:sz="4" w:space="0"/>
              <w:right w:val="single" w:color="auto" w:sz="4" w:space="0"/>
            </w:tcBorders>
            <w:shd w:val="clear" w:color="000000" w:fill="D9D9D9"/>
            <w:vAlign w:val="center"/>
          </w:tcPr>
          <w:p>
            <w:pPr>
              <w:widowControl/>
              <w:jc w:val="center"/>
              <w:rPr>
                <w:rFonts w:hAnsi="宋体" w:cs="宋体"/>
                <w:b/>
                <w:bCs/>
                <w:color w:val="000000"/>
                <w:kern w:val="0"/>
                <w:sz w:val="24"/>
              </w:rPr>
            </w:pPr>
            <w:r>
              <w:rPr>
                <w:rFonts w:hint="eastAsia" w:hAnsi="宋体" w:cs="宋体"/>
                <w:b/>
                <w:bCs/>
                <w:color w:val="000000"/>
                <w:kern w:val="0"/>
                <w:sz w:val="24"/>
              </w:rPr>
              <w:t>序号</w:t>
            </w:r>
          </w:p>
        </w:tc>
        <w:tc>
          <w:tcPr>
            <w:tcW w:w="2485"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hAnsi="宋体" w:cs="宋体"/>
                <w:b/>
                <w:bCs/>
                <w:color w:val="000000"/>
                <w:kern w:val="0"/>
                <w:sz w:val="24"/>
              </w:rPr>
            </w:pPr>
            <w:r>
              <w:rPr>
                <w:rFonts w:hint="eastAsia" w:hAnsi="宋体" w:cs="宋体"/>
                <w:b/>
                <w:bCs/>
                <w:color w:val="000000"/>
                <w:kern w:val="0"/>
                <w:sz w:val="24"/>
              </w:rPr>
              <w:t>设备名称</w:t>
            </w:r>
          </w:p>
        </w:tc>
        <w:tc>
          <w:tcPr>
            <w:tcW w:w="7409" w:type="dxa"/>
            <w:tcBorders>
              <w:top w:val="single" w:color="auto" w:sz="4" w:space="0"/>
              <w:left w:val="nil"/>
              <w:bottom w:val="single" w:color="auto" w:sz="4" w:space="0"/>
              <w:right w:val="single" w:color="auto" w:sz="4" w:space="0"/>
            </w:tcBorders>
            <w:shd w:val="clear" w:color="000000" w:fill="D9D9D9"/>
            <w:vAlign w:val="center"/>
          </w:tcPr>
          <w:p>
            <w:pPr>
              <w:widowControl/>
              <w:jc w:val="center"/>
              <w:rPr>
                <w:rFonts w:hAnsi="宋体" w:cs="宋体"/>
                <w:b/>
                <w:bCs/>
                <w:color w:val="000000"/>
                <w:kern w:val="0"/>
                <w:sz w:val="24"/>
              </w:rPr>
            </w:pPr>
            <w:r>
              <w:rPr>
                <w:rFonts w:hint="eastAsia" w:hAnsi="宋体" w:cs="宋体"/>
                <w:b/>
                <w:bCs/>
                <w:color w:val="000000"/>
                <w:kern w:val="0"/>
                <w:sz w:val="24"/>
              </w:rPr>
              <w:t>参数规格要求</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kern w:val="0"/>
                <w:sz w:val="22"/>
                <w:szCs w:val="22"/>
              </w:rPr>
            </w:pPr>
            <w:r>
              <w:rPr>
                <w:rFonts w:hint="eastAsia" w:hAnsi="宋体" w:cs="宋体"/>
                <w:b/>
                <w:bCs/>
                <w:kern w:val="0"/>
                <w:sz w:val="22"/>
                <w:szCs w:val="22"/>
              </w:rPr>
              <w:t>（一）</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b/>
                <w:bCs/>
                <w:kern w:val="0"/>
                <w:sz w:val="22"/>
                <w:szCs w:val="22"/>
              </w:rPr>
            </w:pPr>
            <w:r>
              <w:rPr>
                <w:rFonts w:hint="eastAsia" w:hAnsi="宋体" w:cs="宋体"/>
                <w:b/>
                <w:bCs/>
                <w:kern w:val="0"/>
                <w:sz w:val="22"/>
                <w:szCs w:val="22"/>
              </w:rPr>
              <w:t>称重子系统</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1</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轴重式称重平台</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单轴最大载荷≥40吨，最大过载150%；</w:t>
            </w:r>
            <w:r>
              <w:rPr>
                <w:rFonts w:hint="eastAsia" w:hAnsi="宋体" w:cs="宋体"/>
                <w:color w:val="000000"/>
                <w:kern w:val="0"/>
                <w:sz w:val="24"/>
              </w:rPr>
              <w:br w:type="textWrapping"/>
            </w:r>
            <w:r>
              <w:rPr>
                <w:rFonts w:hint="eastAsia" w:hAnsi="宋体" w:cs="宋体"/>
                <w:color w:val="000000"/>
                <w:kern w:val="0"/>
                <w:sz w:val="24"/>
              </w:rPr>
              <w:t>2) 速度范围：0.5-100km/h;</w:t>
            </w:r>
            <w:r>
              <w:rPr>
                <w:rFonts w:hint="eastAsia" w:hAnsi="宋体" w:cs="宋体"/>
                <w:color w:val="000000"/>
                <w:kern w:val="0"/>
                <w:sz w:val="24"/>
              </w:rPr>
              <w:br w:type="textWrapping"/>
            </w:r>
            <w:r>
              <w:rPr>
                <w:rFonts w:hint="eastAsia" w:hAnsi="宋体" w:cs="宋体"/>
                <w:color w:val="000000"/>
                <w:kern w:val="0"/>
                <w:sz w:val="24"/>
              </w:rPr>
              <w:t>3) 检测误差≤±2.5%；</w:t>
            </w:r>
            <w:r>
              <w:rPr>
                <w:rFonts w:hint="eastAsia" w:hAnsi="宋体" w:cs="宋体"/>
                <w:color w:val="000000"/>
                <w:kern w:val="0"/>
                <w:sz w:val="24"/>
              </w:rPr>
              <w:br w:type="textWrapping"/>
            </w:r>
            <w:r>
              <w:rPr>
                <w:rFonts w:hint="eastAsia" w:hAnsi="宋体" w:cs="宋体"/>
                <w:color w:val="000000"/>
                <w:kern w:val="0"/>
                <w:sz w:val="24"/>
              </w:rPr>
              <w:t>4) 工作环境温度：-40℃~+80℃；</w:t>
            </w:r>
            <w:r>
              <w:rPr>
                <w:rFonts w:hint="eastAsia" w:hAnsi="宋体" w:cs="宋体"/>
                <w:color w:val="000000"/>
                <w:kern w:val="0"/>
                <w:sz w:val="24"/>
              </w:rPr>
              <w:br w:type="textWrapping"/>
            </w:r>
            <w:r>
              <w:rPr>
                <w:rFonts w:hint="eastAsia" w:hAnsi="宋体" w:cs="宋体"/>
                <w:color w:val="000000"/>
                <w:kern w:val="0"/>
                <w:sz w:val="24"/>
              </w:rPr>
              <w:t>5) 每车道两台面，可按照路面宽度定制；</w:t>
            </w:r>
            <w:r>
              <w:rPr>
                <w:rFonts w:hint="eastAsia" w:hAnsi="宋体" w:cs="宋体"/>
                <w:color w:val="000000"/>
                <w:kern w:val="0"/>
                <w:sz w:val="24"/>
              </w:rPr>
              <w:br w:type="textWrapping"/>
            </w:r>
            <w:r>
              <w:rPr>
                <w:rFonts w:hint="eastAsia" w:hAnsi="宋体" w:cs="宋体"/>
                <w:color w:val="000000"/>
                <w:kern w:val="0"/>
                <w:sz w:val="24"/>
              </w:rPr>
              <w:t>▲6）为了行车安全，秤台表面必须采用专用防滑材料进行处理，不得采用花纹板。</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2</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称重传感器</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 xml:space="preserve">▲1）电阻应变式传感器； </w:t>
            </w:r>
            <w:r>
              <w:rPr>
                <w:rFonts w:hint="eastAsia" w:hAnsi="宋体" w:cs="宋体"/>
                <w:color w:val="000000"/>
                <w:kern w:val="0"/>
                <w:sz w:val="24"/>
              </w:rPr>
              <w:br w:type="textWrapping"/>
            </w:r>
            <w:r>
              <w:rPr>
                <w:rFonts w:hint="eastAsia" w:hAnsi="宋体" w:cs="宋体"/>
                <w:color w:val="000000"/>
                <w:kern w:val="0"/>
                <w:sz w:val="24"/>
              </w:rPr>
              <w:t>2）合金钢外壳材质；</w:t>
            </w:r>
            <w:r>
              <w:rPr>
                <w:rFonts w:hint="eastAsia" w:hAnsi="宋体" w:cs="宋体"/>
                <w:color w:val="000000"/>
                <w:kern w:val="0"/>
                <w:sz w:val="24"/>
              </w:rPr>
              <w:br w:type="textWrapping"/>
            </w:r>
            <w:r>
              <w:rPr>
                <w:rFonts w:hint="eastAsia" w:hAnsi="宋体" w:cs="宋体"/>
                <w:color w:val="000000"/>
                <w:kern w:val="0"/>
                <w:sz w:val="24"/>
              </w:rPr>
              <w:t>▲3）最大量程：20吨；</w:t>
            </w:r>
            <w:r>
              <w:rPr>
                <w:rFonts w:hint="eastAsia" w:hAnsi="宋体" w:cs="宋体"/>
                <w:color w:val="000000"/>
                <w:kern w:val="0"/>
                <w:sz w:val="24"/>
              </w:rPr>
              <w:br w:type="textWrapping"/>
            </w:r>
            <w:r>
              <w:rPr>
                <w:rFonts w:hint="eastAsia" w:hAnsi="宋体" w:cs="宋体"/>
                <w:color w:val="000000"/>
                <w:kern w:val="0"/>
                <w:sz w:val="24"/>
              </w:rPr>
              <w:t>4）线性误差小于0.1%；重复性误差小于0.05%；</w:t>
            </w:r>
            <w:r>
              <w:rPr>
                <w:rFonts w:hint="eastAsia" w:hAnsi="宋体" w:cs="宋体"/>
                <w:color w:val="000000"/>
                <w:kern w:val="0"/>
                <w:sz w:val="24"/>
              </w:rPr>
              <w:br w:type="textWrapping"/>
            </w:r>
            <w:r>
              <w:rPr>
                <w:rFonts w:hint="eastAsia" w:hAnsi="宋体" w:cs="宋体"/>
                <w:color w:val="000000"/>
                <w:kern w:val="0"/>
                <w:sz w:val="24"/>
              </w:rPr>
              <w:t>5）灵敏度小于1.5mV/V;安全过载能力150%，极限过载能力300%；</w:t>
            </w:r>
            <w:r>
              <w:rPr>
                <w:rFonts w:hint="eastAsia" w:hAnsi="宋体" w:cs="宋体"/>
                <w:color w:val="000000"/>
                <w:kern w:val="0"/>
                <w:sz w:val="24"/>
              </w:rPr>
              <w:br w:type="textWrapping"/>
            </w:r>
            <w:r>
              <w:rPr>
                <w:rFonts w:hint="eastAsia" w:hAnsi="宋体" w:cs="宋体"/>
                <w:color w:val="000000"/>
                <w:kern w:val="0"/>
                <w:sz w:val="24"/>
              </w:rPr>
              <w:t>6）工作温度范围-40℃～80℃。每车道8只。</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3</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车辆检测器（含线圈）</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电感量自调谐范围20-1500uH,Q值≥5；</w:t>
            </w:r>
            <w:r>
              <w:rPr>
                <w:rFonts w:hint="eastAsia" w:hAnsi="宋体" w:cs="宋体"/>
                <w:color w:val="000000"/>
                <w:kern w:val="0"/>
                <w:sz w:val="24"/>
              </w:rPr>
              <w:br w:type="textWrapping"/>
            </w:r>
            <w:r>
              <w:rPr>
                <w:rFonts w:hint="eastAsia" w:hAnsi="宋体" w:cs="宋体"/>
                <w:color w:val="000000"/>
                <w:kern w:val="0"/>
                <w:sz w:val="24"/>
              </w:rPr>
              <w:t>2) 灵敏度4级可调；</w:t>
            </w:r>
            <w:r>
              <w:rPr>
                <w:rFonts w:hint="eastAsia" w:hAnsi="宋体" w:cs="宋体"/>
                <w:color w:val="000000"/>
                <w:kern w:val="0"/>
                <w:sz w:val="24"/>
              </w:rPr>
              <w:br w:type="textWrapping"/>
            </w:r>
            <w:r>
              <w:rPr>
                <w:rFonts w:hint="eastAsia" w:hAnsi="宋体" w:cs="宋体"/>
                <w:color w:val="000000"/>
                <w:kern w:val="0"/>
                <w:sz w:val="24"/>
              </w:rPr>
              <w:t>3) 频率范围20kHz-110kHz，4级可调；</w:t>
            </w:r>
            <w:r>
              <w:rPr>
                <w:rFonts w:hint="eastAsia" w:hAnsi="宋体" w:cs="宋体"/>
                <w:color w:val="000000"/>
                <w:kern w:val="0"/>
                <w:sz w:val="24"/>
              </w:rPr>
              <w:br w:type="textWrapping"/>
            </w:r>
            <w:r>
              <w:rPr>
                <w:rFonts w:hint="eastAsia" w:hAnsi="宋体" w:cs="宋体"/>
                <w:color w:val="000000"/>
                <w:kern w:val="0"/>
                <w:sz w:val="24"/>
              </w:rPr>
              <w:t>4) 响应时间≤100ms。</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4</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高速动态称重控制器</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rPr>
              <w:t>★</w:t>
            </w:r>
            <w:r>
              <w:rPr>
                <w:rFonts w:hint="eastAsia" w:hAnsi="宋体" w:cs="宋体"/>
                <w:color w:val="000000"/>
                <w:kern w:val="0"/>
                <w:sz w:val="24"/>
              </w:rPr>
              <w:t>1) 液晶中文显示;（提供产品说明书复印件并加盖原厂公章）自动采集车辆载荷信息，经程序运算出路面承受的车轮载荷参数及车辆轴距、轴数、车速等参数；对正常通过车辆进行监测，不影响道路通行能力；</w:t>
            </w:r>
            <w:r>
              <w:rPr>
                <w:rFonts w:hint="eastAsia" w:hAnsi="宋体" w:cs="宋体"/>
                <w:color w:val="000000"/>
                <w:kern w:val="0"/>
                <w:sz w:val="24"/>
              </w:rPr>
              <w:br w:type="textWrapping"/>
            </w:r>
            <w:r>
              <w:rPr>
                <w:rFonts w:hint="eastAsia" w:hAnsi="宋体" w:cs="宋体"/>
                <w:color w:val="000000"/>
                <w:kern w:val="0"/>
                <w:sz w:val="24"/>
              </w:rPr>
              <w:t>2) 平均无故障时间：MTBF≥20000h；</w:t>
            </w:r>
            <w:r>
              <w:rPr>
                <w:rFonts w:hint="eastAsia" w:hAnsi="宋体" w:cs="宋体"/>
                <w:color w:val="000000"/>
                <w:kern w:val="0"/>
                <w:sz w:val="24"/>
              </w:rPr>
              <w:br w:type="textWrapping"/>
            </w:r>
            <w:r>
              <w:rPr>
                <w:rFonts w:hint="eastAsia" w:hAnsi="宋体" w:cs="宋体"/>
                <w:color w:val="000000"/>
                <w:kern w:val="0"/>
                <w:sz w:val="24"/>
              </w:rPr>
              <w:t>3) 信号传输方式：RS422/RS232/RS485多种接口实时传输；</w:t>
            </w:r>
            <w:r>
              <w:rPr>
                <w:rFonts w:hint="eastAsia" w:hAnsi="宋体" w:cs="宋体"/>
                <w:color w:val="000000"/>
                <w:kern w:val="0"/>
                <w:sz w:val="24"/>
              </w:rPr>
              <w:br w:type="textWrapping"/>
            </w:r>
            <w:r>
              <w:rPr>
                <w:rFonts w:hint="eastAsia" w:hAnsi="宋体" w:cs="宋体"/>
                <w:color w:val="000000"/>
                <w:kern w:val="0"/>
                <w:sz w:val="24"/>
              </w:rPr>
              <w:t>4) 电源：AC220V±10%，50Hz±1Hz；</w:t>
            </w:r>
            <w:r>
              <w:rPr>
                <w:rFonts w:hint="eastAsia" w:hAnsi="宋体" w:cs="宋体"/>
                <w:color w:val="000000"/>
                <w:kern w:val="0"/>
                <w:sz w:val="24"/>
              </w:rPr>
              <w:br w:type="textWrapping"/>
            </w:r>
            <w:r>
              <w:rPr>
                <w:rFonts w:hint="eastAsia" w:hAnsi="宋体" w:cs="宋体"/>
                <w:color w:val="000000"/>
                <w:kern w:val="0"/>
                <w:sz w:val="24"/>
              </w:rPr>
              <w:t>5) 工作温度：-45℃～+80℃；</w:t>
            </w:r>
            <w:r>
              <w:rPr>
                <w:rFonts w:hint="eastAsia" w:hAnsi="宋体" w:cs="宋体"/>
                <w:color w:val="000000"/>
                <w:kern w:val="0"/>
                <w:sz w:val="24"/>
              </w:rPr>
              <w:br w:type="textWrapping"/>
            </w:r>
            <w:r>
              <w:rPr>
                <w:rFonts w:hint="eastAsia" w:hAnsi="宋体" w:cs="宋体"/>
                <w:color w:val="000000"/>
                <w:kern w:val="0"/>
                <w:sz w:val="24"/>
              </w:rPr>
              <w:t>6) 湿度：0～95%。</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5</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数据处理器</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内存：不低于4G DDR3L支持1333MT/S；</w:t>
            </w:r>
            <w:r>
              <w:rPr>
                <w:rFonts w:hint="eastAsia" w:hAnsi="宋体" w:cs="宋体"/>
                <w:color w:val="000000"/>
                <w:kern w:val="0"/>
                <w:sz w:val="24"/>
              </w:rPr>
              <w:br w:type="textWrapping"/>
            </w:r>
            <w:r>
              <w:rPr>
                <w:rFonts w:hint="eastAsia" w:hAnsi="宋体" w:cs="宋体"/>
                <w:color w:val="000000"/>
                <w:kern w:val="0"/>
                <w:sz w:val="24"/>
              </w:rPr>
              <w:t>2) 支持VGA/HDMI显示，VGA最高支持2560×1600@60Hz、HDMI最高支持显示器1920×1200分辨率，其中MPCIE支持3G模块，J2支持MSATA；</w:t>
            </w:r>
            <w:r>
              <w:rPr>
                <w:rFonts w:hint="eastAsia" w:hAnsi="宋体" w:cs="宋体"/>
                <w:color w:val="000000"/>
                <w:kern w:val="0"/>
                <w:sz w:val="24"/>
              </w:rPr>
              <w:br w:type="textWrapping"/>
            </w:r>
            <w:r>
              <w:rPr>
                <w:rFonts w:hint="eastAsia" w:hAnsi="宋体" w:cs="宋体"/>
                <w:color w:val="000000"/>
                <w:kern w:val="0"/>
                <w:sz w:val="24"/>
              </w:rPr>
              <w:t>3) 提供4个串口，其中COM1和COM2支持RS-232/RS-422/RS-485模式；</w:t>
            </w:r>
            <w:r>
              <w:rPr>
                <w:rFonts w:hint="eastAsia" w:hAnsi="宋体" w:cs="宋体"/>
                <w:color w:val="000000"/>
                <w:kern w:val="0"/>
                <w:sz w:val="24"/>
              </w:rPr>
              <w:br w:type="textWrapping"/>
            </w:r>
            <w:r>
              <w:rPr>
                <w:rFonts w:hint="eastAsia" w:hAnsi="宋体" w:cs="宋体"/>
                <w:color w:val="000000"/>
                <w:kern w:val="0"/>
                <w:sz w:val="24"/>
              </w:rPr>
              <w:t>4) 通过BIOS设置工作模式，COM3和COM4仅支持RS-232模式；</w:t>
            </w:r>
            <w:r>
              <w:rPr>
                <w:rFonts w:hint="eastAsia" w:hAnsi="宋体" w:cs="宋体"/>
                <w:color w:val="000000"/>
                <w:kern w:val="0"/>
                <w:sz w:val="24"/>
              </w:rPr>
              <w:br w:type="textWrapping"/>
            </w:r>
            <w:r>
              <w:rPr>
                <w:rFonts w:hint="eastAsia" w:hAnsi="宋体" w:cs="宋体"/>
                <w:color w:val="000000"/>
                <w:kern w:val="0"/>
                <w:sz w:val="24"/>
              </w:rPr>
              <w:t>5) 提供2个USB2.0接口，2个USB3.0接口。</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6</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数据集成控制柜（含基础）</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箱体采用不锈钢（板厚＞1.5mm）；</w:t>
            </w:r>
            <w:r>
              <w:rPr>
                <w:rFonts w:hint="eastAsia" w:hAnsi="宋体" w:cs="宋体"/>
                <w:color w:val="000000"/>
                <w:kern w:val="0"/>
                <w:sz w:val="24"/>
              </w:rPr>
              <w:br w:type="textWrapping"/>
            </w:r>
            <w:r>
              <w:rPr>
                <w:rFonts w:hint="eastAsia" w:hAnsi="宋体" w:cs="宋体"/>
                <w:color w:val="000000"/>
                <w:kern w:val="0"/>
                <w:sz w:val="24"/>
              </w:rPr>
              <w:t>2) 内有独立仪表外壳，防护性能好，抗电磁干扰性能强；</w:t>
            </w:r>
            <w:r>
              <w:rPr>
                <w:rFonts w:hint="eastAsia" w:hAnsi="宋体" w:cs="宋体"/>
                <w:color w:val="000000"/>
                <w:kern w:val="0"/>
                <w:sz w:val="24"/>
              </w:rPr>
              <w:br w:type="textWrapping"/>
            </w:r>
            <w:r>
              <w:rPr>
                <w:rFonts w:hint="eastAsia" w:hAnsi="宋体" w:cs="宋体"/>
                <w:color w:val="000000"/>
                <w:kern w:val="0"/>
                <w:sz w:val="24"/>
              </w:rPr>
              <w:t>3) 机柜内置温控器和轴流风机，调节机柜内始终处于适当的温度范围内；</w:t>
            </w:r>
            <w:r>
              <w:rPr>
                <w:rFonts w:hint="eastAsia" w:hAnsi="宋体" w:cs="宋体"/>
                <w:color w:val="000000"/>
                <w:kern w:val="0"/>
                <w:sz w:val="24"/>
              </w:rPr>
              <w:br w:type="textWrapping"/>
            </w:r>
            <w:r>
              <w:rPr>
                <w:rFonts w:hint="eastAsia" w:hAnsi="宋体" w:cs="宋体"/>
                <w:color w:val="000000"/>
                <w:kern w:val="0"/>
                <w:sz w:val="24"/>
              </w:rPr>
              <w:t>4) 门锁采用防盗锁；</w:t>
            </w:r>
            <w:r>
              <w:rPr>
                <w:rFonts w:hint="eastAsia" w:hAnsi="宋体" w:cs="宋体"/>
                <w:color w:val="000000"/>
                <w:kern w:val="0"/>
                <w:sz w:val="24"/>
              </w:rPr>
              <w:br w:type="textWrapping"/>
            </w:r>
            <w:r>
              <w:rPr>
                <w:rFonts w:hint="eastAsia" w:hAnsi="宋体" w:cs="宋体"/>
                <w:color w:val="000000"/>
                <w:kern w:val="0"/>
                <w:sz w:val="24"/>
              </w:rPr>
              <w:t>▲5) 防护等级：IP65（提供检测报告）；</w:t>
            </w:r>
            <w:r>
              <w:rPr>
                <w:rFonts w:hint="eastAsia" w:hAnsi="宋体" w:cs="宋体"/>
                <w:color w:val="000000"/>
                <w:kern w:val="0"/>
                <w:sz w:val="24"/>
              </w:rPr>
              <w:br w:type="textWrapping"/>
            </w:r>
            <w:r>
              <w:rPr>
                <w:rFonts w:hint="eastAsia" w:hAnsi="宋体" w:cs="宋体"/>
                <w:color w:val="000000"/>
                <w:kern w:val="0"/>
                <w:sz w:val="24"/>
              </w:rPr>
              <w:t>6) 使用寿命大于l0年；</w:t>
            </w:r>
            <w:r>
              <w:rPr>
                <w:rFonts w:hint="eastAsia" w:hAnsi="宋体" w:cs="宋体"/>
                <w:color w:val="000000"/>
                <w:kern w:val="0"/>
                <w:sz w:val="24"/>
              </w:rPr>
              <w:br w:type="textWrapping"/>
            </w:r>
            <w:r>
              <w:rPr>
                <w:rFonts w:hint="eastAsia" w:hAnsi="宋体" w:cs="宋体"/>
                <w:color w:val="000000"/>
                <w:kern w:val="0"/>
                <w:sz w:val="24"/>
              </w:rPr>
              <w:t>7) 相对湿度：0～95％R.H；</w:t>
            </w:r>
            <w:r>
              <w:rPr>
                <w:rFonts w:hint="eastAsia" w:hAnsi="宋体" w:cs="宋体"/>
                <w:color w:val="000000"/>
                <w:kern w:val="0"/>
                <w:sz w:val="24"/>
              </w:rPr>
              <w:br w:type="textWrapping"/>
            </w:r>
            <w:r>
              <w:rPr>
                <w:rFonts w:hint="eastAsia" w:hAnsi="宋体" w:cs="宋体"/>
                <w:color w:val="000000"/>
                <w:kern w:val="0"/>
                <w:sz w:val="24"/>
              </w:rPr>
              <w:t>8) 工作温度：-30℃～+60℃。</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7</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数据采集、匹配处理系统</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数据拟合及存储处理。称重数据根据轴数及车道信息与车牌号数据进行标志操作，为后续车牌号及车辆称重匹配做准备。</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8</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防盗报警取证系统</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高清mini球机：130万/3倍变倍(3-9mm)/3D降噪/低码率/ROI/音频/报警/Wi-Fi/PoE，壁装支架、电源；</w:t>
            </w:r>
            <w:r>
              <w:rPr>
                <w:rFonts w:hint="eastAsia" w:hAnsi="宋体" w:cs="宋体"/>
                <w:color w:val="000000"/>
                <w:kern w:val="0"/>
                <w:sz w:val="24"/>
              </w:rPr>
              <w:br w:type="textWrapping"/>
            </w:r>
            <w:r>
              <w:rPr>
                <w:rFonts w:hint="eastAsia" w:hAnsi="宋体" w:cs="宋体"/>
                <w:color w:val="000000"/>
                <w:kern w:val="0"/>
                <w:sz w:val="24"/>
              </w:rPr>
              <w:t>2) 网络报警主机：4+12路输出/串口输出/电话/网络上报，支持一路12V/1A电压输出；</w:t>
            </w:r>
            <w:r>
              <w:rPr>
                <w:rFonts w:hint="eastAsia" w:hAnsi="宋体" w:cs="宋体"/>
                <w:color w:val="000000"/>
                <w:kern w:val="0"/>
                <w:sz w:val="24"/>
              </w:rPr>
              <w:br w:type="textWrapping"/>
            </w:r>
            <w:r>
              <w:rPr>
                <w:rFonts w:hint="eastAsia" w:hAnsi="宋体" w:cs="宋体"/>
                <w:color w:val="000000"/>
                <w:kern w:val="0"/>
                <w:sz w:val="24"/>
              </w:rPr>
              <w:t>3) 报警主机键盘：专用；</w:t>
            </w:r>
            <w:r>
              <w:rPr>
                <w:rFonts w:hint="eastAsia" w:hAnsi="宋体" w:cs="宋体"/>
                <w:color w:val="000000"/>
                <w:kern w:val="0"/>
                <w:sz w:val="24"/>
              </w:rPr>
              <w:br w:type="textWrapping"/>
            </w:r>
            <w:r>
              <w:rPr>
                <w:rFonts w:hint="eastAsia" w:hAnsi="宋体" w:cs="宋体"/>
                <w:color w:val="000000"/>
                <w:kern w:val="0"/>
                <w:sz w:val="24"/>
              </w:rPr>
              <w:t>4) 震动探测器：常闭报警，常闭防拆，报警周期&lt;2秒；</w:t>
            </w:r>
            <w:r>
              <w:rPr>
                <w:rFonts w:hint="eastAsia" w:hAnsi="宋体" w:cs="宋体"/>
                <w:color w:val="000000"/>
                <w:kern w:val="0"/>
                <w:sz w:val="24"/>
              </w:rPr>
              <w:br w:type="textWrapping"/>
            </w:r>
            <w:r>
              <w:rPr>
                <w:rFonts w:hint="eastAsia" w:hAnsi="宋体" w:cs="宋体"/>
                <w:color w:val="000000"/>
                <w:kern w:val="0"/>
                <w:sz w:val="24"/>
              </w:rPr>
              <w:t>5) 充电后背电池：充电后备电池（12V6.5AH，报警主机专用）；</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9</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接入交换机</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24个10/100/1000Base-T自适应以太网端口，4个千兆SFP口；背板带宽：336Gbps/3.36Tbps，包转发率：96Mpps/126Mpps。</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10</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串口服务器</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内存DRAM；RS232转网络 RJ45，RS-232，10/100Base-T，网络协议支持：ICMP, IP, TCP, UDP, DHCP，端口传输率：0.23Mbps。</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11</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color w:val="000000"/>
                <w:kern w:val="0"/>
                <w:sz w:val="22"/>
                <w:szCs w:val="22"/>
              </w:rPr>
            </w:pPr>
            <w:r>
              <w:rPr>
                <w:rFonts w:hint="eastAsia" w:hAnsi="宋体" w:cs="宋体"/>
                <w:color w:val="000000"/>
                <w:kern w:val="0"/>
                <w:sz w:val="22"/>
                <w:szCs w:val="22"/>
              </w:rPr>
              <w:t>触发服务器</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外供电源DC+5V或者DC+9V-30V；通讯速率300-115.2Kbps；通讯距离1.2KM；RS-232接口高速隔离转换成两线半双工RS485接口或四线全双工RS-422接口；无需CTS流控，零延时自动转发。</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kern w:val="0"/>
                <w:sz w:val="22"/>
                <w:szCs w:val="22"/>
              </w:rPr>
            </w:pPr>
            <w:r>
              <w:rPr>
                <w:rFonts w:hint="eastAsia" w:hAnsi="宋体" w:cs="宋体"/>
                <w:b/>
                <w:bCs/>
                <w:kern w:val="0"/>
                <w:sz w:val="22"/>
                <w:szCs w:val="22"/>
              </w:rPr>
              <w:t>（二）</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b/>
                <w:bCs/>
                <w:kern w:val="0"/>
                <w:sz w:val="22"/>
                <w:szCs w:val="22"/>
              </w:rPr>
            </w:pPr>
            <w:r>
              <w:rPr>
                <w:rFonts w:hint="eastAsia" w:hAnsi="宋体" w:cs="宋体"/>
                <w:b/>
                <w:bCs/>
                <w:kern w:val="0"/>
                <w:sz w:val="22"/>
                <w:szCs w:val="22"/>
              </w:rPr>
              <w:t>信息发布子系统</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1</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LED显示屏</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点间距16mm；</w:t>
            </w:r>
            <w:r>
              <w:rPr>
                <w:rFonts w:hint="eastAsia" w:hAnsi="宋体" w:cs="宋体"/>
                <w:color w:val="000000"/>
                <w:kern w:val="0"/>
                <w:sz w:val="24"/>
              </w:rPr>
              <w:br w:type="textWrapping"/>
            </w:r>
            <w:r>
              <w:rPr>
                <w:rFonts w:hint="eastAsia" w:hAnsi="宋体" w:cs="宋体"/>
                <w:color w:val="000000"/>
                <w:kern w:val="0"/>
                <w:sz w:val="24"/>
              </w:rPr>
              <w:t>2) 像素点（点/每平方）：3906（P16的像素点）；</w:t>
            </w:r>
            <w:r>
              <w:rPr>
                <w:rFonts w:hint="eastAsia" w:hAnsi="宋体" w:cs="宋体"/>
                <w:color w:val="000000"/>
                <w:kern w:val="0"/>
                <w:sz w:val="24"/>
              </w:rPr>
              <w:br w:type="textWrapping"/>
            </w:r>
            <w:r>
              <w:rPr>
                <w:rFonts w:hint="eastAsia" w:hAnsi="宋体" w:cs="宋体"/>
                <w:color w:val="000000"/>
                <w:kern w:val="0"/>
                <w:sz w:val="24"/>
              </w:rPr>
              <w:t>3) 箱体尺寸(mm):1024×1024×146.5；</w:t>
            </w:r>
            <w:r>
              <w:rPr>
                <w:rFonts w:hint="eastAsia" w:hAnsi="宋体" w:cs="宋体"/>
                <w:color w:val="000000"/>
                <w:kern w:val="0"/>
                <w:sz w:val="24"/>
              </w:rPr>
              <w:br w:type="textWrapping"/>
            </w:r>
            <w:r>
              <w:rPr>
                <w:rFonts w:hint="eastAsia" w:hAnsi="宋体" w:cs="宋体"/>
                <w:color w:val="000000"/>
                <w:kern w:val="0"/>
                <w:sz w:val="24"/>
              </w:rPr>
              <w:t>4) 箱体分辨率(W×H)：  64×64；</w:t>
            </w:r>
            <w:r>
              <w:rPr>
                <w:rFonts w:hint="eastAsia" w:hAnsi="宋体" w:cs="宋体"/>
                <w:color w:val="000000"/>
                <w:kern w:val="0"/>
                <w:sz w:val="24"/>
              </w:rPr>
              <w:br w:type="textWrapping"/>
            </w:r>
            <w:r>
              <w:rPr>
                <w:rFonts w:hint="eastAsia" w:hAnsi="宋体" w:cs="宋体"/>
                <w:color w:val="000000"/>
                <w:kern w:val="0"/>
                <w:sz w:val="24"/>
              </w:rPr>
              <w:t>5) 发光点颜色：2红1纯绿（2R1PG）；</w:t>
            </w:r>
            <w:r>
              <w:rPr>
                <w:rFonts w:hint="eastAsia" w:hAnsi="宋体" w:cs="宋体"/>
                <w:color w:val="000000"/>
                <w:kern w:val="0"/>
                <w:sz w:val="24"/>
              </w:rPr>
              <w:br w:type="textWrapping"/>
            </w:r>
            <w:r>
              <w:rPr>
                <w:rFonts w:hint="eastAsia" w:hAnsi="宋体" w:cs="宋体"/>
                <w:color w:val="000000"/>
                <w:kern w:val="0"/>
                <w:sz w:val="24"/>
              </w:rPr>
              <w:t>6) 像素组成:2R1GLED、封装形式:DIP 346、像素间距(mm):164维护方式:后维护；</w:t>
            </w:r>
            <w:r>
              <w:rPr>
                <w:rFonts w:hint="eastAsia" w:hAnsi="宋体" w:cs="宋体"/>
                <w:color w:val="000000"/>
                <w:kern w:val="0"/>
                <w:sz w:val="24"/>
              </w:rPr>
              <w:br w:type="textWrapping"/>
            </w:r>
            <w:r>
              <w:rPr>
                <w:rFonts w:hint="eastAsia" w:hAnsi="宋体" w:cs="宋体"/>
                <w:color w:val="000000"/>
                <w:kern w:val="0"/>
                <w:sz w:val="24"/>
              </w:rPr>
              <w:t>7) 箱体防护等级（正面/背面）:IP65/IP54</w:t>
            </w:r>
            <w:r>
              <w:rPr>
                <w:rFonts w:hint="eastAsia" w:hAnsi="宋体" w:cs="宋体"/>
                <w:color w:val="000000"/>
                <w:kern w:val="0"/>
                <w:sz w:val="24"/>
              </w:rPr>
              <w:br w:type="textWrapping"/>
            </w:r>
            <w:r>
              <w:rPr>
                <w:rFonts w:hint="eastAsia" w:hAnsi="宋体" w:cs="宋体"/>
                <w:color w:val="000000"/>
                <w:kern w:val="0"/>
                <w:sz w:val="24"/>
              </w:rPr>
              <w:t>8) 亮度：显示板每平方米亮度≥7000cd ；产品具有亮度调节功能，16级亮度，支持分时自动调亮/软件调亮/遥控调亮/自动调亮；</w:t>
            </w:r>
            <w:r>
              <w:rPr>
                <w:rFonts w:hint="eastAsia" w:hAnsi="宋体" w:cs="宋体"/>
                <w:color w:val="000000"/>
                <w:kern w:val="0"/>
                <w:sz w:val="24"/>
              </w:rPr>
              <w:br w:type="textWrapping"/>
            </w:r>
            <w:r>
              <w:rPr>
                <w:rFonts w:hint="eastAsia" w:hAnsi="宋体" w:cs="宋体"/>
                <w:color w:val="000000"/>
                <w:kern w:val="0"/>
                <w:sz w:val="24"/>
              </w:rPr>
              <w:t>9) 屏体尺寸：3.328m*1.792m；</w:t>
            </w:r>
            <w:r>
              <w:rPr>
                <w:rFonts w:hint="eastAsia" w:hAnsi="宋体" w:cs="宋体"/>
                <w:color w:val="000000"/>
                <w:kern w:val="0"/>
                <w:sz w:val="24"/>
              </w:rPr>
              <w:br w:type="textWrapping"/>
            </w:r>
            <w:r>
              <w:rPr>
                <w:rFonts w:hint="eastAsia" w:hAnsi="宋体" w:cs="宋体"/>
                <w:color w:val="000000"/>
                <w:kern w:val="0"/>
                <w:sz w:val="24"/>
              </w:rPr>
              <w:t>10) 水平视角(°):120,垂直视角(°):60；</w:t>
            </w:r>
            <w:r>
              <w:rPr>
                <w:rFonts w:hint="eastAsia" w:hAnsi="宋体" w:cs="宋体"/>
                <w:color w:val="000000"/>
                <w:kern w:val="0"/>
                <w:sz w:val="24"/>
              </w:rPr>
              <w:br w:type="textWrapping"/>
            </w:r>
            <w:r>
              <w:rPr>
                <w:rFonts w:hint="eastAsia" w:hAnsi="宋体" w:cs="宋体"/>
                <w:color w:val="000000"/>
                <w:kern w:val="0"/>
                <w:sz w:val="24"/>
              </w:rPr>
              <w:t>11) 驱动方式:静态恒流；</w:t>
            </w:r>
            <w:r>
              <w:rPr>
                <w:rFonts w:hint="eastAsia" w:hAnsi="宋体" w:cs="宋体"/>
                <w:color w:val="000000"/>
                <w:kern w:val="0"/>
                <w:sz w:val="24"/>
              </w:rPr>
              <w:br w:type="textWrapping"/>
            </w:r>
            <w:r>
              <w:rPr>
                <w:rFonts w:hint="eastAsia" w:hAnsi="宋体" w:cs="宋体"/>
                <w:color w:val="000000"/>
                <w:kern w:val="0"/>
                <w:sz w:val="24"/>
              </w:rPr>
              <w:t>12) 使用寿命(hrs):≥100000；</w:t>
            </w:r>
            <w:r>
              <w:rPr>
                <w:rFonts w:hint="eastAsia" w:hAnsi="宋体" w:cs="宋体"/>
                <w:color w:val="000000"/>
                <w:kern w:val="0"/>
                <w:sz w:val="24"/>
              </w:rPr>
              <w:br w:type="textWrapping"/>
            </w:r>
            <w:r>
              <w:rPr>
                <w:rFonts w:hint="eastAsia" w:hAnsi="宋体" w:cs="宋体"/>
                <w:color w:val="000000"/>
                <w:kern w:val="0"/>
                <w:sz w:val="24"/>
              </w:rPr>
              <w:t>13) LED显示单元亮度一致性≥99%，模组具备一键色彩调整功能，快速调整屏幕色差；</w:t>
            </w:r>
            <w:r>
              <w:rPr>
                <w:rFonts w:hint="eastAsia" w:hAnsi="宋体" w:cs="宋体"/>
                <w:color w:val="000000"/>
                <w:kern w:val="0"/>
                <w:sz w:val="24"/>
              </w:rPr>
              <w:br w:type="textWrapping"/>
            </w:r>
            <w:r>
              <w:rPr>
                <w:rFonts w:hint="eastAsia" w:hAnsi="宋体" w:cs="宋体"/>
                <w:color w:val="000000"/>
                <w:kern w:val="0"/>
                <w:sz w:val="24"/>
              </w:rPr>
              <w:t>14) LED显示单元色彩均匀性≥99%，模组具备一键亮度调整功能，快速调整屏幕色差；</w:t>
            </w:r>
            <w:r>
              <w:rPr>
                <w:rFonts w:hint="eastAsia" w:hAnsi="宋体" w:cs="宋体"/>
                <w:color w:val="000000"/>
                <w:kern w:val="0"/>
                <w:sz w:val="24"/>
              </w:rPr>
              <w:br w:type="textWrapping"/>
            </w:r>
            <w:r>
              <w:rPr>
                <w:rFonts w:hint="eastAsia" w:hAnsi="宋体" w:cs="宋体"/>
                <w:color w:val="000000"/>
                <w:kern w:val="0"/>
                <w:sz w:val="24"/>
              </w:rPr>
              <w:t>15) LED显示单元失控率、盲点率＜0.000001；</w:t>
            </w:r>
            <w:r>
              <w:rPr>
                <w:rFonts w:hint="eastAsia" w:hAnsi="宋体" w:cs="宋体"/>
                <w:color w:val="000000"/>
                <w:kern w:val="0"/>
                <w:sz w:val="24"/>
              </w:rPr>
              <w:br w:type="textWrapping"/>
            </w:r>
            <w:r>
              <w:rPr>
                <w:rFonts w:hint="eastAsia" w:hAnsi="宋体" w:cs="宋体"/>
                <w:color w:val="000000"/>
                <w:kern w:val="0"/>
                <w:sz w:val="24"/>
              </w:rPr>
              <w:t>16) LED显示单元箱体物理拼缝＜0.05mm；</w:t>
            </w:r>
            <w:r>
              <w:rPr>
                <w:rFonts w:hint="eastAsia" w:hAnsi="宋体" w:cs="宋体"/>
                <w:color w:val="000000"/>
                <w:kern w:val="0"/>
                <w:sz w:val="24"/>
              </w:rPr>
              <w:br w:type="textWrapping"/>
            </w:r>
            <w:r>
              <w:rPr>
                <w:rFonts w:hint="eastAsia" w:hAnsi="宋体" w:cs="宋体"/>
                <w:color w:val="000000"/>
                <w:kern w:val="0"/>
                <w:sz w:val="24"/>
              </w:rPr>
              <w:t>17) 采用多层次模块化设计，个别点的故障不会引起连锁反应；</w:t>
            </w:r>
            <w:r>
              <w:rPr>
                <w:rFonts w:hint="eastAsia" w:hAnsi="宋体" w:cs="宋体"/>
                <w:color w:val="000000"/>
                <w:kern w:val="0"/>
                <w:sz w:val="24"/>
              </w:rPr>
              <w:br w:type="textWrapping"/>
            </w:r>
            <w:r>
              <w:rPr>
                <w:rFonts w:hint="eastAsia" w:hAnsi="宋体" w:cs="宋体"/>
                <w:color w:val="000000"/>
                <w:kern w:val="0"/>
                <w:sz w:val="24"/>
              </w:rPr>
              <w:t>18) LED显示单元具备智能光感功能，可自动识别环境光强弱，根据环境光变化调节屏幕亮度，LED显示单元屏体表面要求逐行逐列对LED灯都有面罩进行保护；</w:t>
            </w:r>
            <w:r>
              <w:rPr>
                <w:rFonts w:hint="eastAsia" w:hAnsi="宋体" w:cs="宋体"/>
                <w:color w:val="000000"/>
                <w:kern w:val="0"/>
                <w:sz w:val="24"/>
              </w:rPr>
              <w:br w:type="textWrapping"/>
            </w:r>
            <w:r>
              <w:rPr>
                <w:rFonts w:hint="eastAsia" w:hAnsi="宋体" w:cs="宋体"/>
                <w:color w:val="000000"/>
                <w:kern w:val="0"/>
                <w:sz w:val="24"/>
              </w:rPr>
              <w:t>19) 每屏刷新频率不小于100Hz，在汽车高速行驶时，标志的内容清晰、稳定，含显示屏支架及设备箱等附属配件。</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2</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RAM控制系统</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▲通讯协议必须与数字公路综合平台兼容，无障碍接入宁波数字公路综合管理平台及数据库，实现数据交换的各项工作。</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3</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屏体防雷接地</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电源防雷、信号防雷、控制箱接地。</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4</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设备机箱</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尺寸：50cm*40cm*30cm；</w:t>
            </w:r>
            <w:r>
              <w:rPr>
                <w:rFonts w:hint="eastAsia" w:hAnsi="宋体" w:cs="宋体"/>
                <w:color w:val="000000"/>
                <w:kern w:val="0"/>
                <w:sz w:val="24"/>
              </w:rPr>
              <w:br w:type="textWrapping"/>
            </w:r>
            <w:r>
              <w:rPr>
                <w:rFonts w:hint="eastAsia" w:hAnsi="宋体" w:cs="宋体"/>
                <w:color w:val="000000"/>
                <w:kern w:val="0"/>
                <w:sz w:val="24"/>
              </w:rPr>
              <w:t>2) 箱体采用镀锌板（板厚=1.2mm）；</w:t>
            </w:r>
            <w:r>
              <w:rPr>
                <w:rFonts w:hint="eastAsia" w:hAnsi="宋体" w:cs="宋体"/>
                <w:color w:val="000000"/>
                <w:kern w:val="0"/>
                <w:sz w:val="24"/>
              </w:rPr>
              <w:br w:type="textWrapping"/>
            </w:r>
            <w:r>
              <w:rPr>
                <w:rFonts w:hint="eastAsia" w:hAnsi="宋体" w:cs="宋体"/>
                <w:color w:val="000000"/>
                <w:kern w:val="0"/>
                <w:sz w:val="24"/>
              </w:rPr>
              <w:t>3) 挡板2块：底板一块，横板一块；</w:t>
            </w:r>
            <w:r>
              <w:rPr>
                <w:rFonts w:hint="eastAsia" w:hAnsi="宋体" w:cs="宋体"/>
                <w:color w:val="000000"/>
                <w:kern w:val="0"/>
                <w:sz w:val="24"/>
              </w:rPr>
              <w:br w:type="textWrapping"/>
            </w:r>
            <w:r>
              <w:rPr>
                <w:rFonts w:hint="eastAsia" w:hAnsi="宋体" w:cs="宋体"/>
                <w:color w:val="000000"/>
                <w:kern w:val="0"/>
                <w:sz w:val="24"/>
              </w:rPr>
              <w:t>4) 抱箍：2套，镀锌抱箍直径10mm，大小：351mm；</w:t>
            </w:r>
            <w:r>
              <w:rPr>
                <w:rFonts w:hint="eastAsia" w:hAnsi="宋体" w:cs="宋体"/>
                <w:color w:val="000000"/>
                <w:kern w:val="0"/>
                <w:sz w:val="24"/>
              </w:rPr>
              <w:br w:type="textWrapping"/>
            </w:r>
            <w:r>
              <w:rPr>
                <w:rFonts w:hint="eastAsia" w:hAnsi="宋体" w:cs="宋体"/>
                <w:color w:val="000000"/>
                <w:kern w:val="0"/>
                <w:sz w:val="24"/>
              </w:rPr>
              <w:t>5) 空开、电源防雷等模块。</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5</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立杆/基础</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含立杆（直径351*10壁厚*8900mm高度，热镀锌）、基础(不低于参考图纸标准）、防雷接地（小于10欧姆）、预埋件、线缆等。</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6</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接入交换机</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1路百兆上联电口+4路百兆下联电口工业级以太网交换机；10/100BaseT（X）自动侦测，全/半双工MDI/MDI-X自适应，</w:t>
            </w:r>
            <w:r>
              <w:rPr>
                <w:rFonts w:hAnsi="宋体" w:cs="宋体"/>
                <w:color w:val="000000"/>
                <w:kern w:val="0"/>
                <w:sz w:val="24"/>
              </w:rPr>
              <w:t xml:space="preserve"> </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kern w:val="0"/>
                <w:sz w:val="22"/>
                <w:szCs w:val="22"/>
              </w:rPr>
            </w:pPr>
            <w:r>
              <w:rPr>
                <w:rFonts w:hint="eastAsia" w:hAnsi="宋体" w:cs="宋体"/>
                <w:b/>
                <w:bCs/>
                <w:kern w:val="0"/>
                <w:sz w:val="22"/>
                <w:szCs w:val="22"/>
              </w:rPr>
              <w:t>（三）</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b/>
                <w:bCs/>
                <w:kern w:val="0"/>
                <w:sz w:val="22"/>
                <w:szCs w:val="22"/>
              </w:rPr>
            </w:pPr>
            <w:r>
              <w:rPr>
                <w:rFonts w:hint="eastAsia" w:hAnsi="宋体" w:cs="宋体"/>
                <w:b/>
                <w:bCs/>
                <w:kern w:val="0"/>
                <w:sz w:val="22"/>
                <w:szCs w:val="22"/>
              </w:rPr>
              <w:t>车牌识别子系统</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1</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高清抓拍单元</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包含高清一体化嵌入式摄像机、高清镜头、室外防护罩、网络信号防雷器、电源适配器等，护罩内置LED灯；</w:t>
            </w:r>
            <w:r>
              <w:rPr>
                <w:rFonts w:hint="eastAsia" w:hAnsi="宋体" w:cs="宋体"/>
                <w:color w:val="000000"/>
                <w:kern w:val="0"/>
                <w:sz w:val="24"/>
              </w:rPr>
              <w:br w:type="textWrapping"/>
            </w:r>
            <w:r>
              <w:rPr>
                <w:rFonts w:hint="eastAsia" w:hAnsi="宋体" w:cs="宋体"/>
                <w:color w:val="000000"/>
                <w:kern w:val="0"/>
                <w:sz w:val="24"/>
              </w:rPr>
              <w:t xml:space="preserve">2) 图像传感器:1英寸Progressive Scan CCD； </w:t>
            </w:r>
            <w:r>
              <w:rPr>
                <w:rFonts w:hint="eastAsia" w:hAnsi="宋体" w:cs="宋体"/>
                <w:color w:val="000000"/>
                <w:kern w:val="0"/>
                <w:sz w:val="24"/>
              </w:rPr>
              <w:br w:type="textWrapping"/>
            </w:r>
            <w:r>
              <w:rPr>
                <w:rFonts w:hint="eastAsia" w:hAnsi="宋体" w:cs="宋体"/>
                <w:color w:val="000000"/>
                <w:kern w:val="0"/>
                <w:sz w:val="24"/>
              </w:rPr>
              <w:t>3) 不低于900万像素高清摄像头，最大图像尺寸≥3408×2008像素；</w:t>
            </w:r>
            <w:r>
              <w:rPr>
                <w:rFonts w:hint="eastAsia" w:hAnsi="宋体" w:cs="宋体"/>
                <w:color w:val="000000"/>
                <w:kern w:val="0"/>
                <w:sz w:val="24"/>
              </w:rPr>
              <w:br w:type="textWrapping"/>
            </w:r>
            <w:r>
              <w:rPr>
                <w:rFonts w:hint="eastAsia" w:hAnsi="宋体" w:cs="宋体"/>
                <w:color w:val="000000"/>
                <w:kern w:val="0"/>
                <w:sz w:val="24"/>
              </w:rPr>
              <w:t>4) 视频帧率:可通过客户端软件设置视频帧率范围帧率1～25fps可调；</w:t>
            </w:r>
            <w:r>
              <w:rPr>
                <w:rFonts w:hint="eastAsia" w:hAnsi="宋体" w:cs="宋体"/>
                <w:color w:val="000000"/>
                <w:kern w:val="0"/>
                <w:sz w:val="24"/>
              </w:rPr>
              <w:br w:type="textWrapping"/>
            </w:r>
            <w:r>
              <w:rPr>
                <w:rFonts w:hint="eastAsia" w:hAnsi="宋体" w:cs="宋体"/>
                <w:color w:val="000000"/>
                <w:kern w:val="0"/>
                <w:sz w:val="24"/>
              </w:rPr>
              <w:t>5) 前端抓拍设备支持网络设备串接，支持串接设备数据的网络交换功能；</w:t>
            </w:r>
            <w:r>
              <w:rPr>
                <w:rFonts w:hint="eastAsia" w:hAnsi="宋体" w:cs="宋体"/>
                <w:color w:val="000000"/>
                <w:kern w:val="0"/>
                <w:sz w:val="24"/>
              </w:rPr>
              <w:br w:type="textWrapping"/>
            </w:r>
            <w:r>
              <w:rPr>
                <w:rFonts w:hint="eastAsia" w:hAnsi="宋体" w:cs="宋体"/>
                <w:color w:val="000000"/>
                <w:kern w:val="0"/>
                <w:sz w:val="24"/>
              </w:rPr>
              <w:t>6) 存储功能：具有本地存储功能，可将图像信息存储在eMMC存储芯片；</w:t>
            </w:r>
            <w:r>
              <w:rPr>
                <w:rFonts w:hint="eastAsia" w:hAnsi="宋体" w:cs="宋体"/>
                <w:color w:val="000000"/>
                <w:kern w:val="0"/>
                <w:sz w:val="24"/>
              </w:rPr>
              <w:br w:type="textWrapping"/>
            </w:r>
            <w:r>
              <w:rPr>
                <w:rFonts w:hint="eastAsia" w:hAnsi="宋体" w:cs="宋体"/>
                <w:color w:val="000000"/>
                <w:kern w:val="0"/>
                <w:sz w:val="24"/>
              </w:rPr>
              <w:t>7) 最低照度：彩色≤0.005lx，黑白≤0.0008lx；</w:t>
            </w:r>
            <w:r>
              <w:rPr>
                <w:rFonts w:hint="eastAsia" w:hAnsi="宋体" w:cs="宋体"/>
                <w:color w:val="000000"/>
                <w:kern w:val="0"/>
                <w:sz w:val="24"/>
              </w:rPr>
              <w:br w:type="textWrapping"/>
            </w:r>
            <w:r>
              <w:rPr>
                <w:rFonts w:hint="eastAsia" w:hAnsi="宋体" w:cs="宋体"/>
                <w:color w:val="000000"/>
                <w:kern w:val="0"/>
                <w:sz w:val="24"/>
              </w:rPr>
              <w:t>8) 水平中心分辨力:彩色≥1800TVL；</w:t>
            </w:r>
            <w:r>
              <w:rPr>
                <w:rFonts w:hint="eastAsia" w:hAnsi="宋体" w:cs="宋体"/>
                <w:color w:val="000000"/>
                <w:kern w:val="0"/>
                <w:sz w:val="24"/>
              </w:rPr>
              <w:br w:type="textWrapping"/>
            </w:r>
            <w:r>
              <w:rPr>
                <w:rFonts w:hint="eastAsia" w:hAnsi="宋体" w:cs="宋体"/>
                <w:color w:val="000000"/>
                <w:kern w:val="0"/>
                <w:sz w:val="24"/>
              </w:rPr>
              <w:t>9) 快门:1/25秒至1/100，000秒，支持双、三快门；</w:t>
            </w:r>
            <w:r>
              <w:rPr>
                <w:rFonts w:hint="eastAsia" w:hAnsi="宋体" w:cs="宋体"/>
                <w:color w:val="000000"/>
                <w:kern w:val="0"/>
                <w:sz w:val="24"/>
              </w:rPr>
              <w:br w:type="textWrapping"/>
            </w:r>
            <w:r>
              <w:rPr>
                <w:rFonts w:hint="eastAsia" w:hAnsi="宋体" w:cs="宋体"/>
                <w:color w:val="000000"/>
                <w:kern w:val="0"/>
                <w:sz w:val="24"/>
              </w:rPr>
              <w:t>10) 镜头接口类型:C/CS接口；</w:t>
            </w:r>
            <w:r>
              <w:rPr>
                <w:rFonts w:hint="eastAsia" w:hAnsi="宋体" w:cs="宋体"/>
                <w:color w:val="000000"/>
                <w:kern w:val="0"/>
                <w:sz w:val="24"/>
              </w:rPr>
              <w:br w:type="textWrapping"/>
            </w:r>
            <w:r>
              <w:rPr>
                <w:rFonts w:hint="eastAsia" w:hAnsi="宋体" w:cs="宋体"/>
                <w:color w:val="000000"/>
                <w:kern w:val="0"/>
                <w:sz w:val="24"/>
              </w:rPr>
              <w:t>11) 高清定焦镜头焦距35mm，可根据现场情况选择；</w:t>
            </w:r>
            <w:r>
              <w:rPr>
                <w:rFonts w:hint="eastAsia" w:hAnsi="宋体" w:cs="宋体"/>
                <w:color w:val="000000"/>
                <w:kern w:val="0"/>
                <w:sz w:val="24"/>
              </w:rPr>
              <w:br w:type="textWrapping"/>
            </w:r>
            <w:r>
              <w:rPr>
                <w:rFonts w:hint="eastAsia" w:hAnsi="宋体" w:cs="宋体"/>
                <w:color w:val="000000"/>
                <w:kern w:val="0"/>
                <w:sz w:val="24"/>
              </w:rPr>
              <w:t>12) 自动光圈:DC驱动；</w:t>
            </w:r>
            <w:r>
              <w:rPr>
                <w:rFonts w:hint="eastAsia" w:hAnsi="宋体" w:cs="宋体"/>
                <w:color w:val="000000"/>
                <w:kern w:val="0"/>
                <w:sz w:val="24"/>
              </w:rPr>
              <w:br w:type="textWrapping"/>
            </w:r>
            <w:r>
              <w:rPr>
                <w:rFonts w:hint="eastAsia" w:hAnsi="宋体" w:cs="宋体"/>
                <w:color w:val="000000"/>
                <w:kern w:val="0"/>
                <w:sz w:val="24"/>
              </w:rPr>
              <w:t>13) 支持潮汐（双向可变）车道违法抓拍；</w:t>
            </w:r>
            <w:r>
              <w:rPr>
                <w:rFonts w:hint="eastAsia" w:hAnsi="宋体" w:cs="宋体"/>
                <w:color w:val="000000"/>
                <w:kern w:val="0"/>
                <w:sz w:val="24"/>
              </w:rPr>
              <w:br w:type="textWrapping"/>
            </w:r>
            <w:r>
              <w:rPr>
                <w:rFonts w:hint="eastAsia" w:hAnsi="宋体" w:cs="宋体"/>
                <w:color w:val="000000"/>
                <w:kern w:val="0"/>
                <w:sz w:val="24"/>
              </w:rPr>
              <w:t>14) 具备未识别车辆处理功能检查，支持对未识别车辆进行过滤，可选是否生成通行记录、违章记录；</w:t>
            </w:r>
            <w:r>
              <w:rPr>
                <w:rFonts w:hint="eastAsia" w:hAnsi="宋体" w:cs="宋体"/>
                <w:color w:val="000000"/>
                <w:kern w:val="0"/>
                <w:sz w:val="24"/>
              </w:rPr>
              <w:br w:type="textWrapping"/>
            </w:r>
            <w:r>
              <w:rPr>
                <w:rFonts w:hint="eastAsia" w:hAnsi="宋体" w:cs="宋体"/>
                <w:color w:val="000000"/>
                <w:kern w:val="0"/>
                <w:sz w:val="24"/>
              </w:rPr>
              <w:t>15) 接入协议:支持GB/T28181协议，支持标准Onvif协议；</w:t>
            </w:r>
            <w:r>
              <w:rPr>
                <w:rFonts w:hint="eastAsia" w:hAnsi="宋体" w:cs="宋体"/>
                <w:color w:val="000000"/>
                <w:kern w:val="0"/>
                <w:sz w:val="24"/>
              </w:rPr>
              <w:br w:type="textWrapping"/>
            </w:r>
            <w:r>
              <w:rPr>
                <w:rFonts w:hint="eastAsia" w:hAnsi="宋体" w:cs="宋体"/>
                <w:color w:val="000000"/>
                <w:kern w:val="0"/>
                <w:sz w:val="24"/>
              </w:rPr>
              <w:t>16) 补光灯控制:闪光灯自动控制、时控可选；支持频闪等；</w:t>
            </w:r>
            <w:r>
              <w:rPr>
                <w:rFonts w:hint="eastAsia" w:hAnsi="宋体" w:cs="宋体"/>
                <w:color w:val="000000"/>
                <w:kern w:val="0"/>
                <w:sz w:val="24"/>
              </w:rPr>
              <w:br w:type="textWrapping"/>
            </w:r>
            <w:r>
              <w:rPr>
                <w:rFonts w:hint="eastAsia" w:hAnsi="宋体" w:cs="宋体"/>
                <w:color w:val="000000"/>
                <w:kern w:val="0"/>
                <w:sz w:val="24"/>
              </w:rPr>
              <w:t>17) 通讯接口:1个10M/100M/1000M自适应RJ45接口，1个RS-485接口；</w:t>
            </w:r>
            <w:r>
              <w:rPr>
                <w:rFonts w:hint="eastAsia" w:hAnsi="宋体" w:cs="宋体"/>
                <w:color w:val="000000"/>
                <w:kern w:val="0"/>
                <w:sz w:val="24"/>
              </w:rPr>
              <w:br w:type="textWrapping"/>
            </w:r>
            <w:r>
              <w:rPr>
                <w:rFonts w:hint="eastAsia" w:hAnsi="宋体" w:cs="宋体"/>
                <w:color w:val="000000"/>
                <w:kern w:val="0"/>
                <w:sz w:val="24"/>
              </w:rPr>
              <w:t>18) 接口≥3个RS-485接口，≥1个RS-232接口，≥1个BNC接口，≥4个同步信号输出接口（光耦），≥5个同步信号控制接口（TTL，输入、输出可配置）；</w:t>
            </w:r>
            <w:r>
              <w:rPr>
                <w:rFonts w:hint="eastAsia" w:hAnsi="宋体" w:cs="宋体"/>
                <w:color w:val="000000"/>
                <w:kern w:val="0"/>
                <w:sz w:val="24"/>
              </w:rPr>
              <w:br w:type="textWrapping"/>
            </w:r>
            <w:r>
              <w:rPr>
                <w:rFonts w:hint="eastAsia" w:hAnsi="宋体" w:cs="宋体"/>
                <w:color w:val="000000"/>
                <w:kern w:val="0"/>
                <w:sz w:val="24"/>
              </w:rPr>
              <w:t>19) 设备护罩支持侧开方式；</w:t>
            </w:r>
            <w:r>
              <w:rPr>
                <w:rFonts w:hint="eastAsia" w:hAnsi="宋体" w:cs="宋体"/>
                <w:color w:val="000000"/>
                <w:kern w:val="0"/>
                <w:sz w:val="24"/>
              </w:rPr>
              <w:br w:type="textWrapping"/>
            </w:r>
            <w:r>
              <w:rPr>
                <w:rFonts w:hint="eastAsia" w:hAnsi="宋体" w:cs="宋体"/>
                <w:color w:val="000000"/>
                <w:kern w:val="0"/>
                <w:sz w:val="24"/>
              </w:rPr>
              <w:t>20) 工作环境温度:-40℃～+85℃；</w:t>
            </w:r>
            <w:r>
              <w:rPr>
                <w:rFonts w:hint="eastAsia" w:hAnsi="宋体" w:cs="宋体"/>
                <w:color w:val="000000"/>
                <w:kern w:val="0"/>
                <w:sz w:val="24"/>
              </w:rPr>
              <w:br w:type="textWrapping"/>
            </w:r>
            <w:r>
              <w:rPr>
                <w:rFonts w:hint="eastAsia" w:hAnsi="宋体" w:cs="宋体"/>
                <w:color w:val="000000"/>
                <w:kern w:val="0"/>
                <w:sz w:val="24"/>
              </w:rPr>
              <w:t>21) 电源适配器、网络防雷器应安装于护罩内，具有网络信号防雷功能；</w:t>
            </w:r>
            <w:r>
              <w:rPr>
                <w:rFonts w:hint="eastAsia" w:hAnsi="宋体" w:cs="宋体"/>
                <w:color w:val="000000"/>
                <w:kern w:val="0"/>
                <w:sz w:val="24"/>
              </w:rPr>
              <w:br w:type="textWrapping"/>
            </w:r>
            <w:r>
              <w:rPr>
                <w:rFonts w:hint="eastAsia" w:hAnsi="宋体" w:cs="宋体"/>
                <w:color w:val="000000"/>
                <w:kern w:val="0"/>
                <w:sz w:val="24"/>
              </w:rPr>
              <w:t>22) 护罩防护等级:IP66；</w:t>
            </w:r>
            <w:r>
              <w:rPr>
                <w:rFonts w:hint="eastAsia" w:hAnsi="宋体" w:cs="宋体"/>
                <w:color w:val="000000"/>
                <w:kern w:val="0"/>
                <w:sz w:val="24"/>
              </w:rPr>
              <w:br w:type="textWrapping"/>
            </w:r>
            <w:r>
              <w:rPr>
                <w:rFonts w:hint="eastAsia" w:hAnsi="宋体" w:cs="宋体"/>
                <w:color w:val="000000"/>
                <w:kern w:val="0"/>
                <w:sz w:val="24"/>
              </w:rPr>
              <w:t>23) 接入数据处理器；</w:t>
            </w:r>
            <w:r>
              <w:rPr>
                <w:rFonts w:hint="eastAsia" w:hAnsi="宋体" w:cs="宋体"/>
                <w:color w:val="000000"/>
                <w:kern w:val="0"/>
                <w:sz w:val="24"/>
              </w:rPr>
              <w:br w:type="textWrapping"/>
            </w:r>
            <w:r>
              <w:rPr>
                <w:rFonts w:hint="eastAsia" w:hAnsi="宋体" w:cs="宋体"/>
                <w:color w:val="000000"/>
                <w:kern w:val="0"/>
                <w:sz w:val="24"/>
              </w:rPr>
              <w:t>24) 高速SD内存卡，128G内存，用于前端存储；</w:t>
            </w:r>
            <w:r>
              <w:rPr>
                <w:rFonts w:hint="eastAsia" w:hAnsi="宋体" w:cs="宋体"/>
                <w:color w:val="000000"/>
                <w:kern w:val="0"/>
                <w:sz w:val="24"/>
              </w:rPr>
              <w:br w:type="textWrapping"/>
            </w:r>
            <w:r>
              <w:rPr>
                <w:rFonts w:hint="eastAsia" w:hAnsi="宋体" w:cs="宋体"/>
                <w:color w:val="000000"/>
                <w:kern w:val="0"/>
                <w:sz w:val="24"/>
              </w:rPr>
              <w:t>25) 设备实况、照片存储策略均支持满覆盖及满即停的方式，通过界面配置可调节。当网络断开时，可将码流及图片存储于eMMC存储中，网络恢复时，可自动上传对应时间点码流及图片至原后台存储；</w:t>
            </w:r>
            <w:r>
              <w:rPr>
                <w:rFonts w:hint="eastAsia" w:hAnsi="宋体" w:cs="宋体"/>
                <w:color w:val="000000"/>
                <w:kern w:val="0"/>
                <w:sz w:val="24"/>
              </w:rPr>
              <w:br w:type="textWrapping"/>
            </w:r>
            <w:r>
              <w:rPr>
                <w:rFonts w:hint="eastAsia" w:hAnsi="宋体" w:cs="宋体"/>
                <w:color w:val="000000"/>
                <w:kern w:val="0"/>
                <w:sz w:val="24"/>
              </w:rPr>
              <w:t>26) 智能识别:内置车牌识别、车型识别、车辆检测、违法检测功能等；车辆号牌白天、晚上识别准确率≥97%；设备支持车辆品牌识别，白天识别准确率≥95%，晚上识别准确率≥92%；支持直升号7种车型识别，白天识别率准确率≥95%，晚上识别准确率≥90%；具有车身颜色识别功能，可识别至少11种常见车身颜色，白天车身颜色识别准确率≥95%，晚上车身颜色识别准确率≥95%；</w:t>
            </w:r>
            <w:r>
              <w:rPr>
                <w:rFonts w:hint="eastAsia" w:hAnsi="宋体" w:cs="宋体"/>
                <w:color w:val="000000"/>
                <w:kern w:val="0"/>
                <w:sz w:val="24"/>
              </w:rPr>
              <w:br w:type="textWrapping"/>
            </w:r>
            <w:r>
              <w:rPr>
                <w:rFonts w:hint="eastAsia" w:hAnsi="宋体" w:cs="宋体"/>
                <w:color w:val="000000"/>
                <w:kern w:val="0"/>
                <w:sz w:val="24"/>
              </w:rPr>
              <w:t>超速违章白天、晚上捕获率≥95%，白天、晚上识别准确率≥95%；逆行违章白天、晚上捕获率≥95%，白天、晚上识别准确率≥95%；压线违章白天、晚上捕获率≥95%，白天、晚上识别准确率≥95%。</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2</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超限专用球机</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1080P星光级红外球型网络摄像机，1/2.8inch逐行扫描,不低于200万像素CMOS图像传感器；</w:t>
            </w:r>
            <w:r>
              <w:rPr>
                <w:rFonts w:hint="eastAsia" w:hAnsi="宋体" w:cs="宋体"/>
                <w:color w:val="000000"/>
                <w:kern w:val="0"/>
                <w:sz w:val="24"/>
              </w:rPr>
              <w:br w:type="textWrapping"/>
            </w:r>
            <w:r>
              <w:rPr>
                <w:rFonts w:hint="eastAsia" w:hAnsi="宋体" w:cs="宋体"/>
                <w:color w:val="000000"/>
                <w:kern w:val="0"/>
                <w:sz w:val="24"/>
              </w:rPr>
              <w:t>2) 焦距范围：5~220mm，44倍光学变倍；</w:t>
            </w:r>
            <w:r>
              <w:rPr>
                <w:rFonts w:hint="eastAsia" w:hAnsi="宋体" w:cs="宋体"/>
                <w:color w:val="000000"/>
                <w:kern w:val="0"/>
                <w:sz w:val="24"/>
              </w:rPr>
              <w:br w:type="textWrapping"/>
            </w:r>
            <w:r>
              <w:rPr>
                <w:rFonts w:hint="eastAsia" w:hAnsi="宋体" w:cs="宋体"/>
                <w:color w:val="000000"/>
                <w:kern w:val="0"/>
                <w:sz w:val="24"/>
              </w:rPr>
              <w:t>3) 彩色模式最低照度0.001Lx，黑白模式最低照度0.0001Lx；水平解像力可以达到1100线；</w:t>
            </w:r>
            <w:r>
              <w:rPr>
                <w:rFonts w:hint="eastAsia" w:hAnsi="宋体" w:cs="宋体"/>
                <w:color w:val="000000"/>
                <w:kern w:val="0"/>
                <w:sz w:val="24"/>
              </w:rPr>
              <w:br w:type="textWrapping"/>
            </w:r>
            <w:r>
              <w:rPr>
                <w:rFonts w:hint="eastAsia" w:hAnsi="宋体" w:cs="宋体"/>
                <w:color w:val="000000"/>
                <w:kern w:val="0"/>
                <w:sz w:val="24"/>
              </w:rPr>
              <w:t>4) 支持光学宽动态，宽动态范围可以达到103dB，支持宽动态效果自动切换；</w:t>
            </w:r>
            <w:r>
              <w:rPr>
                <w:rFonts w:hint="eastAsia" w:hAnsi="宋体" w:cs="宋体"/>
                <w:color w:val="000000"/>
                <w:kern w:val="0"/>
                <w:sz w:val="24"/>
              </w:rPr>
              <w:br w:type="textWrapping"/>
            </w:r>
            <w:r>
              <w:rPr>
                <w:rFonts w:hint="eastAsia" w:hAnsi="宋体" w:cs="宋体"/>
                <w:color w:val="000000"/>
                <w:kern w:val="0"/>
                <w:sz w:val="24"/>
              </w:rPr>
              <w:t>5) 支持强光抑制；</w:t>
            </w:r>
            <w:r>
              <w:rPr>
                <w:rFonts w:hint="eastAsia" w:hAnsi="宋体" w:cs="宋体"/>
                <w:color w:val="000000"/>
                <w:kern w:val="0"/>
                <w:sz w:val="24"/>
              </w:rPr>
              <w:br w:type="textWrapping"/>
            </w:r>
            <w:r>
              <w:rPr>
                <w:rFonts w:hint="eastAsia" w:hAnsi="宋体" w:cs="宋体"/>
                <w:color w:val="000000"/>
                <w:kern w:val="0"/>
                <w:sz w:val="24"/>
              </w:rPr>
              <w:t>6) 2个报警输入/1个输出口，满足环境告警需求，支持音频输入/输出，AAC宽频语音；</w:t>
            </w:r>
            <w:r>
              <w:rPr>
                <w:rFonts w:hint="eastAsia" w:hAnsi="宋体" w:cs="宋体"/>
                <w:color w:val="000000"/>
                <w:kern w:val="0"/>
                <w:sz w:val="24"/>
              </w:rPr>
              <w:br w:type="textWrapping"/>
            </w:r>
            <w:r>
              <w:rPr>
                <w:rFonts w:hint="eastAsia" w:hAnsi="宋体" w:cs="宋体"/>
                <w:color w:val="000000"/>
                <w:kern w:val="0"/>
                <w:sz w:val="24"/>
              </w:rPr>
              <w:t>7) 支持单网线条件下300m以上图像传输能力；</w:t>
            </w:r>
            <w:r>
              <w:rPr>
                <w:rFonts w:hint="eastAsia" w:hAnsi="宋体" w:cs="宋体"/>
                <w:color w:val="000000"/>
                <w:kern w:val="0"/>
                <w:sz w:val="24"/>
              </w:rPr>
              <w:br w:type="textWrapping"/>
            </w:r>
            <w:r>
              <w:rPr>
                <w:rFonts w:hint="eastAsia" w:hAnsi="宋体" w:cs="宋体"/>
                <w:color w:val="000000"/>
                <w:kern w:val="0"/>
                <w:sz w:val="24"/>
              </w:rPr>
              <w:t>8) 内置GPS/北斗，可显示经纬度信息；内置电子罗盘；</w:t>
            </w:r>
            <w:r>
              <w:rPr>
                <w:rFonts w:hint="eastAsia" w:hAnsi="宋体" w:cs="宋体"/>
                <w:color w:val="000000"/>
                <w:kern w:val="0"/>
                <w:sz w:val="24"/>
              </w:rPr>
              <w:br w:type="textWrapping"/>
            </w:r>
            <w:r>
              <w:rPr>
                <w:rFonts w:hint="eastAsia" w:hAnsi="宋体" w:cs="宋体"/>
                <w:color w:val="000000"/>
                <w:kern w:val="0"/>
                <w:sz w:val="24"/>
              </w:rPr>
              <w:t>9) 支持360度水平连续旋转，水平预置点速度可达300°/s，支持-30~+90度垂直方向移动,垂直预置点速度可达240°/s；</w:t>
            </w:r>
            <w:r>
              <w:rPr>
                <w:rFonts w:hint="eastAsia" w:hAnsi="宋体" w:cs="宋体"/>
                <w:color w:val="000000"/>
                <w:kern w:val="0"/>
                <w:sz w:val="24"/>
              </w:rPr>
              <w:br w:type="textWrapping"/>
            </w:r>
            <w:r>
              <w:rPr>
                <w:rFonts w:hint="eastAsia" w:hAnsi="宋体" w:cs="宋体"/>
                <w:color w:val="000000"/>
                <w:kern w:val="0"/>
                <w:sz w:val="24"/>
              </w:rPr>
              <w:t>10) 支持NAT穿越、DDNS功能，支持IP地址过滤检测，支持网关ARP绑定；</w:t>
            </w:r>
            <w:r>
              <w:rPr>
                <w:rFonts w:hint="eastAsia" w:hAnsi="宋体" w:cs="宋体"/>
                <w:color w:val="000000"/>
                <w:kern w:val="0"/>
                <w:sz w:val="24"/>
              </w:rPr>
              <w:br w:type="textWrapping"/>
            </w:r>
            <w:r>
              <w:rPr>
                <w:rFonts w:hint="eastAsia" w:hAnsi="宋体" w:cs="宋体"/>
                <w:color w:val="000000"/>
                <w:kern w:val="0"/>
                <w:sz w:val="24"/>
              </w:rPr>
              <w:t>11) 支持网络自适应，15％丢包网络环境下图像效果良好；</w:t>
            </w:r>
            <w:r>
              <w:rPr>
                <w:rFonts w:hint="eastAsia" w:hAnsi="宋体" w:cs="宋体"/>
                <w:color w:val="000000"/>
                <w:kern w:val="0"/>
                <w:sz w:val="24"/>
              </w:rPr>
              <w:br w:type="textWrapping"/>
            </w:r>
            <w:r>
              <w:rPr>
                <w:rFonts w:hint="eastAsia" w:hAnsi="宋体" w:cs="宋体"/>
                <w:color w:val="000000"/>
                <w:kern w:val="0"/>
                <w:sz w:val="24"/>
              </w:rPr>
              <w:t>12) 支持IP67防尘防水等级。</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3</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闪光灯</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频闪补光灯，适用于夜间环境同步补光；</w:t>
            </w:r>
            <w:r>
              <w:rPr>
                <w:rFonts w:hint="eastAsia" w:hAnsi="宋体" w:cs="宋体"/>
                <w:color w:val="000000"/>
                <w:kern w:val="0"/>
                <w:sz w:val="24"/>
              </w:rPr>
              <w:br w:type="textWrapping"/>
            </w:r>
            <w:r>
              <w:rPr>
                <w:rFonts w:hint="eastAsia" w:hAnsi="宋体" w:cs="宋体"/>
                <w:color w:val="000000"/>
                <w:kern w:val="0"/>
                <w:sz w:val="24"/>
              </w:rPr>
              <w:t>2) 色温范围5000-7000 K，有效补光距离16~24M；</w:t>
            </w:r>
            <w:r>
              <w:rPr>
                <w:rFonts w:hint="eastAsia" w:hAnsi="宋体" w:cs="宋体"/>
                <w:color w:val="000000"/>
                <w:kern w:val="0"/>
                <w:sz w:val="24"/>
              </w:rPr>
              <w:br w:type="textWrapping"/>
            </w:r>
            <w:r>
              <w:rPr>
                <w:rFonts w:hint="eastAsia" w:hAnsi="宋体" w:cs="宋体"/>
                <w:color w:val="000000"/>
                <w:kern w:val="0"/>
                <w:sz w:val="24"/>
              </w:rPr>
              <w:t>3) 适用-40～60℃温度环境气候工作；</w:t>
            </w:r>
            <w:r>
              <w:rPr>
                <w:rFonts w:hint="eastAsia" w:hAnsi="宋体" w:cs="宋体"/>
                <w:color w:val="000000"/>
                <w:kern w:val="0"/>
                <w:sz w:val="24"/>
              </w:rPr>
              <w:br w:type="textWrapping"/>
            </w:r>
            <w:r>
              <w:rPr>
                <w:rFonts w:hint="eastAsia" w:hAnsi="宋体" w:cs="宋体"/>
                <w:color w:val="000000"/>
                <w:kern w:val="0"/>
                <w:sz w:val="24"/>
              </w:rPr>
              <w:t>4) 补光距离20m时，照度不低于40Lux；</w:t>
            </w:r>
            <w:r>
              <w:rPr>
                <w:rFonts w:hint="eastAsia" w:hAnsi="宋体" w:cs="宋体"/>
                <w:color w:val="000000"/>
                <w:kern w:val="0"/>
                <w:sz w:val="24"/>
              </w:rPr>
              <w:br w:type="textWrapping"/>
            </w:r>
            <w:r>
              <w:rPr>
                <w:rFonts w:hint="eastAsia" w:hAnsi="宋体" w:cs="宋体"/>
                <w:color w:val="000000"/>
                <w:kern w:val="0"/>
                <w:sz w:val="24"/>
              </w:rPr>
              <w:t>5) 支持IP66防护等级。</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4</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补光灯</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采用智能光敏控制补光灯；</w:t>
            </w:r>
            <w:r>
              <w:rPr>
                <w:rFonts w:hint="eastAsia" w:hAnsi="宋体" w:cs="宋体"/>
                <w:color w:val="000000"/>
                <w:kern w:val="0"/>
                <w:sz w:val="24"/>
              </w:rPr>
              <w:br w:type="textWrapping"/>
            </w:r>
            <w:r>
              <w:rPr>
                <w:rFonts w:hint="eastAsia" w:hAnsi="宋体" w:cs="宋体"/>
                <w:color w:val="000000"/>
                <w:kern w:val="0"/>
                <w:sz w:val="24"/>
              </w:rPr>
              <w:t>2) 色温：5000K-7000K；</w:t>
            </w:r>
            <w:r>
              <w:rPr>
                <w:rFonts w:hint="eastAsia" w:hAnsi="宋体" w:cs="宋体"/>
                <w:color w:val="000000"/>
                <w:kern w:val="0"/>
                <w:sz w:val="24"/>
              </w:rPr>
              <w:br w:type="textWrapping"/>
            </w:r>
            <w:r>
              <w:rPr>
                <w:rFonts w:hint="eastAsia" w:hAnsi="宋体" w:cs="宋体"/>
                <w:color w:val="000000"/>
                <w:kern w:val="0"/>
                <w:sz w:val="24"/>
              </w:rPr>
              <w:t>3) 基准轴上的峰值光照度应小于等于300lx，平均光照度应小于等于50lx；在制造商标称的补光区域内，峰值光照度应大于等于基准轴上峰值光照度的50%；</w:t>
            </w:r>
            <w:r>
              <w:rPr>
                <w:rFonts w:hint="eastAsia" w:hAnsi="宋体" w:cs="宋体"/>
                <w:color w:val="000000"/>
                <w:kern w:val="0"/>
                <w:sz w:val="24"/>
              </w:rPr>
              <w:br w:type="textWrapping"/>
            </w:r>
            <w:r>
              <w:rPr>
                <w:rFonts w:hint="eastAsia" w:hAnsi="宋体" w:cs="宋体"/>
                <w:color w:val="000000"/>
                <w:kern w:val="0"/>
                <w:sz w:val="24"/>
              </w:rPr>
              <w:t>4) 支持外配时控/光敏控制开关；</w:t>
            </w:r>
            <w:r>
              <w:rPr>
                <w:rFonts w:hint="eastAsia" w:hAnsi="宋体" w:cs="宋体"/>
                <w:color w:val="000000"/>
                <w:kern w:val="0"/>
                <w:sz w:val="24"/>
              </w:rPr>
              <w:br w:type="textWrapping"/>
            </w:r>
            <w:r>
              <w:rPr>
                <w:rFonts w:hint="eastAsia" w:hAnsi="宋体" w:cs="宋体"/>
                <w:color w:val="000000"/>
                <w:kern w:val="0"/>
                <w:sz w:val="24"/>
              </w:rPr>
              <w:t>5) 支持补光灯故障检测信号输出；</w:t>
            </w:r>
            <w:r>
              <w:rPr>
                <w:rFonts w:hint="eastAsia" w:hAnsi="宋体" w:cs="宋体"/>
                <w:color w:val="000000"/>
                <w:kern w:val="0"/>
                <w:sz w:val="24"/>
              </w:rPr>
              <w:br w:type="textWrapping"/>
            </w:r>
            <w:r>
              <w:rPr>
                <w:rFonts w:hint="eastAsia" w:hAnsi="宋体" w:cs="宋体"/>
                <w:color w:val="000000"/>
                <w:kern w:val="0"/>
                <w:sz w:val="24"/>
              </w:rPr>
              <w:t>6) 补光灯角度：40°；</w:t>
            </w:r>
            <w:r>
              <w:rPr>
                <w:rFonts w:hint="eastAsia" w:hAnsi="宋体" w:cs="宋体"/>
                <w:color w:val="000000"/>
                <w:kern w:val="0"/>
                <w:sz w:val="24"/>
              </w:rPr>
              <w:br w:type="textWrapping"/>
            </w:r>
            <w:r>
              <w:rPr>
                <w:rFonts w:hint="eastAsia" w:hAnsi="宋体" w:cs="宋体"/>
                <w:color w:val="000000"/>
                <w:kern w:val="0"/>
                <w:sz w:val="24"/>
              </w:rPr>
              <w:t>7) 额定功率：60W；</w:t>
            </w:r>
            <w:r>
              <w:rPr>
                <w:rFonts w:hint="eastAsia" w:hAnsi="宋体" w:cs="宋体"/>
                <w:color w:val="000000"/>
                <w:kern w:val="0"/>
                <w:sz w:val="24"/>
              </w:rPr>
              <w:br w:type="textWrapping"/>
            </w:r>
            <w:r>
              <w:rPr>
                <w:rFonts w:hint="eastAsia" w:hAnsi="宋体" w:cs="宋体"/>
                <w:color w:val="000000"/>
                <w:kern w:val="0"/>
                <w:sz w:val="24"/>
              </w:rPr>
              <w:t>8) 工作环境温度：-40℃-+70℃；</w:t>
            </w:r>
            <w:r>
              <w:rPr>
                <w:rFonts w:hint="eastAsia" w:hAnsi="宋体" w:cs="宋体"/>
                <w:color w:val="000000"/>
                <w:kern w:val="0"/>
                <w:sz w:val="24"/>
              </w:rPr>
              <w:br w:type="textWrapping"/>
            </w:r>
            <w:r>
              <w:rPr>
                <w:rFonts w:hint="eastAsia" w:hAnsi="宋体" w:cs="宋体"/>
                <w:color w:val="000000"/>
                <w:kern w:val="0"/>
                <w:sz w:val="24"/>
              </w:rPr>
              <w:t>9) 工作环境湿度：10％-90％RH。</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5</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设备机箱</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尺寸：50cm*40cm*30cm；</w:t>
            </w:r>
            <w:r>
              <w:rPr>
                <w:rFonts w:hint="eastAsia" w:hAnsi="宋体" w:cs="宋体"/>
                <w:color w:val="000000"/>
                <w:kern w:val="0"/>
                <w:sz w:val="24"/>
              </w:rPr>
              <w:br w:type="textWrapping"/>
            </w:r>
            <w:r>
              <w:rPr>
                <w:rFonts w:hint="eastAsia" w:hAnsi="宋体" w:cs="宋体"/>
                <w:color w:val="000000"/>
                <w:kern w:val="0"/>
                <w:sz w:val="24"/>
              </w:rPr>
              <w:t>2) 箱体采用镀锌板（板厚=1.2mm）；</w:t>
            </w:r>
            <w:r>
              <w:rPr>
                <w:rFonts w:hint="eastAsia" w:hAnsi="宋体" w:cs="宋体"/>
                <w:color w:val="000000"/>
                <w:kern w:val="0"/>
                <w:sz w:val="24"/>
              </w:rPr>
              <w:br w:type="textWrapping"/>
            </w:r>
            <w:r>
              <w:rPr>
                <w:rFonts w:hint="eastAsia" w:hAnsi="宋体" w:cs="宋体"/>
                <w:color w:val="000000"/>
                <w:kern w:val="0"/>
                <w:sz w:val="24"/>
              </w:rPr>
              <w:t>3) 挡板2块：底板一块，横板一块；</w:t>
            </w:r>
            <w:r>
              <w:rPr>
                <w:rFonts w:hint="eastAsia" w:hAnsi="宋体" w:cs="宋体"/>
                <w:color w:val="000000"/>
                <w:kern w:val="0"/>
                <w:sz w:val="24"/>
              </w:rPr>
              <w:br w:type="textWrapping"/>
            </w:r>
            <w:r>
              <w:rPr>
                <w:rFonts w:hint="eastAsia" w:hAnsi="宋体" w:cs="宋体"/>
                <w:color w:val="000000"/>
                <w:kern w:val="0"/>
                <w:sz w:val="24"/>
              </w:rPr>
              <w:t>4) 抱箍：2套，镀锌抱箍直径10mm，大小：351mm；</w:t>
            </w:r>
            <w:r>
              <w:rPr>
                <w:rFonts w:hint="eastAsia" w:hAnsi="宋体" w:cs="宋体"/>
                <w:color w:val="000000"/>
                <w:kern w:val="0"/>
                <w:sz w:val="24"/>
              </w:rPr>
              <w:br w:type="textWrapping"/>
            </w:r>
            <w:r>
              <w:rPr>
                <w:rFonts w:hint="eastAsia" w:hAnsi="宋体" w:cs="宋体"/>
                <w:color w:val="000000"/>
                <w:kern w:val="0"/>
                <w:sz w:val="24"/>
              </w:rPr>
              <w:t>5) 空开、电源防雷等模块。</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6</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车牌抓拍立杆/基础</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含立杆（横臂</w:t>
            </w:r>
            <w:r>
              <w:rPr>
                <w:rFonts w:hAnsi="宋体" w:cs="宋体"/>
                <w:color w:val="000000"/>
                <w:kern w:val="0"/>
                <w:sz w:val="24"/>
              </w:rPr>
              <w:t>6m）、基础、防雷接地、预埋件、管道、窨井、线缆等（实际按图施工）</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7</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接入交换机</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1个光口8个电口，支持8个10/100Mbps自适应以太网RJ45接口，1路非复用百兆光口（SFP插槽）</w:t>
            </w:r>
            <w:r>
              <w:rPr>
                <w:rFonts w:hint="eastAsia" w:hAnsi="宋体" w:cs="宋体"/>
                <w:color w:val="000000"/>
                <w:kern w:val="0"/>
                <w:sz w:val="24"/>
              </w:rPr>
              <w:br w:type="textWrapping"/>
            </w:r>
            <w:r>
              <w:rPr>
                <w:rFonts w:hint="eastAsia" w:hAnsi="宋体" w:cs="宋体"/>
                <w:color w:val="000000"/>
                <w:kern w:val="0"/>
                <w:sz w:val="24"/>
              </w:rPr>
              <w:t>2) 支持MAC地址自动学习、老化、迁移功能</w:t>
            </w:r>
            <w:r>
              <w:rPr>
                <w:rFonts w:hint="eastAsia" w:hAnsi="宋体" w:cs="宋体"/>
                <w:color w:val="000000"/>
                <w:kern w:val="0"/>
                <w:sz w:val="24"/>
              </w:rPr>
              <w:br w:type="textWrapping"/>
            </w:r>
            <w:r>
              <w:rPr>
                <w:rFonts w:hint="eastAsia" w:hAnsi="宋体" w:cs="宋体"/>
                <w:color w:val="000000"/>
                <w:kern w:val="0"/>
                <w:sz w:val="24"/>
              </w:rPr>
              <w:t>3) 支持双电源备份冗余，失电告警功能</w:t>
            </w:r>
            <w:r>
              <w:rPr>
                <w:rFonts w:hint="eastAsia" w:hAnsi="宋体" w:cs="宋体"/>
                <w:color w:val="000000"/>
                <w:kern w:val="0"/>
                <w:sz w:val="24"/>
              </w:rPr>
              <w:br w:type="textWrapping"/>
            </w:r>
            <w:r>
              <w:rPr>
                <w:rFonts w:hint="eastAsia" w:hAnsi="宋体" w:cs="宋体"/>
                <w:color w:val="000000"/>
                <w:kern w:val="0"/>
                <w:sz w:val="24"/>
              </w:rPr>
              <w:t>4) IP40防护等级</w:t>
            </w:r>
            <w:r>
              <w:rPr>
                <w:rFonts w:hint="eastAsia" w:hAnsi="宋体" w:cs="宋体"/>
                <w:color w:val="000000"/>
                <w:kern w:val="0"/>
                <w:sz w:val="24"/>
              </w:rPr>
              <w:br w:type="textWrapping"/>
            </w:r>
            <w:r>
              <w:rPr>
                <w:rFonts w:hint="eastAsia" w:hAnsi="宋体" w:cs="宋体"/>
                <w:color w:val="000000"/>
                <w:kern w:val="0"/>
                <w:sz w:val="24"/>
              </w:rPr>
              <w:t>5) 卡轨式安装</w:t>
            </w:r>
            <w:r>
              <w:rPr>
                <w:rFonts w:hint="eastAsia" w:hAnsi="宋体" w:cs="宋体"/>
                <w:color w:val="000000"/>
                <w:kern w:val="0"/>
                <w:sz w:val="24"/>
              </w:rPr>
              <w:br w:type="textWrapping"/>
            </w:r>
            <w:r>
              <w:rPr>
                <w:rFonts w:hint="eastAsia" w:hAnsi="宋体" w:cs="宋体"/>
                <w:color w:val="000000"/>
                <w:kern w:val="0"/>
                <w:sz w:val="24"/>
              </w:rPr>
              <w:t>6) 低功耗无风扇设计</w:t>
            </w:r>
            <w:r>
              <w:rPr>
                <w:rFonts w:hint="eastAsia" w:hAnsi="宋体" w:cs="宋体"/>
                <w:color w:val="000000"/>
                <w:kern w:val="0"/>
                <w:sz w:val="24"/>
              </w:rPr>
              <w:br w:type="textWrapping"/>
            </w:r>
            <w:r>
              <w:rPr>
                <w:rFonts w:hint="eastAsia" w:hAnsi="宋体" w:cs="宋体"/>
                <w:color w:val="000000"/>
                <w:kern w:val="0"/>
                <w:sz w:val="24"/>
              </w:rPr>
              <w:t>7) 满足工业4级电磁兼容性要求</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8</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管理主机</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内含桌面显控系统，管理员用户可以查看全部云终端上的全部系统级操作记录，包括但不限于文件的删除、拷贝、移动设备的插入、删除、操作用户、IP地址、操作时间等信息，还可以配置关键字进行模糊搜索，并可对常用关键字添加快捷方式；</w:t>
            </w:r>
            <w:r>
              <w:rPr>
                <w:rFonts w:hint="eastAsia" w:hAnsi="宋体" w:cs="宋体"/>
                <w:color w:val="000000"/>
                <w:kern w:val="0"/>
                <w:sz w:val="24"/>
              </w:rPr>
              <w:br w:type="textWrapping"/>
            </w:r>
            <w:r>
              <w:rPr>
                <w:rFonts w:hint="eastAsia" w:hAnsi="宋体" w:cs="宋体"/>
                <w:color w:val="000000"/>
                <w:kern w:val="0"/>
                <w:sz w:val="24"/>
              </w:rPr>
              <w:t>2) 解码能力：4K/25(8M)：2路；1080P/30 (6M)：11路；720P/25 (2M)：17路；D1/25 (1M)：23路；</w:t>
            </w:r>
            <w:r>
              <w:rPr>
                <w:rFonts w:hint="eastAsia" w:hAnsi="宋体" w:cs="宋体"/>
                <w:color w:val="000000"/>
                <w:kern w:val="0"/>
                <w:sz w:val="24"/>
              </w:rPr>
              <w:br w:type="textWrapping"/>
            </w:r>
            <w:r>
              <w:rPr>
                <w:rFonts w:hint="eastAsia" w:hAnsi="宋体" w:cs="宋体"/>
                <w:color w:val="000000"/>
                <w:kern w:val="0"/>
                <w:sz w:val="24"/>
              </w:rPr>
              <w:t>3) 云终端可输出三路不同的图像在22寸监视器上显示，分辨率为3x1080P；</w:t>
            </w:r>
            <w:r>
              <w:rPr>
                <w:rFonts w:hint="eastAsia" w:hAnsi="宋体" w:cs="宋体"/>
                <w:color w:val="000000"/>
                <w:kern w:val="0"/>
                <w:sz w:val="24"/>
              </w:rPr>
              <w:br w:type="textWrapping"/>
            </w:r>
            <w:r>
              <w:rPr>
                <w:rFonts w:hint="eastAsia" w:hAnsi="宋体" w:cs="宋体"/>
                <w:color w:val="000000"/>
                <w:kern w:val="0"/>
                <w:sz w:val="24"/>
              </w:rPr>
              <w:t>4) 1个航空插头千兆网口，2个HDMI + 1个VGA视频输出接口，1个音频输入 + 1个音频输出（3.5接口），3个USB 3.0 + 2个USB2.0，1个COM口，1个SSD接口；</w:t>
            </w:r>
            <w:r>
              <w:rPr>
                <w:rFonts w:hint="eastAsia" w:hAnsi="宋体" w:cs="宋体"/>
                <w:color w:val="000000"/>
                <w:kern w:val="0"/>
                <w:sz w:val="24"/>
              </w:rPr>
              <w:br w:type="textWrapping"/>
            </w:r>
            <w:r>
              <w:rPr>
                <w:rFonts w:hint="eastAsia" w:hAnsi="宋体" w:cs="宋体"/>
                <w:color w:val="000000"/>
                <w:kern w:val="0"/>
                <w:sz w:val="24"/>
              </w:rPr>
              <w:t>5) 设备具备航空接口，有效防范一机两用现象；</w:t>
            </w:r>
            <w:r>
              <w:rPr>
                <w:rFonts w:hint="eastAsia" w:hAnsi="宋体" w:cs="宋体"/>
                <w:color w:val="000000"/>
                <w:kern w:val="0"/>
                <w:sz w:val="24"/>
              </w:rPr>
              <w:br w:type="textWrapping"/>
            </w:r>
            <w:r>
              <w:rPr>
                <w:rFonts w:hint="eastAsia" w:hAnsi="宋体" w:cs="宋体"/>
                <w:color w:val="000000"/>
                <w:kern w:val="0"/>
                <w:sz w:val="24"/>
              </w:rPr>
              <w:t>6) 单台云终端功耗40W；</w:t>
            </w:r>
            <w:r>
              <w:rPr>
                <w:rFonts w:hint="eastAsia" w:hAnsi="宋体" w:cs="宋体"/>
                <w:color w:val="000000"/>
                <w:kern w:val="0"/>
                <w:sz w:val="24"/>
              </w:rPr>
              <w:br w:type="textWrapping"/>
            </w:r>
            <w:r>
              <w:rPr>
                <w:rFonts w:hint="eastAsia" w:hAnsi="宋体" w:cs="宋体"/>
                <w:color w:val="000000"/>
                <w:kern w:val="0"/>
                <w:sz w:val="24"/>
              </w:rPr>
              <w:t>7) 支持GPU解码。</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kern w:val="0"/>
                <w:sz w:val="22"/>
                <w:szCs w:val="22"/>
              </w:rPr>
            </w:pPr>
            <w:r>
              <w:rPr>
                <w:rFonts w:hint="eastAsia" w:hAnsi="宋体" w:cs="宋体"/>
                <w:b/>
                <w:bCs/>
                <w:kern w:val="0"/>
                <w:sz w:val="22"/>
                <w:szCs w:val="22"/>
              </w:rPr>
              <w:t>（四）</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b/>
                <w:bCs/>
                <w:kern w:val="0"/>
                <w:sz w:val="22"/>
                <w:szCs w:val="22"/>
              </w:rPr>
            </w:pPr>
            <w:r>
              <w:rPr>
                <w:rFonts w:hint="eastAsia" w:hAnsi="宋体" w:cs="宋体"/>
                <w:b/>
                <w:bCs/>
                <w:kern w:val="0"/>
                <w:sz w:val="22"/>
                <w:szCs w:val="22"/>
              </w:rPr>
              <w:t>预告牌及其他</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1</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预告牌（含基础）</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highlight w:val="yellow"/>
              </w:rPr>
            </w:pPr>
            <w:r>
              <w:rPr>
                <w:rFonts w:hAnsi="宋体" w:cs="宋体"/>
                <w:color w:val="000000"/>
                <w:kern w:val="0"/>
                <w:sz w:val="24"/>
              </w:rPr>
              <w:t>1500mm*3000mm标志，立柱Φ219*10*8000（前方100米超限检测），基础1500mm*2000mm*1800mm，具体以图纸为主。</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2</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标线</w:t>
            </w:r>
          </w:p>
        </w:tc>
        <w:tc>
          <w:tcPr>
            <w:tcW w:w="7409" w:type="dxa"/>
            <w:tcBorders>
              <w:top w:val="nil"/>
              <w:left w:val="nil"/>
              <w:bottom w:val="single" w:color="auto" w:sz="4" w:space="0"/>
              <w:right w:val="single" w:color="auto" w:sz="4" w:space="0"/>
            </w:tcBorders>
            <w:shd w:val="clear" w:color="auto" w:fill="auto"/>
            <w:vAlign w:val="center"/>
          </w:tcPr>
          <w:p>
            <w:pPr>
              <w:widowControl/>
              <w:rPr>
                <w:rFonts w:hAnsi="宋体" w:cs="宋体"/>
                <w:color w:val="000000"/>
                <w:kern w:val="0"/>
                <w:sz w:val="22"/>
                <w:szCs w:val="22"/>
              </w:rPr>
            </w:pPr>
            <w:r>
              <w:rPr>
                <w:rFonts w:hint="eastAsia" w:hAnsi="宋体" w:cs="宋体"/>
                <w:color w:val="000000"/>
                <w:kern w:val="0"/>
                <w:sz w:val="22"/>
                <w:szCs w:val="22"/>
              </w:rPr>
              <w:t>标志标线等。</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3</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热镀锌护栏</w:t>
            </w:r>
          </w:p>
        </w:tc>
        <w:tc>
          <w:tcPr>
            <w:tcW w:w="7409" w:type="dxa"/>
            <w:tcBorders>
              <w:top w:val="nil"/>
              <w:left w:val="nil"/>
              <w:bottom w:val="single" w:color="auto" w:sz="4" w:space="0"/>
              <w:right w:val="single" w:color="auto" w:sz="4" w:space="0"/>
            </w:tcBorders>
            <w:shd w:val="clear" w:color="auto" w:fill="auto"/>
            <w:vAlign w:val="center"/>
          </w:tcPr>
          <w:p>
            <w:pPr>
              <w:widowControl/>
              <w:rPr>
                <w:rFonts w:hAnsi="宋体" w:cs="宋体"/>
                <w:color w:val="000000"/>
                <w:kern w:val="0"/>
                <w:sz w:val="22"/>
                <w:szCs w:val="22"/>
              </w:rPr>
            </w:pPr>
            <w:r>
              <w:rPr>
                <w:rFonts w:hint="eastAsia" w:hAnsi="宋体" w:cs="宋体"/>
                <w:color w:val="000000"/>
                <w:kern w:val="0"/>
                <w:sz w:val="22"/>
                <w:szCs w:val="22"/>
              </w:rPr>
              <w:t xml:space="preserve">波形护栏表面处理：热浸锌、冷镀锌+喷塑、热浸锌+喷塑。 </w:t>
            </w:r>
            <w:r>
              <w:rPr>
                <w:rFonts w:hint="eastAsia" w:hAnsi="宋体" w:cs="宋体"/>
                <w:color w:val="000000"/>
                <w:kern w:val="0"/>
                <w:sz w:val="22"/>
                <w:szCs w:val="22"/>
              </w:rPr>
              <w:br w:type="textWrapping"/>
            </w:r>
            <w:r>
              <w:rPr>
                <w:rFonts w:hint="eastAsia" w:hAnsi="宋体" w:cs="宋体"/>
                <w:color w:val="000000"/>
                <w:kern w:val="0"/>
                <w:sz w:val="22"/>
                <w:szCs w:val="22"/>
              </w:rPr>
              <w:t>共30米。</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kern w:val="0"/>
                <w:sz w:val="22"/>
                <w:szCs w:val="22"/>
              </w:rPr>
            </w:pPr>
            <w:r>
              <w:rPr>
                <w:rFonts w:hint="eastAsia" w:hAnsi="宋体" w:cs="宋体"/>
                <w:b/>
                <w:bCs/>
                <w:kern w:val="0"/>
                <w:sz w:val="22"/>
                <w:szCs w:val="22"/>
              </w:rPr>
              <w:t>（五）</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b/>
                <w:bCs/>
                <w:kern w:val="0"/>
                <w:sz w:val="22"/>
                <w:szCs w:val="22"/>
              </w:rPr>
            </w:pPr>
            <w:r>
              <w:rPr>
                <w:rFonts w:hint="eastAsia" w:hAnsi="宋体" w:cs="宋体"/>
                <w:b/>
                <w:bCs/>
                <w:kern w:val="0"/>
                <w:sz w:val="22"/>
                <w:szCs w:val="22"/>
              </w:rPr>
              <w:t>后端基础设施建设</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1</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系统支撑软件</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系统支撑软件接口协议符合宁波数字公路综合管理平台的接入要求，须无条件配合接入宁波数字公路综合管理平台；须自主无条件接入宁海县公路超限运输电子监控系统软件现有平台；同时必须按照《浙江省公路行业基础数据元集》（浙公路〔2013〕5号）在县智慧交通数据平台建立独立的超限超载数据库，实现前端采集的信息数据与县智慧交通超限超载数据库实时同步，并由本项目的实施方实现超限超载数据信息的多条件筛选浏览的查询工具（按车牌、按指定时间区段、按超载量、按路线等）。</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2</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治超查询APP</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治超数据查询、数据比对、信息收集，包括新闻模块、超限数据查询、低速行驶数据查询、违停数据查询、实时报警推送、数据统计及报表等功能模块。</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3</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 xml:space="preserve">治超查询一体机 </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19寸多点红外触摸一体屏，最大分辨率4096*4096，带键盘，功能:配置治超数据库管理系统，治超数据比对、面向对象软件查询、信息收集等。</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4</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存储设备</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Ansi="宋体" w:cs="宋体"/>
                <w:color w:val="000000"/>
                <w:kern w:val="0"/>
                <w:sz w:val="24"/>
              </w:rPr>
              <w:t>1) 3U机架式16盘位、单控制器</w:t>
            </w:r>
          </w:p>
          <w:p>
            <w:pPr>
              <w:widowControl/>
              <w:jc w:val="left"/>
              <w:rPr>
                <w:rFonts w:hAnsi="宋体" w:cs="宋体"/>
                <w:color w:val="000000"/>
                <w:kern w:val="0"/>
                <w:sz w:val="24"/>
              </w:rPr>
            </w:pPr>
            <w:r>
              <w:rPr>
                <w:rFonts w:hAnsi="宋体" w:cs="宋体"/>
                <w:color w:val="000000"/>
                <w:kern w:val="0"/>
                <w:sz w:val="24"/>
              </w:rPr>
              <w:t>2) 64位多核处理器、4GB（标配，可扩展至32G）；</w:t>
            </w:r>
          </w:p>
          <w:p>
            <w:pPr>
              <w:widowControl/>
              <w:jc w:val="left"/>
              <w:rPr>
                <w:rFonts w:hAnsi="宋体" w:cs="宋体"/>
                <w:color w:val="000000"/>
                <w:kern w:val="0"/>
                <w:sz w:val="24"/>
              </w:rPr>
            </w:pPr>
            <w:r>
              <w:rPr>
                <w:rFonts w:hAnsi="宋体" w:cs="宋体"/>
                <w:color w:val="000000"/>
                <w:kern w:val="0"/>
                <w:sz w:val="24"/>
              </w:rPr>
              <w:t>3) 2个HDMI接口；2个SAS2.0接口；3个千兆数据网口；</w:t>
            </w:r>
          </w:p>
          <w:p>
            <w:pPr>
              <w:widowControl/>
              <w:jc w:val="left"/>
              <w:rPr>
                <w:rFonts w:hAnsi="宋体" w:cs="宋体"/>
                <w:color w:val="000000"/>
                <w:kern w:val="0"/>
                <w:sz w:val="24"/>
              </w:rPr>
            </w:pPr>
            <w:r>
              <w:rPr>
                <w:rFonts w:hAnsi="宋体" w:cs="宋体"/>
                <w:color w:val="000000"/>
                <w:kern w:val="0"/>
                <w:sz w:val="24"/>
              </w:rPr>
              <w:t>4) 支持RAID 0、1、3、5、6、10、50，60；</w:t>
            </w:r>
          </w:p>
          <w:p>
            <w:pPr>
              <w:widowControl/>
              <w:jc w:val="left"/>
              <w:rPr>
                <w:rFonts w:hAnsi="宋体" w:cs="宋体"/>
                <w:color w:val="000000"/>
                <w:kern w:val="0"/>
                <w:sz w:val="24"/>
              </w:rPr>
            </w:pPr>
            <w:r>
              <w:rPr>
                <w:rFonts w:hAnsi="宋体" w:cs="宋体"/>
                <w:color w:val="000000"/>
                <w:kern w:val="0"/>
                <w:sz w:val="24"/>
              </w:rPr>
              <w:t>5) 网络协议：RTSP/ONVIF/PSIA/SIP（GB/T28181）；</w:t>
            </w:r>
          </w:p>
          <w:p>
            <w:pPr>
              <w:widowControl/>
              <w:jc w:val="left"/>
              <w:rPr>
                <w:rFonts w:hAnsi="宋体" w:cs="宋体"/>
                <w:color w:val="000000"/>
                <w:kern w:val="0"/>
                <w:sz w:val="24"/>
              </w:rPr>
            </w:pPr>
            <w:r>
              <w:rPr>
                <w:rFonts w:hAnsi="宋体" w:cs="宋体"/>
                <w:color w:val="000000"/>
                <w:kern w:val="0"/>
                <w:sz w:val="24"/>
              </w:rPr>
              <w:t>6) 配置16块6T企业级SATA磁盘；</w:t>
            </w:r>
          </w:p>
          <w:p>
            <w:pPr>
              <w:widowControl/>
              <w:jc w:val="left"/>
              <w:rPr>
                <w:rFonts w:hAnsi="宋体" w:cs="宋体"/>
                <w:color w:val="000000"/>
                <w:kern w:val="0"/>
                <w:sz w:val="24"/>
              </w:rPr>
            </w:pPr>
            <w:r>
              <w:rPr>
                <w:rFonts w:hAnsi="宋体" w:cs="宋体"/>
                <w:color w:val="000000"/>
                <w:kern w:val="0"/>
                <w:sz w:val="24"/>
              </w:rPr>
              <w:t>7) 流媒体模式：支持至少160路接入+160路录像+160路转发；</w:t>
            </w:r>
          </w:p>
          <w:p>
            <w:pPr>
              <w:widowControl/>
              <w:jc w:val="left"/>
              <w:rPr>
                <w:rFonts w:hAnsi="宋体" w:cs="宋体"/>
                <w:color w:val="000000"/>
                <w:kern w:val="0"/>
                <w:sz w:val="24"/>
              </w:rPr>
            </w:pPr>
            <w:r>
              <w:rPr>
                <w:rFonts w:hAnsi="宋体" w:cs="宋体"/>
                <w:color w:val="000000"/>
                <w:kern w:val="0"/>
                <w:sz w:val="24"/>
              </w:rPr>
              <w:t>8) 支持视频流和图片、smart、视频 文件进行混合直写存储；</w:t>
            </w:r>
          </w:p>
          <w:p>
            <w:pPr>
              <w:widowControl/>
              <w:jc w:val="left"/>
              <w:rPr>
                <w:rFonts w:hAnsi="宋体" w:cs="宋体"/>
                <w:color w:val="000000"/>
                <w:kern w:val="0"/>
                <w:sz w:val="24"/>
              </w:rPr>
            </w:pPr>
            <w:r>
              <w:rPr>
                <w:rFonts w:hint="eastAsia" w:hAnsi="宋体" w:cs="宋体"/>
                <w:color w:val="000000"/>
                <w:kern w:val="0"/>
                <w:sz w:val="24"/>
              </w:rPr>
              <w:t>9）支持</w:t>
            </w:r>
            <w:r>
              <w:rPr>
                <w:rFonts w:hAnsi="宋体" w:cs="宋体"/>
                <w:color w:val="000000"/>
                <w:kern w:val="0"/>
                <w:sz w:val="24"/>
              </w:rPr>
              <w:t>SMART IPC接入，支持存储智能信息，实现智能事件检索功能，精确定位重点事件，并可通过平台进行智能浓缩播放，有效节省客户时间。</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5</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网络租赁1年</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2"/>
                <w:szCs w:val="22"/>
              </w:rPr>
            </w:pPr>
            <w:r>
              <w:rPr>
                <w:rFonts w:hint="eastAsia" w:hAnsi="宋体" w:cs="宋体"/>
                <w:color w:val="000000"/>
                <w:kern w:val="0"/>
                <w:sz w:val="22"/>
                <w:szCs w:val="22"/>
              </w:rPr>
              <w:t>前端接入100M，中心汇聚端1000MVPN专网（</w:t>
            </w:r>
            <w:r>
              <w:rPr>
                <w:rFonts w:hint="eastAsia" w:hAnsi="宋体" w:cs="宋体"/>
                <w:b/>
                <w:bCs/>
                <w:color w:val="000000"/>
                <w:kern w:val="0"/>
                <w:sz w:val="22"/>
                <w:szCs w:val="22"/>
              </w:rPr>
              <w:t>按交通专网组网方式实施，网络地址按照数字公路建设要求统一由公路部门提供</w:t>
            </w:r>
            <w:r>
              <w:rPr>
                <w:rFonts w:hint="eastAsia" w:hAnsi="宋体" w:cs="宋体"/>
                <w:color w:val="000000"/>
                <w:kern w:val="0"/>
                <w:sz w:val="22"/>
                <w:szCs w:val="22"/>
              </w:rPr>
              <w:t>）+光缆光纤熔接等。</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b/>
                <w:bCs/>
                <w:kern w:val="0"/>
                <w:sz w:val="22"/>
                <w:szCs w:val="22"/>
              </w:rPr>
            </w:pPr>
            <w:r>
              <w:rPr>
                <w:rFonts w:hint="eastAsia" w:hAnsi="宋体" w:cs="宋体"/>
                <w:b/>
                <w:bCs/>
                <w:kern w:val="0"/>
                <w:sz w:val="22"/>
                <w:szCs w:val="22"/>
              </w:rPr>
              <w:t>（六）</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b/>
                <w:bCs/>
                <w:kern w:val="0"/>
                <w:sz w:val="22"/>
                <w:szCs w:val="22"/>
              </w:rPr>
            </w:pPr>
            <w:r>
              <w:rPr>
                <w:rFonts w:hint="eastAsia" w:hAnsi="宋体" w:cs="宋体"/>
                <w:b/>
                <w:bCs/>
                <w:kern w:val="0"/>
                <w:sz w:val="22"/>
                <w:szCs w:val="22"/>
              </w:rPr>
              <w:t>闯禁令系统</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1</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高清抓拍单元</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包含摄像机（内置偏振镜）、高清镜头、室外防护罩、风扇、内置补光灯、电源适配器、相机内置防雷模块、安装万向节等</w:t>
            </w:r>
            <w:r>
              <w:rPr>
                <w:rFonts w:hint="eastAsia" w:hAnsi="宋体" w:cs="宋体"/>
                <w:color w:val="000000"/>
                <w:kern w:val="0"/>
                <w:sz w:val="24"/>
              </w:rPr>
              <w:br w:type="textWrapping"/>
            </w:r>
            <w:r>
              <w:rPr>
                <w:rFonts w:hint="eastAsia" w:hAnsi="宋体" w:cs="宋体"/>
                <w:color w:val="000000"/>
                <w:kern w:val="0"/>
                <w:sz w:val="24"/>
              </w:rPr>
              <w:t>2) 像素：不低于900W；分辨率：最大支持4096*2160；</w:t>
            </w:r>
            <w:r>
              <w:rPr>
                <w:rFonts w:hint="eastAsia" w:hAnsi="宋体" w:cs="宋体"/>
                <w:color w:val="000000"/>
                <w:kern w:val="0"/>
                <w:sz w:val="24"/>
              </w:rPr>
              <w:br w:type="textWrapping"/>
            </w:r>
            <w:r>
              <w:rPr>
                <w:rFonts w:hint="eastAsia" w:hAnsi="宋体" w:cs="宋体"/>
                <w:color w:val="000000"/>
                <w:kern w:val="0"/>
                <w:sz w:val="24"/>
              </w:rPr>
              <w:t>3) 帧率：25fps；图像传感器：采用1" 英寸全局曝光CMOS（GMOS）传感器；</w:t>
            </w:r>
            <w:r>
              <w:rPr>
                <w:rFonts w:hint="eastAsia" w:hAnsi="宋体" w:cs="宋体"/>
                <w:color w:val="000000"/>
                <w:kern w:val="0"/>
                <w:sz w:val="24"/>
              </w:rPr>
              <w:br w:type="textWrapping"/>
            </w:r>
            <w:r>
              <w:rPr>
                <w:rFonts w:hint="eastAsia" w:hAnsi="宋体" w:cs="宋体"/>
                <w:color w:val="000000"/>
                <w:kern w:val="0"/>
                <w:sz w:val="24"/>
              </w:rPr>
              <w:t>4) 镜头：25mm镜头；照度：彩色:≤0.01Lux；</w:t>
            </w:r>
            <w:r>
              <w:rPr>
                <w:rFonts w:hint="eastAsia" w:hAnsi="宋体" w:cs="宋体"/>
                <w:color w:val="000000"/>
                <w:kern w:val="0"/>
                <w:sz w:val="24"/>
              </w:rPr>
              <w:br w:type="textWrapping"/>
            </w:r>
            <w:r>
              <w:rPr>
                <w:rFonts w:hint="eastAsia" w:hAnsi="宋体" w:cs="宋体"/>
                <w:color w:val="000000"/>
                <w:kern w:val="0"/>
                <w:sz w:val="24"/>
              </w:rPr>
              <w:t>5) 视频压缩标准：H.265/H.264/MJPEG；图像输出格式：JPEG；输出：电平量信号；</w:t>
            </w:r>
            <w:r>
              <w:rPr>
                <w:rFonts w:hint="eastAsia" w:hAnsi="宋体" w:cs="宋体"/>
                <w:color w:val="000000"/>
                <w:kern w:val="0"/>
                <w:sz w:val="24"/>
              </w:rPr>
              <w:br w:type="textWrapping"/>
            </w:r>
            <w:r>
              <w:rPr>
                <w:rFonts w:hint="eastAsia" w:hAnsi="宋体" w:cs="宋体"/>
                <w:color w:val="000000"/>
                <w:kern w:val="0"/>
                <w:sz w:val="24"/>
              </w:rPr>
              <w:t>6) 通讯接口：2个RJ45 100M/1000M自适应网口，3个RS485接口，1个RS232接口；外部接口：4路外部触发输入，6路(光耦隔离2500VAC)输出，可作为闪光灯同步输出控制，SYNC信号灯电源同步输入</w:t>
            </w:r>
            <w:r>
              <w:rPr>
                <w:rFonts w:hint="eastAsia" w:hAnsi="宋体" w:cs="宋体"/>
                <w:color w:val="000000"/>
                <w:kern w:val="0"/>
                <w:sz w:val="24"/>
              </w:rPr>
              <w:br w:type="textWrapping"/>
            </w:r>
            <w:r>
              <w:rPr>
                <w:rFonts w:hint="eastAsia" w:hAnsi="宋体" w:cs="宋体"/>
                <w:color w:val="000000"/>
                <w:kern w:val="0"/>
                <w:sz w:val="24"/>
              </w:rPr>
              <w:t>7) 存储支持：最大支持64G TF卡；</w:t>
            </w:r>
            <w:r>
              <w:rPr>
                <w:rFonts w:hint="eastAsia" w:hAnsi="宋体" w:cs="宋体"/>
                <w:color w:val="000000"/>
                <w:kern w:val="0"/>
                <w:sz w:val="24"/>
              </w:rPr>
              <w:br w:type="textWrapping"/>
            </w:r>
            <w:r>
              <w:rPr>
                <w:rFonts w:hint="eastAsia" w:hAnsi="宋体" w:cs="宋体"/>
                <w:color w:val="000000"/>
                <w:kern w:val="0"/>
                <w:sz w:val="24"/>
              </w:rPr>
              <w:t>8) 自动光圈镜头：支持；</w:t>
            </w:r>
            <w:r>
              <w:rPr>
                <w:rFonts w:hint="eastAsia" w:hAnsi="宋体" w:cs="宋体"/>
                <w:color w:val="000000"/>
                <w:kern w:val="0"/>
                <w:sz w:val="24"/>
              </w:rPr>
              <w:br w:type="textWrapping"/>
            </w:r>
            <w:r>
              <w:rPr>
                <w:rFonts w:hint="eastAsia" w:hAnsi="宋体" w:cs="宋体"/>
                <w:color w:val="000000"/>
                <w:kern w:val="0"/>
                <w:sz w:val="24"/>
              </w:rPr>
              <w:t>9) 工作电压：100VAC～240VAC；频率：48Hz～52Hz；功耗：＜20W；</w:t>
            </w:r>
            <w:r>
              <w:rPr>
                <w:rFonts w:hint="eastAsia" w:hAnsi="宋体" w:cs="宋体"/>
                <w:color w:val="000000"/>
                <w:kern w:val="0"/>
                <w:sz w:val="24"/>
              </w:rPr>
              <w:br w:type="textWrapping"/>
            </w:r>
            <w:r>
              <w:rPr>
                <w:rFonts w:hint="eastAsia" w:hAnsi="宋体" w:cs="宋体"/>
                <w:color w:val="000000"/>
                <w:kern w:val="0"/>
                <w:sz w:val="24"/>
              </w:rPr>
              <w:t>10) 支持智能识别功能：内置视频识别功能，支持车牌识别、视频触发、车身颜色识别、车型识别，通行车辆信息捕获和违章检测功能。</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2</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补光灯</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LED灯珠数量：16颗；发光角度：10°；</w:t>
            </w:r>
            <w:r>
              <w:rPr>
                <w:rFonts w:hint="eastAsia" w:hAnsi="宋体" w:cs="宋体"/>
                <w:color w:val="000000"/>
                <w:kern w:val="0"/>
                <w:sz w:val="24"/>
              </w:rPr>
              <w:br w:type="textWrapping"/>
            </w:r>
            <w:r>
              <w:rPr>
                <w:rFonts w:hint="eastAsia" w:hAnsi="宋体" w:cs="宋体"/>
                <w:color w:val="000000"/>
                <w:kern w:val="0"/>
                <w:sz w:val="24"/>
              </w:rPr>
              <w:t>2) 最佳补光距离：16米-25米；</w:t>
            </w:r>
            <w:r>
              <w:rPr>
                <w:rFonts w:hint="eastAsia" w:hAnsi="宋体" w:cs="宋体"/>
                <w:color w:val="000000"/>
                <w:kern w:val="0"/>
                <w:sz w:val="24"/>
              </w:rPr>
              <w:br w:type="textWrapping"/>
            </w:r>
            <w:r>
              <w:rPr>
                <w:rFonts w:hint="eastAsia" w:hAnsi="宋体" w:cs="宋体"/>
                <w:color w:val="000000"/>
                <w:kern w:val="0"/>
                <w:sz w:val="24"/>
              </w:rPr>
              <w:t>3) 触发方式：电平量触发(可选配开关量触发)；</w:t>
            </w:r>
            <w:r>
              <w:rPr>
                <w:rFonts w:hint="eastAsia" w:hAnsi="宋体" w:cs="宋体"/>
                <w:color w:val="000000"/>
                <w:kern w:val="0"/>
                <w:sz w:val="24"/>
              </w:rPr>
              <w:br w:type="textWrapping"/>
            </w:r>
            <w:r>
              <w:rPr>
                <w:rFonts w:hint="eastAsia" w:hAnsi="宋体" w:cs="宋体"/>
                <w:color w:val="000000"/>
                <w:kern w:val="0"/>
                <w:sz w:val="24"/>
              </w:rPr>
              <w:t>4) 响应时间：小于20us</w:t>
            </w:r>
            <w:r>
              <w:rPr>
                <w:rFonts w:hint="eastAsia" w:hAnsi="宋体" w:cs="宋体"/>
                <w:color w:val="000000"/>
                <w:kern w:val="0"/>
                <w:sz w:val="24"/>
              </w:rPr>
              <w:br w:type="textWrapping"/>
            </w:r>
            <w:r>
              <w:rPr>
                <w:rFonts w:hint="eastAsia" w:hAnsi="宋体" w:cs="宋体"/>
                <w:color w:val="000000"/>
                <w:kern w:val="0"/>
                <w:sz w:val="24"/>
              </w:rPr>
              <w:t>5) 日夜功能：支持环境亮度监测,低照度下自动开启(可选配)；</w:t>
            </w:r>
            <w:r>
              <w:rPr>
                <w:rFonts w:hint="eastAsia" w:hAnsi="宋体" w:cs="宋体"/>
                <w:color w:val="000000"/>
                <w:kern w:val="0"/>
                <w:sz w:val="24"/>
              </w:rPr>
              <w:br w:type="textWrapping"/>
            </w:r>
            <w:r>
              <w:rPr>
                <w:rFonts w:hint="eastAsia" w:hAnsi="宋体" w:cs="宋体"/>
                <w:color w:val="000000"/>
                <w:kern w:val="0"/>
                <w:sz w:val="24"/>
              </w:rPr>
              <w:t>6) 触发信号电平：4V-6V；</w:t>
            </w:r>
            <w:r>
              <w:rPr>
                <w:rFonts w:hint="eastAsia" w:hAnsi="宋体" w:cs="宋体"/>
                <w:color w:val="000000"/>
                <w:kern w:val="0"/>
                <w:sz w:val="24"/>
              </w:rPr>
              <w:br w:type="textWrapping"/>
            </w:r>
            <w:r>
              <w:rPr>
                <w:rFonts w:hint="eastAsia" w:hAnsi="宋体" w:cs="宋体"/>
                <w:color w:val="000000"/>
                <w:kern w:val="0"/>
                <w:sz w:val="24"/>
              </w:rPr>
              <w:t>7) 防护等级：IP66。</w:t>
            </w:r>
          </w:p>
        </w:tc>
      </w:tr>
      <w:tr>
        <w:tblPrEx>
          <w:tblLayout w:type="fixed"/>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3</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闪光灯</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频闪补光灯，适用于夜间环境同步补光；</w:t>
            </w:r>
            <w:r>
              <w:rPr>
                <w:rFonts w:hint="eastAsia" w:hAnsi="宋体" w:cs="宋体"/>
                <w:color w:val="000000"/>
                <w:kern w:val="0"/>
                <w:sz w:val="24"/>
              </w:rPr>
              <w:br w:type="textWrapping"/>
            </w:r>
            <w:r>
              <w:rPr>
                <w:rFonts w:hint="eastAsia" w:hAnsi="宋体" w:cs="宋体"/>
                <w:color w:val="000000"/>
                <w:kern w:val="0"/>
                <w:sz w:val="24"/>
              </w:rPr>
              <w:t>2) 色温范围5000-7000 K，有效补光距离16~24M；</w:t>
            </w:r>
            <w:r>
              <w:rPr>
                <w:rFonts w:hint="eastAsia" w:hAnsi="宋体" w:cs="宋体"/>
                <w:color w:val="000000"/>
                <w:kern w:val="0"/>
                <w:sz w:val="24"/>
              </w:rPr>
              <w:br w:type="textWrapping"/>
            </w:r>
            <w:r>
              <w:rPr>
                <w:rFonts w:hint="eastAsia" w:hAnsi="宋体" w:cs="宋体"/>
                <w:color w:val="000000"/>
                <w:kern w:val="0"/>
                <w:sz w:val="24"/>
              </w:rPr>
              <w:t>3) 适用-40～60℃温度环境气候工作；</w:t>
            </w:r>
            <w:r>
              <w:rPr>
                <w:rFonts w:hint="eastAsia" w:hAnsi="宋体" w:cs="宋体"/>
                <w:color w:val="000000"/>
                <w:kern w:val="0"/>
                <w:sz w:val="24"/>
              </w:rPr>
              <w:br w:type="textWrapping"/>
            </w:r>
            <w:r>
              <w:rPr>
                <w:rFonts w:hint="eastAsia" w:hAnsi="宋体" w:cs="宋体"/>
                <w:color w:val="000000"/>
                <w:kern w:val="0"/>
                <w:sz w:val="24"/>
              </w:rPr>
              <w:t>4) 补光距离20m时，照度不低于40Lux；</w:t>
            </w:r>
            <w:r>
              <w:rPr>
                <w:rFonts w:hint="eastAsia" w:hAnsi="宋体" w:cs="宋体"/>
                <w:color w:val="000000"/>
                <w:kern w:val="0"/>
                <w:sz w:val="24"/>
              </w:rPr>
              <w:br w:type="textWrapping"/>
            </w:r>
            <w:r>
              <w:rPr>
                <w:rFonts w:hint="eastAsia" w:hAnsi="宋体" w:cs="宋体"/>
                <w:color w:val="000000"/>
                <w:kern w:val="0"/>
                <w:sz w:val="24"/>
              </w:rPr>
              <w:t>5) 支持IP66防护等级。</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4</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球机</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不低于800万1/2.8”星光级全景拼接网络摄像机；</w:t>
            </w:r>
            <w:r>
              <w:rPr>
                <w:rFonts w:hint="eastAsia" w:hAnsi="宋体" w:cs="宋体"/>
                <w:color w:val="000000"/>
                <w:kern w:val="0"/>
                <w:sz w:val="24"/>
              </w:rPr>
              <w:br w:type="textWrapping"/>
            </w:r>
            <w:r>
              <w:rPr>
                <w:rFonts w:hint="eastAsia" w:hAnsi="宋体" w:cs="宋体"/>
                <w:color w:val="000000"/>
                <w:kern w:val="0"/>
                <w:sz w:val="24"/>
              </w:rPr>
              <w:t>2) 镜头 4mm×4@F1.8，水平180°，垂直86.9°；调整角度 水平:0°~355°,垂直:0°~90°</w:t>
            </w:r>
            <w:r>
              <w:rPr>
                <w:rFonts w:hint="eastAsia" w:hAnsi="宋体" w:cs="宋体"/>
                <w:color w:val="000000"/>
                <w:kern w:val="0"/>
                <w:sz w:val="24"/>
              </w:rPr>
              <w:br w:type="textWrapping"/>
            </w:r>
            <w:r>
              <w:rPr>
                <w:rFonts w:hint="eastAsia" w:hAnsi="宋体" w:cs="宋体"/>
                <w:color w:val="000000"/>
                <w:kern w:val="0"/>
                <w:sz w:val="24"/>
              </w:rPr>
              <w:t>3) 宽动态范围 数字宽动态；视频压缩标准 H.265 /H.264 /MJPEG；最大图像尺寸 全景模式:4096×1800;原始模式:2160×3840</w:t>
            </w:r>
            <w:r>
              <w:rPr>
                <w:rFonts w:hint="eastAsia" w:hAnsi="宋体" w:cs="宋体"/>
                <w:color w:val="000000"/>
                <w:kern w:val="0"/>
                <w:sz w:val="24"/>
              </w:rPr>
              <w:br w:type="textWrapping"/>
            </w:r>
            <w:r>
              <w:rPr>
                <w:rFonts w:hint="eastAsia" w:hAnsi="宋体" w:cs="宋体"/>
                <w:color w:val="000000"/>
                <w:kern w:val="0"/>
                <w:sz w:val="24"/>
              </w:rPr>
              <w:t>4) 存储功能 支持Micro SD (最大128G)断网本地存储及断网续传</w:t>
            </w:r>
            <w:r>
              <w:rPr>
                <w:rFonts w:hint="eastAsia" w:hAnsi="宋体" w:cs="宋体"/>
                <w:color w:val="000000"/>
                <w:kern w:val="0"/>
                <w:sz w:val="24"/>
              </w:rPr>
              <w:br w:type="textWrapping"/>
            </w:r>
            <w:r>
              <w:rPr>
                <w:rFonts w:hint="eastAsia" w:hAnsi="宋体" w:cs="宋体"/>
                <w:color w:val="000000"/>
                <w:kern w:val="0"/>
                <w:sz w:val="24"/>
              </w:rPr>
              <w:t>5) 音频接口 1对3.5mm音频输入(Line in)/输出外部接口；尺寸(mm) 190× 207× 208</w:t>
            </w:r>
            <w:r>
              <w:rPr>
                <w:rFonts w:hint="eastAsia" w:hAnsi="宋体" w:cs="宋体"/>
                <w:color w:val="000000"/>
                <w:kern w:val="0"/>
                <w:sz w:val="24"/>
              </w:rPr>
              <w:br w:type="textWrapping"/>
            </w:r>
            <w:r>
              <w:rPr>
                <w:rFonts w:hint="eastAsia" w:hAnsi="宋体" w:cs="宋体"/>
                <w:color w:val="000000"/>
                <w:kern w:val="0"/>
                <w:sz w:val="24"/>
              </w:rPr>
              <w:t>6) 通讯接口 1 个RJ45 10M / 100M /1000M自适应以太网口,1个RS-485接口</w:t>
            </w:r>
            <w:r>
              <w:rPr>
                <w:rFonts w:hint="eastAsia" w:hAnsi="宋体" w:cs="宋体"/>
                <w:color w:val="000000"/>
                <w:kern w:val="0"/>
                <w:sz w:val="24"/>
              </w:rPr>
              <w:br w:type="textWrapping"/>
            </w:r>
            <w:r>
              <w:rPr>
                <w:rFonts w:hint="eastAsia" w:hAnsi="宋体" w:cs="宋体"/>
                <w:color w:val="000000"/>
                <w:kern w:val="0"/>
                <w:sz w:val="24"/>
              </w:rPr>
              <w:t>7) 报警输入 2路；电源接口类型 三芯接口；功耗 DC12V: 18W MAX; PoE: 25W MAX</w:t>
            </w:r>
            <w:r>
              <w:rPr>
                <w:rFonts w:hint="eastAsia" w:hAnsi="宋体" w:cs="宋体"/>
                <w:color w:val="000000"/>
                <w:kern w:val="0"/>
                <w:sz w:val="24"/>
              </w:rPr>
              <w:br w:type="textWrapping"/>
            </w:r>
            <w:r>
              <w:rPr>
                <w:rFonts w:hint="eastAsia" w:hAnsi="宋体" w:cs="宋体"/>
                <w:color w:val="000000"/>
                <w:kern w:val="0"/>
                <w:sz w:val="24"/>
              </w:rPr>
              <w:t>8) 报警输出 2路开关量，最大支持DC24V 1A或AC110V 500mA；</w:t>
            </w:r>
            <w:r>
              <w:rPr>
                <w:rFonts w:hint="eastAsia" w:hAnsi="宋体" w:cs="宋体"/>
                <w:color w:val="000000"/>
                <w:kern w:val="0"/>
                <w:sz w:val="24"/>
              </w:rPr>
              <w:br w:type="textWrapping"/>
            </w:r>
            <w:r>
              <w:rPr>
                <w:rFonts w:hint="eastAsia" w:hAnsi="宋体" w:cs="宋体"/>
                <w:color w:val="000000"/>
                <w:kern w:val="0"/>
                <w:sz w:val="24"/>
              </w:rPr>
              <w:t>9) 防护等级 IP67</w:t>
            </w:r>
            <w:r>
              <w:rPr>
                <w:rFonts w:hint="eastAsia" w:hAnsi="宋体" w:cs="宋体"/>
                <w:color w:val="000000"/>
                <w:kern w:val="0"/>
                <w:sz w:val="24"/>
              </w:rPr>
              <w:br w:type="textWrapping"/>
            </w:r>
            <w:r>
              <w:rPr>
                <w:rFonts w:hint="eastAsia" w:hAnsi="宋体" w:cs="宋体"/>
                <w:color w:val="000000"/>
                <w:kern w:val="0"/>
                <w:sz w:val="24"/>
              </w:rPr>
              <w:t>10) 红外照射距离 最远可达20米</w:t>
            </w:r>
            <w:r>
              <w:rPr>
                <w:rFonts w:hint="eastAsia" w:hAnsi="宋体" w:cs="宋体"/>
                <w:color w:val="000000"/>
                <w:kern w:val="0"/>
                <w:sz w:val="24"/>
              </w:rPr>
              <w:br w:type="textWrapping"/>
            </w:r>
            <w:r>
              <w:rPr>
                <w:rFonts w:hint="eastAsia" w:hAnsi="宋体" w:cs="宋体"/>
                <w:color w:val="000000"/>
                <w:kern w:val="0"/>
                <w:sz w:val="24"/>
              </w:rPr>
              <w:t>11) 电源供应 DC12V±20% / PoE(802.3at)</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5</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终端服务器</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高性能ARM Cortex A9数字媒体处理器；</w:t>
            </w:r>
            <w:r>
              <w:rPr>
                <w:rFonts w:hint="eastAsia" w:hAnsi="宋体" w:cs="宋体"/>
                <w:color w:val="000000"/>
                <w:kern w:val="0"/>
                <w:sz w:val="24"/>
              </w:rPr>
              <w:br w:type="textWrapping"/>
            </w:r>
            <w:r>
              <w:rPr>
                <w:rFonts w:hint="eastAsia" w:hAnsi="宋体" w:cs="宋体"/>
                <w:color w:val="000000"/>
                <w:kern w:val="0"/>
                <w:sz w:val="24"/>
              </w:rPr>
              <w:t>2) 内置1块3.5寸4T硬盘；支持12路IPC接入；</w:t>
            </w:r>
            <w:r>
              <w:rPr>
                <w:rFonts w:hint="eastAsia" w:hAnsi="宋体" w:cs="宋体"/>
                <w:color w:val="000000"/>
                <w:kern w:val="0"/>
                <w:sz w:val="24"/>
              </w:rPr>
              <w:br w:type="textWrapping"/>
            </w:r>
            <w:r>
              <w:rPr>
                <w:rFonts w:hint="eastAsia" w:hAnsi="宋体" w:cs="宋体"/>
                <w:color w:val="000000"/>
                <w:kern w:val="0"/>
                <w:sz w:val="24"/>
              </w:rPr>
              <w:t>3) 双网卡，内置16个100M以太网接口及2个1000M网络接口、1个1000M独立SFP光纤接口；</w:t>
            </w:r>
            <w:r>
              <w:rPr>
                <w:rFonts w:hint="eastAsia" w:hAnsi="宋体" w:cs="宋体"/>
                <w:color w:val="000000"/>
                <w:kern w:val="0"/>
                <w:sz w:val="24"/>
              </w:rPr>
              <w:br w:type="textWrapping"/>
            </w:r>
            <w:r>
              <w:rPr>
                <w:rFonts w:hint="eastAsia" w:hAnsi="宋体" w:cs="宋体"/>
                <w:color w:val="000000"/>
                <w:kern w:val="0"/>
                <w:sz w:val="24"/>
              </w:rPr>
              <w:t>4) 支持2路HD-TVI输入；支持VGA输出、HDMI输出、CVBS输出；</w:t>
            </w:r>
            <w:r>
              <w:rPr>
                <w:rFonts w:hint="eastAsia" w:hAnsi="宋体" w:cs="宋体"/>
                <w:color w:val="000000"/>
                <w:kern w:val="0"/>
                <w:sz w:val="24"/>
              </w:rPr>
              <w:br w:type="textWrapping"/>
            </w:r>
            <w:r>
              <w:rPr>
                <w:rFonts w:hint="eastAsia" w:hAnsi="宋体" w:cs="宋体"/>
                <w:color w:val="000000"/>
                <w:kern w:val="0"/>
                <w:sz w:val="24"/>
              </w:rPr>
              <w:t>5) 4个RS485、2个RS232、2个USB2.0、4路报警输入\报警输出、1个eSATA接口；电源:DC12V；</w:t>
            </w:r>
            <w:r>
              <w:rPr>
                <w:rFonts w:hint="eastAsia" w:hAnsi="宋体" w:cs="宋体"/>
                <w:color w:val="000000"/>
                <w:kern w:val="0"/>
                <w:sz w:val="24"/>
              </w:rPr>
              <w:br w:type="textWrapping"/>
            </w:r>
            <w:r>
              <w:rPr>
                <w:rFonts w:hint="eastAsia" w:hAnsi="宋体" w:cs="宋体"/>
                <w:color w:val="000000"/>
                <w:kern w:val="0"/>
                <w:sz w:val="24"/>
              </w:rPr>
              <w:t>6) 支持对通行车辆的信息（记录和图片）存储；</w:t>
            </w:r>
            <w:r>
              <w:rPr>
                <w:rFonts w:hint="eastAsia" w:hAnsi="宋体" w:cs="宋体"/>
                <w:color w:val="000000"/>
                <w:kern w:val="0"/>
                <w:sz w:val="24"/>
              </w:rPr>
              <w:br w:type="textWrapping"/>
            </w:r>
            <w:r>
              <w:rPr>
                <w:rFonts w:hint="eastAsia" w:hAnsi="宋体" w:cs="宋体"/>
                <w:color w:val="000000"/>
                <w:kern w:val="0"/>
                <w:sz w:val="24"/>
              </w:rPr>
              <w:t>7) 支持录像存储功能；支持区间测速功能；</w:t>
            </w:r>
            <w:r>
              <w:rPr>
                <w:rFonts w:hint="eastAsia" w:hAnsi="宋体" w:cs="宋体"/>
                <w:color w:val="000000"/>
                <w:kern w:val="0"/>
                <w:sz w:val="24"/>
              </w:rPr>
              <w:br w:type="textWrapping"/>
            </w:r>
            <w:r>
              <w:rPr>
                <w:rFonts w:hint="eastAsia" w:hAnsi="宋体" w:cs="宋体"/>
                <w:color w:val="000000"/>
                <w:kern w:val="0"/>
                <w:sz w:val="24"/>
              </w:rPr>
              <w:t>8) 可配置多种字符叠加、图片合成模式；可配置增加GPS校时模块。</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6</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抓拍单元相关软件</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违法数据分析、抓拍机平台接入、违停数据传输、违停球接入交警处罚系统平台</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7</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前端汇聚光端机</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40KM单纤百兆SFP光模块4块；</w:t>
            </w:r>
            <w:r>
              <w:rPr>
                <w:rFonts w:hint="eastAsia" w:hAnsi="宋体" w:cs="宋体"/>
                <w:color w:val="000000"/>
                <w:kern w:val="0"/>
                <w:sz w:val="24"/>
              </w:rPr>
              <w:br w:type="textWrapping"/>
            </w:r>
            <w:r>
              <w:rPr>
                <w:rFonts w:hint="eastAsia" w:hAnsi="宋体" w:cs="宋体"/>
                <w:color w:val="000000"/>
                <w:kern w:val="0"/>
                <w:sz w:val="24"/>
              </w:rPr>
              <w:t>▲2) 具备SNMP网络管理功能， 可以被中心端设备读取与设置状态；</w:t>
            </w:r>
            <w:r>
              <w:rPr>
                <w:rFonts w:hint="eastAsia" w:hAnsi="宋体" w:cs="宋体"/>
                <w:color w:val="000000"/>
                <w:kern w:val="0"/>
                <w:sz w:val="24"/>
              </w:rPr>
              <w:br w:type="textWrapping"/>
            </w:r>
            <w:r>
              <w:rPr>
                <w:rFonts w:hint="eastAsia" w:hAnsi="宋体" w:cs="宋体"/>
                <w:color w:val="000000"/>
                <w:kern w:val="0"/>
                <w:sz w:val="24"/>
              </w:rPr>
              <w:t>▲3) 具备光端机断电检测并自动上传告警至SNMP网管的功能，可以被中心端判断光路信号丢失时是断纤还是掉电与关机；</w:t>
            </w:r>
            <w:r>
              <w:rPr>
                <w:rFonts w:hint="eastAsia" w:hAnsi="宋体" w:cs="宋体"/>
                <w:color w:val="000000"/>
                <w:kern w:val="0"/>
                <w:sz w:val="24"/>
              </w:rPr>
              <w:br w:type="textWrapping"/>
            </w:r>
            <w:r>
              <w:rPr>
                <w:rFonts w:hint="eastAsia" w:hAnsi="宋体" w:cs="宋体"/>
                <w:color w:val="000000"/>
                <w:kern w:val="0"/>
                <w:sz w:val="24"/>
              </w:rPr>
              <w:t xml:space="preserve">4) 具备广播风暴保护、平衡流量、隔离冲突和检测差错、死机自复位等功能； </w:t>
            </w:r>
            <w:r>
              <w:rPr>
                <w:rFonts w:hint="eastAsia" w:hAnsi="宋体" w:cs="宋体"/>
                <w:color w:val="000000"/>
                <w:kern w:val="0"/>
                <w:sz w:val="24"/>
              </w:rPr>
              <w:br w:type="textWrapping"/>
            </w:r>
            <w:r>
              <w:rPr>
                <w:rFonts w:hint="eastAsia" w:hAnsi="宋体" w:cs="宋体"/>
                <w:color w:val="000000"/>
                <w:kern w:val="0"/>
                <w:sz w:val="24"/>
              </w:rPr>
              <w:t xml:space="preserve">5) 双电源，支持过载保护、防反接保护功能； </w:t>
            </w:r>
            <w:r>
              <w:rPr>
                <w:rFonts w:hint="eastAsia" w:hAnsi="宋体" w:cs="宋体"/>
                <w:color w:val="000000"/>
                <w:kern w:val="0"/>
                <w:sz w:val="24"/>
              </w:rPr>
              <w:br w:type="textWrapping"/>
            </w:r>
            <w:r>
              <w:rPr>
                <w:rFonts w:hint="eastAsia" w:hAnsi="宋体" w:cs="宋体"/>
                <w:color w:val="000000"/>
                <w:kern w:val="0"/>
                <w:sz w:val="24"/>
              </w:rPr>
              <w:t>6) 具备防雷击，可抗感应高压，防浪涌等功能；</w:t>
            </w:r>
            <w:r>
              <w:rPr>
                <w:rFonts w:hint="eastAsia" w:hAnsi="宋体" w:cs="宋体"/>
                <w:color w:val="000000"/>
                <w:kern w:val="0"/>
                <w:sz w:val="24"/>
              </w:rPr>
              <w:br w:type="textWrapping"/>
            </w:r>
            <w:r>
              <w:rPr>
                <w:rFonts w:hint="eastAsia" w:hAnsi="宋体" w:cs="宋体"/>
                <w:color w:val="000000"/>
                <w:kern w:val="0"/>
                <w:sz w:val="24"/>
              </w:rPr>
              <w:t>7) 具备IP40及以上外壳防护等级；</w:t>
            </w:r>
            <w:r>
              <w:rPr>
                <w:rFonts w:hint="eastAsia" w:hAnsi="宋体" w:cs="宋体"/>
                <w:color w:val="000000"/>
                <w:kern w:val="0"/>
                <w:sz w:val="24"/>
              </w:rPr>
              <w:br w:type="textWrapping"/>
            </w:r>
            <w:r>
              <w:rPr>
                <w:rFonts w:hint="eastAsia" w:hAnsi="宋体" w:cs="宋体"/>
                <w:color w:val="000000"/>
                <w:kern w:val="0"/>
                <w:sz w:val="24"/>
              </w:rPr>
              <w:t>8) 工业导轨式设计；</w:t>
            </w:r>
            <w:r>
              <w:rPr>
                <w:rFonts w:hint="eastAsia" w:hAnsi="宋体" w:cs="宋体"/>
                <w:color w:val="000000"/>
                <w:kern w:val="0"/>
                <w:sz w:val="24"/>
              </w:rPr>
              <w:br w:type="textWrapping"/>
            </w:r>
            <w:r>
              <w:rPr>
                <w:rFonts w:hint="eastAsia" w:hAnsi="宋体" w:cs="宋体"/>
                <w:color w:val="000000"/>
                <w:kern w:val="0"/>
                <w:sz w:val="24"/>
              </w:rPr>
              <w:t>9) 工作温度具备-40℃~ +85℃。</w:t>
            </w:r>
            <w:r>
              <w:rPr>
                <w:rFonts w:hAnsi="宋体" w:cs="宋体"/>
                <w:color w:val="000000"/>
                <w:kern w:val="0"/>
                <w:sz w:val="24"/>
              </w:rPr>
              <w:t xml:space="preserve"> </w:t>
            </w:r>
          </w:p>
        </w:tc>
      </w:tr>
      <w:tr>
        <w:tblPrEx>
          <w:tblLayout w:type="fixed"/>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8</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中心接收光端机</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提供1路10/100/1000M以太网电口，提供1路千兆SFP光接口，传输距离最大可达100KM及以上；</w:t>
            </w:r>
            <w:r>
              <w:rPr>
                <w:rFonts w:hint="eastAsia" w:hAnsi="宋体" w:cs="宋体"/>
                <w:color w:val="000000"/>
                <w:kern w:val="0"/>
                <w:sz w:val="24"/>
              </w:rPr>
              <w:br w:type="textWrapping"/>
            </w:r>
            <w:r>
              <w:rPr>
                <w:rFonts w:hint="eastAsia" w:hAnsi="宋体" w:cs="宋体"/>
                <w:color w:val="000000"/>
                <w:kern w:val="0"/>
                <w:sz w:val="24"/>
              </w:rPr>
              <w:t>2) 配置80KM单纤千兆SFP光模块1块；</w:t>
            </w:r>
            <w:r>
              <w:rPr>
                <w:rFonts w:hint="eastAsia" w:hAnsi="宋体" w:cs="宋体"/>
                <w:color w:val="000000"/>
                <w:kern w:val="0"/>
                <w:sz w:val="24"/>
              </w:rPr>
              <w:br w:type="textWrapping"/>
            </w:r>
            <w:r>
              <w:rPr>
                <w:rFonts w:hint="eastAsia" w:hAnsi="宋体" w:cs="宋体"/>
                <w:color w:val="000000"/>
                <w:kern w:val="0"/>
                <w:sz w:val="24"/>
              </w:rPr>
              <w:t>3) 具备SNMP网络管理功能， 可以实现读取与设置本端、远端光端机电口以太接口的状态。</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9</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抱杆箱</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1) 尺寸：50cm*40cm*30cm；</w:t>
            </w:r>
            <w:r>
              <w:rPr>
                <w:rFonts w:hint="eastAsia" w:hAnsi="宋体" w:cs="宋体"/>
                <w:color w:val="000000"/>
                <w:kern w:val="0"/>
                <w:sz w:val="24"/>
              </w:rPr>
              <w:br w:type="textWrapping"/>
            </w:r>
            <w:r>
              <w:rPr>
                <w:rFonts w:hint="eastAsia" w:hAnsi="宋体" w:cs="宋体"/>
                <w:color w:val="000000"/>
                <w:kern w:val="0"/>
                <w:sz w:val="24"/>
              </w:rPr>
              <w:t>2) 箱体采用镀锌板（板厚=1.2mm）；</w:t>
            </w:r>
            <w:r>
              <w:rPr>
                <w:rFonts w:hint="eastAsia" w:hAnsi="宋体" w:cs="宋体"/>
                <w:color w:val="000000"/>
                <w:kern w:val="0"/>
                <w:sz w:val="24"/>
              </w:rPr>
              <w:br w:type="textWrapping"/>
            </w:r>
            <w:r>
              <w:rPr>
                <w:rFonts w:hint="eastAsia" w:hAnsi="宋体" w:cs="宋体"/>
                <w:color w:val="000000"/>
                <w:kern w:val="0"/>
                <w:sz w:val="24"/>
              </w:rPr>
              <w:t>3) 挡板2块：底板一块，横板一块；</w:t>
            </w:r>
            <w:r>
              <w:rPr>
                <w:rFonts w:hint="eastAsia" w:hAnsi="宋体" w:cs="宋体"/>
                <w:color w:val="000000"/>
                <w:kern w:val="0"/>
                <w:sz w:val="24"/>
              </w:rPr>
              <w:br w:type="textWrapping"/>
            </w:r>
            <w:r>
              <w:rPr>
                <w:rFonts w:hint="eastAsia" w:hAnsi="宋体" w:cs="宋体"/>
                <w:color w:val="000000"/>
                <w:kern w:val="0"/>
                <w:sz w:val="24"/>
              </w:rPr>
              <w:t>4) 抱箍：2套，镀锌抱箍直径10mm，大小：351mm；</w:t>
            </w:r>
            <w:r>
              <w:rPr>
                <w:rFonts w:hint="eastAsia" w:hAnsi="宋体" w:cs="宋体"/>
                <w:color w:val="000000"/>
                <w:kern w:val="0"/>
                <w:sz w:val="24"/>
              </w:rPr>
              <w:br w:type="textWrapping"/>
            </w:r>
            <w:r>
              <w:rPr>
                <w:rFonts w:hint="eastAsia" w:hAnsi="宋体" w:cs="宋体"/>
                <w:color w:val="000000"/>
                <w:kern w:val="0"/>
                <w:sz w:val="24"/>
              </w:rPr>
              <w:t>5) 空开、电源防雷等模块。</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10</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提示牌</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定制</w:t>
            </w:r>
          </w:p>
        </w:tc>
      </w:tr>
      <w:tr>
        <w:tblPrEx>
          <w:tblLayout w:type="fixed"/>
          <w:tblCellMar>
            <w:top w:w="0" w:type="dxa"/>
            <w:left w:w="108" w:type="dxa"/>
            <w:bottom w:w="0" w:type="dxa"/>
            <w:right w:w="108" w:type="dxa"/>
          </w:tblCellMar>
        </w:tblPrEx>
        <w:trPr>
          <w:jc w:val="center"/>
        </w:trPr>
        <w:tc>
          <w:tcPr>
            <w:tcW w:w="104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11</w:t>
            </w:r>
          </w:p>
        </w:tc>
        <w:tc>
          <w:tcPr>
            <w:tcW w:w="2485" w:type="dxa"/>
            <w:tcBorders>
              <w:top w:val="nil"/>
              <w:left w:val="nil"/>
              <w:bottom w:val="single" w:color="auto" w:sz="4" w:space="0"/>
              <w:right w:val="single" w:color="auto" w:sz="4" w:space="0"/>
            </w:tcBorders>
            <w:shd w:val="clear" w:color="auto" w:fill="auto"/>
            <w:vAlign w:val="center"/>
          </w:tcPr>
          <w:p>
            <w:pPr>
              <w:widowControl/>
              <w:jc w:val="center"/>
              <w:rPr>
                <w:rFonts w:hAnsi="宋体" w:cs="宋体"/>
                <w:kern w:val="0"/>
                <w:sz w:val="22"/>
                <w:szCs w:val="22"/>
              </w:rPr>
            </w:pPr>
            <w:r>
              <w:rPr>
                <w:rFonts w:hint="eastAsia" w:hAnsi="宋体" w:cs="宋体"/>
                <w:kern w:val="0"/>
                <w:sz w:val="22"/>
                <w:szCs w:val="22"/>
              </w:rPr>
              <w:t>网络租赁5年</w:t>
            </w:r>
          </w:p>
        </w:tc>
        <w:tc>
          <w:tcPr>
            <w:tcW w:w="7409" w:type="dxa"/>
            <w:tcBorders>
              <w:top w:val="nil"/>
              <w:left w:val="nil"/>
              <w:bottom w:val="single" w:color="auto" w:sz="4" w:space="0"/>
              <w:right w:val="single" w:color="auto" w:sz="4" w:space="0"/>
            </w:tcBorders>
            <w:shd w:val="clear" w:color="auto" w:fill="auto"/>
            <w:vAlign w:val="center"/>
          </w:tcPr>
          <w:p>
            <w:pPr>
              <w:widowControl/>
              <w:jc w:val="left"/>
              <w:rPr>
                <w:rFonts w:hAnsi="宋体" w:cs="宋体"/>
                <w:color w:val="000000"/>
                <w:kern w:val="0"/>
                <w:sz w:val="24"/>
              </w:rPr>
            </w:pPr>
            <w:r>
              <w:rPr>
                <w:rFonts w:hint="eastAsia" w:hAnsi="宋体" w:cs="宋体"/>
                <w:color w:val="000000"/>
                <w:kern w:val="0"/>
                <w:sz w:val="24"/>
              </w:rPr>
              <w:t>前端接入100M，中心汇聚端1000MVPN专网+光缆光纤熔接等。</w:t>
            </w:r>
          </w:p>
        </w:tc>
      </w:tr>
    </w:tbl>
    <w:p>
      <w:pPr>
        <w:pStyle w:val="139"/>
        <w:snapToGrid w:val="0"/>
        <w:spacing w:line="480" w:lineRule="exact"/>
        <w:ind w:left="720" w:firstLine="0" w:firstLineChars="0"/>
        <w:rPr>
          <w:rFonts w:ascii="宋体" w:hAnsi="宋体" w:cs="宋体"/>
          <w:b/>
          <w:bCs/>
          <w:sz w:val="24"/>
          <w:szCs w:val="24"/>
        </w:rPr>
      </w:pPr>
    </w:p>
    <w:p>
      <w:pPr>
        <w:widowControl/>
        <w:jc w:val="left"/>
        <w:rPr>
          <w:rFonts w:asciiTheme="majorEastAsia" w:hAnsiTheme="majorEastAsia" w:eastAsiaTheme="majorEastAsia" w:cstheme="majorEastAsia"/>
          <w:b/>
          <w:bCs/>
          <w:kern w:val="44"/>
          <w:szCs w:val="21"/>
        </w:rPr>
      </w:pPr>
    </w:p>
    <w:p>
      <w:pPr>
        <w:widowControl/>
        <w:jc w:val="left"/>
        <w:rPr>
          <w:rFonts w:asciiTheme="majorEastAsia" w:hAnsiTheme="majorEastAsia" w:eastAsiaTheme="majorEastAsia" w:cstheme="majorEastAsia"/>
          <w:b/>
          <w:bCs/>
          <w:kern w:val="44"/>
          <w:sz w:val="30"/>
          <w:szCs w:val="30"/>
        </w:rPr>
      </w:pPr>
      <w:r>
        <w:rPr>
          <w:rFonts w:hint="eastAsia" w:asciiTheme="majorEastAsia" w:hAnsiTheme="majorEastAsia" w:eastAsiaTheme="majorEastAsia" w:cstheme="majorEastAsia"/>
          <w:bCs/>
          <w:szCs w:val="21"/>
        </w:rPr>
        <w:t>★本次项目必须</w:t>
      </w:r>
      <w:r>
        <w:rPr>
          <w:rFonts w:hint="eastAsia" w:hAnsi="宋体"/>
          <w:szCs w:val="21"/>
        </w:rPr>
        <w:t>无缝对接宁波市治超数据平台及省级数据中心平台。</w:t>
      </w:r>
      <w:r>
        <w:rPr>
          <w:rFonts w:asciiTheme="majorEastAsia" w:hAnsiTheme="majorEastAsia" w:eastAsiaTheme="majorEastAsia" w:cstheme="majorEastAsia"/>
          <w:sz w:val="30"/>
          <w:szCs w:val="30"/>
        </w:rPr>
        <w:br w:type="page"/>
      </w:r>
    </w:p>
    <w:p>
      <w:pPr>
        <w:pStyle w:val="2"/>
        <w:spacing w:line="480" w:lineRule="exact"/>
        <w:jc w:val="center"/>
        <w:rPr>
          <w:rFonts w:asciiTheme="majorEastAsia" w:hAnsiTheme="majorEastAsia" w:eastAsiaTheme="majorEastAsia" w:cstheme="majorEastAsia"/>
          <w:sz w:val="30"/>
          <w:szCs w:val="30"/>
        </w:rPr>
      </w:pPr>
      <w:r>
        <w:rPr>
          <w:rFonts w:hint="eastAsia" w:asciiTheme="majorEastAsia" w:hAnsiTheme="majorEastAsia" w:eastAsiaTheme="majorEastAsia" w:cstheme="majorEastAsia"/>
          <w:sz w:val="30"/>
          <w:szCs w:val="30"/>
        </w:rPr>
        <w:t>商务要求</w:t>
      </w:r>
    </w:p>
    <w:tbl>
      <w:tblPr>
        <w:tblStyle w:val="53"/>
        <w:tblW w:w="9115"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51"/>
        <w:gridCol w:w="796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804" w:hRule="atLeast"/>
          <w:jc w:val="center"/>
        </w:trPr>
        <w:tc>
          <w:tcPr>
            <w:tcW w:w="1151" w:type="dxa"/>
            <w:vAlign w:val="center"/>
          </w:tcPr>
          <w:p>
            <w:pPr>
              <w:spacing w:line="480" w:lineRule="exact"/>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1</w:t>
            </w:r>
          </w:p>
        </w:tc>
        <w:tc>
          <w:tcPr>
            <w:tcW w:w="7964" w:type="dxa"/>
            <w:vAlign w:val="center"/>
          </w:tcPr>
          <w:p>
            <w:pPr>
              <w:snapToGrid w:val="0"/>
              <w:spacing w:line="440" w:lineRule="exact"/>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★质保期及授权：整体</w:t>
            </w:r>
            <w:r>
              <w:rPr>
                <w:rFonts w:hint="eastAsia" w:ascii="宋体" w:hAnsi="宋体" w:cs="宋体"/>
                <w:bCs/>
                <w:szCs w:val="21"/>
              </w:rPr>
              <w:t>项目提供原厂3年免费质保，</w:t>
            </w:r>
            <w:r>
              <w:rPr>
                <w:rFonts w:hint="eastAsia" w:asciiTheme="majorEastAsia" w:hAnsiTheme="majorEastAsia" w:eastAsiaTheme="majorEastAsia" w:cstheme="majorEastAsia"/>
                <w:bCs/>
                <w:szCs w:val="21"/>
              </w:rPr>
              <w:t>免费质保期从最终验收合格之日起开始计算。中标人在中标公示期内需提供轴重式称重平台、LED显示屏</w:t>
            </w:r>
            <w:r>
              <w:rPr>
                <w:rFonts w:asciiTheme="majorEastAsia" w:hAnsiTheme="majorEastAsia" w:eastAsiaTheme="majorEastAsia" w:cstheme="majorEastAsia"/>
                <w:bCs/>
                <w:szCs w:val="21"/>
              </w:rPr>
              <w:t>、</w:t>
            </w:r>
            <w:r>
              <w:rPr>
                <w:rFonts w:hint="eastAsia" w:asciiTheme="majorEastAsia" w:hAnsiTheme="majorEastAsia" w:eastAsiaTheme="majorEastAsia" w:cstheme="majorEastAsia"/>
                <w:bCs/>
                <w:szCs w:val="21"/>
              </w:rPr>
              <w:t>高清抓拍单元设备制造商原厂质保</w:t>
            </w:r>
            <w:r>
              <w:rPr>
                <w:rFonts w:asciiTheme="majorEastAsia" w:hAnsiTheme="majorEastAsia" w:eastAsiaTheme="majorEastAsia" w:cstheme="majorEastAsia"/>
                <w:bCs/>
                <w:szCs w:val="21"/>
              </w:rPr>
              <w:t>3</w:t>
            </w:r>
            <w:r>
              <w:rPr>
                <w:rFonts w:hint="eastAsia" w:asciiTheme="majorEastAsia" w:hAnsiTheme="majorEastAsia" w:eastAsiaTheme="majorEastAsia" w:cstheme="majorEastAsia"/>
                <w:bCs/>
                <w:szCs w:val="21"/>
              </w:rPr>
              <w:t>年的承诺函。</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55" w:hRule="atLeast"/>
          <w:jc w:val="center"/>
        </w:trPr>
        <w:tc>
          <w:tcPr>
            <w:tcW w:w="1151" w:type="dxa"/>
            <w:vAlign w:val="center"/>
          </w:tcPr>
          <w:p>
            <w:pPr>
              <w:spacing w:line="480" w:lineRule="exact"/>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2</w:t>
            </w:r>
          </w:p>
        </w:tc>
        <w:tc>
          <w:tcPr>
            <w:tcW w:w="7964" w:type="dxa"/>
            <w:vAlign w:val="center"/>
          </w:tcPr>
          <w:p>
            <w:pPr>
              <w:spacing w:line="480" w:lineRule="exact"/>
              <w:jc w:val="left"/>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★售后技术服务要求：全系统3年免费上门保修，接到用户维修电话1个小时内响应，24个小时内修复。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7" w:hRule="atLeast"/>
          <w:jc w:val="center"/>
        </w:trPr>
        <w:tc>
          <w:tcPr>
            <w:tcW w:w="1151" w:type="dxa"/>
            <w:vAlign w:val="center"/>
          </w:tcPr>
          <w:p>
            <w:pPr>
              <w:spacing w:line="480" w:lineRule="exact"/>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3</w:t>
            </w:r>
          </w:p>
        </w:tc>
        <w:tc>
          <w:tcPr>
            <w:tcW w:w="7964" w:type="dxa"/>
            <w:vAlign w:val="center"/>
          </w:tcPr>
          <w:p>
            <w:pPr>
              <w:spacing w:line="480" w:lineRule="exact"/>
              <w:jc w:val="left"/>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★交货时间：</w:t>
            </w:r>
            <w:r>
              <w:rPr>
                <w:rFonts w:hint="eastAsia" w:ascii="宋体" w:hAnsi="宋体" w:cs="宋体"/>
                <w:bCs/>
                <w:szCs w:val="21"/>
              </w:rPr>
              <w:t>合同签订后2个月内免费送货、安装调试并交付使用（含卸货、搬运费）。</w:t>
            </w:r>
          </w:p>
          <w:p>
            <w:pPr>
              <w:spacing w:line="480" w:lineRule="exact"/>
              <w:jc w:val="left"/>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★交货地址：业主指定。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7" w:hRule="atLeast"/>
          <w:jc w:val="center"/>
        </w:trPr>
        <w:tc>
          <w:tcPr>
            <w:tcW w:w="1151" w:type="dxa"/>
            <w:vAlign w:val="center"/>
          </w:tcPr>
          <w:p>
            <w:pPr>
              <w:spacing w:line="480" w:lineRule="exact"/>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4</w:t>
            </w:r>
          </w:p>
        </w:tc>
        <w:tc>
          <w:tcPr>
            <w:tcW w:w="7964" w:type="dxa"/>
            <w:vAlign w:val="center"/>
          </w:tcPr>
          <w:p>
            <w:pPr>
              <w:spacing w:line="400" w:lineRule="exact"/>
              <w:rPr>
                <w:rFonts w:ascii="宋体" w:hAnsi="宋体"/>
              </w:rPr>
            </w:pPr>
            <w:r>
              <w:rPr>
                <w:rFonts w:hint="eastAsia" w:ascii="宋体" w:cs="宋体"/>
                <w:kern w:val="0"/>
                <w:szCs w:val="21"/>
                <w:lang w:val="zh-CN"/>
              </w:rPr>
              <w:t>★履约保证金：中标供应商在签订合同前，应向买方提供合同总价</w:t>
            </w:r>
            <w:r>
              <w:rPr>
                <w:rFonts w:ascii="宋体" w:cs="宋体"/>
                <w:kern w:val="0"/>
                <w:szCs w:val="21"/>
                <w:lang w:val="en-IE"/>
              </w:rPr>
              <w:t>5</w:t>
            </w:r>
            <w:r>
              <w:rPr>
                <w:rFonts w:ascii="宋体" w:cs="宋体"/>
                <w:kern w:val="0"/>
                <w:szCs w:val="21"/>
                <w:lang w:val="zh-CN"/>
              </w:rPr>
              <w:t>%</w:t>
            </w:r>
            <w:r>
              <w:rPr>
                <w:rFonts w:hint="eastAsia" w:ascii="宋体" w:cs="宋体"/>
                <w:kern w:val="0"/>
                <w:szCs w:val="21"/>
                <w:lang w:val="zh-CN"/>
              </w:rPr>
              <w:t>的履约保证金。</w:t>
            </w:r>
            <w:r>
              <w:rPr>
                <w:rFonts w:hint="eastAsia" w:ascii="宋体" w:hAnsi="宋体" w:cs="宋体"/>
              </w:rPr>
              <w:t>履约保证金形式：银行保函、电汇、支票、汇票</w:t>
            </w:r>
          </w:p>
          <w:p>
            <w:pPr>
              <w:spacing w:line="480" w:lineRule="exact"/>
              <w:jc w:val="left"/>
              <w:rPr>
                <w:rFonts w:asciiTheme="majorEastAsia" w:hAnsiTheme="majorEastAsia" w:eastAsiaTheme="majorEastAsia" w:cstheme="majorEastAsia"/>
                <w:bCs/>
                <w:szCs w:val="21"/>
              </w:rPr>
            </w:pPr>
            <w:r>
              <w:rPr>
                <w:rFonts w:hint="eastAsia" w:ascii="宋体" w:hAnsi="宋体" w:cs="宋体"/>
              </w:rPr>
              <w:t>中标人在签订该项目采购合同前，向招标人提交履约保证金，待该项目完成竣工验收合格手续后一周内无息退还</w:t>
            </w:r>
            <w:r>
              <w:rPr>
                <w:rFonts w:hint="eastAsia" w:ascii="宋体"/>
              </w:rPr>
              <w:t>（如中标人未能履行合同规定的任何义务，采购人有权从履约保证金中得到相应补偿）。</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24" w:hRule="atLeast"/>
          <w:jc w:val="center"/>
        </w:trPr>
        <w:tc>
          <w:tcPr>
            <w:tcW w:w="1151" w:type="dxa"/>
            <w:vAlign w:val="center"/>
          </w:tcPr>
          <w:p>
            <w:pPr>
              <w:spacing w:line="480" w:lineRule="exact"/>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5</w:t>
            </w:r>
          </w:p>
        </w:tc>
        <w:tc>
          <w:tcPr>
            <w:tcW w:w="7964" w:type="dxa"/>
            <w:vAlign w:val="center"/>
          </w:tcPr>
          <w:p>
            <w:pPr>
              <w:autoSpaceDE w:val="0"/>
              <w:autoSpaceDN w:val="0"/>
              <w:adjustRightInd w:val="0"/>
              <w:spacing w:line="400" w:lineRule="atLeast"/>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★付款方法和条件：</w:t>
            </w:r>
          </w:p>
          <w:p>
            <w:pPr>
              <w:autoSpaceDE w:val="0"/>
              <w:autoSpaceDN w:val="0"/>
              <w:adjustRightInd w:val="0"/>
              <w:spacing w:line="400" w:lineRule="atLeast"/>
              <w:rPr>
                <w:rFonts w:ascii="宋体" w:cs="宋体"/>
                <w:kern w:val="0"/>
                <w:szCs w:val="21"/>
                <w:lang w:val="zh-CN"/>
              </w:rPr>
            </w:pPr>
            <w:r>
              <w:rPr>
                <w:rFonts w:ascii="宋体" w:cs="宋体"/>
                <w:kern w:val="0"/>
                <w:szCs w:val="21"/>
                <w:lang w:val="zh-CN"/>
              </w:rPr>
              <w:t>1</w:t>
            </w:r>
            <w:r>
              <w:rPr>
                <w:rFonts w:hint="eastAsia" w:ascii="宋体" w:cs="宋体"/>
                <w:kern w:val="0"/>
                <w:szCs w:val="21"/>
                <w:lang w:val="zh-CN"/>
              </w:rPr>
              <w:t>）合同签订后并收到中标人履约保证金后</w:t>
            </w:r>
            <w:r>
              <w:rPr>
                <w:rFonts w:ascii="宋体" w:cs="宋体"/>
                <w:kern w:val="0"/>
                <w:szCs w:val="21"/>
                <w:lang w:val="zh-CN"/>
              </w:rPr>
              <w:t>10</w:t>
            </w:r>
            <w:r>
              <w:rPr>
                <w:rFonts w:hint="eastAsia" w:ascii="宋体" w:cs="宋体"/>
                <w:kern w:val="0"/>
                <w:szCs w:val="21"/>
                <w:lang w:val="zh-CN"/>
              </w:rPr>
              <w:t>个工作日内支付合同总价的</w:t>
            </w:r>
            <w:r>
              <w:rPr>
                <w:rFonts w:ascii="宋体" w:cs="宋体"/>
                <w:kern w:val="0"/>
                <w:szCs w:val="21"/>
                <w:lang w:val="en-IE"/>
              </w:rPr>
              <w:t>3</w:t>
            </w:r>
            <w:r>
              <w:rPr>
                <w:rFonts w:ascii="宋体" w:cs="宋体"/>
                <w:kern w:val="0"/>
                <w:szCs w:val="21"/>
                <w:lang w:val="zh-CN"/>
              </w:rPr>
              <w:t>0%</w:t>
            </w:r>
            <w:r>
              <w:rPr>
                <w:rFonts w:hint="eastAsia" w:ascii="宋体" w:cs="宋体"/>
                <w:kern w:val="0"/>
                <w:szCs w:val="21"/>
                <w:lang w:val="zh-CN"/>
              </w:rPr>
              <w:t>作为</w:t>
            </w:r>
            <w:r>
              <w:rPr>
                <w:rFonts w:hint="eastAsia" w:ascii="宋体" w:hAnsi="宋体"/>
                <w:bCs/>
                <w:szCs w:val="21"/>
              </w:rPr>
              <w:t>预付款</w:t>
            </w:r>
            <w:r>
              <w:rPr>
                <w:rFonts w:hint="eastAsia" w:ascii="宋体" w:cs="宋体"/>
                <w:kern w:val="0"/>
                <w:szCs w:val="21"/>
                <w:lang w:val="zh-CN"/>
              </w:rPr>
              <w:t>；</w:t>
            </w:r>
          </w:p>
          <w:p>
            <w:pPr>
              <w:autoSpaceDE w:val="0"/>
              <w:autoSpaceDN w:val="0"/>
              <w:adjustRightInd w:val="0"/>
              <w:spacing w:line="400" w:lineRule="atLeast"/>
              <w:rPr>
                <w:rFonts w:ascii="宋体" w:cs="宋体"/>
                <w:kern w:val="0"/>
                <w:szCs w:val="21"/>
                <w:lang w:val="zh-CN"/>
              </w:rPr>
            </w:pPr>
            <w:r>
              <w:rPr>
                <w:rFonts w:ascii="宋体" w:cs="宋体"/>
                <w:kern w:val="0"/>
                <w:szCs w:val="21"/>
                <w:lang w:val="zh-CN"/>
              </w:rPr>
              <w:t>2</w:t>
            </w:r>
            <w:r>
              <w:rPr>
                <w:rFonts w:hint="eastAsia" w:ascii="宋体" w:cs="宋体"/>
                <w:kern w:val="0"/>
                <w:szCs w:val="21"/>
                <w:lang w:val="zh-CN"/>
              </w:rPr>
              <w:t>）货物到工地现场并经相关负责人员验收确认后</w:t>
            </w:r>
            <w:r>
              <w:rPr>
                <w:rFonts w:ascii="宋体" w:cs="宋体"/>
                <w:kern w:val="0"/>
                <w:szCs w:val="21"/>
                <w:lang w:val="zh-CN"/>
              </w:rPr>
              <w:t>10</w:t>
            </w:r>
            <w:r>
              <w:rPr>
                <w:rFonts w:hint="eastAsia" w:ascii="宋体" w:cs="宋体"/>
                <w:kern w:val="0"/>
                <w:szCs w:val="21"/>
                <w:lang w:val="zh-CN"/>
              </w:rPr>
              <w:t>个工作日内，买方向卖方支付至</w:t>
            </w:r>
            <w:r>
              <w:rPr>
                <w:rFonts w:hint="eastAsia" w:ascii="宋体" w:hAnsi="宋体"/>
                <w:bCs/>
                <w:szCs w:val="21"/>
              </w:rPr>
              <w:t>中标金额</w:t>
            </w:r>
            <w:r>
              <w:rPr>
                <w:rFonts w:hint="eastAsia" w:ascii="宋体" w:hAnsi="宋体"/>
                <w:bCs/>
                <w:szCs w:val="21"/>
                <w:lang w:val="en-IE"/>
              </w:rPr>
              <w:t>的</w:t>
            </w:r>
            <w:r>
              <w:rPr>
                <w:rFonts w:ascii="宋体" w:cs="宋体"/>
                <w:kern w:val="0"/>
                <w:szCs w:val="21"/>
                <w:lang w:val="en-IE"/>
              </w:rPr>
              <w:t>4</w:t>
            </w:r>
            <w:r>
              <w:rPr>
                <w:rFonts w:ascii="宋体" w:cs="宋体"/>
                <w:kern w:val="0"/>
                <w:szCs w:val="21"/>
                <w:lang w:val="zh-CN"/>
              </w:rPr>
              <w:t>0</w:t>
            </w:r>
            <w:r>
              <w:rPr>
                <w:rFonts w:hint="eastAsia" w:ascii="宋体" w:cs="宋体"/>
                <w:kern w:val="0"/>
                <w:szCs w:val="21"/>
                <w:lang w:val="zh-CN"/>
              </w:rPr>
              <w:t>％的款额；</w:t>
            </w:r>
            <w:r>
              <w:rPr>
                <w:rFonts w:ascii="宋体" w:cs="宋体"/>
                <w:kern w:val="0"/>
                <w:szCs w:val="21"/>
                <w:lang w:val="zh-CN"/>
              </w:rPr>
              <w:t xml:space="preserve"> </w:t>
            </w:r>
          </w:p>
          <w:p>
            <w:pPr>
              <w:autoSpaceDE w:val="0"/>
              <w:autoSpaceDN w:val="0"/>
              <w:adjustRightInd w:val="0"/>
              <w:spacing w:line="400" w:lineRule="atLeast"/>
              <w:rPr>
                <w:rFonts w:ascii="宋体" w:cs="宋体"/>
                <w:kern w:val="0"/>
                <w:szCs w:val="21"/>
                <w:lang w:val="en-IE"/>
              </w:rPr>
            </w:pPr>
            <w:r>
              <w:rPr>
                <w:rFonts w:hint="eastAsia" w:ascii="宋体" w:cs="宋体"/>
                <w:kern w:val="0"/>
                <w:szCs w:val="21"/>
                <w:lang w:val="zh-CN"/>
              </w:rPr>
              <w:t>3）货物经安装、调试，并且经相关部门验收合格后一个月内，买方向卖方支付至</w:t>
            </w:r>
            <w:r>
              <w:rPr>
                <w:rFonts w:hint="eastAsia" w:ascii="宋体" w:hAnsi="宋体"/>
                <w:bCs/>
                <w:szCs w:val="21"/>
              </w:rPr>
              <w:t>中标金额</w:t>
            </w:r>
            <w:r>
              <w:rPr>
                <w:rFonts w:hint="eastAsia" w:ascii="宋体" w:hAnsi="宋体"/>
                <w:bCs/>
                <w:szCs w:val="21"/>
                <w:lang w:val="en-IE"/>
              </w:rPr>
              <w:t>的</w:t>
            </w:r>
            <w:r>
              <w:rPr>
                <w:rFonts w:ascii="宋体" w:cs="宋体"/>
                <w:kern w:val="0"/>
                <w:szCs w:val="21"/>
                <w:lang w:val="en-IE"/>
              </w:rPr>
              <w:t>30</w:t>
            </w:r>
            <w:r>
              <w:rPr>
                <w:rFonts w:hint="eastAsia" w:ascii="宋体" w:cs="宋体"/>
                <w:kern w:val="0"/>
                <w:szCs w:val="21"/>
                <w:lang w:val="zh-CN"/>
              </w:rPr>
              <w:t>％的款额。</w:t>
            </w:r>
          </w:p>
        </w:tc>
      </w:tr>
      <w:bookmarkEnd w:id="1"/>
    </w:tbl>
    <w:p>
      <w:pPr>
        <w:snapToGrid w:val="0"/>
        <w:spacing w:line="480" w:lineRule="exact"/>
        <w:ind w:firstLine="420" w:firstLineChars="200"/>
        <w:rPr>
          <w:rFonts w:asciiTheme="majorEastAsia" w:hAnsiTheme="majorEastAsia" w:eastAsiaTheme="majorEastAsia" w:cstheme="majorEastAsia"/>
          <w:kern w:val="0"/>
          <w:szCs w:val="21"/>
        </w:rPr>
      </w:pPr>
    </w:p>
    <w:p>
      <w:pPr>
        <w:snapToGrid w:val="0"/>
        <w:spacing w:line="360" w:lineRule="auto"/>
        <w:jc w:val="center"/>
        <w:outlineLvl w:val="0"/>
        <w:rPr>
          <w:rFonts w:ascii="宋体" w:hAnsi="宋体" w:cs="宋体"/>
          <w:sz w:val="30"/>
          <w:szCs w:val="30"/>
        </w:rPr>
      </w:pPr>
      <w:r>
        <w:rPr>
          <w:rFonts w:hint="eastAsia" w:ascii="宋体" w:hAnsi="宋体"/>
          <w:szCs w:val="21"/>
        </w:rPr>
        <w:br w:type="page"/>
      </w:r>
      <w:r>
        <w:rPr>
          <w:rFonts w:hint="eastAsia" w:ascii="宋体" w:hAnsi="宋体" w:cs="宋体"/>
          <w:sz w:val="30"/>
          <w:szCs w:val="30"/>
        </w:rPr>
        <w:t>第三章  供应商须知</w:t>
      </w:r>
    </w:p>
    <w:p>
      <w:pPr>
        <w:spacing w:line="480" w:lineRule="exact"/>
        <w:jc w:val="center"/>
        <w:rPr>
          <w:rFonts w:ascii="宋体" w:hAnsi="宋体" w:cs="宋体"/>
          <w:b/>
          <w:sz w:val="24"/>
          <w:szCs w:val="36"/>
        </w:rPr>
      </w:pPr>
      <w:r>
        <w:rPr>
          <w:rFonts w:hint="eastAsia" w:ascii="宋体" w:hAnsi="宋体" w:cs="宋体"/>
          <w:b/>
          <w:sz w:val="24"/>
          <w:szCs w:val="36"/>
        </w:rPr>
        <w:t>前  附  表</w:t>
      </w:r>
    </w:p>
    <w:tbl>
      <w:tblPr>
        <w:tblStyle w:val="53"/>
        <w:tblW w:w="92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b/>
                <w:bCs/>
                <w:szCs w:val="21"/>
              </w:rPr>
            </w:pPr>
            <w:r>
              <w:rPr>
                <w:rFonts w:hint="eastAsia" w:ascii="宋体" w:hAnsi="宋体" w:cs="宋体"/>
                <w:b/>
                <w:bCs/>
                <w:szCs w:val="21"/>
              </w:rPr>
              <w:t>序号</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b/>
                <w:bCs/>
                <w:szCs w:val="21"/>
              </w:rPr>
            </w:pPr>
            <w:r>
              <w:rPr>
                <w:rFonts w:hint="eastAsia" w:ascii="宋体" w:hAnsi="宋体" w:cs="宋体"/>
                <w:b/>
                <w:bCs/>
                <w:szCs w:val="21"/>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78"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项目名称：宁海县越沙线公路治超电子检测系统建设项目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★2</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项目最高限价：148.09万元；投标报价超出最高限价的作无效标处理。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96" w:hRule="atLeast"/>
        </w:trPr>
        <w:tc>
          <w:tcPr>
            <w:tcW w:w="869" w:type="dxa"/>
            <w:tcBorders>
              <w:top w:val="single" w:color="auto" w:sz="4" w:space="0"/>
              <w:left w:val="single" w:color="auto" w:sz="4" w:space="0"/>
              <w:bottom w:val="single" w:color="auto" w:sz="4" w:space="0"/>
              <w:right w:val="single" w:color="auto" w:sz="4" w:space="0"/>
            </w:tcBorders>
            <w:vAlign w:val="center"/>
          </w:tcPr>
          <w:p>
            <w:pPr>
              <w:spacing w:line="420" w:lineRule="exact"/>
              <w:ind w:firstLine="210" w:firstLineChars="100"/>
              <w:jc w:val="left"/>
              <w:rPr>
                <w:rFonts w:ascii="宋体" w:hAnsi="宋体" w:cs="宋体"/>
                <w:szCs w:val="21"/>
              </w:rPr>
            </w:pPr>
            <w:r>
              <w:rPr>
                <w:rFonts w:hint="eastAsia" w:ascii="宋体" w:hAnsi="宋体" w:cs="宋体"/>
                <w:szCs w:val="21"/>
              </w:rPr>
              <w:t>★3</w:t>
            </w:r>
          </w:p>
        </w:tc>
        <w:tc>
          <w:tcPr>
            <w:tcW w:w="8371"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cs="宋体"/>
                <w:szCs w:val="21"/>
              </w:rPr>
            </w:pPr>
            <w:r>
              <w:rPr>
                <w:rFonts w:hint="eastAsia" w:ascii="宋体" w:hAnsi="宋体" w:cs="宋体"/>
                <w:szCs w:val="21"/>
              </w:rPr>
              <w:t>投标报价及费用：</w:t>
            </w:r>
          </w:p>
          <w:p>
            <w:pPr>
              <w:numPr>
                <w:ilvl w:val="0"/>
                <w:numId w:val="3"/>
              </w:numPr>
              <w:spacing w:line="480" w:lineRule="exact"/>
              <w:rPr>
                <w:rFonts w:ascii="宋体" w:hAnsi="宋体" w:cs="宋体"/>
                <w:szCs w:val="21"/>
              </w:rPr>
            </w:pPr>
            <w:r>
              <w:rPr>
                <w:rFonts w:hint="eastAsia" w:ascii="宋体" w:hAnsi="宋体" w:cs="宋体"/>
                <w:szCs w:val="21"/>
              </w:rPr>
              <w:t>投标报价是履行合同的最终价格，应包括本项目所需基础施工、设备费、安装费、材料费、设备调试费、验收、检验、培训、售后服务和维保、施工技术措施费用、税金以及验收、招标服务费等完成本项目所需的所有</w:t>
            </w:r>
            <w:r>
              <w:rPr>
                <w:rFonts w:ascii="宋体" w:hAnsi="宋体" w:cs="宋体"/>
                <w:szCs w:val="21"/>
              </w:rPr>
              <w:t>一切费用。</w:t>
            </w:r>
          </w:p>
          <w:p>
            <w:pPr>
              <w:spacing w:line="420" w:lineRule="exact"/>
              <w:jc w:val="left"/>
              <w:rPr>
                <w:rFonts w:ascii="宋体" w:hAnsi="宋体" w:cs="宋体"/>
                <w:szCs w:val="21"/>
              </w:rPr>
            </w:pPr>
            <w:r>
              <w:rPr>
                <w:rFonts w:hint="eastAsia" w:ascii="宋体" w:hAnsi="宋体" w:cs="宋体"/>
                <w:szCs w:val="21"/>
              </w:rPr>
              <w:t>2、不论投标结果如何，供应商均应自行承担所有与投标有关的全部费用。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4</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现场踏勘：无</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5</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演示时间及地点（如有）：无</w:t>
            </w:r>
            <w:r>
              <w:rPr>
                <w:rFonts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6</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投标文件组成和份数：</w:t>
            </w:r>
          </w:p>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（1）上传到政府采购云平台的电子投标文件（含资格文件、商务技术文件、报价文件）1份。</w:t>
            </w:r>
          </w:p>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（2）以U盘存储的电子备份投标文件（含资格文件、商务技术文件、报价文件）1份。</w:t>
            </w:r>
          </w:p>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 xml:space="preserve">（3）纸质备份投标文件：资格文件（正本1份，副本4份）、商务技术文件（正本1份，副本4份）、报价文件（正本1份，副本4份）。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7</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投标截止时间及地点：详见第一章《公开招标采购公告》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8</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开标时间及地点：详见第一章《公开招标采购公告》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9</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评标办法及评分标准：见第四章《评标办法及评标标准》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8"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10</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评标结果公示：评标结果公示于浙江政府采购网、宁波市政府采购网站、宁海县公共资源交易中心网站。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11</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12</w:t>
            </w:r>
          </w:p>
        </w:tc>
        <w:tc>
          <w:tcPr>
            <w:tcW w:w="837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80" w:lineRule="exact"/>
              <w:jc w:val="left"/>
              <w:textAlignment w:val="bottom"/>
              <w:rPr>
                <w:rFonts w:ascii="宋体" w:hAnsi="宋体" w:cs="宋体"/>
                <w:szCs w:val="21"/>
              </w:rPr>
            </w:pPr>
            <w:r>
              <w:rPr>
                <w:rFonts w:hint="eastAsia" w:ascii="宋体" w:hAnsi="宋体" w:cs="宋体"/>
                <w:szCs w:val="21"/>
              </w:rPr>
              <w:t>采购资金来源：自筹资金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13</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合同终止：中标供应商在合同有效期内，不得以任何理由终止合同，确有特殊情况的，须提前两个月向采购人提出书面申请，经采购人同意后，方可终止合同。因中标供应商不能保证工作质量，或发生重大差错事故的，采购人有权终止合同，并由中标供应商承担全部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14</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付款方式：详见第二章《采购需求》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★15</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16</w:t>
            </w:r>
          </w:p>
        </w:tc>
        <w:tc>
          <w:tcPr>
            <w:tcW w:w="8371"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宋体" w:hAnsi="宋体" w:cs="宋体"/>
                <w:szCs w:val="21"/>
              </w:rPr>
            </w:pPr>
            <w:r>
              <w:rPr>
                <w:rFonts w:hint="eastAsia" w:ascii="宋体" w:hAnsi="宋体" w:cs="宋体"/>
                <w:szCs w:val="21"/>
              </w:rPr>
              <w:t>招标代理服务费:</w:t>
            </w:r>
          </w:p>
          <w:p>
            <w:pPr>
              <w:snapToGrid w:val="0"/>
              <w:spacing w:line="480" w:lineRule="exact"/>
              <w:jc w:val="left"/>
              <w:rPr>
                <w:rFonts w:ascii="宋体" w:hAnsi="宋体" w:cs="宋体"/>
                <w:szCs w:val="21"/>
              </w:rPr>
            </w:pPr>
            <w:r>
              <w:rPr>
                <w:rFonts w:hint="eastAsia" w:ascii="宋体" w:hAnsi="宋体" w:cs="宋体"/>
                <w:szCs w:val="21"/>
              </w:rPr>
              <w:t>1. 本招标公司向中标供应商收取招标服务费：根据国家发改委发改办价格【</w:t>
            </w:r>
            <w:r>
              <w:rPr>
                <w:rFonts w:ascii="宋体" w:hAnsi="宋体" w:cs="宋体"/>
                <w:szCs w:val="21"/>
              </w:rPr>
              <w:t>2003</w:t>
            </w:r>
            <w:r>
              <w:rPr>
                <w:rFonts w:hint="eastAsia" w:ascii="宋体" w:hAnsi="宋体" w:cs="宋体"/>
                <w:szCs w:val="21"/>
              </w:rPr>
              <w:t>】</w:t>
            </w:r>
            <w:r>
              <w:rPr>
                <w:rFonts w:ascii="宋体" w:hAnsi="宋体" w:cs="宋体"/>
                <w:szCs w:val="21"/>
              </w:rPr>
              <w:t>857</w:t>
            </w:r>
            <w:r>
              <w:rPr>
                <w:rFonts w:hint="eastAsia" w:ascii="宋体" w:hAnsi="宋体" w:cs="宋体"/>
                <w:szCs w:val="21"/>
              </w:rPr>
              <w:t>号通知和国家计委计价格【</w:t>
            </w:r>
            <w:r>
              <w:rPr>
                <w:rFonts w:ascii="宋体" w:hAnsi="宋体" w:cs="宋体"/>
                <w:szCs w:val="21"/>
              </w:rPr>
              <w:t>2002</w:t>
            </w:r>
            <w:r>
              <w:rPr>
                <w:rFonts w:hint="eastAsia" w:ascii="宋体" w:hAnsi="宋体" w:cs="宋体"/>
                <w:szCs w:val="21"/>
              </w:rPr>
              <w:t>】</w:t>
            </w:r>
            <w:r>
              <w:rPr>
                <w:rFonts w:ascii="宋体" w:hAnsi="宋体" w:cs="宋体"/>
                <w:szCs w:val="21"/>
              </w:rPr>
              <w:t>1980</w:t>
            </w:r>
            <w:r>
              <w:rPr>
                <w:rFonts w:hint="eastAsia" w:ascii="宋体" w:hAnsi="宋体" w:cs="宋体"/>
                <w:szCs w:val="21"/>
              </w:rPr>
              <w:t>号文件规定的货物招标费率标准，按照中标通知书确定的总金额及评审专家费。</w:t>
            </w:r>
          </w:p>
          <w:p>
            <w:pPr>
              <w:snapToGrid w:val="0"/>
              <w:spacing w:line="480" w:lineRule="exact"/>
              <w:jc w:val="left"/>
              <w:rPr>
                <w:rFonts w:ascii="宋体" w:hAnsi="宋体" w:cs="宋体"/>
                <w:szCs w:val="21"/>
              </w:rPr>
            </w:pPr>
            <w:r>
              <w:rPr>
                <w:rFonts w:hint="eastAsia" w:ascii="宋体" w:hAnsi="宋体" w:cs="宋体"/>
                <w:szCs w:val="21"/>
              </w:rPr>
              <w:t>2.中标供应商在领取中标通知书前向本招标公司支付招标服务费。</w:t>
            </w:r>
          </w:p>
          <w:p>
            <w:pPr>
              <w:snapToGrid w:val="0"/>
              <w:spacing w:line="480" w:lineRule="exact"/>
              <w:jc w:val="left"/>
              <w:rPr>
                <w:rFonts w:ascii="宋体" w:hAnsi="宋体" w:cs="宋体"/>
                <w:szCs w:val="21"/>
              </w:rPr>
            </w:pPr>
            <w:r>
              <w:rPr>
                <w:rFonts w:hint="eastAsia" w:ascii="宋体" w:hAnsi="宋体" w:cs="宋体"/>
                <w:szCs w:val="21"/>
              </w:rPr>
              <w:t>3.招标服务费只收现金、银行票汇款、电汇款。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17</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b/>
                <w:bCs/>
                <w:color w:val="000000"/>
                <w:szCs w:val="21"/>
              </w:rPr>
              <w:t>根据《关于印发浙江省政府采购采购供应商注册及诚信管理暂行办法的通知》（浙财采购监字【2009】28号）文件的规定，经评审确定的中标或成交候选供应商必须完成宁波市政府采购管理办公室注册，否则暂缓发放中标成交通知书。相关注册流程请咨询宁波市政府采购管理办公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 w:hRule="atLeast"/>
        </w:trPr>
        <w:tc>
          <w:tcPr>
            <w:tcW w:w="869"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center"/>
              <w:rPr>
                <w:rFonts w:ascii="宋体" w:hAnsi="宋体" w:cs="宋体"/>
                <w:szCs w:val="21"/>
              </w:rPr>
            </w:pPr>
            <w:r>
              <w:rPr>
                <w:rFonts w:hint="eastAsia" w:ascii="宋体" w:hAnsi="宋体" w:cs="宋体"/>
                <w:szCs w:val="21"/>
              </w:rPr>
              <w:t>18</w:t>
            </w:r>
          </w:p>
        </w:tc>
        <w:tc>
          <w:tcPr>
            <w:tcW w:w="8371"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jc w:val="left"/>
              <w:rPr>
                <w:rFonts w:ascii="宋体" w:hAnsi="宋体" w:cs="宋体"/>
                <w:szCs w:val="21"/>
              </w:rPr>
            </w:pPr>
            <w:r>
              <w:rPr>
                <w:rFonts w:hint="eastAsia" w:ascii="宋体" w:hAnsi="宋体" w:cs="宋体"/>
                <w:szCs w:val="21"/>
              </w:rPr>
              <w:t>解释：本招标文件的解释权属于招标采购单位。</w:t>
            </w:r>
          </w:p>
        </w:tc>
      </w:tr>
    </w:tbl>
    <w:p>
      <w:pPr>
        <w:snapToGrid w:val="0"/>
        <w:spacing w:line="480" w:lineRule="exact"/>
        <w:jc w:val="left"/>
        <w:rPr>
          <w:rFonts w:ascii="宋体" w:hAnsi="宋体" w:cs="宋体"/>
          <w:sz w:val="24"/>
          <w:szCs w:val="20"/>
        </w:rPr>
      </w:pPr>
    </w:p>
    <w:p>
      <w:pPr>
        <w:snapToGrid w:val="0"/>
        <w:spacing w:line="360" w:lineRule="auto"/>
        <w:jc w:val="center"/>
        <w:rPr>
          <w:rFonts w:hAnsi="宋体" w:cs="宋体"/>
        </w:rPr>
      </w:pPr>
      <w:r>
        <w:rPr>
          <w:rFonts w:hAnsi="宋体" w:cs="宋体"/>
        </w:rPr>
        <w:br w:type="page"/>
      </w:r>
      <w:bookmarkStart w:id="2" w:name="_Toc7955"/>
    </w:p>
    <w:p>
      <w:pPr>
        <w:pStyle w:val="27"/>
        <w:snapToGrid w:val="0"/>
        <w:spacing w:beforeLines="0" w:afterLines="0" w:line="480" w:lineRule="exact"/>
        <w:jc w:val="left"/>
        <w:rPr>
          <w:rFonts w:hAnsi="宋体" w:cs="宋体"/>
          <w:b/>
          <w:sz w:val="28"/>
          <w:szCs w:val="28"/>
        </w:rPr>
      </w:pPr>
      <w:r>
        <w:rPr>
          <w:rFonts w:hAnsi="宋体" w:cs="宋体"/>
          <w:b/>
          <w:sz w:val="28"/>
          <w:szCs w:val="28"/>
        </w:rPr>
        <w:t>一   总  则</w:t>
      </w:r>
    </w:p>
    <w:p>
      <w:pPr>
        <w:snapToGrid w:val="0"/>
        <w:spacing w:line="480" w:lineRule="exact"/>
        <w:ind w:firstLine="354" w:firstLineChars="147"/>
        <w:jc w:val="left"/>
        <w:rPr>
          <w:rFonts w:ascii="宋体" w:hAnsi="宋体" w:cs="宋体"/>
          <w:b/>
          <w:sz w:val="24"/>
        </w:rPr>
      </w:pPr>
      <w:bookmarkStart w:id="3" w:name="_Toc1476"/>
      <w:r>
        <w:rPr>
          <w:rFonts w:hint="eastAsia" w:ascii="宋体" w:hAnsi="宋体" w:cs="宋体"/>
          <w:b/>
          <w:sz w:val="24"/>
        </w:rPr>
        <w:t>（一） 适用范围</w:t>
      </w:r>
      <w:bookmarkEnd w:id="3"/>
    </w:p>
    <w:p>
      <w:pPr>
        <w:snapToGrid w:val="0"/>
        <w:spacing w:line="480" w:lineRule="exact"/>
        <w:ind w:firstLine="420" w:firstLineChars="200"/>
        <w:jc w:val="left"/>
        <w:rPr>
          <w:rFonts w:ascii="宋体" w:hAnsi="宋体" w:cs="宋体"/>
          <w:szCs w:val="21"/>
        </w:rPr>
      </w:pPr>
      <w:r>
        <w:rPr>
          <w:rFonts w:hint="eastAsia" w:ascii="宋体" w:hAnsi="宋体" w:cs="宋体"/>
          <w:szCs w:val="21"/>
        </w:rPr>
        <w:t>本采购文件适用于本项目的招标、投标、评标、定标、验收、合同履约、付款等行为（法律、法规另有规定的，从其规定）。</w:t>
      </w:r>
    </w:p>
    <w:p>
      <w:pPr>
        <w:snapToGrid w:val="0"/>
        <w:spacing w:line="480" w:lineRule="exact"/>
        <w:ind w:firstLine="354" w:firstLineChars="147"/>
        <w:jc w:val="left"/>
        <w:rPr>
          <w:rFonts w:ascii="宋体" w:hAnsi="宋体" w:cs="宋体"/>
          <w:b/>
          <w:sz w:val="24"/>
        </w:rPr>
      </w:pPr>
      <w:bookmarkStart w:id="4" w:name="_Toc7571"/>
      <w:r>
        <w:rPr>
          <w:rFonts w:hint="eastAsia" w:ascii="宋体" w:hAnsi="宋体" w:cs="宋体"/>
          <w:b/>
          <w:sz w:val="24"/>
        </w:rPr>
        <w:t>（二）定义</w:t>
      </w:r>
      <w:bookmarkEnd w:id="4"/>
    </w:p>
    <w:p>
      <w:pPr>
        <w:snapToGrid w:val="0"/>
        <w:spacing w:line="480" w:lineRule="exact"/>
        <w:ind w:firstLine="420" w:firstLineChars="200"/>
        <w:jc w:val="left"/>
        <w:rPr>
          <w:rFonts w:ascii="宋体" w:hAnsi="宋体" w:cs="宋体"/>
          <w:szCs w:val="21"/>
        </w:rPr>
      </w:pPr>
      <w:r>
        <w:rPr>
          <w:rFonts w:hint="eastAsia" w:ascii="宋体" w:hAnsi="宋体" w:cs="宋体"/>
          <w:szCs w:val="21"/>
        </w:rPr>
        <w:t>1.“招标采购单位</w:t>
      </w:r>
      <w:r>
        <w:rPr>
          <w:rFonts w:ascii="宋体" w:hAnsi="宋体" w:cs="宋体"/>
          <w:szCs w:val="21"/>
        </w:rPr>
        <w:t>”</w:t>
      </w:r>
      <w:r>
        <w:rPr>
          <w:rFonts w:hint="eastAsia" w:ascii="宋体" w:hAnsi="宋体" w:cs="宋体"/>
          <w:szCs w:val="21"/>
        </w:rPr>
        <w:t>系指组织本次招标的代理机构（“采购单位”）和采购单位。</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2.“供应商”系指向采购单位提交投标文件的单位或个人。</w:t>
      </w:r>
    </w:p>
    <w:p>
      <w:pPr>
        <w:snapToGrid w:val="0"/>
        <w:spacing w:line="480" w:lineRule="exact"/>
        <w:ind w:firstLine="420" w:firstLineChars="200"/>
        <w:jc w:val="left"/>
        <w:rPr>
          <w:rFonts w:ascii="宋体" w:hAnsi="宋体" w:cs="宋体"/>
          <w:szCs w:val="21"/>
        </w:rPr>
      </w:pPr>
      <w:r>
        <w:rPr>
          <w:rFonts w:hint="eastAsia" w:ascii="宋体" w:hAnsi="宋体" w:cs="宋体"/>
          <w:szCs w:val="21"/>
        </w:rPr>
        <w:t>3.“产品”系指供方按采购文件规定，须向采购单位提供的一切设备、保险、税金、备品备件、工具、手册及其它有关技术资料和材料。</w:t>
      </w:r>
    </w:p>
    <w:p>
      <w:pPr>
        <w:snapToGrid w:val="0"/>
        <w:spacing w:line="480" w:lineRule="exact"/>
        <w:ind w:firstLine="420" w:firstLineChars="200"/>
        <w:jc w:val="left"/>
        <w:rPr>
          <w:rFonts w:ascii="宋体" w:hAnsi="宋体" w:cs="宋体"/>
          <w:szCs w:val="21"/>
        </w:rPr>
      </w:pPr>
      <w:r>
        <w:rPr>
          <w:rFonts w:hint="eastAsia" w:ascii="宋体" w:hAnsi="宋体" w:cs="宋体"/>
          <w:szCs w:val="21"/>
        </w:rPr>
        <w:t>4.“服务”系指采购文件规定供应商须承担的安装、调试、技术协助、校准、培训、技术指导以及其他类似的义务。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5.“项目”系指供应商按采购文件规定向采购单位提供的产品和服务。</w:t>
      </w:r>
    </w:p>
    <w:p>
      <w:pPr>
        <w:snapToGrid w:val="0"/>
        <w:spacing w:line="480" w:lineRule="exact"/>
        <w:ind w:firstLine="420" w:firstLineChars="200"/>
        <w:jc w:val="left"/>
        <w:rPr>
          <w:rFonts w:ascii="宋体" w:hAnsi="宋体" w:cs="宋体"/>
          <w:szCs w:val="21"/>
        </w:rPr>
      </w:pPr>
      <w:r>
        <w:rPr>
          <w:rFonts w:hint="eastAsia" w:ascii="宋体" w:hAnsi="宋体" w:cs="宋体"/>
          <w:szCs w:val="21"/>
        </w:rPr>
        <w:t>6.“书面形式”包括信函、传真、电报等。</w:t>
      </w:r>
    </w:p>
    <w:p>
      <w:pPr>
        <w:snapToGrid w:val="0"/>
        <w:spacing w:line="480" w:lineRule="exact"/>
        <w:ind w:firstLine="420" w:firstLineChars="200"/>
        <w:jc w:val="left"/>
        <w:rPr>
          <w:rFonts w:ascii="宋体" w:hAnsi="宋体" w:cs="宋体"/>
          <w:szCs w:val="21"/>
        </w:rPr>
      </w:pPr>
      <w:r>
        <w:rPr>
          <w:rFonts w:hint="eastAsia" w:ascii="宋体" w:hAnsi="宋体" w:cs="宋体"/>
          <w:szCs w:val="21"/>
        </w:rPr>
        <w:t>7.“★”系指实质性要求条款，供应商的投标对任何带“★”号的重要商务和技术条款的偏离和未作实质性响应都将直接导致废标。</w:t>
      </w:r>
    </w:p>
    <w:p>
      <w:pPr>
        <w:snapToGrid w:val="0"/>
        <w:spacing w:line="480" w:lineRule="exact"/>
        <w:ind w:firstLine="354" w:firstLineChars="147"/>
        <w:jc w:val="left"/>
        <w:rPr>
          <w:rFonts w:ascii="宋体" w:hAnsi="宋体" w:cs="宋体"/>
          <w:b/>
          <w:sz w:val="24"/>
        </w:rPr>
      </w:pPr>
      <w:bookmarkStart w:id="5" w:name="_Toc20685"/>
      <w:r>
        <w:rPr>
          <w:rFonts w:hint="eastAsia" w:ascii="宋体" w:hAnsi="宋体" w:cs="宋体"/>
          <w:b/>
          <w:sz w:val="24"/>
        </w:rPr>
        <w:t>（三）招标方式</w:t>
      </w:r>
      <w:bookmarkEnd w:id="5"/>
    </w:p>
    <w:p>
      <w:pPr>
        <w:snapToGrid w:val="0"/>
        <w:spacing w:line="480" w:lineRule="exact"/>
        <w:ind w:firstLine="420" w:firstLineChars="200"/>
        <w:jc w:val="left"/>
        <w:rPr>
          <w:rFonts w:ascii="宋体" w:hAnsi="宋体" w:cs="宋体"/>
          <w:szCs w:val="21"/>
        </w:rPr>
      </w:pPr>
      <w:r>
        <w:rPr>
          <w:rFonts w:hint="eastAsia" w:ascii="宋体" w:hAnsi="宋体" w:cs="宋体"/>
          <w:szCs w:val="21"/>
        </w:rPr>
        <w:t>本次招标采用公开招标方式进行。</w:t>
      </w:r>
    </w:p>
    <w:p>
      <w:pPr>
        <w:snapToGrid w:val="0"/>
        <w:spacing w:line="480" w:lineRule="exact"/>
        <w:ind w:firstLine="354" w:firstLineChars="147"/>
        <w:jc w:val="left"/>
        <w:rPr>
          <w:rFonts w:ascii="宋体" w:hAnsi="宋体" w:cs="宋体"/>
          <w:b/>
          <w:sz w:val="24"/>
        </w:rPr>
      </w:pPr>
      <w:bookmarkStart w:id="6" w:name="_Toc21721"/>
      <w:r>
        <w:rPr>
          <w:rFonts w:hint="eastAsia" w:ascii="宋体" w:hAnsi="宋体" w:cs="宋体"/>
          <w:b/>
          <w:sz w:val="24"/>
        </w:rPr>
        <w:t>（四）投标委托</w:t>
      </w:r>
      <w:bookmarkEnd w:id="6"/>
    </w:p>
    <w:p>
      <w:pPr>
        <w:snapToGrid w:val="0"/>
        <w:spacing w:line="480" w:lineRule="exact"/>
        <w:ind w:firstLine="420" w:firstLineChars="200"/>
        <w:jc w:val="left"/>
        <w:rPr>
          <w:rFonts w:ascii="宋体" w:hAnsi="宋体" w:cs="宋体"/>
          <w:szCs w:val="21"/>
        </w:rPr>
      </w:pPr>
      <w:r>
        <w:rPr>
          <w:rFonts w:ascii="宋体" w:hAnsi="宋体" w:cs="宋体"/>
          <w:szCs w:val="21"/>
        </w:rPr>
        <w:t>供应商代表须携带有效身份证件。如供应商代表不是法定代表人，须有法定代表人出具的授权委托书（正本用原件，副本用复印件，格式见第六章）。</w:t>
      </w:r>
    </w:p>
    <w:p>
      <w:pPr>
        <w:snapToGrid w:val="0"/>
        <w:spacing w:line="480" w:lineRule="exact"/>
        <w:ind w:firstLine="354" w:firstLineChars="147"/>
        <w:jc w:val="left"/>
        <w:rPr>
          <w:rFonts w:ascii="宋体" w:hAnsi="宋体" w:cs="宋体"/>
          <w:b/>
          <w:sz w:val="24"/>
        </w:rPr>
      </w:pPr>
      <w:bookmarkStart w:id="7" w:name="_Toc1659"/>
      <w:r>
        <w:rPr>
          <w:rFonts w:hint="eastAsia" w:ascii="宋体" w:hAnsi="宋体" w:cs="宋体"/>
          <w:b/>
          <w:sz w:val="24"/>
        </w:rPr>
        <w:t>（五）投标费用</w:t>
      </w:r>
      <w:bookmarkEnd w:id="7"/>
    </w:p>
    <w:p>
      <w:pPr>
        <w:snapToGrid w:val="0"/>
        <w:spacing w:line="480" w:lineRule="exact"/>
        <w:ind w:firstLine="420" w:firstLineChars="200"/>
        <w:jc w:val="left"/>
        <w:rPr>
          <w:rFonts w:ascii="宋体" w:hAnsi="宋体" w:cs="宋体"/>
          <w:szCs w:val="21"/>
        </w:rPr>
      </w:pPr>
      <w:r>
        <w:rPr>
          <w:rFonts w:hint="eastAsia" w:ascii="宋体" w:hAnsi="宋体" w:cs="宋体"/>
          <w:szCs w:val="21"/>
        </w:rPr>
        <w:t>不论投标结果如何，供应商均应自行承担所有与投标有关的全部费用（采购文件有其他规定除外）。</w:t>
      </w:r>
    </w:p>
    <w:p>
      <w:pPr>
        <w:snapToGrid w:val="0"/>
        <w:spacing w:line="480" w:lineRule="exact"/>
        <w:ind w:firstLine="354" w:firstLineChars="147"/>
        <w:jc w:val="left"/>
        <w:rPr>
          <w:rFonts w:ascii="宋体" w:hAnsi="宋体" w:cs="宋体"/>
          <w:b/>
          <w:sz w:val="24"/>
        </w:rPr>
      </w:pPr>
      <w:r>
        <w:rPr>
          <w:rFonts w:hint="eastAsia" w:ascii="宋体" w:hAnsi="宋体" w:cs="宋体"/>
          <w:b/>
          <w:sz w:val="24"/>
        </w:rPr>
        <w:t>（六）联合体投标。</w:t>
      </w:r>
    </w:p>
    <w:p>
      <w:pPr>
        <w:snapToGrid w:val="0"/>
        <w:spacing w:line="480" w:lineRule="exact"/>
        <w:ind w:firstLine="420" w:firstLineChars="200"/>
        <w:jc w:val="left"/>
        <w:rPr>
          <w:rFonts w:ascii="宋体" w:hAnsi="宋体" w:cs="宋体"/>
          <w:szCs w:val="21"/>
        </w:rPr>
      </w:pPr>
      <w:r>
        <w:rPr>
          <w:rFonts w:hint="eastAsia" w:ascii="宋体" w:hAnsi="宋体" w:cs="宋体"/>
          <w:szCs w:val="21"/>
        </w:rPr>
        <w:t>本项目不接受联合体投标。</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（七）转包与分包</w:t>
      </w:r>
    </w:p>
    <w:p>
      <w:pPr>
        <w:snapToGrid w:val="0"/>
        <w:spacing w:line="480" w:lineRule="exact"/>
        <w:ind w:firstLine="420" w:firstLineChars="200"/>
        <w:jc w:val="left"/>
        <w:rPr>
          <w:rFonts w:ascii="宋体" w:hAnsi="宋体" w:cs="宋体"/>
          <w:szCs w:val="21"/>
        </w:rPr>
      </w:pPr>
      <w:r>
        <w:rPr>
          <w:rFonts w:hint="eastAsia" w:ascii="宋体" w:hAnsi="宋体" w:cs="宋体"/>
          <w:szCs w:val="21"/>
        </w:rPr>
        <w:t>本项目不允许转包、分包。</w:t>
      </w:r>
    </w:p>
    <w:p>
      <w:pPr>
        <w:snapToGrid w:val="0"/>
        <w:spacing w:line="480" w:lineRule="exact"/>
        <w:ind w:firstLine="354" w:firstLineChars="147"/>
        <w:jc w:val="left"/>
        <w:rPr>
          <w:rFonts w:ascii="宋体" w:hAnsi="宋体" w:cs="宋体"/>
          <w:b/>
          <w:sz w:val="24"/>
        </w:rPr>
      </w:pPr>
      <w:bookmarkStart w:id="8" w:name="_Toc13174"/>
      <w:r>
        <w:rPr>
          <w:rFonts w:hint="eastAsia" w:ascii="宋体" w:hAnsi="宋体" w:cs="宋体"/>
          <w:b/>
          <w:sz w:val="24"/>
        </w:rPr>
        <w:t>（八）特别说明：</w:t>
      </w:r>
      <w:bookmarkEnd w:id="8"/>
    </w:p>
    <w:p>
      <w:pPr>
        <w:pStyle w:val="27"/>
        <w:snapToGrid w:val="0"/>
        <w:spacing w:beforeLines="0" w:afterLines="0" w:line="480" w:lineRule="exact"/>
        <w:ind w:firstLine="411" w:firstLineChars="196"/>
        <w:jc w:val="left"/>
        <w:rPr>
          <w:rFonts w:hAnsi="宋体" w:cs="宋体"/>
          <w:bCs/>
          <w:sz w:val="21"/>
          <w:szCs w:val="21"/>
        </w:rPr>
      </w:pPr>
      <w:r>
        <w:rPr>
          <w:rFonts w:hAnsi="宋体" w:cs="宋体"/>
          <w:bCs/>
          <w:sz w:val="21"/>
          <w:szCs w:val="21"/>
        </w:rPr>
        <w:t>★1.供应商投标所使用的资格、信誉、荣誉、业绩与企业认证必须为本法人所拥有。</w:t>
      </w:r>
    </w:p>
    <w:p>
      <w:pPr>
        <w:pStyle w:val="27"/>
        <w:snapToGrid w:val="0"/>
        <w:spacing w:beforeLines="0" w:afterLines="0" w:line="480" w:lineRule="exact"/>
        <w:ind w:firstLine="411" w:firstLineChars="196"/>
        <w:jc w:val="left"/>
        <w:rPr>
          <w:rFonts w:hAnsi="宋体" w:cs="宋体"/>
          <w:bCs/>
          <w:sz w:val="21"/>
          <w:szCs w:val="21"/>
        </w:rPr>
      </w:pPr>
      <w:r>
        <w:rPr>
          <w:rFonts w:hAnsi="宋体" w:cs="宋体"/>
          <w:bCs/>
          <w:sz w:val="21"/>
          <w:szCs w:val="21"/>
        </w:rPr>
        <w:t>★2.供应商应仔细阅读招标文件的所有内容，按照招标文件的要求提交投标文件，并对所提供的全部资料的真实性承担法律责任。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在采购活动中提供任何虚假材料,其响应文件无效，并报监管部门查处；成交后发现的,成交供应商须依照《中华人民共和国消费者权益保护法》第49条之规定双倍赔偿采购人，且民事赔偿并不免除违法供应商的行政与刑事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4. 投标单位负责人为同一人或者存在直接控股、管理关系的不同供应商，不得参加同一合同项下的政府采购活动。</w:t>
      </w:r>
    </w:p>
    <w:p>
      <w:pPr>
        <w:snapToGrid w:val="0"/>
        <w:spacing w:line="480" w:lineRule="exact"/>
        <w:ind w:firstLine="420" w:firstLineChars="200"/>
        <w:jc w:val="left"/>
        <w:rPr>
          <w:rFonts w:ascii="宋体" w:hAnsi="宋体" w:cs="宋体"/>
          <w:szCs w:val="21"/>
        </w:rPr>
      </w:pPr>
      <w:r>
        <w:rPr>
          <w:rFonts w:hint="eastAsia" w:ascii="宋体" w:hAnsi="宋体" w:cs="宋体"/>
          <w:szCs w:val="21"/>
        </w:rPr>
        <w:t>除单一来源采购项目外，为采购项目提供整体设计、规范编制或者项目管理、检测等服务的供应商，不得再参加该采购项目的其他采购活动。</w:t>
      </w:r>
    </w:p>
    <w:p>
      <w:pPr>
        <w:spacing w:line="360" w:lineRule="auto"/>
        <w:ind w:firstLine="420" w:firstLineChars="200"/>
        <w:rPr>
          <w:rFonts w:ascii="宋体" w:hAnsi="宋体"/>
        </w:rPr>
      </w:pPr>
      <w:r>
        <w:rPr>
          <w:rFonts w:ascii="宋体" w:hAnsi="宋体" w:cs="宋体"/>
        </w:rPr>
        <w:t>5</w:t>
      </w:r>
      <w:r>
        <w:rPr>
          <w:rFonts w:hint="eastAsia" w:ascii="宋体" w:hAnsi="宋体" w:cs="宋体"/>
        </w:rPr>
        <w:t>、提供相同品牌产品且通过资格审查、符合性审查的不同供应商参加同一合同项下投标的，按一家供应商计算。</w:t>
      </w:r>
    </w:p>
    <w:p>
      <w:pPr>
        <w:spacing w:line="360" w:lineRule="auto"/>
        <w:ind w:firstLine="420" w:firstLineChars="200"/>
        <w:rPr>
          <w:rFonts w:ascii="宋体" w:hAnsi="宋体"/>
        </w:rPr>
      </w:pPr>
      <w:r>
        <w:rPr>
          <w:rFonts w:hint="eastAsia" w:ascii="宋体" w:hAnsi="宋体" w:cs="宋体"/>
        </w:rPr>
        <w:t>若采用综合评分法进行评审的，评审后得分最高的同品牌供应商获得中标人推荐资格；评审得分相同的，由评标委员会按照采购文件规定的方式确定一个供应商获得中标人的推荐资格，采购文件未规定的采取随机抽取的方式确定，其他同品牌供应商不作为中标候选人。</w:t>
      </w:r>
    </w:p>
    <w:p>
      <w:pPr>
        <w:spacing w:line="360" w:lineRule="auto"/>
        <w:ind w:firstLine="420" w:firstLineChars="200"/>
        <w:rPr>
          <w:rFonts w:ascii="宋体" w:hAnsi="宋体"/>
        </w:rPr>
      </w:pPr>
      <w:r>
        <w:rPr>
          <w:rFonts w:hint="eastAsia" w:ascii="宋体" w:hAnsi="宋体" w:cs="宋体"/>
        </w:rPr>
        <w:t>若采用最低评标价法进行评审的，以报价最低的供应商参加评审，报价相同的，由评标委员会按照采购文件规定的方式确定一个供应商获得中标人的推荐资格，采购文件未规定的采取随机抽取的方式确定，其他投标无效。</w:t>
      </w:r>
    </w:p>
    <w:p>
      <w:pPr>
        <w:spacing w:line="360" w:lineRule="auto"/>
        <w:ind w:firstLine="422" w:firstLineChars="200"/>
        <w:rPr>
          <w:rFonts w:ascii="宋体" w:hAnsi="宋体"/>
          <w:b/>
          <w:bCs/>
        </w:rPr>
      </w:pPr>
      <w:r>
        <w:rPr>
          <w:rFonts w:hint="eastAsia" w:ascii="宋体" w:hAnsi="宋体" w:cs="宋体"/>
          <w:b/>
          <w:bCs/>
        </w:rPr>
        <w:t>本项目为非单一产品采购项目，采购人根据采购项目技术构成、产品价格比重等情况确定核心产品为轴重式称重平台、LED显示屏和存储设备。多家投标人提供的核心产品品牌相同的，按前两款规定处理。</w:t>
      </w:r>
    </w:p>
    <w:p>
      <w:pPr>
        <w:snapToGrid w:val="0"/>
        <w:spacing w:line="480" w:lineRule="exact"/>
        <w:ind w:firstLine="420" w:firstLineChars="200"/>
        <w:jc w:val="left"/>
        <w:rPr>
          <w:rFonts w:ascii="宋体" w:hAnsi="宋体" w:cs="宋体"/>
          <w:szCs w:val="21"/>
        </w:rPr>
      </w:pPr>
      <w:r>
        <w:rPr>
          <w:rFonts w:hint="eastAsia" w:ascii="宋体" w:hAnsi="宋体" w:cs="宋体"/>
          <w:szCs w:val="21"/>
        </w:rPr>
        <w:t>6</w:t>
      </w:r>
      <w:r>
        <w:rPr>
          <w:rFonts w:ascii="宋体" w:hAnsi="宋体" w:cs="宋体"/>
          <w:szCs w:val="21"/>
        </w:rPr>
        <w:t xml:space="preserve">、采购文件的澄清与修改 </w:t>
      </w:r>
    </w:p>
    <w:p>
      <w:pPr>
        <w:snapToGrid w:val="0"/>
        <w:spacing w:line="480" w:lineRule="exact"/>
        <w:ind w:firstLine="420" w:firstLineChars="200"/>
        <w:jc w:val="left"/>
        <w:rPr>
          <w:rFonts w:ascii="宋体" w:hAnsi="宋体" w:cs="宋体"/>
          <w:szCs w:val="21"/>
        </w:rPr>
      </w:pPr>
      <w:r>
        <w:rPr>
          <w:rFonts w:ascii="宋体" w:hAnsi="宋体" w:cs="宋体"/>
          <w:szCs w:val="21"/>
        </w:rPr>
        <w:t>（1）</w:t>
      </w:r>
      <w:r>
        <w:rPr>
          <w:rFonts w:hint="eastAsia" w:ascii="宋体" w:hAnsi="宋体" w:cs="宋体"/>
          <w:szCs w:val="21"/>
        </w:rPr>
        <w:t>采购人或者采购代理机构对采购文件进行必要的澄清或者修改的，澄清或者修改在原公告发布媒体上发布澄清公告。澄清或者修改的内容可能影响投标文件编制的，澄清公告在投标截止时间至少15日前发出；不足15日的，顺延提交投标文件的截止时间。</w:t>
      </w:r>
    </w:p>
    <w:p>
      <w:pPr>
        <w:snapToGrid w:val="0"/>
        <w:spacing w:line="480" w:lineRule="exact"/>
        <w:ind w:firstLine="420" w:firstLineChars="200"/>
        <w:jc w:val="left"/>
        <w:rPr>
          <w:rFonts w:ascii="宋体" w:hAnsi="宋体" w:cs="宋体"/>
          <w:szCs w:val="21"/>
        </w:rPr>
      </w:pPr>
      <w:r>
        <w:rPr>
          <w:rFonts w:ascii="宋体" w:hAnsi="宋体" w:cs="宋体"/>
          <w:szCs w:val="21"/>
        </w:rPr>
        <w:t>（</w:t>
      </w:r>
      <w:r>
        <w:rPr>
          <w:rFonts w:hint="eastAsia" w:ascii="宋体" w:hAnsi="宋体" w:cs="宋体"/>
          <w:szCs w:val="21"/>
        </w:rPr>
        <w:t>2</w:t>
      </w:r>
      <w:r>
        <w:rPr>
          <w:rFonts w:ascii="宋体" w:hAnsi="宋体" w:cs="宋体"/>
          <w:szCs w:val="21"/>
        </w:rPr>
        <w:t>）</w:t>
      </w:r>
      <w:r>
        <w:rPr>
          <w:rFonts w:hint="eastAsia" w:ascii="宋体" w:hAnsi="宋体" w:cs="宋体"/>
          <w:szCs w:val="21"/>
        </w:rPr>
        <w:t>澄清公告为采购文件的组成部分，一经在网站发布，视同已通知所有采购文件的收受人，不再采用其它方式传达相关信息, 若因未能及时了解到上述网站上发布的相关信息而导致的一切后果自行承担。</w:t>
      </w:r>
    </w:p>
    <w:p>
      <w:pPr>
        <w:snapToGrid w:val="0"/>
        <w:spacing w:line="480" w:lineRule="exact"/>
        <w:ind w:firstLine="420" w:firstLineChars="200"/>
        <w:jc w:val="left"/>
        <w:rPr>
          <w:rFonts w:ascii="宋体" w:hAnsi="宋体" w:cs="宋体"/>
          <w:szCs w:val="21"/>
        </w:rPr>
      </w:pPr>
      <w:r>
        <w:rPr>
          <w:rFonts w:hint="eastAsia" w:ascii="宋体" w:hAnsi="宋体" w:cs="宋体"/>
          <w:szCs w:val="21"/>
        </w:rPr>
        <w:t>（3）采购文件澄清、答复、修改、补充的内容为采购文件的组成部分。当采购文件与采购文件的答复、澄清、修改、补充通知就同一内容的表述不一致时，以最后发出的书面文件为准。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（4）采购文件的澄清、答复、修改或补充都应该通过本代理机构以法定形式发布，采购人非通过本机构，不得擅自澄清、答复、修改或补充采购文件。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7</w:t>
      </w:r>
      <w:r>
        <w:rPr>
          <w:rFonts w:ascii="宋体" w:hAnsi="宋体" w:cs="宋体"/>
          <w:szCs w:val="21"/>
        </w:rPr>
        <w:t>、关于分公司投标</w:t>
      </w:r>
    </w:p>
    <w:p>
      <w:pPr>
        <w:snapToGrid w:val="0"/>
        <w:spacing w:line="480" w:lineRule="exact"/>
        <w:ind w:firstLine="420" w:firstLineChars="200"/>
        <w:jc w:val="left"/>
        <w:rPr>
          <w:rFonts w:ascii="宋体" w:hAnsi="宋体" w:cs="宋体"/>
          <w:szCs w:val="21"/>
        </w:rPr>
      </w:pPr>
      <w:r>
        <w:rPr>
          <w:rFonts w:ascii="宋体" w:hAnsi="宋体" w:cs="宋体"/>
          <w:szCs w:val="21"/>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snapToGrid w:val="0"/>
        <w:spacing w:line="480" w:lineRule="exact"/>
        <w:ind w:firstLine="420" w:firstLineChars="200"/>
        <w:jc w:val="left"/>
        <w:rPr>
          <w:rFonts w:ascii="宋体" w:hAnsi="宋体" w:cs="宋体"/>
          <w:szCs w:val="21"/>
        </w:rPr>
      </w:pPr>
      <w:r>
        <w:rPr>
          <w:rFonts w:hint="eastAsia" w:ascii="宋体" w:hAnsi="宋体" w:cs="宋体"/>
          <w:szCs w:val="21"/>
        </w:rPr>
        <w:t>8</w:t>
      </w:r>
      <w:r>
        <w:rPr>
          <w:rFonts w:ascii="宋体" w:hAnsi="宋体" w:cs="宋体"/>
          <w:szCs w:val="21"/>
        </w:rPr>
        <w:t>、关于知识产权</w:t>
      </w:r>
    </w:p>
    <w:p>
      <w:pPr>
        <w:snapToGrid w:val="0"/>
        <w:spacing w:line="480" w:lineRule="exact"/>
        <w:ind w:firstLine="420" w:firstLineChars="200"/>
        <w:jc w:val="left"/>
        <w:rPr>
          <w:rFonts w:ascii="宋体" w:hAnsi="宋体" w:cs="宋体"/>
          <w:szCs w:val="21"/>
        </w:rPr>
      </w:pPr>
      <w:r>
        <w:rPr>
          <w:rFonts w:ascii="宋体" w:hAnsi="宋体" w:cs="宋体"/>
          <w:szCs w:val="21"/>
        </w:rPr>
        <w:t>（1）供应商必须保证，采购单位在中华人民共和国境内使用投标货物、资料、技术、服务或其任何一部分时，享有不受限制的无偿使用权，如有第三方向采购单位提出侵犯其专利权、商标权或其它知识产权的主张，该责任应由供应商承担。</w:t>
      </w:r>
    </w:p>
    <w:p>
      <w:pPr>
        <w:snapToGrid w:val="0"/>
        <w:spacing w:line="480" w:lineRule="exact"/>
        <w:ind w:firstLine="420" w:firstLineChars="200"/>
        <w:jc w:val="left"/>
        <w:rPr>
          <w:rFonts w:ascii="宋体" w:hAnsi="宋体" w:cs="宋体"/>
          <w:szCs w:val="21"/>
        </w:rPr>
      </w:pPr>
      <w:r>
        <w:rPr>
          <w:rFonts w:ascii="宋体" w:hAnsi="宋体" w:cs="宋体"/>
          <w:szCs w:val="21"/>
        </w:rPr>
        <w:t>（2）投标报价应包含所有应向所有权人支付的专利权、商标权或其它知识产权的一切相关费用。</w:t>
      </w:r>
    </w:p>
    <w:p>
      <w:pPr>
        <w:snapToGrid w:val="0"/>
        <w:spacing w:line="480" w:lineRule="exact"/>
        <w:ind w:firstLine="420" w:firstLineChars="200"/>
        <w:jc w:val="left"/>
        <w:rPr>
          <w:rFonts w:ascii="宋体" w:hAnsi="宋体" w:cs="宋体"/>
          <w:szCs w:val="21"/>
        </w:rPr>
      </w:pPr>
      <w:r>
        <w:rPr>
          <w:rFonts w:ascii="宋体" w:hAnsi="宋体" w:cs="宋体"/>
          <w:szCs w:val="21"/>
        </w:rPr>
        <w:t>（3）系统软件、通用软件必须是具有在中国境内的合法使用权或版权的正版软件，涉及到第三方提出侵权或知识产权的起诉及支付版税等费用由供应商承担所有责任及费用。</w:t>
      </w:r>
    </w:p>
    <w:p>
      <w:pPr>
        <w:snapToGrid w:val="0"/>
        <w:spacing w:line="480" w:lineRule="exact"/>
        <w:ind w:firstLine="420" w:firstLineChars="200"/>
        <w:jc w:val="left"/>
        <w:rPr>
          <w:rFonts w:ascii="宋体" w:hAnsi="宋体" w:cs="宋体"/>
          <w:szCs w:val="21"/>
        </w:rPr>
      </w:pPr>
      <w:r>
        <w:rPr>
          <w:rFonts w:hint="eastAsia" w:ascii="宋体" w:hAnsi="宋体" w:cs="宋体"/>
          <w:szCs w:val="21"/>
        </w:rPr>
        <w:t>9</w:t>
      </w:r>
      <w:r>
        <w:rPr>
          <w:rFonts w:ascii="宋体" w:hAnsi="宋体" w:cs="宋体"/>
          <w:szCs w:val="21"/>
        </w:rPr>
        <w:t>、供应商的风险</w:t>
      </w:r>
    </w:p>
    <w:p>
      <w:pPr>
        <w:snapToGrid w:val="0"/>
        <w:spacing w:line="480" w:lineRule="exact"/>
        <w:ind w:firstLine="420" w:firstLineChars="200"/>
        <w:jc w:val="left"/>
        <w:rPr>
          <w:rFonts w:ascii="宋体" w:hAnsi="宋体" w:cs="宋体"/>
          <w:szCs w:val="21"/>
        </w:rPr>
      </w:pPr>
      <w:r>
        <w:rPr>
          <w:rFonts w:ascii="宋体" w:hAnsi="宋体" w:cs="宋体"/>
          <w:szCs w:val="21"/>
        </w:rPr>
        <w:t>（1）供应商应详细阅读采购文件中的全部内容和要求，按照采购文件的要求提交投标文件，没有按照采购文件要求提供投标文件和资料导致的风险由供应商承担,并对所提供的全部资料的真实性承担法律责任。</w:t>
      </w:r>
    </w:p>
    <w:p>
      <w:pPr>
        <w:snapToGrid w:val="0"/>
        <w:spacing w:line="480" w:lineRule="exact"/>
        <w:ind w:firstLine="420" w:firstLineChars="200"/>
        <w:jc w:val="left"/>
        <w:rPr>
          <w:rFonts w:ascii="宋体" w:hAnsi="宋体" w:cs="宋体"/>
          <w:szCs w:val="21"/>
        </w:rPr>
      </w:pPr>
      <w:r>
        <w:rPr>
          <w:rFonts w:ascii="宋体" w:hAnsi="宋体" w:cs="宋体"/>
          <w:szCs w:val="21"/>
        </w:rPr>
        <w:t>（2）无论因何种原因导致本次采购活动终止致供应商损失的，相关责任人均不承担任何责任。</w:t>
      </w:r>
    </w:p>
    <w:p>
      <w:pPr>
        <w:snapToGrid w:val="0"/>
        <w:spacing w:line="480" w:lineRule="exact"/>
        <w:ind w:firstLine="420" w:firstLineChars="200"/>
        <w:jc w:val="left"/>
        <w:rPr>
          <w:rFonts w:ascii="宋体" w:hAnsi="宋体" w:cs="宋体"/>
          <w:szCs w:val="21"/>
        </w:rPr>
      </w:pPr>
      <w:r>
        <w:rPr>
          <w:rFonts w:hint="eastAsia" w:ascii="宋体" w:hAnsi="宋体" w:cs="宋体"/>
          <w:szCs w:val="21"/>
        </w:rPr>
        <w:t>10</w:t>
      </w:r>
      <w:r>
        <w:rPr>
          <w:rFonts w:ascii="宋体" w:hAnsi="宋体" w:cs="宋体"/>
          <w:szCs w:val="21"/>
        </w:rPr>
        <w:t>、解释：本采购文件的解释权属于采购单位。</w:t>
      </w:r>
    </w:p>
    <w:p>
      <w:pPr>
        <w:snapToGrid w:val="0"/>
        <w:spacing w:line="480" w:lineRule="exact"/>
        <w:ind w:firstLine="354" w:firstLineChars="147"/>
        <w:jc w:val="left"/>
        <w:rPr>
          <w:rFonts w:ascii="宋体" w:hAnsi="宋体" w:cs="宋体"/>
          <w:b/>
          <w:sz w:val="24"/>
        </w:rPr>
      </w:pPr>
      <w:bookmarkStart w:id="9" w:name="_Toc13650"/>
      <w:r>
        <w:rPr>
          <w:rFonts w:ascii="宋体" w:hAnsi="宋体" w:cs="宋体"/>
          <w:b/>
          <w:sz w:val="24"/>
        </w:rPr>
        <w:t>（九）质疑和投诉</w:t>
      </w:r>
      <w:bookmarkEnd w:id="9"/>
    </w:p>
    <w:p>
      <w:pPr>
        <w:snapToGrid w:val="0"/>
        <w:spacing w:line="480" w:lineRule="exact"/>
        <w:ind w:firstLine="420" w:firstLineChars="200"/>
        <w:jc w:val="left"/>
        <w:rPr>
          <w:rFonts w:ascii="宋体" w:hAnsi="宋体" w:cs="宋体"/>
          <w:szCs w:val="21"/>
        </w:rPr>
      </w:pPr>
      <w:bookmarkStart w:id="10" w:name="_Toc27142"/>
      <w:r>
        <w:rPr>
          <w:rFonts w:hint="eastAsia" w:ascii="宋体" w:hAnsi="宋体" w:cs="宋体"/>
          <w:szCs w:val="21"/>
        </w:rPr>
        <w:t>1. 供应商认为采购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napToGrid w:val="0"/>
        <w:spacing w:line="480" w:lineRule="exact"/>
        <w:ind w:firstLine="420" w:firstLineChars="200"/>
        <w:jc w:val="left"/>
        <w:rPr>
          <w:rFonts w:ascii="宋体" w:hAnsi="宋体" w:cs="宋体"/>
          <w:szCs w:val="21"/>
        </w:rPr>
      </w:pPr>
      <w:r>
        <w:rPr>
          <w:rFonts w:hint="eastAsia" w:ascii="宋体" w:hAnsi="宋体" w:cs="宋体"/>
          <w:szCs w:val="21"/>
        </w:rPr>
        <w:t>2. 提出质疑的供应商应当是参与所质疑项目采购活动的供应商。未依法获取采购文件的，不得就采购文件提出质疑；未提交投标文件的供应商，视为与采购结果没有利害关系，不得就采购响应截止时间后的采购过程、采购结果提出质疑。</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3.供应商提出质疑应当提交质疑函和必要的证明材料，质疑函应当面以书面形式提出，质疑函格式和内容须符合财政部《质疑函范本》要求，供应商可到中国政府采购网自行下载财政部《质疑函范本》。</w:t>
      </w:r>
    </w:p>
    <w:p>
      <w:pPr>
        <w:snapToGrid w:val="0"/>
        <w:spacing w:line="480" w:lineRule="exact"/>
        <w:ind w:firstLine="420" w:firstLineChars="200"/>
        <w:jc w:val="left"/>
        <w:rPr>
          <w:rFonts w:ascii="宋体" w:hAnsi="宋体" w:cs="宋体"/>
          <w:szCs w:val="21"/>
        </w:rPr>
      </w:pPr>
      <w:r>
        <w:rPr>
          <w:rFonts w:hint="eastAsia" w:ascii="宋体" w:hAnsi="宋体" w:cs="宋体"/>
          <w:szCs w:val="21"/>
        </w:rPr>
        <w:t>4. 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采购文件第一章有关联系方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5. 供应商对采购人或采购代理机构的质疑答复不满意或者采购人或采购代理机构未在规定时间内作出答复的，可以在答复期满后十五个工作日内向同级采购监管部门投诉。</w:t>
      </w:r>
    </w:p>
    <w:p>
      <w:pPr>
        <w:pStyle w:val="27"/>
        <w:snapToGrid w:val="0"/>
        <w:spacing w:beforeLines="0" w:afterLines="0" w:line="480" w:lineRule="exact"/>
        <w:jc w:val="left"/>
        <w:rPr>
          <w:rFonts w:hAnsi="宋体" w:cs="宋体"/>
          <w:b/>
          <w:sz w:val="28"/>
          <w:szCs w:val="28"/>
        </w:rPr>
      </w:pPr>
      <w:r>
        <w:rPr>
          <w:rFonts w:hAnsi="宋体" w:cs="宋体"/>
          <w:b/>
          <w:sz w:val="28"/>
          <w:szCs w:val="28"/>
        </w:rPr>
        <w:t xml:space="preserve">二  </w:t>
      </w:r>
      <w:bookmarkEnd w:id="10"/>
      <w:r>
        <w:rPr>
          <w:rFonts w:hAnsi="宋体" w:cs="宋体"/>
          <w:b/>
          <w:sz w:val="28"/>
          <w:szCs w:val="28"/>
        </w:rPr>
        <w:t>采购文件</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（一）采购文件的构成。本采购文件由以下部份组成：</w:t>
      </w:r>
    </w:p>
    <w:p>
      <w:pPr>
        <w:snapToGrid w:val="0"/>
        <w:spacing w:line="480" w:lineRule="exact"/>
        <w:ind w:firstLine="420" w:firstLineChars="200"/>
        <w:jc w:val="left"/>
        <w:rPr>
          <w:rFonts w:ascii="宋体" w:hAnsi="宋体" w:cs="宋体"/>
          <w:szCs w:val="21"/>
        </w:rPr>
      </w:pPr>
      <w:r>
        <w:rPr>
          <w:rFonts w:hint="eastAsia" w:ascii="宋体" w:hAnsi="宋体" w:cs="宋体"/>
          <w:szCs w:val="21"/>
        </w:rPr>
        <w:t>1.公开招标采购公告</w:t>
      </w:r>
    </w:p>
    <w:p>
      <w:pPr>
        <w:snapToGrid w:val="0"/>
        <w:spacing w:line="480" w:lineRule="exact"/>
        <w:ind w:firstLine="420" w:firstLineChars="200"/>
        <w:jc w:val="left"/>
        <w:rPr>
          <w:rFonts w:ascii="宋体" w:hAnsi="宋体" w:cs="宋体"/>
          <w:szCs w:val="21"/>
        </w:rPr>
      </w:pPr>
      <w:r>
        <w:rPr>
          <w:rFonts w:hint="eastAsia" w:ascii="宋体" w:hAnsi="宋体" w:cs="宋体"/>
          <w:szCs w:val="21"/>
        </w:rPr>
        <w:t>2.采购需求</w:t>
      </w:r>
    </w:p>
    <w:p>
      <w:pPr>
        <w:snapToGrid w:val="0"/>
        <w:spacing w:line="480" w:lineRule="exact"/>
        <w:ind w:firstLine="420" w:firstLineChars="200"/>
        <w:jc w:val="left"/>
        <w:rPr>
          <w:rFonts w:ascii="宋体" w:hAnsi="宋体" w:cs="宋体"/>
          <w:szCs w:val="21"/>
        </w:rPr>
      </w:pPr>
      <w:r>
        <w:rPr>
          <w:rFonts w:hint="eastAsia" w:ascii="宋体" w:hAnsi="宋体" w:cs="宋体"/>
          <w:szCs w:val="21"/>
        </w:rPr>
        <w:t>3.供应商须知</w:t>
      </w:r>
    </w:p>
    <w:p>
      <w:pPr>
        <w:snapToGrid w:val="0"/>
        <w:spacing w:line="480" w:lineRule="exact"/>
        <w:ind w:firstLine="420" w:firstLineChars="200"/>
        <w:jc w:val="left"/>
        <w:rPr>
          <w:rFonts w:ascii="宋体" w:hAnsi="宋体" w:cs="宋体"/>
          <w:szCs w:val="21"/>
        </w:rPr>
      </w:pPr>
      <w:r>
        <w:rPr>
          <w:rFonts w:hint="eastAsia" w:ascii="宋体" w:hAnsi="宋体" w:cs="宋体"/>
          <w:szCs w:val="21"/>
        </w:rPr>
        <w:t>4.评标办法及评分标准</w:t>
      </w:r>
    </w:p>
    <w:p>
      <w:pPr>
        <w:snapToGrid w:val="0"/>
        <w:spacing w:line="480" w:lineRule="exact"/>
        <w:ind w:firstLine="420" w:firstLineChars="200"/>
        <w:jc w:val="left"/>
        <w:rPr>
          <w:rFonts w:ascii="宋体" w:hAnsi="宋体" w:cs="宋体"/>
          <w:szCs w:val="21"/>
        </w:rPr>
      </w:pPr>
      <w:r>
        <w:rPr>
          <w:rFonts w:hint="eastAsia" w:ascii="宋体" w:hAnsi="宋体" w:cs="宋体"/>
          <w:szCs w:val="21"/>
        </w:rPr>
        <w:t>5.政府采购合同主要条款</w:t>
      </w:r>
    </w:p>
    <w:p>
      <w:pPr>
        <w:snapToGrid w:val="0"/>
        <w:spacing w:line="480" w:lineRule="exact"/>
        <w:ind w:firstLine="420" w:firstLineChars="200"/>
        <w:jc w:val="left"/>
        <w:rPr>
          <w:rFonts w:ascii="宋体" w:hAnsi="宋体" w:cs="宋体"/>
          <w:szCs w:val="21"/>
        </w:rPr>
      </w:pPr>
      <w:r>
        <w:rPr>
          <w:rFonts w:hint="eastAsia" w:ascii="宋体" w:hAnsi="宋体" w:cs="宋体"/>
          <w:szCs w:val="21"/>
        </w:rPr>
        <w:t>6.投标文件格式</w:t>
      </w:r>
    </w:p>
    <w:p>
      <w:pPr>
        <w:snapToGrid w:val="0"/>
        <w:spacing w:line="480" w:lineRule="exact"/>
        <w:ind w:firstLine="420" w:firstLineChars="200"/>
        <w:jc w:val="left"/>
        <w:rPr>
          <w:rFonts w:ascii="宋体" w:hAnsi="宋体" w:cs="宋体"/>
          <w:szCs w:val="21"/>
        </w:rPr>
      </w:pPr>
      <w:r>
        <w:rPr>
          <w:rFonts w:hint="eastAsia" w:ascii="宋体" w:hAnsi="宋体" w:cs="宋体"/>
          <w:szCs w:val="21"/>
        </w:rPr>
        <w:t>7.本项目采购文件的澄清、答复、修改、补充的内容</w:t>
      </w:r>
    </w:p>
    <w:p>
      <w:pPr>
        <w:snapToGrid w:val="0"/>
        <w:spacing w:line="480" w:lineRule="exact"/>
        <w:ind w:firstLine="354" w:firstLineChars="147"/>
        <w:jc w:val="left"/>
        <w:rPr>
          <w:rFonts w:ascii="宋体" w:hAnsi="宋体" w:cs="宋体"/>
          <w:b/>
          <w:sz w:val="24"/>
        </w:rPr>
      </w:pPr>
      <w:r>
        <w:rPr>
          <w:rFonts w:hint="eastAsia" w:ascii="宋体" w:hAnsi="宋体" w:cs="宋体"/>
          <w:b/>
          <w:sz w:val="24"/>
        </w:rPr>
        <w:t>（二）供应商的风险</w:t>
      </w:r>
    </w:p>
    <w:p>
      <w:pPr>
        <w:snapToGrid w:val="0"/>
        <w:spacing w:line="480" w:lineRule="exact"/>
        <w:ind w:firstLine="420" w:firstLineChars="200"/>
        <w:jc w:val="left"/>
        <w:rPr>
          <w:rFonts w:ascii="宋体" w:hAnsi="宋体" w:cs="宋体"/>
          <w:szCs w:val="21"/>
        </w:rPr>
      </w:pPr>
      <w:r>
        <w:rPr>
          <w:rFonts w:hint="eastAsia" w:ascii="宋体" w:hAnsi="宋体" w:cs="宋体"/>
          <w:szCs w:val="21"/>
        </w:rPr>
        <w:t>供应商没有按照采购文件要求提供全部资料，或者供应商没有对采购文件在各方面作出实质性响应是供应商的风险，并可能导致其投标被拒绝。</w:t>
      </w:r>
    </w:p>
    <w:p>
      <w:pPr>
        <w:pStyle w:val="27"/>
        <w:snapToGrid w:val="0"/>
        <w:spacing w:beforeLines="0" w:afterLines="0" w:line="480" w:lineRule="exact"/>
        <w:jc w:val="left"/>
        <w:rPr>
          <w:rFonts w:hAnsi="宋体" w:cs="宋体"/>
          <w:b/>
          <w:sz w:val="28"/>
          <w:szCs w:val="28"/>
        </w:rPr>
      </w:pPr>
      <w:r>
        <w:rPr>
          <w:rFonts w:hAnsi="宋体" w:cs="宋体"/>
          <w:b/>
          <w:sz w:val="28"/>
          <w:szCs w:val="28"/>
        </w:rPr>
        <w:t>三、投标文件的编制</w:t>
      </w:r>
    </w:p>
    <w:p>
      <w:pPr>
        <w:snapToGrid w:val="0"/>
        <w:spacing w:line="480" w:lineRule="exact"/>
        <w:ind w:firstLine="472" w:firstLineChars="196"/>
        <w:jc w:val="left"/>
        <w:rPr>
          <w:rFonts w:ascii="宋体" w:hAnsi="宋体" w:cs="宋体"/>
          <w:b/>
          <w:sz w:val="24"/>
        </w:rPr>
      </w:pPr>
      <w:r>
        <w:rPr>
          <w:rFonts w:hint="eastAsia" w:ascii="宋体" w:hAnsi="宋体" w:cs="宋体"/>
          <w:b/>
          <w:sz w:val="24"/>
        </w:rPr>
        <w:t>（一）投标文件的组成</w:t>
      </w:r>
    </w:p>
    <w:p>
      <w:pPr>
        <w:snapToGrid w:val="0"/>
        <w:spacing w:line="480" w:lineRule="exact"/>
        <w:ind w:firstLine="472" w:firstLineChars="196"/>
        <w:jc w:val="left"/>
        <w:rPr>
          <w:rFonts w:ascii="宋体" w:hAnsi="宋体" w:cs="宋体"/>
          <w:b/>
          <w:sz w:val="24"/>
        </w:rPr>
      </w:pPr>
      <w:r>
        <w:rPr>
          <w:rFonts w:hint="eastAsia" w:ascii="宋体" w:hAnsi="宋体" w:cs="宋体"/>
          <w:b/>
          <w:sz w:val="24"/>
        </w:rPr>
        <w:t>★本项目投标文件由资格审查文件、商务技术文件和报价文件三部分组成；三部分文件必须分别装订成册。</w:t>
      </w:r>
    </w:p>
    <w:p>
      <w:pPr>
        <w:snapToGrid w:val="0"/>
        <w:spacing w:line="480" w:lineRule="exact"/>
        <w:ind w:firstLine="472" w:firstLineChars="196"/>
        <w:jc w:val="left"/>
        <w:rPr>
          <w:rFonts w:ascii="宋体" w:hAnsi="宋体" w:cs="宋体"/>
          <w:b/>
          <w:sz w:val="24"/>
        </w:rPr>
      </w:pPr>
      <w:r>
        <w:rPr>
          <w:rFonts w:hint="eastAsia" w:ascii="宋体" w:hAnsi="宋体" w:cs="宋体"/>
          <w:b/>
          <w:sz w:val="24"/>
        </w:rPr>
        <w:t>1、资格审查文件内容包括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（1）资格条件自查表（格式见附件）；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（2）供应商资格声明函（格式见附件）；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（3）符合《中华人民共和国政府采购法》第二十二条规定的供应商资格条件，提供以下材料（开标时原件备查）：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1）有效的企业法人营业执照（或事业法人登记证）、其他组织（个体工商户）的营业执照或者民办非企业单位登记证书复印件；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2）2018年或2019年财务状况报告复印件，其他组织或供应商新成立不足一年，提供银行出具的资信证明材料复印件；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3）2020年开具的缴纳税收的凭据证明材料复印件；如依法免税的，应提供相应文件证明其依法免税；</w:t>
      </w:r>
    </w:p>
    <w:p>
      <w:pPr>
        <w:snapToGrid w:val="0"/>
        <w:spacing w:line="480" w:lineRule="exact"/>
        <w:ind w:firstLine="420" w:firstLineChars="200"/>
        <w:jc w:val="left"/>
        <w:rPr>
          <w:rFonts w:ascii="宋体" w:hAnsi="宋体" w:cs="宋体"/>
          <w:szCs w:val="21"/>
        </w:rPr>
      </w:pPr>
      <w:r>
        <w:rPr>
          <w:rFonts w:hint="eastAsia" w:ascii="宋体" w:hAnsi="宋体" w:cs="宋体"/>
          <w:szCs w:val="21"/>
        </w:rPr>
        <w:t>4）2020年开具的缴纳社会保险的凭据证明材料复印件；如依法不需要缴纳社会保障资金的，应提供相应文件证明其依法不需要缴纳社会保障资金；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6）提供参加政府采购活动前3年内在经营活动中没有重大违法记录的书面声明。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（4）供应商特定资格条件的证明文件（如有）。</w:t>
      </w: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2、商务技术文件内容包括：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（1）符合性自查表（格式见附件）；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（2）供应商响应表（格式见附件）；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（4）法定代表人身份证明书（格式见附件）和法定代表人的身份证复印件（正反两面）；</w:t>
      </w:r>
    </w:p>
    <w:p>
      <w:pPr>
        <w:snapToGrid w:val="0"/>
        <w:spacing w:line="480" w:lineRule="exact"/>
        <w:ind w:firstLine="420" w:firstLineChars="200"/>
        <w:jc w:val="left"/>
        <w:rPr>
          <w:rFonts w:ascii="宋体" w:hAnsi="宋体" w:cs="宋体"/>
          <w:szCs w:val="21"/>
        </w:rPr>
      </w:pPr>
      <w:r>
        <w:rPr>
          <w:rFonts w:hint="eastAsia" w:ascii="宋体" w:hAnsi="宋体" w:cs="宋体"/>
          <w:szCs w:val="21"/>
        </w:rPr>
        <w:t>（5）法定代表人授权书（格式见附件）和被授权代表身份证复印件（供应商的代表若为非法定代表人的，必须提交法定代表人授权书原件）；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（6）服务（技术）条款偏离表（格式见附件）；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（7）商务条款偏离表（格式见附件）；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（8）供应商基本情况表（格式见附件）；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（9）设备清单一览表（格式见附件）；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（10）本项目拟投入人员配备汇总表（格式见附件）；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（11）同类业绩情况一览表（格式见附件）；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（12）技术部分：针对本项目</w:t>
      </w:r>
      <w:r>
        <w:rPr>
          <w:rFonts w:hint="eastAsia" w:ascii="宋体" w:hAnsi="宋体"/>
        </w:rPr>
        <w:t>第二章采购需求和</w:t>
      </w:r>
      <w:r>
        <w:rPr>
          <w:rFonts w:hint="eastAsia" w:ascii="宋体" w:hAnsi="宋体" w:cs="宋体"/>
          <w:szCs w:val="21"/>
        </w:rPr>
        <w:t>第四章评分标准中的条款拟定各种方案，格式自拟；</w:t>
      </w:r>
    </w:p>
    <w:p>
      <w:pPr>
        <w:snapToGrid w:val="0"/>
        <w:spacing w:line="480" w:lineRule="exact"/>
        <w:ind w:firstLine="420" w:firstLineChars="200"/>
        <w:jc w:val="left"/>
        <w:rPr>
          <w:rFonts w:ascii="宋体" w:hAnsi="宋体" w:cs="宋体"/>
          <w:szCs w:val="21"/>
        </w:rPr>
      </w:pPr>
      <w:r>
        <w:rPr>
          <w:rFonts w:hint="eastAsia" w:ascii="宋体" w:hAnsi="宋体" w:cs="宋体"/>
          <w:szCs w:val="21"/>
        </w:rPr>
        <w:t>（13）第四章评标办法及评分标准中需提供的其他相关证书及合同复印件、中标通知书等并加盖公章；</w:t>
      </w:r>
    </w:p>
    <w:p>
      <w:pPr>
        <w:snapToGrid w:val="0"/>
        <w:spacing w:line="480" w:lineRule="exact"/>
        <w:ind w:firstLine="420" w:firstLineChars="200"/>
        <w:jc w:val="left"/>
        <w:rPr>
          <w:rFonts w:ascii="宋体" w:hAnsi="宋体" w:cs="宋体"/>
          <w:szCs w:val="21"/>
        </w:rPr>
      </w:pPr>
      <w:r>
        <w:rPr>
          <w:rFonts w:hint="eastAsia" w:ascii="宋体" w:hAnsi="宋体" w:cs="宋体"/>
          <w:szCs w:val="21"/>
        </w:rPr>
        <w:t>（14）供应商认为有需要提供的其它有关证明资料。</w:t>
      </w: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3、报价文件内容包括：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（1）开标一览表（格式见附件）；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（2）投标分项报价表格式（格式见附件）；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（3）中小企业声明函（如有）(格式见附件)；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（4）残疾人福利性单位声明函（非残疾人福利性单位无需提供本函)（格式见附件）；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（5）供应商针对报价需要说明的其他文件和说明（格式自拟）。</w:t>
      </w:r>
    </w:p>
    <w:p>
      <w:pPr>
        <w:snapToGrid w:val="0"/>
        <w:spacing w:line="480" w:lineRule="exact"/>
        <w:ind w:firstLine="420" w:firstLineChars="200"/>
        <w:jc w:val="left"/>
        <w:rPr>
          <w:rFonts w:ascii="宋体" w:hAnsi="宋体" w:cs="宋体"/>
          <w:szCs w:val="21"/>
        </w:rPr>
      </w:pPr>
      <w:r>
        <w:rPr>
          <w:rFonts w:hint="eastAsia" w:ascii="宋体" w:hAnsi="宋体" w:cs="宋体"/>
          <w:szCs w:val="21"/>
        </w:rPr>
        <w:t xml:space="preserve">★ </w:t>
      </w:r>
      <w:r>
        <w:rPr>
          <w:rFonts w:hint="eastAsia" w:ascii="宋体" w:hAnsi="宋体" w:cs="宋体"/>
          <w:b/>
          <w:szCs w:val="21"/>
        </w:rPr>
        <w:t>注：法定代表人授权委托书必须由法定代表人签名并加盖单位公章；供应商资格声明函、投标函、开标一览表必须由法定代表人或授权代表签名并加盖单位公章；其中商务技术文件内容中不得出现与价格有关的描述，否则将做无效标处理。</w:t>
      </w:r>
    </w:p>
    <w:p>
      <w:pPr>
        <w:snapToGrid w:val="0"/>
        <w:spacing w:line="480" w:lineRule="exact"/>
        <w:ind w:firstLine="472" w:firstLineChars="196"/>
        <w:jc w:val="left"/>
        <w:rPr>
          <w:rFonts w:ascii="宋体" w:hAnsi="宋体" w:cs="宋体"/>
          <w:b/>
          <w:sz w:val="24"/>
        </w:rPr>
      </w:pPr>
      <w:bookmarkStart w:id="11" w:name="_Toc10734"/>
      <w:r>
        <w:rPr>
          <w:rFonts w:hint="eastAsia" w:ascii="宋体" w:hAnsi="宋体" w:cs="宋体"/>
          <w:b/>
          <w:sz w:val="24"/>
        </w:rPr>
        <w:t>★（二）投标文件的语言及计量</w:t>
      </w:r>
      <w:bookmarkEnd w:id="11"/>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1.投标文件以及供应商与采购单位就有关投标事宜的所有来往函电，均应以中文汉语书写。除签名、盖章、专用名称等特殊情形外，以中文汉语以外的文字表述的投标文件视同未提供。</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2.投标计量单位，采购文件已有明确规定的，使用采购文件规定的计量单位；采购文件没有规定的，应采用中华人民共和国法定计量单位（货币单位：人民币元），否则视同未响应。</w:t>
      </w:r>
    </w:p>
    <w:p>
      <w:pPr>
        <w:snapToGrid w:val="0"/>
        <w:spacing w:line="480" w:lineRule="exact"/>
        <w:ind w:firstLine="472" w:firstLineChars="196"/>
        <w:jc w:val="left"/>
        <w:rPr>
          <w:rFonts w:ascii="宋体" w:hAnsi="宋体" w:cs="宋体"/>
          <w:b/>
          <w:sz w:val="24"/>
          <w:szCs w:val="20"/>
        </w:rPr>
      </w:pPr>
      <w:r>
        <w:rPr>
          <w:rFonts w:hint="eastAsia" w:ascii="宋体" w:hAnsi="宋体" w:cs="宋体"/>
          <w:b/>
          <w:sz w:val="24"/>
        </w:rPr>
        <w:t>（三）投标报价</w:t>
      </w:r>
    </w:p>
    <w:p>
      <w:pPr>
        <w:snapToGrid w:val="0"/>
        <w:spacing w:line="480" w:lineRule="exact"/>
        <w:ind w:firstLine="420" w:firstLineChars="200"/>
        <w:jc w:val="left"/>
        <w:rPr>
          <w:rFonts w:ascii="宋体" w:hAnsi="宋体" w:cs="宋体"/>
          <w:szCs w:val="21"/>
        </w:rPr>
      </w:pPr>
      <w:r>
        <w:rPr>
          <w:rFonts w:hint="eastAsia" w:ascii="宋体" w:hAnsi="宋体" w:cs="宋体"/>
          <w:szCs w:val="21"/>
        </w:rPr>
        <w:t>1.投标报价应按招标文件中相关附表格式填写。</w:t>
      </w:r>
    </w:p>
    <w:p>
      <w:pPr>
        <w:snapToGrid w:val="0"/>
        <w:spacing w:line="480" w:lineRule="exact"/>
        <w:ind w:firstLine="420" w:firstLineChars="200"/>
        <w:jc w:val="left"/>
        <w:rPr>
          <w:rFonts w:ascii="宋体" w:hAnsi="宋体" w:cs="宋体"/>
          <w:szCs w:val="21"/>
        </w:rPr>
      </w:pPr>
      <w:r>
        <w:rPr>
          <w:rFonts w:hint="eastAsia" w:ascii="宋体" w:hAnsi="宋体" w:cs="宋体"/>
          <w:szCs w:val="21"/>
        </w:rPr>
        <w:t>★2.投标报价是</w:t>
      </w:r>
      <w:r>
        <w:rPr>
          <w:rFonts w:hint="eastAsia" w:ascii="宋体" w:hAnsi="宋体"/>
          <w:szCs w:val="21"/>
        </w:rPr>
        <w:t>履行合同的最终价格</w:t>
      </w:r>
      <w:r>
        <w:rPr>
          <w:rFonts w:hint="eastAsia" w:ascii="宋体" w:hAnsi="宋体" w:cs="宋体"/>
          <w:szCs w:val="21"/>
        </w:rPr>
        <w:t>，具体详见第三章《供应商须知》。</w:t>
      </w:r>
    </w:p>
    <w:p>
      <w:pPr>
        <w:snapToGrid w:val="0"/>
        <w:spacing w:line="480" w:lineRule="exact"/>
        <w:ind w:firstLine="420" w:firstLineChars="200"/>
        <w:jc w:val="left"/>
        <w:rPr>
          <w:rFonts w:ascii="宋体" w:hAnsi="宋体" w:cs="宋体"/>
          <w:sz w:val="24"/>
          <w:szCs w:val="20"/>
        </w:rPr>
      </w:pPr>
      <w:r>
        <w:rPr>
          <w:rFonts w:hint="eastAsia" w:ascii="宋体" w:hAnsi="宋体" w:cs="宋体"/>
          <w:szCs w:val="21"/>
        </w:rPr>
        <w:t>★3.投标文件只允许有一个报价，有选择的或有条件的报价将不予接受。</w:t>
      </w:r>
    </w:p>
    <w:p>
      <w:pPr>
        <w:snapToGrid w:val="0"/>
        <w:spacing w:line="480" w:lineRule="exact"/>
        <w:ind w:firstLine="472" w:firstLineChars="196"/>
        <w:jc w:val="left"/>
        <w:rPr>
          <w:rFonts w:ascii="宋体" w:hAnsi="宋体" w:cs="宋体"/>
          <w:b/>
          <w:sz w:val="24"/>
        </w:rPr>
      </w:pPr>
      <w:r>
        <w:rPr>
          <w:rFonts w:hint="eastAsia" w:ascii="宋体" w:hAnsi="宋体" w:cs="宋体"/>
          <w:b/>
          <w:sz w:val="24"/>
        </w:rPr>
        <w:t>（四）投标文件的有效期</w:t>
      </w:r>
    </w:p>
    <w:p>
      <w:pPr>
        <w:snapToGrid w:val="0"/>
        <w:spacing w:line="480" w:lineRule="exact"/>
        <w:ind w:firstLine="422" w:firstLineChars="200"/>
        <w:jc w:val="left"/>
        <w:rPr>
          <w:rFonts w:ascii="宋体" w:hAnsi="宋体" w:cs="宋体"/>
          <w:b/>
          <w:szCs w:val="21"/>
        </w:rPr>
      </w:pPr>
      <w:r>
        <w:rPr>
          <w:rFonts w:hint="eastAsia" w:ascii="宋体" w:hAnsi="宋体" w:cs="宋体"/>
          <w:b/>
          <w:szCs w:val="21"/>
        </w:rPr>
        <w:t>★1.自投标截止日起90天投标文件应保持有效。有效期不足的投标文件将被拒绝。</w:t>
      </w:r>
    </w:p>
    <w:p>
      <w:pPr>
        <w:snapToGrid w:val="0"/>
        <w:spacing w:line="480" w:lineRule="exact"/>
        <w:ind w:firstLine="420" w:firstLineChars="200"/>
        <w:jc w:val="left"/>
        <w:rPr>
          <w:rFonts w:ascii="宋体" w:hAnsi="宋体" w:cs="宋体"/>
          <w:szCs w:val="21"/>
        </w:rPr>
      </w:pPr>
      <w:r>
        <w:rPr>
          <w:rFonts w:hint="eastAsia" w:ascii="宋体" w:hAnsi="宋体" w:cs="宋体"/>
          <w:szCs w:val="21"/>
        </w:rPr>
        <w:t>2.在特殊情况下，采购单位可与供应商协商延长投标书的有效期，这种要求和答复均以书面形式进行。</w:t>
      </w:r>
    </w:p>
    <w:p>
      <w:pPr>
        <w:snapToGrid w:val="0"/>
        <w:spacing w:line="480" w:lineRule="exact"/>
        <w:ind w:firstLine="420" w:firstLineChars="200"/>
        <w:jc w:val="left"/>
        <w:rPr>
          <w:rFonts w:ascii="宋体" w:hAnsi="宋体" w:cs="宋体"/>
          <w:szCs w:val="21"/>
        </w:rPr>
      </w:pPr>
      <w:bookmarkStart w:id="12" w:name="_Toc24481"/>
      <w:r>
        <w:rPr>
          <w:rFonts w:hint="eastAsia" w:ascii="宋体" w:hAnsi="宋体" w:cs="宋体"/>
          <w:szCs w:val="21"/>
        </w:rPr>
        <w:t>3.供应商可拒绝接受延期要求而不会导致投标保证金被没收。同意延长有效期的供应商需要相应延长投标保证金的有效期，但不能修改投标文件。</w:t>
      </w:r>
      <w:bookmarkEnd w:id="12"/>
      <w:r>
        <w:rPr>
          <w:rFonts w:hint="eastAsia" w:ascii="宋体" w:hAnsi="宋体" w:cs="宋体"/>
          <w:szCs w:val="21"/>
        </w:rPr>
        <w:t xml:space="preserve"> </w:t>
      </w:r>
    </w:p>
    <w:p>
      <w:pPr>
        <w:snapToGrid w:val="0"/>
        <w:spacing w:line="480" w:lineRule="exact"/>
        <w:ind w:firstLine="420" w:firstLineChars="200"/>
        <w:jc w:val="left"/>
        <w:rPr>
          <w:rFonts w:ascii="宋体" w:hAnsi="宋体" w:cs="宋体"/>
          <w:szCs w:val="21"/>
        </w:rPr>
      </w:pPr>
      <w:bookmarkStart w:id="13" w:name="_Toc6471"/>
      <w:r>
        <w:rPr>
          <w:rFonts w:hint="eastAsia" w:ascii="宋体" w:hAnsi="宋体" w:cs="宋体"/>
          <w:szCs w:val="21"/>
        </w:rPr>
        <w:t>4.中标供应商的投标文件自开标之日起至合同履行完毕止均应保持有效。</w:t>
      </w:r>
      <w:bookmarkEnd w:id="13"/>
    </w:p>
    <w:p>
      <w:pPr>
        <w:snapToGrid w:val="0"/>
        <w:spacing w:line="480" w:lineRule="exact"/>
        <w:ind w:firstLine="472" w:firstLineChars="196"/>
        <w:jc w:val="left"/>
        <w:rPr>
          <w:rFonts w:ascii="宋体" w:hAnsi="宋体" w:cs="宋体"/>
          <w:b/>
          <w:sz w:val="24"/>
        </w:rPr>
      </w:pPr>
      <w:bookmarkStart w:id="14" w:name="_Toc14508"/>
      <w:r>
        <w:rPr>
          <w:rFonts w:hint="eastAsia" w:ascii="宋体" w:hAnsi="宋体" w:cs="宋体"/>
          <w:b/>
          <w:sz w:val="24"/>
        </w:rPr>
        <w:t>（五）投标文件的签署和份数</w:t>
      </w:r>
      <w:bookmarkEnd w:id="14"/>
    </w:p>
    <w:p>
      <w:pPr>
        <w:spacing w:line="360" w:lineRule="auto"/>
        <w:ind w:firstLine="525" w:firstLineChars="250"/>
        <w:rPr>
          <w:rFonts w:ascii="宋体" w:hAnsi="宋体" w:cs="宋体"/>
        </w:rPr>
      </w:pPr>
      <w:r>
        <w:rPr>
          <w:rFonts w:hint="eastAsia" w:ascii="宋体" w:hAnsi="宋体" w:cs="宋体"/>
        </w:rPr>
        <w:t>1</w:t>
      </w:r>
      <w:r>
        <w:rPr>
          <w:rFonts w:hint="eastAsia" w:ascii="宋体" w:hAnsi="宋体" w:cs="宋体"/>
          <w:szCs w:val="21"/>
        </w:rPr>
        <w:t>.</w:t>
      </w:r>
      <w:r>
        <w:rPr>
          <w:rFonts w:hint="eastAsia" w:ascii="宋体" w:hAnsi="宋体" w:cs="宋体"/>
        </w:rPr>
        <w:t>供应商应按本采购文件规定的格式和顺序编制、装订投标文件</w:t>
      </w:r>
      <w:r>
        <w:rPr>
          <w:rFonts w:hint="eastAsia" w:ascii="宋体" w:hAnsi="宋体" w:cs="宋体"/>
          <w:szCs w:val="21"/>
        </w:rPr>
        <w:t>，投标文件要求有目录并标注页码</w:t>
      </w:r>
      <w:r>
        <w:rPr>
          <w:rFonts w:hint="eastAsia" w:ascii="宋体" w:hAnsi="宋体" w:cs="宋体"/>
        </w:rPr>
        <w:t>，投标文件内容不完整、编排混乱导致投标文件被误读、漏读或者查找不到相关内容的，是供应商的责任。</w:t>
      </w:r>
    </w:p>
    <w:p>
      <w:pPr>
        <w:spacing w:line="360" w:lineRule="auto"/>
        <w:ind w:firstLine="525" w:firstLineChars="250"/>
        <w:rPr>
          <w:rFonts w:ascii="宋体" w:hAnsi="宋体" w:cs="宋体"/>
        </w:rPr>
      </w:pPr>
      <w:r>
        <w:rPr>
          <w:rFonts w:hint="eastAsia" w:ascii="宋体" w:hAnsi="宋体" w:cs="宋体"/>
        </w:rPr>
        <w:t>2.投标文件的份数：</w:t>
      </w:r>
    </w:p>
    <w:p>
      <w:pPr>
        <w:spacing w:line="360" w:lineRule="auto"/>
        <w:ind w:firstLine="525" w:firstLineChars="250"/>
        <w:rPr>
          <w:rFonts w:ascii="宋体" w:hAnsi="宋体" w:cs="宋体"/>
        </w:rPr>
      </w:pPr>
      <w:r>
        <w:rPr>
          <w:rFonts w:hint="eastAsia" w:ascii="宋体" w:hAnsi="宋体" w:cs="宋体"/>
        </w:rPr>
        <w:t>本项目实行网上投标，供应商应准备以下投标文件：</w:t>
      </w:r>
    </w:p>
    <w:p>
      <w:pPr>
        <w:spacing w:line="360" w:lineRule="auto"/>
        <w:ind w:firstLine="525" w:firstLineChars="250"/>
        <w:rPr>
          <w:rFonts w:ascii="宋体" w:hAnsi="宋体" w:cs="宋体"/>
        </w:rPr>
      </w:pPr>
      <w:r>
        <w:rPr>
          <w:rFonts w:hint="eastAsia" w:ascii="宋体" w:hAnsi="宋体" w:cs="宋体"/>
        </w:rPr>
        <w:t>（1）上传到政府采购云平台的电子投标文件（含资格文件、商务技术文件、报价文件）1份。</w:t>
      </w:r>
    </w:p>
    <w:p>
      <w:pPr>
        <w:spacing w:line="360" w:lineRule="auto"/>
        <w:ind w:firstLine="525" w:firstLineChars="250"/>
        <w:rPr>
          <w:rFonts w:ascii="宋体" w:hAnsi="宋体" w:cs="宋体"/>
        </w:rPr>
      </w:pPr>
      <w:r>
        <w:rPr>
          <w:rFonts w:hint="eastAsia" w:ascii="宋体" w:hAnsi="宋体" w:cs="宋体"/>
        </w:rPr>
        <w:t>（2）以U盘存储的电子备份投标文件（含资格文件、商务技术文件、报价文件）1份。</w:t>
      </w:r>
    </w:p>
    <w:p>
      <w:pPr>
        <w:spacing w:line="360" w:lineRule="auto"/>
        <w:ind w:firstLine="525" w:firstLineChars="250"/>
        <w:rPr>
          <w:rFonts w:ascii="宋体" w:hAnsi="宋体" w:cs="宋体"/>
        </w:rPr>
      </w:pPr>
      <w:r>
        <w:rPr>
          <w:rFonts w:hint="eastAsia" w:ascii="宋体" w:hAnsi="宋体" w:cs="宋体"/>
        </w:rPr>
        <w:t xml:space="preserve">（3）纸质备份投标文件：资格文件（正本1份，副本4份）、商务技术文件（正本1份，副本4份）、报价文件（正本1份，副本4份）。 </w:t>
      </w:r>
    </w:p>
    <w:p>
      <w:pPr>
        <w:spacing w:line="360" w:lineRule="auto"/>
        <w:ind w:firstLine="525" w:firstLineChars="250"/>
        <w:rPr>
          <w:rFonts w:ascii="宋体" w:hAnsi="宋体" w:cs="宋体"/>
        </w:rPr>
      </w:pPr>
      <w:r>
        <w:rPr>
          <w:rFonts w:hint="eastAsia" w:ascii="宋体" w:hAnsi="宋体" w:cs="宋体"/>
        </w:rPr>
        <w:t>3.电子投标文件：</w:t>
      </w:r>
    </w:p>
    <w:p>
      <w:pPr>
        <w:spacing w:line="360" w:lineRule="auto"/>
        <w:ind w:firstLine="525" w:firstLineChars="250"/>
        <w:rPr>
          <w:rFonts w:ascii="宋体" w:hAnsi="宋体" w:cs="宋体"/>
        </w:rPr>
      </w:pPr>
      <w:r>
        <w:rPr>
          <w:rFonts w:hint="eastAsia" w:ascii="宋体" w:hAnsi="宋体" w:cs="宋体"/>
        </w:rPr>
        <w:t>供应商应根据</w:t>
      </w:r>
      <w:r>
        <w:rPr>
          <w:rFonts w:hint="eastAsia" w:ascii="宋体" w:hAnsi="宋体" w:cs="宋体"/>
          <w:kern w:val="0"/>
          <w:szCs w:val="21"/>
        </w:rPr>
        <w:t>政府采购云平台的要求</w:t>
      </w:r>
      <w:r>
        <w:rPr>
          <w:rFonts w:hint="eastAsia" w:ascii="宋体" w:hAnsi="宋体" w:cs="宋体"/>
        </w:rPr>
        <w:t>及本采购文件规定的格式和顺序编制电子投标文件并进行关联定位。</w:t>
      </w:r>
    </w:p>
    <w:p>
      <w:pPr>
        <w:spacing w:line="360" w:lineRule="auto"/>
        <w:ind w:firstLine="525" w:firstLineChars="250"/>
        <w:rPr>
          <w:rFonts w:ascii="宋体" w:hAnsi="宋体" w:cs="宋体"/>
        </w:rPr>
      </w:pPr>
      <w:r>
        <w:rPr>
          <w:rFonts w:hint="eastAsia" w:ascii="宋体" w:hAnsi="宋体" w:cs="宋体"/>
        </w:rPr>
        <w:t>4.纸质备份投标文件：</w:t>
      </w:r>
    </w:p>
    <w:p>
      <w:pPr>
        <w:spacing w:line="360" w:lineRule="auto"/>
        <w:ind w:firstLine="525" w:firstLineChars="250"/>
        <w:rPr>
          <w:rFonts w:ascii="宋体" w:hAnsi="宋体" w:cs="宋体"/>
        </w:rPr>
      </w:pPr>
      <w:r>
        <w:rPr>
          <w:rFonts w:hint="eastAsia" w:ascii="宋体" w:hAnsi="宋体" w:cs="宋体"/>
        </w:rPr>
        <w:t>（1）投标文件应按采购文件要求由资格文件、商务技术文件和报价文件三部分组成。三部份分别编制并单独装订成册。投标文件的封面应注明“正本”、“副本”字样。</w:t>
      </w:r>
    </w:p>
    <w:p>
      <w:pPr>
        <w:spacing w:line="360" w:lineRule="auto"/>
        <w:ind w:firstLine="525" w:firstLineChars="250"/>
        <w:rPr>
          <w:rFonts w:ascii="宋体" w:hAnsi="宋体" w:cs="宋体"/>
        </w:rPr>
      </w:pPr>
      <w:r>
        <w:rPr>
          <w:rFonts w:hint="eastAsia" w:ascii="宋体" w:hAnsi="宋体" w:cs="宋体"/>
        </w:rPr>
        <w:t>（2）若有多个子包，资格文件、商务技术文件可装订成一册，报价文件应按子包分别装订、密封、包装，未按规定装订、密封、包装的投标文件将被拒绝。</w:t>
      </w:r>
    </w:p>
    <w:p>
      <w:pPr>
        <w:spacing w:line="360" w:lineRule="auto"/>
        <w:ind w:firstLine="525" w:firstLineChars="250"/>
        <w:rPr>
          <w:rFonts w:ascii="宋体" w:hAnsi="宋体" w:cs="宋体"/>
        </w:rPr>
      </w:pPr>
      <w:r>
        <w:rPr>
          <w:rFonts w:hint="eastAsia" w:ascii="宋体" w:hAnsi="宋体" w:cs="宋体"/>
        </w:rPr>
        <w:t>（3）投标文件的正本需打印或用不褪色的墨水填写，投标文件正本除本《供应商须知》中规定的可提供复印件外均须提供原件。副本可以为正本的复印件，投标文件正、副本内容不一致的，以正本为准。</w:t>
      </w:r>
    </w:p>
    <w:p>
      <w:pPr>
        <w:spacing w:line="360" w:lineRule="auto"/>
        <w:ind w:firstLine="525" w:firstLineChars="250"/>
        <w:rPr>
          <w:rFonts w:ascii="宋体" w:hAnsi="宋体" w:cs="宋体"/>
        </w:rPr>
      </w:pPr>
      <w:r>
        <w:rPr>
          <w:rFonts w:hint="eastAsia" w:ascii="宋体" w:hAnsi="宋体" w:cs="宋体"/>
        </w:rPr>
        <w:t>（4）投标文件不得涂改，若有修改错漏处，须加盖单位公章或者法定代表人或授权委托人签名或盖章。投标文件因字迹潦草或表达不清所引起的后果由供应商负责。</w:t>
      </w:r>
    </w:p>
    <w:p>
      <w:pPr>
        <w:spacing w:line="360" w:lineRule="auto"/>
        <w:ind w:firstLine="525" w:firstLineChars="250"/>
        <w:rPr>
          <w:rFonts w:ascii="宋体" w:hAnsi="宋体" w:cs="宋体"/>
        </w:rPr>
      </w:pPr>
      <w:r>
        <w:rPr>
          <w:rFonts w:hint="eastAsia" w:ascii="宋体" w:hAnsi="宋体" w:cs="宋体"/>
        </w:rPr>
        <w:t>（5）投标文件须由供应商在规定位置盖章并由法定代表人或法定代表人的授权委托人签署，供应商应写全称。</w:t>
      </w:r>
    </w:p>
    <w:p>
      <w:pPr>
        <w:snapToGrid w:val="0"/>
        <w:spacing w:line="480" w:lineRule="exact"/>
        <w:ind w:firstLine="472" w:firstLineChars="196"/>
        <w:jc w:val="left"/>
        <w:rPr>
          <w:rFonts w:ascii="宋体" w:hAnsi="宋体" w:cs="宋体"/>
          <w:b/>
          <w:sz w:val="24"/>
        </w:rPr>
      </w:pPr>
      <w:r>
        <w:rPr>
          <w:rFonts w:hint="eastAsia" w:ascii="宋体" w:hAnsi="宋体" w:cs="宋体"/>
          <w:b/>
          <w:sz w:val="24"/>
        </w:rPr>
        <w:t>（六）投标文件的包装、递交、修改和撤回</w:t>
      </w:r>
    </w:p>
    <w:p>
      <w:pPr>
        <w:snapToGrid w:val="0"/>
        <w:spacing w:line="360" w:lineRule="auto"/>
        <w:ind w:firstLine="420"/>
        <w:jc w:val="left"/>
        <w:rPr>
          <w:rFonts w:ascii="宋体" w:hAnsi="宋体"/>
          <w:szCs w:val="21"/>
        </w:rPr>
      </w:pPr>
      <w:r>
        <w:rPr>
          <w:rFonts w:hint="eastAsia" w:ascii="宋体" w:hAnsi="宋体" w:cs="宋体"/>
          <w:szCs w:val="21"/>
        </w:rPr>
        <w:t>1.</w:t>
      </w:r>
      <w:r>
        <w:rPr>
          <w:rFonts w:hint="eastAsia" w:ascii="宋体" w:hAnsi="宋体" w:cs="宋体"/>
          <w:kern w:val="0"/>
          <w:szCs w:val="21"/>
        </w:rPr>
        <w:t>以U盘存储的电子备份投标文件</w:t>
      </w:r>
      <w:r>
        <w:rPr>
          <w:rFonts w:hint="eastAsia" w:ascii="宋体" w:hAnsi="宋体"/>
          <w:szCs w:val="21"/>
        </w:rPr>
        <w:t>用封袋密封后递交。</w:t>
      </w:r>
    </w:p>
    <w:p>
      <w:pPr>
        <w:snapToGrid w:val="0"/>
        <w:spacing w:line="360" w:lineRule="auto"/>
        <w:ind w:firstLine="420"/>
        <w:jc w:val="left"/>
        <w:rPr>
          <w:rFonts w:ascii="宋体" w:hAnsi="宋体" w:cs="宋体"/>
          <w:bCs/>
          <w:szCs w:val="21"/>
        </w:rPr>
      </w:pPr>
      <w:r>
        <w:rPr>
          <w:rFonts w:hint="eastAsia" w:ascii="宋体" w:hAnsi="宋体"/>
          <w:szCs w:val="21"/>
        </w:rPr>
        <w:t>2.</w:t>
      </w:r>
      <w:r>
        <w:rPr>
          <w:rFonts w:hint="eastAsia" w:ascii="宋体" w:hAnsi="宋体" w:cs="宋体"/>
          <w:kern w:val="0"/>
          <w:szCs w:val="21"/>
        </w:rPr>
        <w:t>纸质备份投标文件</w:t>
      </w:r>
      <w:r>
        <w:rPr>
          <w:rFonts w:hint="eastAsia" w:ascii="宋体" w:hAnsi="宋体" w:cs="宋体"/>
          <w:bCs/>
          <w:szCs w:val="21"/>
        </w:rPr>
        <w:t>，要求分别按</w:t>
      </w:r>
      <w:r>
        <w:rPr>
          <w:rFonts w:hint="eastAsia" w:ascii="宋体" w:hAnsi="宋体" w:cs="宋体"/>
          <w:szCs w:val="21"/>
        </w:rPr>
        <w:t>资格文件、商务技术文件和报价文件三部分</w:t>
      </w:r>
      <w:r>
        <w:rPr>
          <w:rFonts w:hint="eastAsia" w:ascii="宋体" w:hAnsi="宋体" w:cs="宋体"/>
          <w:bCs/>
          <w:szCs w:val="21"/>
        </w:rPr>
        <w:t>分开包装。</w:t>
      </w:r>
    </w:p>
    <w:p>
      <w:pPr>
        <w:snapToGrid w:val="0"/>
        <w:spacing w:line="360" w:lineRule="auto"/>
        <w:ind w:firstLine="420"/>
        <w:jc w:val="left"/>
        <w:rPr>
          <w:rFonts w:ascii="宋体" w:hAnsi="宋体" w:cs="宋体"/>
          <w:szCs w:val="21"/>
        </w:rPr>
      </w:pPr>
      <w:r>
        <w:rPr>
          <w:rFonts w:hint="eastAsia" w:ascii="宋体" w:hAnsi="宋体" w:cs="宋体"/>
          <w:bCs/>
          <w:szCs w:val="21"/>
        </w:rPr>
        <w:t>3.</w:t>
      </w:r>
      <w:r>
        <w:rPr>
          <w:rFonts w:hint="eastAsia" w:ascii="宋体" w:hAnsi="宋体" w:cs="宋体"/>
          <w:szCs w:val="21"/>
        </w:rPr>
        <w:t>投标文件的包装封面上应注明供应商名称、供应商地址、投标文件名称(</w:t>
      </w:r>
      <w:r>
        <w:rPr>
          <w:rFonts w:hint="eastAsia" w:ascii="宋体" w:hAnsi="宋体" w:cs="宋体"/>
          <w:kern w:val="0"/>
          <w:szCs w:val="21"/>
        </w:rPr>
        <w:t>电子备份投标文件/</w:t>
      </w:r>
      <w:r>
        <w:rPr>
          <w:rFonts w:hint="eastAsia" w:ascii="宋体" w:hAnsi="宋体" w:cs="宋体"/>
          <w:szCs w:val="21"/>
        </w:rPr>
        <w:t>资格文件/商务技术文件/报价文件)、投标项目名称、项目编号、子包号，并加盖供应商公章。</w:t>
      </w:r>
    </w:p>
    <w:p>
      <w:pPr>
        <w:snapToGrid w:val="0"/>
        <w:spacing w:line="360" w:lineRule="auto"/>
        <w:ind w:firstLine="420"/>
        <w:jc w:val="left"/>
        <w:rPr>
          <w:rFonts w:ascii="宋体" w:hAnsi="宋体" w:cs="宋体"/>
          <w:szCs w:val="21"/>
        </w:rPr>
      </w:pPr>
      <w:r>
        <w:rPr>
          <w:rFonts w:hint="eastAsia" w:ascii="宋体" w:hAnsi="宋体" w:cs="宋体"/>
          <w:szCs w:val="21"/>
        </w:rPr>
        <w:t>4.未按规定密封或标记的投标文件将被拒绝，由此造成投标文件被误投或提前拆封的风险由供应商承担。</w:t>
      </w:r>
    </w:p>
    <w:p>
      <w:pPr>
        <w:snapToGrid w:val="0"/>
        <w:spacing w:line="360" w:lineRule="auto"/>
        <w:ind w:firstLine="420"/>
        <w:jc w:val="left"/>
        <w:rPr>
          <w:rFonts w:ascii="宋体" w:hAnsi="宋体" w:cs="宋体"/>
          <w:szCs w:val="21"/>
        </w:rPr>
      </w:pPr>
      <w:r>
        <w:rPr>
          <w:rFonts w:hint="eastAsia" w:ascii="宋体" w:hAnsi="宋体" w:cs="宋体"/>
          <w:szCs w:val="21"/>
        </w:rPr>
        <w:t>5.供应商在投标截止时间之前，可以对已提交的</w:t>
      </w:r>
      <w:r>
        <w:rPr>
          <w:rFonts w:hint="eastAsia" w:ascii="宋体" w:hAnsi="宋体" w:cs="宋体"/>
          <w:kern w:val="0"/>
          <w:szCs w:val="21"/>
        </w:rPr>
        <w:t>电子备份投标文件和纸质备份投标文件</w:t>
      </w:r>
      <w:r>
        <w:rPr>
          <w:rFonts w:hint="eastAsia" w:ascii="宋体" w:hAnsi="宋体" w:cs="宋体"/>
          <w:szCs w:val="21"/>
        </w:rPr>
        <w:t>进行修改或撤回，并书面通知招标采购单位；投标截止时间后，供应商不得撤回、修改投标文件。修改后重新递交的</w:t>
      </w:r>
      <w:r>
        <w:rPr>
          <w:rFonts w:hint="eastAsia" w:ascii="宋体" w:hAnsi="宋体" w:cs="宋体"/>
          <w:kern w:val="0"/>
          <w:szCs w:val="21"/>
        </w:rPr>
        <w:t>电子备份投标文件和纸质备份投标文件</w:t>
      </w:r>
      <w:r>
        <w:rPr>
          <w:rFonts w:hint="eastAsia" w:ascii="宋体" w:hAnsi="宋体" w:cs="宋体"/>
          <w:szCs w:val="21"/>
        </w:rPr>
        <w:t>应当按本采购文件的要求签署、盖章和密封。</w:t>
      </w:r>
    </w:p>
    <w:p>
      <w:pPr>
        <w:snapToGrid w:val="0"/>
        <w:spacing w:line="360" w:lineRule="auto"/>
        <w:ind w:firstLine="420"/>
        <w:jc w:val="left"/>
        <w:rPr>
          <w:rFonts w:ascii="宋体" w:hAnsi="宋体" w:cs="宋体"/>
          <w:szCs w:val="21"/>
        </w:rPr>
      </w:pPr>
      <w:r>
        <w:rPr>
          <w:rFonts w:hint="eastAsia" w:ascii="宋体" w:hAnsi="宋体" w:cs="宋体"/>
          <w:szCs w:val="21"/>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27"/>
        <w:snapToGrid w:val="0"/>
        <w:spacing w:beforeLines="0" w:afterLines="0" w:line="480" w:lineRule="exact"/>
        <w:jc w:val="left"/>
        <w:rPr>
          <w:rFonts w:hAnsi="宋体" w:cs="宋体"/>
          <w:b/>
          <w:sz w:val="28"/>
          <w:szCs w:val="28"/>
        </w:rPr>
      </w:pPr>
      <w:r>
        <w:rPr>
          <w:rFonts w:hAnsi="宋体" w:cs="宋体"/>
          <w:b/>
          <w:sz w:val="28"/>
          <w:szCs w:val="28"/>
        </w:rPr>
        <w:t>四、采购方式变更</w:t>
      </w:r>
    </w:p>
    <w:p>
      <w:pPr>
        <w:snapToGrid w:val="0"/>
        <w:spacing w:line="480" w:lineRule="exact"/>
        <w:ind w:firstLine="420" w:firstLineChars="200"/>
        <w:jc w:val="left"/>
        <w:rPr>
          <w:rFonts w:ascii="宋体" w:hAnsi="宋体" w:cs="宋体"/>
          <w:szCs w:val="21"/>
        </w:rPr>
      </w:pPr>
      <w:r>
        <w:rPr>
          <w:rFonts w:hint="eastAsia" w:ascii="宋体" w:hAnsi="宋体" w:cs="宋体"/>
          <w:szCs w:val="21"/>
        </w:rPr>
        <w:t>1．政府采购的国内公开招标，采购响应截至时间至或评审期间，出现参与采购响应或者对采购文件作出实质性响应的供应商不足3家的情况，则请示主管部门后再定。</w:t>
      </w:r>
    </w:p>
    <w:p>
      <w:pPr>
        <w:pStyle w:val="27"/>
        <w:snapToGrid w:val="0"/>
        <w:spacing w:beforeLines="0" w:afterLines="0" w:line="480" w:lineRule="exact"/>
        <w:jc w:val="left"/>
        <w:rPr>
          <w:rFonts w:hAnsi="宋体" w:cs="宋体"/>
          <w:b/>
          <w:sz w:val="28"/>
          <w:szCs w:val="28"/>
        </w:rPr>
      </w:pPr>
      <w:bookmarkStart w:id="15" w:name="_Toc2054"/>
      <w:r>
        <w:rPr>
          <w:rFonts w:hAnsi="宋体" w:cs="宋体"/>
          <w:b/>
          <w:sz w:val="28"/>
          <w:szCs w:val="28"/>
        </w:rPr>
        <w:t>五、特别说明</w:t>
      </w:r>
      <w:bookmarkEnd w:id="15"/>
    </w:p>
    <w:p>
      <w:pPr>
        <w:snapToGrid w:val="0"/>
        <w:spacing w:line="480" w:lineRule="exact"/>
        <w:ind w:firstLine="420" w:firstLineChars="200"/>
        <w:jc w:val="left"/>
        <w:rPr>
          <w:rFonts w:ascii="宋体" w:hAnsi="宋体" w:cs="宋体"/>
          <w:szCs w:val="21"/>
        </w:rPr>
      </w:pPr>
      <w:r>
        <w:rPr>
          <w:rFonts w:hint="eastAsia" w:ascii="宋体" w:hAnsi="宋体" w:cs="宋体"/>
          <w:szCs w:val="21"/>
        </w:rPr>
        <w:t>1.政府采购活动中有关中小企业的相关规定（采购进口产品的项目不适用）</w:t>
      </w:r>
    </w:p>
    <w:p>
      <w:pPr>
        <w:snapToGrid w:val="0"/>
        <w:spacing w:line="480" w:lineRule="exact"/>
        <w:ind w:firstLine="420" w:firstLineChars="200"/>
        <w:jc w:val="left"/>
        <w:rPr>
          <w:rFonts w:ascii="宋体" w:hAnsi="宋体" w:cs="宋体"/>
          <w:szCs w:val="21"/>
        </w:rPr>
      </w:pPr>
      <w:r>
        <w:rPr>
          <w:rFonts w:hint="eastAsia" w:ascii="宋体" w:hAnsi="宋体" w:cs="宋体"/>
          <w:szCs w:val="21"/>
        </w:rPr>
        <w:t>1.1参加政府采购活动的中小企业（含中型、小型、微型企业，其他地方同）应当同时符合以下条件：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（一）符合中小企业划分标准（具体见工信部联企业[2011]300号）；</w:t>
      </w:r>
    </w:p>
    <w:p>
      <w:pPr>
        <w:snapToGrid w:val="0"/>
        <w:spacing w:line="480" w:lineRule="exact"/>
        <w:ind w:firstLine="420" w:firstLineChars="200"/>
        <w:jc w:val="left"/>
        <w:rPr>
          <w:rFonts w:ascii="宋体" w:hAnsi="宋体" w:cs="宋体"/>
          <w:szCs w:val="21"/>
        </w:rPr>
      </w:pPr>
      <w:r>
        <w:rPr>
          <w:rFonts w:hint="eastAsia" w:ascii="宋体" w:hAnsi="宋体" w:cs="宋体"/>
          <w:szCs w:val="21"/>
        </w:rPr>
        <w:t>（二）提供本企业制造的货物、承担的工程或者服务，或者提供其他中小企业制造的货物。本项所称货物不包括使用大型企业注册商标的货物。</w:t>
      </w:r>
    </w:p>
    <w:p>
      <w:pPr>
        <w:snapToGrid w:val="0"/>
        <w:spacing w:line="480" w:lineRule="exact"/>
        <w:ind w:firstLine="420" w:firstLineChars="200"/>
        <w:jc w:val="left"/>
        <w:rPr>
          <w:rFonts w:ascii="宋体" w:hAnsi="宋体" w:cs="宋体"/>
          <w:szCs w:val="21"/>
        </w:rPr>
      </w:pPr>
      <w:r>
        <w:rPr>
          <w:rFonts w:hint="eastAsia" w:ascii="宋体" w:hAnsi="宋体" w:cs="宋体"/>
          <w:szCs w:val="21"/>
        </w:rPr>
        <w:t>（三）小型、微型企业提供中型企业制造的货物的，视同为中型企业。</w:t>
      </w:r>
    </w:p>
    <w:p>
      <w:pPr>
        <w:snapToGrid w:val="0"/>
        <w:spacing w:line="480" w:lineRule="exact"/>
        <w:ind w:firstLine="420" w:firstLineChars="200"/>
        <w:jc w:val="left"/>
        <w:rPr>
          <w:rFonts w:ascii="宋体" w:hAnsi="宋体" w:cs="宋体"/>
          <w:szCs w:val="21"/>
        </w:rPr>
      </w:pPr>
      <w:r>
        <w:rPr>
          <w:rFonts w:hint="eastAsia" w:ascii="宋体" w:hAnsi="宋体" w:cs="宋体"/>
          <w:szCs w:val="21"/>
        </w:rPr>
        <w:t>1.2参加政府采购活动的中小企业应当提供《中小企业声明函》。</w:t>
      </w:r>
    </w:p>
    <w:p>
      <w:pPr>
        <w:snapToGrid w:val="0"/>
        <w:spacing w:line="480" w:lineRule="exact"/>
        <w:ind w:firstLine="420" w:firstLineChars="200"/>
        <w:jc w:val="left"/>
        <w:rPr>
          <w:rFonts w:ascii="宋体" w:hAnsi="宋体" w:cs="宋体"/>
          <w:szCs w:val="21"/>
        </w:rPr>
      </w:pPr>
      <w:r>
        <w:rPr>
          <w:rFonts w:hint="eastAsia" w:ascii="宋体" w:hAnsi="宋体" w:cs="宋体"/>
          <w:szCs w:val="21"/>
        </w:rPr>
        <w:t>1.3对于非专门面向中小企业的项目，对小型和微型企业产品的价格应给予6%-10%的扣除，用扣除后的价格参与评审。具体扣除比例见第四章 评标办法及评分标准（如有）。</w:t>
      </w:r>
    </w:p>
    <w:p>
      <w:pPr>
        <w:snapToGrid w:val="0"/>
        <w:spacing w:line="480" w:lineRule="exact"/>
        <w:ind w:firstLine="420" w:firstLineChars="200"/>
        <w:jc w:val="left"/>
        <w:rPr>
          <w:rFonts w:ascii="宋体" w:hAnsi="宋体" w:cs="宋体"/>
          <w:szCs w:val="21"/>
        </w:rPr>
      </w:pPr>
      <w:r>
        <w:rPr>
          <w:rFonts w:hint="eastAsia" w:ascii="宋体" w:hAnsi="宋体" w:cs="宋体"/>
          <w:szCs w:val="21"/>
        </w:rPr>
        <w:t>1.4大中型企业和其他自然人、法人或者其他组织与小型、微型企业组成联合体共同参加非专门面向中小企业的政府采购活动。联合协议中约定，小型、微型企业的协议合同金额占到联合体协议合同总金额30%以上的，可给予联合体2%-3%的价格扣除，用扣除后的价格参与评审。是否给予联合体价格扣除及具体扣除比例见第四章 评标办法及评分标准（如有）。联合体各方均为小型、微型企业的，联合体视同为小型、微型企业。组成联合体的大中型企业和其他自然人、法人或者其他组织，与小型、微型企业之间不得存在投资关系。</w:t>
      </w:r>
    </w:p>
    <w:p>
      <w:pPr>
        <w:snapToGrid w:val="0"/>
        <w:spacing w:line="480" w:lineRule="exact"/>
        <w:ind w:firstLine="420" w:firstLineChars="200"/>
        <w:jc w:val="left"/>
        <w:rPr>
          <w:rFonts w:ascii="宋体" w:hAnsi="宋体" w:cs="宋体"/>
          <w:szCs w:val="21"/>
        </w:rPr>
      </w:pPr>
      <w:r>
        <w:rPr>
          <w:rFonts w:hint="eastAsia" w:ascii="宋体" w:hAnsi="宋体" w:cs="宋体"/>
          <w:szCs w:val="21"/>
        </w:rPr>
        <w:t>1.5如果在采购活动过程中相关采购当事人对供应商“中小企业”资格有异议的，供应商应当向采购代理机构和采购监管部门提供由第三方机构审计确认的财务会计报告和劳动部门提供的年度社会保障基金缴纳清单。</w:t>
      </w:r>
    </w:p>
    <w:p>
      <w:pPr>
        <w:snapToGrid w:val="0"/>
        <w:spacing w:line="480" w:lineRule="exact"/>
        <w:ind w:firstLine="420" w:firstLineChars="200"/>
        <w:jc w:val="left"/>
        <w:rPr>
          <w:rFonts w:ascii="宋体" w:hAnsi="宋体" w:cs="宋体"/>
          <w:szCs w:val="21"/>
        </w:rPr>
      </w:pPr>
      <w:r>
        <w:rPr>
          <w:rFonts w:hint="eastAsia" w:ascii="宋体" w:hAnsi="宋体" w:cs="宋体"/>
          <w:szCs w:val="21"/>
        </w:rPr>
        <w:t>1.6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1.7根据《关于促进残疾人就业政府采购政策的通知》（财库[2017]141号）规定，残疾人福利性单位视同小型、微型企业。符合条件的残疾人福利性单位在参加政府采购活动时，应当在投标文件中提供通知规定的《残疾人福利性单位声明函》（格式见附件），并对声明的真实性负责。</w:t>
      </w: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hAnsi="宋体" w:cs="宋体"/>
        </w:rPr>
      </w:pPr>
    </w:p>
    <w:p>
      <w:pPr>
        <w:snapToGrid w:val="0"/>
        <w:spacing w:line="360" w:lineRule="auto"/>
        <w:jc w:val="center"/>
        <w:rPr>
          <w:rFonts w:ascii="宋体" w:hAnsi="宋体" w:cs="宋体"/>
          <w:sz w:val="30"/>
          <w:szCs w:val="30"/>
        </w:rPr>
      </w:pPr>
      <w:r>
        <w:rPr>
          <w:rFonts w:hint="eastAsia" w:ascii="宋体" w:hAnsi="宋体" w:cs="宋体"/>
          <w:sz w:val="30"/>
          <w:szCs w:val="30"/>
        </w:rPr>
        <w:t>第四章  评标办法及评分标准</w:t>
      </w:r>
      <w:bookmarkEnd w:id="2"/>
    </w:p>
    <w:p>
      <w:pPr>
        <w:pStyle w:val="30"/>
        <w:widowControl/>
        <w:spacing w:line="360" w:lineRule="auto"/>
        <w:ind w:firstLineChars="0"/>
        <w:jc w:val="left"/>
        <w:rPr>
          <w:rFonts w:ascii="宋体" w:cs="宋体"/>
          <w:b w:val="0"/>
          <w:bCs w:val="0"/>
          <w:color w:val="auto"/>
          <w:sz w:val="21"/>
          <w:szCs w:val="21"/>
        </w:rPr>
      </w:pPr>
    </w:p>
    <w:p>
      <w:pPr>
        <w:pStyle w:val="30"/>
        <w:spacing w:line="480" w:lineRule="exact"/>
        <w:ind w:firstLine="417" w:firstLineChars="199"/>
        <w:rPr>
          <w:rFonts w:ascii="宋体" w:cs="宋体"/>
          <w:b w:val="0"/>
          <w:sz w:val="21"/>
          <w:szCs w:val="21"/>
        </w:rPr>
      </w:pPr>
      <w:r>
        <w:rPr>
          <w:rFonts w:hint="eastAsia" w:ascii="宋体" w:cs="宋体"/>
          <w:b w:val="0"/>
          <w:sz w:val="21"/>
          <w:szCs w:val="21"/>
        </w:rPr>
        <w:t xml:space="preserve">本办法严格遵照《中华人民共和国政府采购法》、《政府采购货物和服务招标投标管理办法》，结合项目所在地政府有关政府采购规定和项目的实际情况制定。本次采购为非专门面向中小企业，本次评标将对中小企业声明函满足要求的小型和微型企业（或视同小微企业）产品的价格给予6%的扣除，对联合体投标。（如有）中满足要求的小型和微型企业产品的价格给予2%的扣除，用扣除后的价格参与评审。 </w:t>
      </w:r>
    </w:p>
    <w:p>
      <w:pPr>
        <w:spacing w:line="480" w:lineRule="exact"/>
        <w:rPr>
          <w:rFonts w:ascii="宋体" w:hAnsi="宋体" w:cs="宋体"/>
          <w:b/>
          <w:bCs/>
          <w:color w:val="000000"/>
          <w:szCs w:val="21"/>
        </w:rPr>
      </w:pPr>
      <w:r>
        <w:rPr>
          <w:rFonts w:hint="eastAsia" w:ascii="宋体" w:hAnsi="宋体" w:cs="宋体"/>
          <w:b/>
          <w:bCs/>
          <w:color w:val="000000"/>
          <w:szCs w:val="21"/>
        </w:rPr>
        <w:t>一、开标准备</w:t>
      </w:r>
    </w:p>
    <w:p>
      <w:pPr>
        <w:pStyle w:val="30"/>
        <w:spacing w:line="480" w:lineRule="exact"/>
        <w:ind w:firstLine="417" w:firstLineChars="199"/>
        <w:rPr>
          <w:rFonts w:ascii="宋体" w:cs="宋体"/>
          <w:b w:val="0"/>
          <w:sz w:val="21"/>
          <w:szCs w:val="21"/>
        </w:rPr>
      </w:pPr>
      <w:r>
        <w:rPr>
          <w:rFonts w:hint="eastAsia" w:ascii="宋体" w:cs="宋体"/>
          <w:b w:val="0"/>
          <w:sz w:val="21"/>
          <w:szCs w:val="21"/>
        </w:rPr>
        <w:t>采购代理机构将在规定的时间和地点进行开标，供应商的法定代表人或其授权代表应参加开标会并签到。供应商的法定代表人或其授权代表未按时签到的，视同放弃开标监督权利、认可开标结果。</w:t>
      </w:r>
    </w:p>
    <w:p>
      <w:pPr>
        <w:spacing w:line="480" w:lineRule="exact"/>
        <w:rPr>
          <w:rFonts w:ascii="宋体" w:hAnsi="宋体" w:cs="宋体"/>
          <w:b/>
          <w:bCs/>
          <w:color w:val="000000"/>
          <w:szCs w:val="21"/>
        </w:rPr>
      </w:pPr>
      <w:r>
        <w:rPr>
          <w:rFonts w:hint="eastAsia" w:ascii="宋体" w:hAnsi="宋体" w:cs="宋体"/>
          <w:b/>
          <w:bCs/>
          <w:color w:val="000000"/>
          <w:szCs w:val="21"/>
        </w:rPr>
        <w:t>二、开标程序：</w:t>
      </w:r>
    </w:p>
    <w:p>
      <w:pPr>
        <w:spacing w:line="400" w:lineRule="exact"/>
        <w:ind w:firstLine="420" w:firstLineChars="200"/>
        <w:jc w:val="left"/>
        <w:rPr>
          <w:rFonts w:ascii="宋体" w:hAnsi="宋体" w:cs="宋体"/>
          <w:bCs/>
          <w:szCs w:val="21"/>
          <w:lang w:bidi="ar"/>
        </w:rPr>
      </w:pPr>
      <w:r>
        <w:rPr>
          <w:rFonts w:hint="eastAsia" w:ascii="宋体" w:hAnsi="宋体" w:cs="宋体"/>
          <w:bCs/>
          <w:szCs w:val="21"/>
          <w:lang w:bidi="ar"/>
        </w:rPr>
        <w:t>1、电子招投标开标程序：</w:t>
      </w:r>
    </w:p>
    <w:p>
      <w:pPr>
        <w:spacing w:line="400" w:lineRule="exact"/>
        <w:ind w:firstLine="420" w:firstLineChars="200"/>
        <w:jc w:val="left"/>
        <w:rPr>
          <w:rFonts w:ascii="宋体" w:hAnsi="宋体"/>
          <w:szCs w:val="21"/>
        </w:rPr>
      </w:pPr>
      <w:r>
        <w:rPr>
          <w:rFonts w:hint="eastAsia" w:ascii="宋体" w:hAnsi="宋体"/>
          <w:szCs w:val="21"/>
        </w:rPr>
        <w:t>第一阶段：</w:t>
      </w:r>
    </w:p>
    <w:p>
      <w:pPr>
        <w:numPr>
          <w:ilvl w:val="0"/>
          <w:numId w:val="4"/>
        </w:numPr>
        <w:spacing w:line="400" w:lineRule="exact"/>
        <w:ind w:firstLine="420" w:firstLineChars="200"/>
        <w:jc w:val="left"/>
        <w:rPr>
          <w:rFonts w:ascii="宋体" w:hAnsi="宋体"/>
          <w:szCs w:val="21"/>
        </w:rPr>
      </w:pPr>
      <w:r>
        <w:rPr>
          <w:rFonts w:hint="eastAsia" w:ascii="宋体" w:hAnsi="宋体"/>
          <w:szCs w:val="21"/>
        </w:rPr>
        <w:t>投标截止时间后，供应商登录政府采购云平台，用“项目采购-开标评标”功能对电子投标文件进行在线解密，在线解密电子投标文件时间为开标时间后30分钟内。</w:t>
      </w:r>
    </w:p>
    <w:p>
      <w:pPr>
        <w:numPr>
          <w:ilvl w:val="0"/>
          <w:numId w:val="4"/>
        </w:numPr>
        <w:spacing w:line="400" w:lineRule="exact"/>
        <w:ind w:firstLine="420" w:firstLineChars="200"/>
        <w:jc w:val="left"/>
        <w:rPr>
          <w:rFonts w:ascii="宋体" w:hAnsi="宋体"/>
          <w:szCs w:val="21"/>
        </w:rPr>
      </w:pPr>
      <w:r>
        <w:rPr>
          <w:rFonts w:hint="eastAsia" w:ascii="宋体" w:hAnsi="宋体"/>
          <w:szCs w:val="21"/>
        </w:rPr>
        <w:t>在政府采购云平台开启已解密供应商的“资格文件、商务技术文件”，并做开标记录；</w:t>
      </w:r>
    </w:p>
    <w:p>
      <w:pPr>
        <w:spacing w:line="400" w:lineRule="exact"/>
        <w:ind w:firstLine="420" w:firstLineChars="200"/>
        <w:jc w:val="left"/>
        <w:rPr>
          <w:rFonts w:ascii="宋体" w:hAnsi="宋体"/>
          <w:szCs w:val="21"/>
        </w:rPr>
      </w:pPr>
      <w:r>
        <w:rPr>
          <w:rFonts w:hint="eastAsia" w:ascii="宋体" w:hAnsi="宋体"/>
          <w:szCs w:val="21"/>
        </w:rPr>
        <w:t>第二阶段：</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宣告第一阶段评审无效供应商名单及理由；</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）公布经第一阶段评审符合采购文件要求的供应商的商务技术得分情况；</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开启除第一阶段无效标外的供应商的“报价文件”，并做开标记录；</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4</w:t>
      </w:r>
      <w:r>
        <w:rPr>
          <w:rFonts w:hint="eastAsia" w:ascii="宋体" w:hAnsi="宋体"/>
          <w:szCs w:val="21"/>
        </w:rPr>
        <w:t>）在</w:t>
      </w:r>
      <w:r>
        <w:rPr>
          <w:rFonts w:hint="eastAsia" w:ascii="宋体" w:hAnsi="宋体" w:cs="宋体"/>
          <w:kern w:val="0"/>
          <w:szCs w:val="21"/>
        </w:rPr>
        <w:t>政府采购云平台</w:t>
      </w:r>
      <w:r>
        <w:rPr>
          <w:rFonts w:hint="eastAsia" w:ascii="宋体" w:hAnsi="宋体"/>
          <w:szCs w:val="21"/>
        </w:rPr>
        <w:t>公布评审结果。</w:t>
      </w:r>
    </w:p>
    <w:p>
      <w:pPr>
        <w:spacing w:line="400" w:lineRule="exact"/>
        <w:ind w:firstLine="420" w:firstLineChars="200"/>
        <w:jc w:val="left"/>
      </w:pPr>
      <w:r>
        <w:rPr>
          <w:rFonts w:hint="eastAsia" w:ascii="宋体" w:hAnsi="宋体"/>
          <w:szCs w:val="21"/>
        </w:rPr>
        <w:t>（5）开标会议结束。</w:t>
      </w:r>
    </w:p>
    <w:p>
      <w:pPr>
        <w:numPr>
          <w:ilvl w:val="0"/>
          <w:numId w:val="5"/>
        </w:numPr>
        <w:spacing w:line="400" w:lineRule="exact"/>
        <w:ind w:firstLine="420" w:firstLineChars="200"/>
        <w:jc w:val="left"/>
        <w:rPr>
          <w:rFonts w:ascii="宋体" w:hAnsi="宋体"/>
          <w:szCs w:val="21"/>
        </w:rPr>
      </w:pPr>
      <w:r>
        <w:rPr>
          <w:rFonts w:hint="eastAsia" w:ascii="宋体" w:hAnsi="宋体"/>
          <w:szCs w:val="21"/>
        </w:rPr>
        <w:t>线下开标程序：</w:t>
      </w:r>
    </w:p>
    <w:p>
      <w:pPr>
        <w:spacing w:line="400" w:lineRule="exact"/>
        <w:ind w:firstLine="420" w:firstLineChars="200"/>
        <w:jc w:val="left"/>
        <w:rPr>
          <w:rFonts w:ascii="宋体" w:hAnsi="宋体"/>
          <w:szCs w:val="21"/>
        </w:rPr>
      </w:pPr>
      <w:r>
        <w:rPr>
          <w:rFonts w:hint="eastAsia" w:ascii="宋体" w:hAnsi="宋体"/>
          <w:szCs w:val="21"/>
        </w:rPr>
        <w:t>第一阶段：</w:t>
      </w:r>
    </w:p>
    <w:p>
      <w:pPr>
        <w:spacing w:line="400" w:lineRule="exact"/>
        <w:ind w:firstLine="420" w:firstLineChars="200"/>
        <w:jc w:val="left"/>
        <w:rPr>
          <w:rFonts w:ascii="宋体" w:hAnsi="宋体"/>
          <w:szCs w:val="21"/>
        </w:rPr>
      </w:pPr>
      <w:r>
        <w:rPr>
          <w:rFonts w:hint="eastAsia" w:ascii="宋体" w:hAnsi="宋体"/>
          <w:szCs w:val="21"/>
        </w:rPr>
        <w:t>（1）开标会由采购代理机构主持，主持人宣布开标会议开始；</w:t>
      </w:r>
    </w:p>
    <w:p>
      <w:pPr>
        <w:spacing w:line="400" w:lineRule="exact"/>
        <w:ind w:firstLine="420" w:firstLineChars="200"/>
        <w:jc w:val="left"/>
        <w:rPr>
          <w:rFonts w:ascii="宋体" w:hAnsi="宋体"/>
          <w:szCs w:val="21"/>
        </w:rPr>
      </w:pPr>
      <w:bookmarkStart w:id="16" w:name="_Toc396115155"/>
      <w:r>
        <w:rPr>
          <w:rFonts w:hint="eastAsia" w:ascii="宋体" w:hAnsi="宋体"/>
          <w:szCs w:val="21"/>
        </w:rPr>
        <w:t>（2）主持人介绍参加开标会的人员名单；</w:t>
      </w:r>
      <w:bookmarkEnd w:id="16"/>
      <w:r>
        <w:rPr>
          <w:rFonts w:hint="eastAsia" w:ascii="宋体" w:hAnsi="宋体"/>
          <w:szCs w:val="21"/>
        </w:rPr>
        <w:t xml:space="preserve"> </w:t>
      </w:r>
    </w:p>
    <w:p>
      <w:pPr>
        <w:spacing w:line="400" w:lineRule="exact"/>
        <w:ind w:firstLine="420" w:firstLineChars="200"/>
        <w:jc w:val="left"/>
        <w:rPr>
          <w:rFonts w:ascii="宋体" w:hAnsi="宋体"/>
          <w:szCs w:val="21"/>
        </w:rPr>
      </w:pPr>
      <w:bookmarkStart w:id="17" w:name="_Toc396115156"/>
      <w:r>
        <w:rPr>
          <w:rFonts w:hint="eastAsia" w:ascii="宋体" w:hAnsi="宋体"/>
          <w:szCs w:val="21"/>
        </w:rPr>
        <w:t>（3）主持人宣布评标期间的有关事项，告知应当回避的情形,提请有关人员回避；</w:t>
      </w:r>
      <w:bookmarkEnd w:id="17"/>
    </w:p>
    <w:p>
      <w:pPr>
        <w:spacing w:line="400" w:lineRule="exact"/>
        <w:ind w:firstLine="420" w:firstLineChars="200"/>
        <w:jc w:val="left"/>
        <w:rPr>
          <w:rFonts w:ascii="宋体" w:hAnsi="宋体"/>
          <w:szCs w:val="21"/>
        </w:rPr>
      </w:pPr>
      <w:bookmarkStart w:id="18" w:name="_Toc396115157"/>
      <w:r>
        <w:rPr>
          <w:rFonts w:hint="eastAsia" w:ascii="宋体" w:hAnsi="宋体"/>
          <w:szCs w:val="21"/>
        </w:rPr>
        <w:t>（4）由供应商或其当场推荐的代表检查资格文件、商务技术文件密封的完整性；</w:t>
      </w:r>
      <w:bookmarkEnd w:id="18"/>
      <w:bookmarkStart w:id="19" w:name="_Toc396115158"/>
    </w:p>
    <w:p>
      <w:pPr>
        <w:spacing w:line="400" w:lineRule="exact"/>
        <w:ind w:firstLine="420" w:firstLineChars="200"/>
        <w:jc w:val="left"/>
        <w:rPr>
          <w:rFonts w:ascii="宋体" w:hAnsi="宋体"/>
          <w:szCs w:val="21"/>
        </w:rPr>
      </w:pPr>
      <w:r>
        <w:rPr>
          <w:rFonts w:hint="eastAsia" w:ascii="宋体" w:hAnsi="宋体"/>
          <w:szCs w:val="21"/>
        </w:rPr>
        <w:t>（5）按各供应商提交投标文件时间的先后顺序打开投标文件的资格文件、商务技术文件外包装，清点投标文件正本、副本数量</w:t>
      </w:r>
      <w:bookmarkEnd w:id="19"/>
      <w:r>
        <w:rPr>
          <w:rFonts w:hint="eastAsia" w:ascii="宋体" w:hAnsi="宋体"/>
          <w:szCs w:val="21"/>
        </w:rPr>
        <w:t>，并做开标记录；</w:t>
      </w:r>
    </w:p>
    <w:p>
      <w:pPr>
        <w:spacing w:line="400" w:lineRule="exact"/>
        <w:ind w:firstLine="420" w:firstLineChars="200"/>
        <w:jc w:val="left"/>
        <w:rPr>
          <w:rFonts w:ascii="宋体" w:hAnsi="宋体"/>
          <w:szCs w:val="21"/>
        </w:rPr>
      </w:pPr>
      <w:bookmarkStart w:id="20" w:name="_Toc396115159"/>
      <w:r>
        <w:rPr>
          <w:rFonts w:hint="eastAsia" w:ascii="宋体" w:hAnsi="宋体"/>
          <w:szCs w:val="21"/>
        </w:rPr>
        <w:t>第二阶段：</w:t>
      </w:r>
    </w:p>
    <w:bookmarkEnd w:id="20"/>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）由主持人公布第一阶段评审无效供应商名单及理由；</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）公布经第一阶段评审符合采购文件要求的供应商的商务技术得分情况；</w:t>
      </w:r>
    </w:p>
    <w:p>
      <w:pPr>
        <w:spacing w:line="400" w:lineRule="exact"/>
        <w:ind w:firstLine="420" w:firstLineChars="200"/>
        <w:jc w:val="left"/>
        <w:rPr>
          <w:rFonts w:ascii="宋体" w:hAnsi="宋体"/>
          <w:szCs w:val="21"/>
        </w:rPr>
      </w:pPr>
      <w:bookmarkStart w:id="21" w:name="_Toc396115160"/>
      <w:r>
        <w:rPr>
          <w:rFonts w:hint="eastAsia" w:ascii="宋体" w:hAnsi="宋体"/>
          <w:szCs w:val="21"/>
        </w:rPr>
        <w:t>（3）由供应商或其当场推荐的代表检查报价文件密封的完整性；</w:t>
      </w:r>
    </w:p>
    <w:p>
      <w:pPr>
        <w:spacing w:line="400" w:lineRule="exact"/>
        <w:ind w:firstLine="420" w:firstLineChars="200"/>
        <w:jc w:val="left"/>
        <w:rPr>
          <w:rFonts w:ascii="宋体" w:hAnsi="宋体"/>
          <w:szCs w:val="21"/>
        </w:rPr>
      </w:pPr>
      <w:r>
        <w:rPr>
          <w:rFonts w:hint="eastAsia" w:ascii="宋体" w:hAnsi="宋体"/>
          <w:szCs w:val="21"/>
        </w:rPr>
        <w:t>（4）再开启报价文件，由主持人宣读《开标一览表》中的供应商名称及在其投标文件中承诺的投标报价、交货期（服务期限）等投标内容，以及采购代理机构认为有必要宣读的其他内容；</w:t>
      </w:r>
      <w:bookmarkEnd w:id="21"/>
    </w:p>
    <w:p>
      <w:pPr>
        <w:spacing w:line="400" w:lineRule="exact"/>
        <w:ind w:firstLine="420" w:firstLineChars="200"/>
        <w:jc w:val="left"/>
        <w:rPr>
          <w:rFonts w:ascii="宋体" w:hAnsi="宋体"/>
          <w:szCs w:val="21"/>
        </w:rPr>
      </w:pPr>
      <w:bookmarkStart w:id="22" w:name="_Toc396115161"/>
      <w:r>
        <w:rPr>
          <w:rFonts w:hint="eastAsia" w:ascii="宋体" w:hAnsi="宋体"/>
          <w:szCs w:val="21"/>
        </w:rPr>
        <w:t>（5）采购代理机构做开标记录, 同时由记录人、监督人当场签字确认；</w:t>
      </w:r>
      <w:bookmarkEnd w:id="22"/>
    </w:p>
    <w:p>
      <w:pPr>
        <w:spacing w:line="400" w:lineRule="exact"/>
        <w:ind w:firstLine="420" w:firstLineChars="200"/>
        <w:jc w:val="left"/>
        <w:rPr>
          <w:rFonts w:ascii="宋体" w:hAnsi="宋体"/>
          <w:szCs w:val="21"/>
        </w:rPr>
      </w:pPr>
      <w:r>
        <w:rPr>
          <w:rFonts w:hint="eastAsia" w:ascii="宋体" w:hAnsi="宋体"/>
          <w:szCs w:val="21"/>
        </w:rPr>
        <w:t>（6）主持人公布公布评审结果。</w:t>
      </w:r>
    </w:p>
    <w:p>
      <w:pPr>
        <w:spacing w:line="400" w:lineRule="exact"/>
        <w:ind w:firstLine="420" w:firstLineChars="200"/>
        <w:jc w:val="left"/>
        <w:rPr>
          <w:rFonts w:ascii="宋体" w:hAnsi="宋体"/>
          <w:szCs w:val="21"/>
        </w:rPr>
      </w:pPr>
      <w:bookmarkStart w:id="23" w:name="_Toc396115163"/>
      <w:r>
        <w:rPr>
          <w:rFonts w:hint="eastAsia" w:ascii="宋体" w:hAnsi="宋体"/>
          <w:szCs w:val="21"/>
        </w:rPr>
        <w:t>（7）开标会议结束。</w:t>
      </w:r>
      <w:bookmarkEnd w:id="23"/>
    </w:p>
    <w:p>
      <w:pPr>
        <w:spacing w:line="400" w:lineRule="exact"/>
        <w:ind w:firstLine="420" w:firstLineChars="200"/>
        <w:jc w:val="left"/>
        <w:rPr>
          <w:rFonts w:ascii="宋体" w:hAnsi="宋体"/>
          <w:szCs w:val="21"/>
        </w:rPr>
      </w:pPr>
      <w:r>
        <w:rPr>
          <w:rFonts w:hint="eastAsia" w:ascii="宋体" w:hAnsi="宋体"/>
          <w:szCs w:val="21"/>
        </w:rPr>
        <w:t>3、特别说明：</w:t>
      </w:r>
      <w:r>
        <w:rPr>
          <w:rFonts w:hint="eastAsia" w:ascii="宋体" w:hAnsi="宋体" w:cs="宋体"/>
          <w:kern w:val="0"/>
          <w:szCs w:val="21"/>
        </w:rPr>
        <w:t>政府采购云平台</w:t>
      </w:r>
      <w:r>
        <w:rPr>
          <w:rFonts w:hint="eastAsia" w:ascii="宋体" w:hAnsi="宋体"/>
          <w:szCs w:val="21"/>
        </w:rPr>
        <w:t>如对电子化开标及评审程序有调整的，按调整后的程序操作。</w:t>
      </w:r>
    </w:p>
    <w:p>
      <w:pPr>
        <w:spacing w:line="400" w:lineRule="exact"/>
        <w:ind w:firstLine="420" w:firstLineChars="200"/>
        <w:jc w:val="left"/>
        <w:rPr>
          <w:rFonts w:ascii="宋体" w:hAnsi="宋体"/>
          <w:szCs w:val="21"/>
        </w:rPr>
      </w:pPr>
      <w:r>
        <w:rPr>
          <w:rFonts w:hint="eastAsia" w:ascii="宋体" w:hAnsi="宋体"/>
          <w:szCs w:val="21"/>
        </w:rPr>
        <w:t>本项目原则上采用政采云</w:t>
      </w:r>
      <w:r>
        <w:rPr>
          <w:rFonts w:hint="eastAsia" w:ascii="宋体" w:hAnsi="宋体" w:cs="宋体"/>
          <w:bCs/>
          <w:szCs w:val="21"/>
          <w:lang w:bidi="ar"/>
        </w:rPr>
        <w:t>电子招投标开标程序</w:t>
      </w:r>
      <w:r>
        <w:rPr>
          <w:rFonts w:hint="eastAsia" w:ascii="宋体" w:hAnsi="宋体"/>
          <w:szCs w:val="21"/>
        </w:rPr>
        <w:t>，但有下情形之一的，按以下情况处理：</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）若有供应商在规定时间内无法解密或解密失败，代理机构将开启该供应商递交的</w:t>
      </w:r>
      <w:r>
        <w:rPr>
          <w:rFonts w:hint="eastAsia" w:ascii="宋体" w:hAnsi="宋体" w:cs="宋体"/>
          <w:kern w:val="0"/>
          <w:szCs w:val="21"/>
        </w:rPr>
        <w:t>以U盘存储的电子备份投标文件</w:t>
      </w:r>
      <w:r>
        <w:rPr>
          <w:rFonts w:hint="eastAsia" w:ascii="宋体" w:hAnsi="宋体"/>
          <w:szCs w:val="21"/>
        </w:rPr>
        <w:t>，上传至政采云平台项目采购模块，以完成开标，电子投标文件自动失效。</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）若因</w:t>
      </w:r>
      <w:r>
        <w:rPr>
          <w:rFonts w:hint="eastAsia" w:ascii="宋体" w:hAnsi="宋体" w:cs="宋体"/>
          <w:kern w:val="0"/>
          <w:szCs w:val="21"/>
        </w:rPr>
        <w:t>政府采购云平台</w:t>
      </w:r>
      <w:r>
        <w:rPr>
          <w:rFonts w:hint="eastAsia" w:ascii="宋体" w:hAnsi="宋体"/>
          <w:szCs w:val="21"/>
        </w:rPr>
        <w:t>原因无法读取或电子开评标无法正常进行，代理机构将开启所有供应商递交的纸质备份投标文件，以完成开标，电子投标文件及</w:t>
      </w:r>
      <w:r>
        <w:rPr>
          <w:rFonts w:hint="eastAsia" w:ascii="宋体" w:hAnsi="宋体" w:cs="宋体"/>
          <w:kern w:val="0"/>
          <w:szCs w:val="21"/>
        </w:rPr>
        <w:t>以U盘存储的电子备份投标文件</w:t>
      </w:r>
      <w:r>
        <w:rPr>
          <w:rFonts w:hint="eastAsia" w:ascii="宋体" w:hAnsi="宋体"/>
          <w:szCs w:val="21"/>
        </w:rPr>
        <w:t>自动失效。</w:t>
      </w:r>
    </w:p>
    <w:p>
      <w:pPr>
        <w:spacing w:line="400" w:lineRule="exact"/>
        <w:ind w:firstLine="420" w:firstLineChars="200"/>
        <w:jc w:val="left"/>
        <w:rPr>
          <w:rFonts w:ascii="宋体" w:hAnsi="宋体"/>
          <w:szCs w:val="21"/>
        </w:rPr>
      </w:pPr>
      <w:r>
        <w:rPr>
          <w:rFonts w:hint="eastAsia" w:ascii="宋体" w:hAnsi="宋体"/>
          <w:szCs w:val="21"/>
        </w:rPr>
        <w:t>（</w:t>
      </w:r>
      <w:r>
        <w:rPr>
          <w:rFonts w:ascii="宋体" w:hAnsi="宋体"/>
          <w:szCs w:val="21"/>
        </w:rPr>
        <w:t>3</w:t>
      </w:r>
      <w:r>
        <w:rPr>
          <w:rFonts w:hint="eastAsia" w:ascii="宋体" w:hAnsi="宋体"/>
          <w:szCs w:val="21"/>
        </w:rPr>
        <w:t>）采购过程中出现以下情形，导致电子交易平台无法正常运行，或者无法保证电子交易的公平、公正和安全时，采购人（或代理机构）可中止电子交易活动：</w:t>
      </w:r>
    </w:p>
    <w:p>
      <w:pPr>
        <w:spacing w:line="400" w:lineRule="exact"/>
        <w:ind w:firstLine="420" w:firstLineChars="200"/>
        <w:jc w:val="left"/>
        <w:rPr>
          <w:rFonts w:ascii="宋体" w:hAnsi="宋体"/>
          <w:szCs w:val="21"/>
        </w:rPr>
      </w:pPr>
      <w:r>
        <w:rPr>
          <w:rFonts w:hint="eastAsia" w:ascii="宋体" w:hAnsi="宋体"/>
          <w:szCs w:val="21"/>
        </w:rPr>
        <w:t xml:space="preserve">3.1电子交易平台发生故障而无法登录访问的； </w:t>
      </w:r>
    </w:p>
    <w:p>
      <w:pPr>
        <w:spacing w:line="400" w:lineRule="exact"/>
        <w:ind w:firstLine="420" w:firstLineChars="200"/>
        <w:jc w:val="left"/>
        <w:rPr>
          <w:rFonts w:ascii="宋体" w:hAnsi="宋体"/>
          <w:szCs w:val="21"/>
        </w:rPr>
      </w:pPr>
      <w:r>
        <w:rPr>
          <w:rFonts w:hint="eastAsia" w:ascii="宋体" w:hAnsi="宋体"/>
          <w:szCs w:val="21"/>
        </w:rPr>
        <w:t>3.2电子交易平台应用或数据库出现错误，不能进行正常操作的；</w:t>
      </w:r>
    </w:p>
    <w:p>
      <w:pPr>
        <w:spacing w:line="400" w:lineRule="exact"/>
        <w:ind w:firstLine="420" w:firstLineChars="200"/>
        <w:jc w:val="left"/>
        <w:rPr>
          <w:rFonts w:ascii="宋体" w:hAnsi="宋体"/>
          <w:szCs w:val="21"/>
        </w:rPr>
      </w:pPr>
      <w:r>
        <w:rPr>
          <w:rFonts w:hint="eastAsia" w:ascii="宋体" w:hAnsi="宋体"/>
          <w:szCs w:val="21"/>
        </w:rPr>
        <w:t>3.3电子交易平台发现严重安全漏洞，有潜在泄密危险的；</w:t>
      </w:r>
    </w:p>
    <w:p>
      <w:pPr>
        <w:spacing w:line="400" w:lineRule="exact"/>
        <w:ind w:firstLine="420" w:firstLineChars="200"/>
        <w:jc w:val="left"/>
        <w:rPr>
          <w:rFonts w:ascii="宋体" w:hAnsi="宋体"/>
          <w:szCs w:val="21"/>
        </w:rPr>
      </w:pPr>
      <w:r>
        <w:rPr>
          <w:rFonts w:hint="eastAsia" w:ascii="宋体" w:hAnsi="宋体"/>
          <w:szCs w:val="21"/>
        </w:rPr>
        <w:t xml:space="preserve">3.4病毒发作导致不能进行正常操作的； </w:t>
      </w:r>
    </w:p>
    <w:p>
      <w:pPr>
        <w:spacing w:line="400" w:lineRule="exact"/>
        <w:ind w:firstLine="420" w:firstLineChars="200"/>
        <w:jc w:val="left"/>
        <w:rPr>
          <w:rFonts w:ascii="宋体" w:hAnsi="宋体"/>
          <w:szCs w:val="21"/>
        </w:rPr>
      </w:pPr>
      <w:r>
        <w:rPr>
          <w:rFonts w:hint="eastAsia" w:ascii="宋体" w:hAnsi="宋体"/>
          <w:szCs w:val="21"/>
        </w:rPr>
        <w:t>3.5其他无法保证电子交易的公平、公正和安全的情况。</w:t>
      </w:r>
    </w:p>
    <w:p>
      <w:pPr>
        <w:spacing w:line="400" w:lineRule="exact"/>
        <w:ind w:firstLine="420" w:firstLineChars="200"/>
        <w:jc w:val="left"/>
        <w:rPr>
          <w:rFonts w:ascii="宋体" w:hAnsi="宋体"/>
          <w:szCs w:val="21"/>
        </w:rPr>
      </w:pPr>
      <w:r>
        <w:rPr>
          <w:rFonts w:hint="eastAsia" w:ascii="宋体" w:hAnsi="宋体"/>
          <w:szCs w:val="21"/>
        </w:rPr>
        <w:t>出现前款规定情形，不影响采购公平、公正性的，采购人（或代理机构）可以待上述情形消除后继续组织电子交易活动，也可以决定某些环节以纸质形式进行。</w:t>
      </w:r>
    </w:p>
    <w:p>
      <w:pPr>
        <w:spacing w:line="400" w:lineRule="exact"/>
        <w:ind w:firstLine="420" w:firstLineChars="200"/>
        <w:jc w:val="left"/>
        <w:rPr>
          <w:rFonts w:ascii="宋体" w:hAnsi="宋体"/>
          <w:szCs w:val="21"/>
        </w:rPr>
      </w:pPr>
      <w:r>
        <w:rPr>
          <w:rFonts w:hint="eastAsia" w:ascii="宋体" w:hAnsi="宋体"/>
          <w:szCs w:val="21"/>
        </w:rPr>
        <w:t>（4）未开启的备份投标文件现场予以退还。</w:t>
      </w:r>
    </w:p>
    <w:p>
      <w:pPr>
        <w:spacing w:line="480" w:lineRule="exact"/>
        <w:rPr>
          <w:rFonts w:ascii="宋体" w:hAnsi="宋体" w:cs="宋体"/>
          <w:b/>
          <w:bCs/>
          <w:color w:val="000000"/>
          <w:szCs w:val="21"/>
        </w:rPr>
      </w:pPr>
      <w:r>
        <w:rPr>
          <w:rFonts w:hint="eastAsia" w:ascii="宋体" w:hAnsi="宋体" w:cs="宋体"/>
          <w:b/>
          <w:bCs/>
          <w:color w:val="000000"/>
          <w:szCs w:val="21"/>
        </w:rPr>
        <w:t>三、评标委员会</w:t>
      </w:r>
    </w:p>
    <w:p>
      <w:pPr>
        <w:pStyle w:val="30"/>
        <w:spacing w:line="480" w:lineRule="exact"/>
        <w:ind w:firstLine="417" w:firstLineChars="199"/>
        <w:rPr>
          <w:rFonts w:ascii="宋体" w:cs="宋体"/>
          <w:b w:val="0"/>
          <w:sz w:val="21"/>
          <w:szCs w:val="21"/>
        </w:rPr>
      </w:pPr>
      <w:r>
        <w:rPr>
          <w:rFonts w:hint="eastAsia" w:ascii="宋体" w:cs="宋体"/>
          <w:b w:val="0"/>
          <w:sz w:val="21"/>
          <w:szCs w:val="21"/>
        </w:rPr>
        <w:t>（一）本次招标依法组建评标委员会。</w:t>
      </w:r>
    </w:p>
    <w:p>
      <w:pPr>
        <w:pStyle w:val="30"/>
        <w:spacing w:line="480" w:lineRule="exact"/>
        <w:ind w:firstLine="417" w:firstLineChars="199"/>
        <w:rPr>
          <w:rFonts w:ascii="宋体" w:cs="宋体"/>
          <w:b w:val="0"/>
          <w:sz w:val="21"/>
          <w:szCs w:val="21"/>
        </w:rPr>
      </w:pPr>
      <w:r>
        <w:rPr>
          <w:rFonts w:hint="eastAsia" w:ascii="宋体" w:cs="宋体"/>
          <w:b w:val="0"/>
          <w:sz w:val="21"/>
          <w:szCs w:val="21"/>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pStyle w:val="30"/>
        <w:spacing w:line="480" w:lineRule="exact"/>
        <w:ind w:firstLine="417" w:firstLineChars="199"/>
        <w:rPr>
          <w:rFonts w:ascii="宋体" w:cs="宋体"/>
          <w:b w:val="0"/>
          <w:sz w:val="21"/>
          <w:szCs w:val="21"/>
        </w:rPr>
      </w:pPr>
      <w:r>
        <w:rPr>
          <w:rFonts w:hint="eastAsia" w:ascii="宋体" w:cs="宋体"/>
          <w:b w:val="0"/>
          <w:sz w:val="21"/>
          <w:szCs w:val="21"/>
        </w:rPr>
        <w:t>（三）评审专家有下列情形之一的，受到邀请应主动提出回避，采购当事人也可以要求该评审专家回避：</w:t>
      </w:r>
    </w:p>
    <w:p>
      <w:pPr>
        <w:pStyle w:val="30"/>
        <w:spacing w:line="480" w:lineRule="exact"/>
        <w:ind w:firstLine="417" w:firstLineChars="199"/>
        <w:rPr>
          <w:rFonts w:ascii="宋体" w:cs="宋体"/>
          <w:b w:val="0"/>
          <w:sz w:val="21"/>
          <w:szCs w:val="21"/>
        </w:rPr>
      </w:pPr>
      <w:r>
        <w:rPr>
          <w:rFonts w:hint="eastAsia" w:ascii="宋体" w:cs="宋体"/>
          <w:b w:val="0"/>
          <w:sz w:val="21"/>
          <w:szCs w:val="21"/>
        </w:rPr>
        <w:t>1、本人、配偶或直系亲属3年内曾在参加该采购项目的供应商中任职（包括一般工作）或担任顾问，或与参加该采购项目的供应商发生过法律纠纷；</w:t>
      </w:r>
    </w:p>
    <w:p>
      <w:pPr>
        <w:pStyle w:val="30"/>
        <w:spacing w:line="480" w:lineRule="exact"/>
        <w:ind w:firstLine="417" w:firstLineChars="199"/>
        <w:rPr>
          <w:rFonts w:ascii="宋体" w:cs="宋体"/>
          <w:b w:val="0"/>
          <w:sz w:val="21"/>
          <w:szCs w:val="21"/>
        </w:rPr>
      </w:pPr>
      <w:r>
        <w:rPr>
          <w:rFonts w:hint="eastAsia" w:ascii="宋体" w:cs="宋体"/>
          <w:b w:val="0"/>
          <w:sz w:val="21"/>
          <w:szCs w:val="21"/>
        </w:rPr>
        <w:t>2、任职单位与采购单位或参加该采购项目供应商存在行政隶属关系；</w:t>
      </w:r>
    </w:p>
    <w:p>
      <w:pPr>
        <w:pStyle w:val="30"/>
        <w:spacing w:line="480" w:lineRule="exact"/>
        <w:ind w:firstLine="417" w:firstLineChars="199"/>
        <w:rPr>
          <w:rFonts w:ascii="宋体" w:cs="宋体"/>
          <w:b w:val="0"/>
          <w:sz w:val="21"/>
          <w:szCs w:val="21"/>
        </w:rPr>
      </w:pPr>
      <w:r>
        <w:rPr>
          <w:rFonts w:hint="eastAsia" w:ascii="宋体" w:cs="宋体"/>
          <w:b w:val="0"/>
          <w:sz w:val="21"/>
          <w:szCs w:val="21"/>
        </w:rPr>
        <w:t>3、曾经参加过该采购项目的进口产品或采购文件、采购需求、采购方式的论证和咨询服务工作；</w:t>
      </w:r>
    </w:p>
    <w:p>
      <w:pPr>
        <w:pStyle w:val="30"/>
        <w:spacing w:line="480" w:lineRule="exact"/>
        <w:ind w:firstLine="417" w:firstLineChars="199"/>
        <w:rPr>
          <w:rFonts w:ascii="宋体" w:cs="宋体"/>
          <w:b w:val="0"/>
          <w:sz w:val="21"/>
          <w:szCs w:val="21"/>
        </w:rPr>
      </w:pPr>
      <w:r>
        <w:rPr>
          <w:rFonts w:hint="eastAsia" w:ascii="宋体" w:cs="宋体"/>
          <w:b w:val="0"/>
          <w:sz w:val="21"/>
          <w:szCs w:val="21"/>
        </w:rPr>
        <w:t>4、是参加该采购项目供应商的上级主管部门、控股或参股单位的工作人员，或与该供应商存在其他经济利益关系；</w:t>
      </w:r>
    </w:p>
    <w:p>
      <w:pPr>
        <w:pStyle w:val="30"/>
        <w:spacing w:line="480" w:lineRule="exact"/>
        <w:ind w:firstLine="417" w:firstLineChars="199"/>
        <w:rPr>
          <w:rFonts w:ascii="宋体" w:cs="宋体"/>
          <w:b w:val="0"/>
          <w:sz w:val="21"/>
          <w:szCs w:val="21"/>
        </w:rPr>
      </w:pPr>
      <w:r>
        <w:rPr>
          <w:rFonts w:hint="eastAsia" w:ascii="宋体" w:cs="宋体"/>
          <w:b w:val="0"/>
          <w:sz w:val="21"/>
          <w:szCs w:val="21"/>
        </w:rPr>
        <w:t>5、评审委员会成员之间具有配偶、近亲属关系；</w:t>
      </w:r>
    </w:p>
    <w:p>
      <w:pPr>
        <w:pStyle w:val="30"/>
        <w:spacing w:line="480" w:lineRule="exact"/>
        <w:ind w:firstLine="417" w:firstLineChars="199"/>
        <w:rPr>
          <w:rFonts w:ascii="宋体" w:cs="宋体"/>
          <w:b w:val="0"/>
          <w:sz w:val="21"/>
          <w:szCs w:val="21"/>
        </w:rPr>
      </w:pPr>
      <w:r>
        <w:rPr>
          <w:rFonts w:hint="eastAsia" w:ascii="宋体" w:cs="宋体"/>
          <w:b w:val="0"/>
          <w:sz w:val="21"/>
          <w:szCs w:val="21"/>
        </w:rPr>
        <w:t>6、同一单位的评审专家在同一项目评审委员会成员中超过一名；</w:t>
      </w:r>
    </w:p>
    <w:p>
      <w:pPr>
        <w:pStyle w:val="30"/>
        <w:spacing w:line="480" w:lineRule="exact"/>
        <w:ind w:firstLine="417" w:firstLineChars="199"/>
        <w:rPr>
          <w:rFonts w:ascii="宋体" w:cs="宋体"/>
          <w:b w:val="0"/>
          <w:sz w:val="21"/>
          <w:szCs w:val="21"/>
        </w:rPr>
      </w:pPr>
      <w:r>
        <w:rPr>
          <w:rFonts w:hint="eastAsia" w:ascii="宋体" w:cs="宋体"/>
          <w:b w:val="0"/>
          <w:sz w:val="21"/>
          <w:szCs w:val="21"/>
        </w:rPr>
        <w:t>7、法律、法规、规章规定应当回避以及其他可能影响公正评审的。</w:t>
      </w:r>
    </w:p>
    <w:p>
      <w:pPr>
        <w:pStyle w:val="30"/>
        <w:spacing w:line="480" w:lineRule="exact"/>
        <w:ind w:firstLine="417" w:firstLineChars="199"/>
        <w:rPr>
          <w:rFonts w:ascii="宋体" w:cs="宋体"/>
          <w:b w:val="0"/>
          <w:sz w:val="21"/>
          <w:szCs w:val="21"/>
        </w:rPr>
      </w:pPr>
      <w:r>
        <w:rPr>
          <w:rFonts w:hint="eastAsia" w:ascii="宋体" w:cs="宋体"/>
          <w:b w:val="0"/>
          <w:sz w:val="21"/>
          <w:szCs w:val="21"/>
        </w:rPr>
        <w:t>（四）评标委员会判断投标文件的有效性、合格性和响应情况，仅依据供应商所递交一切文件的真实表述，不受与本项目无直接关联的外部信息、传言而影响自身的专业判断。</w:t>
      </w:r>
    </w:p>
    <w:p>
      <w:pPr>
        <w:pStyle w:val="30"/>
        <w:spacing w:line="480" w:lineRule="exact"/>
        <w:ind w:firstLine="417" w:firstLineChars="199"/>
        <w:rPr>
          <w:rFonts w:ascii="宋体" w:cs="宋体"/>
          <w:b w:val="0"/>
          <w:sz w:val="21"/>
          <w:szCs w:val="21"/>
        </w:rPr>
      </w:pPr>
      <w:r>
        <w:rPr>
          <w:rFonts w:hint="eastAsia" w:ascii="宋体" w:cs="宋体"/>
          <w:b w:val="0"/>
          <w:sz w:val="21"/>
          <w:szCs w:val="21"/>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480" w:lineRule="exact"/>
        <w:rPr>
          <w:rFonts w:ascii="宋体" w:hAnsi="宋体" w:cs="宋体"/>
          <w:b/>
          <w:bCs/>
          <w:color w:val="000000"/>
          <w:szCs w:val="21"/>
        </w:rPr>
      </w:pPr>
      <w:r>
        <w:rPr>
          <w:rFonts w:hint="eastAsia" w:ascii="宋体" w:hAnsi="宋体" w:cs="宋体"/>
          <w:b/>
          <w:bCs/>
          <w:color w:val="000000"/>
          <w:szCs w:val="21"/>
        </w:rPr>
        <w:t>四、评标方法</w:t>
      </w:r>
    </w:p>
    <w:p>
      <w:pPr>
        <w:pStyle w:val="30"/>
        <w:spacing w:line="480" w:lineRule="exact"/>
        <w:ind w:firstLine="417" w:firstLineChars="199"/>
        <w:rPr>
          <w:rFonts w:ascii="宋体" w:cs="宋体"/>
          <w:b w:val="0"/>
          <w:sz w:val="21"/>
          <w:szCs w:val="21"/>
        </w:rPr>
      </w:pPr>
      <w:r>
        <w:rPr>
          <w:rFonts w:hint="eastAsia" w:ascii="宋体" w:cs="宋体"/>
          <w:b w:val="0"/>
          <w:sz w:val="21"/>
          <w:szCs w:val="21"/>
        </w:rPr>
        <w:t>（一）本次采购项目的评标方法为：综合评分法。</w:t>
      </w:r>
    </w:p>
    <w:p>
      <w:pPr>
        <w:pStyle w:val="30"/>
        <w:spacing w:line="480" w:lineRule="exact"/>
        <w:ind w:firstLine="420" w:firstLineChars="199"/>
        <w:rPr>
          <w:rFonts w:ascii="宋体" w:cs="宋体"/>
          <w:sz w:val="21"/>
          <w:szCs w:val="21"/>
        </w:rPr>
      </w:pPr>
      <w:r>
        <w:rPr>
          <w:rFonts w:hint="eastAsia" w:ascii="宋体" w:cs="宋体"/>
          <w:sz w:val="21"/>
          <w:szCs w:val="21"/>
        </w:rPr>
        <w:t>采用综合评分法的，评标结果按评审后得分由高到低顺序排列。得分相同的，按投标报价由低到高顺序排列。得分且投标报价相同的并列，则抽签决定。投标文件满足采购文件全部实质性要求，且按照评审因素的量化指标评审得分最高的供应商为排名第一的中标候选人。</w:t>
      </w:r>
    </w:p>
    <w:p>
      <w:pPr>
        <w:pStyle w:val="30"/>
        <w:spacing w:line="480" w:lineRule="exact"/>
        <w:ind w:firstLine="417" w:firstLineChars="199"/>
        <w:rPr>
          <w:rFonts w:ascii="宋体" w:cs="宋体"/>
          <w:b w:val="0"/>
          <w:sz w:val="21"/>
          <w:szCs w:val="21"/>
        </w:rPr>
      </w:pPr>
      <w:r>
        <w:rPr>
          <w:rFonts w:hint="eastAsia" w:ascii="宋体" w:cs="宋体"/>
          <w:b w:val="0"/>
          <w:sz w:val="21"/>
          <w:szCs w:val="21"/>
        </w:rPr>
        <w:t>（三）投标文件的澄清</w:t>
      </w:r>
    </w:p>
    <w:p>
      <w:pPr>
        <w:pStyle w:val="30"/>
        <w:spacing w:line="480" w:lineRule="exact"/>
        <w:ind w:firstLine="420" w:firstLineChars="199"/>
        <w:rPr>
          <w:rFonts w:ascii="宋体" w:cs="宋体"/>
          <w:sz w:val="21"/>
          <w:szCs w:val="21"/>
        </w:rPr>
      </w:pPr>
      <w:r>
        <w:rPr>
          <w:rFonts w:hint="eastAsia" w:ascii="宋体" w:cs="宋体"/>
          <w:sz w:val="21"/>
          <w:szCs w:val="21"/>
        </w:rPr>
        <w:t>1、对于投标文件中含义不明确、同类问题表述不一致或者有明显文字和计算错误的内容，评标委员会应当以书面形式要求供应商作出必要的澄清、说明或者补正。</w:t>
      </w:r>
    </w:p>
    <w:p>
      <w:pPr>
        <w:pStyle w:val="30"/>
        <w:spacing w:line="480" w:lineRule="exact"/>
        <w:ind w:firstLine="420" w:firstLineChars="199"/>
        <w:rPr>
          <w:rFonts w:ascii="宋体" w:cs="宋体"/>
          <w:sz w:val="21"/>
          <w:szCs w:val="21"/>
        </w:rPr>
      </w:pPr>
      <w:r>
        <w:rPr>
          <w:rFonts w:hint="eastAsia" w:ascii="宋体" w:cs="宋体"/>
          <w:sz w:val="21"/>
          <w:szCs w:val="21"/>
        </w:rPr>
        <w:t>2、供应商的澄清、说明或者补正应当采用书面形式，并加盖公章，或者由法定代表人或其授权的代表签字。供应商的澄清、说明或者补正不得超出投标文件的范围或者改变投标文件的实质性内容。</w:t>
      </w:r>
    </w:p>
    <w:p>
      <w:pPr>
        <w:pStyle w:val="30"/>
        <w:spacing w:line="480" w:lineRule="exact"/>
        <w:ind w:firstLine="417" w:firstLineChars="199"/>
        <w:rPr>
          <w:rFonts w:ascii="宋体" w:cs="宋体"/>
          <w:b w:val="0"/>
          <w:sz w:val="21"/>
          <w:szCs w:val="21"/>
        </w:rPr>
      </w:pPr>
      <w:r>
        <w:rPr>
          <w:rFonts w:hint="eastAsia" w:ascii="宋体" w:cs="宋体"/>
          <w:b w:val="0"/>
          <w:sz w:val="21"/>
          <w:szCs w:val="21"/>
        </w:rPr>
        <w:t>（四）投标文件错误修正原则</w:t>
      </w:r>
    </w:p>
    <w:p>
      <w:pPr>
        <w:spacing w:line="480" w:lineRule="exact"/>
        <w:rPr>
          <w:rFonts w:ascii="宋体" w:hAnsi="宋体" w:cs="宋体"/>
          <w:color w:val="000000"/>
          <w:szCs w:val="21"/>
        </w:rPr>
      </w:pPr>
      <w:r>
        <w:rPr>
          <w:rFonts w:hint="eastAsia" w:ascii="宋体" w:hAnsi="宋体" w:cs="宋体"/>
          <w:color w:val="000000"/>
          <w:szCs w:val="21"/>
        </w:rPr>
        <w:t>投标文件如果出现计算或表达上的错误，修正错误的原则如下：</w:t>
      </w:r>
    </w:p>
    <w:p>
      <w:pPr>
        <w:pStyle w:val="30"/>
        <w:spacing w:line="480" w:lineRule="exact"/>
        <w:ind w:firstLine="420" w:firstLineChars="199"/>
        <w:rPr>
          <w:rFonts w:ascii="宋体" w:cs="宋体"/>
          <w:sz w:val="21"/>
          <w:szCs w:val="21"/>
        </w:rPr>
      </w:pPr>
      <w:r>
        <w:rPr>
          <w:rFonts w:hint="eastAsia" w:ascii="宋体" w:cs="宋体"/>
          <w:sz w:val="21"/>
          <w:szCs w:val="21"/>
        </w:rPr>
        <w:t>1、投标文件中开标一览表（报价表）内容与投标文件中相应内容不一致的，以开标一览表（报价表）为准；</w:t>
      </w:r>
    </w:p>
    <w:p>
      <w:pPr>
        <w:pStyle w:val="30"/>
        <w:spacing w:line="480" w:lineRule="exact"/>
        <w:ind w:firstLine="420" w:firstLineChars="199"/>
        <w:rPr>
          <w:rFonts w:ascii="宋体" w:cs="宋体"/>
          <w:sz w:val="21"/>
          <w:szCs w:val="21"/>
        </w:rPr>
      </w:pPr>
      <w:r>
        <w:rPr>
          <w:rFonts w:hint="eastAsia" w:ascii="宋体" w:cs="宋体"/>
          <w:sz w:val="21"/>
          <w:szCs w:val="21"/>
        </w:rPr>
        <w:t>2、大写金额和小写金额不一致的，以大写金额为准；</w:t>
      </w:r>
    </w:p>
    <w:p>
      <w:pPr>
        <w:pStyle w:val="30"/>
        <w:spacing w:line="480" w:lineRule="exact"/>
        <w:ind w:firstLine="420" w:firstLineChars="199"/>
        <w:rPr>
          <w:rFonts w:ascii="宋体" w:cs="宋体"/>
          <w:sz w:val="21"/>
          <w:szCs w:val="21"/>
        </w:rPr>
      </w:pPr>
      <w:r>
        <w:rPr>
          <w:rFonts w:hint="eastAsia" w:ascii="宋体" w:cs="宋体"/>
          <w:sz w:val="21"/>
          <w:szCs w:val="21"/>
        </w:rPr>
        <w:t>3、单价金额小数点或者百分比有明显错位的，以开标一览表的总价为准，并修改单价；</w:t>
      </w:r>
    </w:p>
    <w:p>
      <w:pPr>
        <w:pStyle w:val="30"/>
        <w:spacing w:line="480" w:lineRule="exact"/>
        <w:ind w:firstLine="420" w:firstLineChars="199"/>
        <w:rPr>
          <w:rFonts w:ascii="宋体" w:cs="宋体"/>
          <w:sz w:val="21"/>
          <w:szCs w:val="21"/>
        </w:rPr>
      </w:pPr>
      <w:r>
        <w:rPr>
          <w:rFonts w:hint="eastAsia" w:ascii="宋体" w:cs="宋体"/>
          <w:sz w:val="21"/>
          <w:szCs w:val="21"/>
        </w:rPr>
        <w:t>4、总价金额与按单价汇总金额不一致的，以单价金额计算结果为准。</w:t>
      </w:r>
    </w:p>
    <w:p>
      <w:pPr>
        <w:pStyle w:val="30"/>
        <w:spacing w:line="480" w:lineRule="exact"/>
        <w:ind w:firstLine="420" w:firstLineChars="199"/>
        <w:rPr>
          <w:rFonts w:ascii="宋体" w:cs="宋体"/>
          <w:sz w:val="21"/>
          <w:szCs w:val="21"/>
        </w:rPr>
      </w:pPr>
      <w:r>
        <w:rPr>
          <w:rFonts w:hint="eastAsia" w:ascii="宋体" w:cs="宋体"/>
          <w:sz w:val="21"/>
          <w:szCs w:val="21"/>
        </w:rPr>
        <w:t>同时出现两种以上不一致的，按照前款规定的顺序修正。修正后的报价按照投标文件澄清第二款的规定经供应商确认后产生约束力，供应商不确认的，其投标无效。</w:t>
      </w:r>
    </w:p>
    <w:p>
      <w:pPr>
        <w:numPr>
          <w:ilvl w:val="0"/>
          <w:numId w:val="6"/>
        </w:numPr>
        <w:spacing w:line="480" w:lineRule="exact"/>
        <w:rPr>
          <w:rFonts w:ascii="宋体" w:hAnsi="宋体" w:cs="宋体"/>
          <w:b/>
          <w:bCs/>
          <w:color w:val="000000"/>
          <w:szCs w:val="21"/>
        </w:rPr>
      </w:pPr>
      <w:bookmarkStart w:id="24" w:name="_Toc493058318"/>
      <w:r>
        <w:rPr>
          <w:rFonts w:hint="eastAsia" w:ascii="宋体" w:hAnsi="宋体" w:cs="宋体"/>
          <w:b/>
          <w:bCs/>
          <w:color w:val="000000"/>
          <w:szCs w:val="21"/>
        </w:rPr>
        <w:t>评标程序</w:t>
      </w:r>
      <w:bookmarkEnd w:id="24"/>
    </w:p>
    <w:p>
      <w:pPr>
        <w:widowControl/>
        <w:spacing w:line="480" w:lineRule="exact"/>
        <w:ind w:firstLine="422" w:firstLineChars="200"/>
        <w:jc w:val="left"/>
        <w:rPr>
          <w:rFonts w:ascii="宋体" w:hAnsi="宋体" w:cs="宋体"/>
          <w:b/>
          <w:szCs w:val="21"/>
        </w:rPr>
      </w:pPr>
      <w:r>
        <w:rPr>
          <w:rFonts w:hint="eastAsia" w:ascii="宋体" w:hAnsi="宋体" w:cs="宋体"/>
          <w:b/>
          <w:bCs/>
          <w:kern w:val="0"/>
          <w:szCs w:val="21"/>
        </w:rPr>
        <w:t>（一）</w:t>
      </w:r>
      <w:r>
        <w:rPr>
          <w:rFonts w:hint="eastAsia" w:ascii="宋体" w:hAnsi="宋体" w:cs="宋体"/>
          <w:b/>
          <w:kern w:val="0"/>
          <w:szCs w:val="21"/>
        </w:rPr>
        <w:t>资格条件审查</w:t>
      </w:r>
    </w:p>
    <w:p>
      <w:pPr>
        <w:widowControl/>
        <w:spacing w:line="480" w:lineRule="exact"/>
        <w:ind w:firstLine="522" w:firstLineChars="249"/>
        <w:jc w:val="left"/>
        <w:rPr>
          <w:rFonts w:ascii="宋体" w:hAnsi="宋体" w:cs="宋体"/>
          <w:kern w:val="0"/>
          <w:szCs w:val="21"/>
        </w:rPr>
      </w:pPr>
      <w:r>
        <w:rPr>
          <w:rFonts w:hint="eastAsia" w:ascii="宋体" w:hAnsi="宋体" w:cs="宋体"/>
          <w:kern w:val="0"/>
          <w:szCs w:val="21"/>
        </w:rPr>
        <w:t>由采购人或代理机构对供应商的资格进行审查。</w:t>
      </w:r>
    </w:p>
    <w:tbl>
      <w:tblPr>
        <w:tblStyle w:val="53"/>
        <w:tblW w:w="907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276" w:type="dxa"/>
          </w:tcPr>
          <w:p>
            <w:pPr>
              <w:spacing w:line="360" w:lineRule="auto"/>
              <w:jc w:val="center"/>
              <w:rPr>
                <w:rFonts w:ascii="宋体" w:hAnsi="宋体" w:cs="宋体"/>
                <w:b/>
                <w:color w:val="000000"/>
                <w:szCs w:val="21"/>
              </w:rPr>
            </w:pPr>
            <w:r>
              <w:rPr>
                <w:rFonts w:hint="eastAsia" w:ascii="宋体" w:hAnsi="宋体" w:cs="宋体"/>
                <w:b/>
                <w:color w:val="000000"/>
                <w:szCs w:val="21"/>
              </w:rPr>
              <w:t>审查类别</w:t>
            </w:r>
          </w:p>
        </w:tc>
        <w:tc>
          <w:tcPr>
            <w:tcW w:w="7796" w:type="dxa"/>
          </w:tcPr>
          <w:p>
            <w:pPr>
              <w:spacing w:line="360" w:lineRule="auto"/>
              <w:jc w:val="center"/>
              <w:rPr>
                <w:rFonts w:ascii="宋体" w:hAnsi="宋体" w:cs="宋体"/>
                <w:b/>
                <w:color w:val="000000"/>
                <w:szCs w:val="21"/>
              </w:rPr>
            </w:pPr>
            <w:r>
              <w:rPr>
                <w:rFonts w:hint="eastAsia" w:ascii="宋体" w:hAnsi="宋体" w:cs="宋体"/>
                <w:b/>
                <w:color w:val="00000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276" w:type="dxa"/>
            <w:vMerge w:val="restart"/>
            <w:vAlign w:val="center"/>
          </w:tcPr>
          <w:p>
            <w:pPr>
              <w:spacing w:line="360" w:lineRule="auto"/>
              <w:jc w:val="center"/>
              <w:rPr>
                <w:rFonts w:ascii="宋体" w:hAnsi="宋体" w:cs="宋体"/>
                <w:color w:val="000000"/>
                <w:szCs w:val="21"/>
              </w:rPr>
            </w:pPr>
            <w:r>
              <w:rPr>
                <w:rFonts w:hint="eastAsia" w:ascii="宋体" w:hAnsi="宋体" w:cs="宋体"/>
                <w:color w:val="000000"/>
                <w:szCs w:val="21"/>
              </w:rPr>
              <w:t>资格条件</w:t>
            </w:r>
          </w:p>
          <w:p>
            <w:pPr>
              <w:spacing w:line="360" w:lineRule="auto"/>
              <w:jc w:val="center"/>
              <w:rPr>
                <w:rFonts w:ascii="宋体" w:hAnsi="宋体" w:cs="宋体"/>
                <w:color w:val="000000"/>
                <w:szCs w:val="21"/>
              </w:rPr>
            </w:pPr>
            <w:r>
              <w:rPr>
                <w:rFonts w:hint="eastAsia" w:ascii="宋体" w:hAnsi="宋体" w:cs="宋体"/>
                <w:color w:val="000000"/>
                <w:szCs w:val="21"/>
              </w:rPr>
              <w:t>审查</w:t>
            </w:r>
          </w:p>
        </w:tc>
        <w:tc>
          <w:tcPr>
            <w:tcW w:w="7796" w:type="dxa"/>
          </w:tcPr>
          <w:p>
            <w:pPr>
              <w:numPr>
                <w:ilvl w:val="0"/>
                <w:numId w:val="7"/>
              </w:numPr>
              <w:spacing w:line="360" w:lineRule="auto"/>
              <w:rPr>
                <w:rFonts w:ascii="宋体" w:hAnsi="宋体" w:cs="宋体"/>
                <w:color w:val="000000"/>
                <w:szCs w:val="21"/>
              </w:rPr>
            </w:pPr>
            <w:r>
              <w:rPr>
                <w:rFonts w:hint="eastAsia" w:ascii="宋体" w:hAnsi="宋体" w:cs="宋体"/>
                <w:color w:val="000000"/>
                <w:szCs w:val="21"/>
              </w:rPr>
              <w:t>符合《中华人民共和国政府采购法》第二十二条规定的供应商资格条件。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276" w:type="dxa"/>
            <w:vMerge w:val="continue"/>
            <w:vAlign w:val="center"/>
          </w:tcPr>
          <w:p>
            <w:pPr>
              <w:spacing w:line="360" w:lineRule="auto"/>
              <w:jc w:val="center"/>
              <w:rPr>
                <w:rFonts w:ascii="宋体" w:hAnsi="宋体" w:cs="宋体"/>
                <w:color w:val="000000"/>
                <w:szCs w:val="21"/>
              </w:rPr>
            </w:pPr>
          </w:p>
        </w:tc>
        <w:tc>
          <w:tcPr>
            <w:tcW w:w="7796" w:type="dxa"/>
          </w:tcPr>
          <w:p>
            <w:pPr>
              <w:numPr>
                <w:ilvl w:val="0"/>
                <w:numId w:val="7"/>
              </w:numPr>
              <w:spacing w:line="360" w:lineRule="auto"/>
              <w:rPr>
                <w:rFonts w:ascii="宋体" w:hAnsi="宋体" w:cs="宋体"/>
                <w:color w:val="000000"/>
                <w:szCs w:val="21"/>
              </w:rPr>
            </w:pPr>
            <w:r>
              <w:rPr>
                <w:rFonts w:hint="eastAsia" w:ascii="宋体" w:hAnsi="宋体" w:cs="宋体"/>
                <w:color w:val="000000"/>
                <w:szCs w:val="21"/>
              </w:rPr>
              <w:t>特定资格条件：/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276" w:type="dxa"/>
            <w:vMerge w:val="continue"/>
          </w:tcPr>
          <w:p>
            <w:pPr>
              <w:spacing w:line="360" w:lineRule="auto"/>
              <w:rPr>
                <w:rFonts w:ascii="宋体" w:hAnsi="宋体" w:cs="宋体"/>
                <w:color w:val="000000"/>
                <w:szCs w:val="21"/>
              </w:rPr>
            </w:pPr>
          </w:p>
        </w:tc>
        <w:tc>
          <w:tcPr>
            <w:tcW w:w="7796" w:type="dxa"/>
          </w:tcPr>
          <w:p>
            <w:pPr>
              <w:spacing w:line="360" w:lineRule="auto"/>
              <w:rPr>
                <w:rFonts w:ascii="宋体" w:hAnsi="宋体" w:cs="宋体"/>
                <w:color w:val="000000"/>
                <w:szCs w:val="21"/>
              </w:rPr>
            </w:pPr>
            <w:r>
              <w:rPr>
                <w:rFonts w:hint="eastAsia" w:ascii="宋体" w:hAnsi="宋体" w:cs="宋体"/>
                <w:color w:val="000000"/>
                <w:szCs w:val="21"/>
              </w:rPr>
              <w:t>（三）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提供书面声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276" w:type="dxa"/>
            <w:vMerge w:val="continue"/>
          </w:tcPr>
          <w:p>
            <w:pPr>
              <w:spacing w:line="360" w:lineRule="auto"/>
              <w:rPr>
                <w:rFonts w:ascii="宋体" w:hAnsi="宋体" w:cs="宋体"/>
                <w:color w:val="000000"/>
                <w:szCs w:val="21"/>
              </w:rPr>
            </w:pPr>
          </w:p>
        </w:tc>
        <w:tc>
          <w:tcPr>
            <w:tcW w:w="7796" w:type="dxa"/>
          </w:tcPr>
          <w:p>
            <w:pPr>
              <w:spacing w:line="360" w:lineRule="auto"/>
              <w:rPr>
                <w:rFonts w:ascii="宋体" w:hAnsi="宋体" w:cs="宋体"/>
                <w:color w:val="000000"/>
                <w:szCs w:val="21"/>
              </w:rPr>
            </w:pPr>
            <w:r>
              <w:rPr>
                <w:rFonts w:hint="eastAsia" w:ascii="宋体" w:hAnsi="宋体" w:cs="宋体"/>
                <w:color w:val="000000"/>
                <w:szCs w:val="21"/>
              </w:rPr>
              <w:t>（四）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276" w:type="dxa"/>
            <w:vMerge w:val="continue"/>
          </w:tcPr>
          <w:p>
            <w:pPr>
              <w:spacing w:line="360" w:lineRule="auto"/>
              <w:rPr>
                <w:rFonts w:ascii="宋体" w:hAnsi="宋体" w:cs="宋体"/>
                <w:color w:val="000000"/>
                <w:szCs w:val="21"/>
              </w:rPr>
            </w:pPr>
          </w:p>
        </w:tc>
        <w:tc>
          <w:tcPr>
            <w:tcW w:w="7796" w:type="dxa"/>
          </w:tcPr>
          <w:p>
            <w:pPr>
              <w:spacing w:line="360" w:lineRule="auto"/>
              <w:rPr>
                <w:rFonts w:ascii="宋体" w:hAnsi="宋体" w:cs="宋体"/>
                <w:color w:val="000000"/>
                <w:szCs w:val="21"/>
              </w:rPr>
            </w:pPr>
            <w:r>
              <w:rPr>
                <w:rFonts w:hint="eastAsia" w:ascii="宋体" w:hAnsi="宋体"/>
                <w:szCs w:val="21"/>
              </w:rPr>
              <w:t>（五）</w:t>
            </w:r>
            <w:r>
              <w:rPr>
                <w:rFonts w:hint="eastAsia" w:ascii="宋体" w:hAnsi="宋体" w:cs="宋体"/>
                <w:color w:val="000000"/>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rPr>
        <w:tc>
          <w:tcPr>
            <w:tcW w:w="1276" w:type="dxa"/>
            <w:vMerge w:val="continue"/>
          </w:tcPr>
          <w:p>
            <w:pPr>
              <w:spacing w:line="360" w:lineRule="auto"/>
              <w:rPr>
                <w:rFonts w:ascii="宋体" w:hAnsi="宋体" w:cs="宋体"/>
                <w:color w:val="000000"/>
                <w:szCs w:val="21"/>
              </w:rPr>
            </w:pPr>
          </w:p>
        </w:tc>
        <w:tc>
          <w:tcPr>
            <w:tcW w:w="7796" w:type="dxa"/>
          </w:tcPr>
          <w:p>
            <w:pPr>
              <w:spacing w:line="360" w:lineRule="auto"/>
              <w:rPr>
                <w:rFonts w:ascii="宋体" w:hAnsi="宋体"/>
                <w:szCs w:val="21"/>
              </w:rPr>
            </w:pPr>
            <w:r>
              <w:rPr>
                <w:rFonts w:hint="eastAsia" w:ascii="宋体" w:hAnsi="宋体"/>
                <w:szCs w:val="21"/>
              </w:rPr>
              <w:t>（六）采购文件要求的其他资格条件（如有）。</w:t>
            </w:r>
          </w:p>
        </w:tc>
      </w:tr>
    </w:tbl>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（二）符合性审查</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评标委员会应当对符合资格的供应商的投标文件进行符合性审查，以确定其是否满足采购文件的实质性要求。</w:t>
      </w:r>
    </w:p>
    <w:tbl>
      <w:tblPr>
        <w:tblStyle w:val="53"/>
        <w:tblW w:w="907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276" w:type="dxa"/>
          </w:tcPr>
          <w:p>
            <w:pPr>
              <w:spacing w:line="360" w:lineRule="auto"/>
              <w:jc w:val="center"/>
              <w:rPr>
                <w:rFonts w:ascii="宋体" w:hAnsi="宋体" w:cs="宋体"/>
                <w:b/>
                <w:color w:val="000000"/>
                <w:szCs w:val="21"/>
              </w:rPr>
            </w:pPr>
            <w:r>
              <w:rPr>
                <w:rFonts w:hint="eastAsia" w:ascii="宋体" w:hAnsi="宋体" w:cs="宋体"/>
                <w:b/>
                <w:color w:val="000000"/>
                <w:szCs w:val="21"/>
              </w:rPr>
              <w:t>审查类别</w:t>
            </w:r>
          </w:p>
        </w:tc>
        <w:tc>
          <w:tcPr>
            <w:tcW w:w="7796" w:type="dxa"/>
          </w:tcPr>
          <w:p>
            <w:pPr>
              <w:spacing w:line="360" w:lineRule="auto"/>
              <w:jc w:val="center"/>
              <w:rPr>
                <w:rFonts w:ascii="宋体" w:hAnsi="宋体" w:cs="宋体"/>
                <w:b/>
                <w:color w:val="000000"/>
                <w:szCs w:val="21"/>
              </w:rPr>
            </w:pPr>
            <w:r>
              <w:rPr>
                <w:rFonts w:hint="eastAsia" w:ascii="宋体" w:hAnsi="宋体" w:cs="宋体"/>
                <w:b/>
                <w:color w:val="000000"/>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restart"/>
            <w:vAlign w:val="center"/>
          </w:tcPr>
          <w:p>
            <w:pPr>
              <w:spacing w:line="360" w:lineRule="auto"/>
              <w:jc w:val="center"/>
              <w:rPr>
                <w:rFonts w:ascii="宋体" w:hAnsi="宋体" w:cs="宋体"/>
                <w:color w:val="000000"/>
                <w:szCs w:val="21"/>
              </w:rPr>
            </w:pPr>
            <w:r>
              <w:rPr>
                <w:rFonts w:hint="eastAsia" w:ascii="宋体" w:hAnsi="宋体" w:cs="宋体"/>
                <w:color w:val="000000"/>
                <w:szCs w:val="21"/>
              </w:rPr>
              <w:t>符合性审查</w:t>
            </w:r>
          </w:p>
        </w:tc>
        <w:tc>
          <w:tcPr>
            <w:tcW w:w="7796" w:type="dxa"/>
            <w:vAlign w:val="center"/>
          </w:tcPr>
          <w:p>
            <w:pPr>
              <w:tabs>
                <w:tab w:val="left" w:pos="612"/>
              </w:tabs>
              <w:spacing w:line="360" w:lineRule="auto"/>
              <w:rPr>
                <w:rFonts w:ascii="宋体" w:hAnsi="宋体" w:cs="宋体"/>
                <w:color w:val="000000"/>
              </w:rPr>
            </w:pPr>
            <w:r>
              <w:rPr>
                <w:rFonts w:hint="eastAsia" w:ascii="宋体" w:hAnsi="宋体" w:cs="宋体"/>
                <w:color w:val="000000"/>
              </w:rPr>
              <w:t>投标函已提交并符合采购文件要求；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tcPr>
          <w:p>
            <w:pPr>
              <w:spacing w:line="360" w:lineRule="auto"/>
              <w:rPr>
                <w:rFonts w:ascii="宋体" w:hAnsi="宋体" w:cs="宋体"/>
                <w:color w:val="000000"/>
                <w:szCs w:val="21"/>
              </w:rPr>
            </w:pPr>
          </w:p>
        </w:tc>
        <w:tc>
          <w:tcPr>
            <w:tcW w:w="7796" w:type="dxa"/>
            <w:vAlign w:val="center"/>
          </w:tcPr>
          <w:p>
            <w:pPr>
              <w:tabs>
                <w:tab w:val="left" w:pos="612"/>
              </w:tabs>
              <w:spacing w:line="360" w:lineRule="auto"/>
              <w:rPr>
                <w:rFonts w:ascii="宋体" w:hAnsi="宋体" w:cs="宋体"/>
                <w:color w:val="000000"/>
              </w:rPr>
            </w:pPr>
            <w:r>
              <w:rPr>
                <w:rFonts w:hint="eastAsia" w:ascii="宋体" w:hAnsi="宋体" w:cs="宋体"/>
                <w:color w:val="000000"/>
              </w:rPr>
              <w:t>按照采购文件规定要求签署、盖章且投标文件有法定代表人</w:t>
            </w:r>
            <w:r>
              <w:rPr>
                <w:rFonts w:hint="eastAsia" w:ascii="宋体" w:hAnsi="宋体" w:cs="宋体"/>
                <w:color w:val="000000"/>
                <w:szCs w:val="21"/>
                <w:lang w:eastAsia="zh-TW"/>
              </w:rPr>
              <w:t>签署本人姓名（或印盖本人姓名章）</w:t>
            </w:r>
            <w:r>
              <w:rPr>
                <w:rFonts w:hint="eastAsia" w:ascii="宋体" w:hAnsi="宋体" w:cs="宋体"/>
                <w:color w:val="000000"/>
              </w:rPr>
              <w:t>，或</w:t>
            </w:r>
            <w:r>
              <w:rPr>
                <w:rFonts w:hint="eastAsia" w:ascii="宋体" w:hAnsi="宋体" w:cs="宋体"/>
                <w:color w:val="000000"/>
                <w:szCs w:val="21"/>
                <w:lang w:eastAsia="zh-TW"/>
              </w:rPr>
              <w:t>签署</w:t>
            </w:r>
            <w:r>
              <w:rPr>
                <w:rFonts w:hint="eastAsia" w:ascii="宋体" w:hAnsi="宋体" w:cs="宋体"/>
                <w:color w:val="000000"/>
              </w:rPr>
              <w:t>人有法定代表人有效授权书；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tcPr>
          <w:p>
            <w:pPr>
              <w:spacing w:line="360" w:lineRule="auto"/>
              <w:rPr>
                <w:rFonts w:ascii="宋体" w:hAnsi="宋体" w:cs="宋体"/>
                <w:color w:val="000000"/>
                <w:szCs w:val="21"/>
              </w:rPr>
            </w:pPr>
          </w:p>
        </w:tc>
        <w:tc>
          <w:tcPr>
            <w:tcW w:w="7796" w:type="dxa"/>
            <w:vAlign w:val="center"/>
          </w:tcPr>
          <w:p>
            <w:pPr>
              <w:tabs>
                <w:tab w:val="left" w:pos="612"/>
              </w:tabs>
              <w:spacing w:line="360" w:lineRule="auto"/>
              <w:rPr>
                <w:rFonts w:ascii="宋体" w:hAnsi="宋体" w:cs="宋体"/>
                <w:color w:val="000000"/>
                <w:kern w:val="0"/>
              </w:rPr>
            </w:pPr>
            <w:r>
              <w:rPr>
                <w:rFonts w:hint="eastAsia" w:ascii="宋体" w:hAnsi="宋体" w:cs="宋体"/>
                <w:color w:val="000000"/>
              </w:rPr>
              <w:t>投标文件完全满足采购文件的实质性条款（即标注</w:t>
            </w:r>
            <w:r>
              <w:rPr>
                <w:rFonts w:hint="eastAsia" w:ascii="宋体" w:hAnsi="宋体" w:cs="宋体"/>
                <w:kern w:val="0"/>
                <w:szCs w:val="21"/>
              </w:rPr>
              <w:t>★</w:t>
            </w:r>
            <w:r>
              <w:rPr>
                <w:rFonts w:hint="eastAsia" w:ascii="宋体" w:hAnsi="宋体" w:cs="宋体"/>
                <w:color w:val="000000"/>
              </w:rPr>
              <w:t>号条款），无负偏离；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tcPr>
          <w:p>
            <w:pPr>
              <w:spacing w:line="360" w:lineRule="auto"/>
              <w:rPr>
                <w:rFonts w:ascii="宋体" w:hAnsi="宋体" w:cs="宋体"/>
                <w:color w:val="000000"/>
                <w:szCs w:val="21"/>
              </w:rPr>
            </w:pPr>
          </w:p>
        </w:tc>
        <w:tc>
          <w:tcPr>
            <w:tcW w:w="7796" w:type="dxa"/>
            <w:vAlign w:val="center"/>
          </w:tcPr>
          <w:p>
            <w:pPr>
              <w:spacing w:line="360" w:lineRule="auto"/>
              <w:rPr>
                <w:rFonts w:ascii="宋体" w:hAnsi="宋体" w:cs="宋体"/>
                <w:color w:val="000000"/>
              </w:rPr>
            </w:pPr>
            <w:r>
              <w:rPr>
                <w:rFonts w:hint="eastAsia" w:ascii="宋体" w:hAnsi="宋体" w:cs="宋体"/>
                <w:color w:val="000000"/>
              </w:rPr>
              <w:t>投标文件内容不存在采购文件所规定的其它无效投标条款要求；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tcPr>
          <w:p>
            <w:pPr>
              <w:spacing w:line="360" w:lineRule="auto"/>
              <w:rPr>
                <w:rFonts w:ascii="宋体" w:hAnsi="宋体" w:cs="宋体"/>
                <w:color w:val="000000"/>
                <w:szCs w:val="21"/>
              </w:rPr>
            </w:pPr>
          </w:p>
        </w:tc>
        <w:tc>
          <w:tcPr>
            <w:tcW w:w="7796" w:type="dxa"/>
            <w:vAlign w:val="center"/>
          </w:tcPr>
          <w:p>
            <w:pPr>
              <w:spacing w:line="360" w:lineRule="auto"/>
              <w:rPr>
                <w:rFonts w:ascii="宋体" w:hAnsi="宋体" w:cs="宋体"/>
                <w:color w:val="000000"/>
              </w:rPr>
            </w:pPr>
            <w:r>
              <w:rPr>
                <w:rFonts w:hint="eastAsia" w:ascii="宋体" w:hAnsi="宋体" w:cs="宋体"/>
                <w:color w:val="000000"/>
              </w:rPr>
              <w:t>不存在按有关法律、法规、规章属于投标无效情形；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Merge w:val="continue"/>
          </w:tcPr>
          <w:p>
            <w:pPr>
              <w:spacing w:line="360" w:lineRule="auto"/>
              <w:rPr>
                <w:rFonts w:ascii="宋体" w:hAnsi="宋体" w:cs="宋体"/>
                <w:color w:val="000000"/>
                <w:szCs w:val="21"/>
              </w:rPr>
            </w:pPr>
          </w:p>
        </w:tc>
        <w:tc>
          <w:tcPr>
            <w:tcW w:w="7796" w:type="dxa"/>
            <w:vAlign w:val="center"/>
          </w:tcPr>
          <w:p>
            <w:pPr>
              <w:spacing w:line="360" w:lineRule="auto"/>
              <w:rPr>
                <w:rFonts w:ascii="宋体" w:hAnsi="宋体" w:cs="宋体"/>
                <w:color w:val="000000"/>
              </w:rPr>
            </w:pPr>
            <w:r>
              <w:rPr>
                <w:rFonts w:hint="eastAsia" w:ascii="宋体" w:hAnsi="宋体" w:cs="宋体"/>
                <w:color w:val="000000"/>
              </w:rPr>
              <w:t>不存在投标文件的有效期不满足采购文件要求情形。</w:t>
            </w:r>
          </w:p>
        </w:tc>
      </w:tr>
    </w:tbl>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（三）详细评审</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评标委员会对资格审查、符合性审查合格的投标文件，依照本办法对投标文件作进一步评审、比较。评标委员会成员经过阅标、审标和询标，对各供应商进行打分。</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评委打分参照本部分《评分标准》。由各评标委员会成员根据供应商的投标文件及相关澄清文件，进行独立打分。评委打分采用记名方式，取算术平均分（小数点后保留一位小数）。对明显畸高、畸低的评分（其总评分偏离平均分30%以上的），评标委员会主任委员提醒相关评审人员进行复核或书面说明理由。</w:t>
      </w:r>
    </w:p>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（四）投标无效的情形</w:t>
      </w:r>
    </w:p>
    <w:p>
      <w:pPr>
        <w:spacing w:line="480" w:lineRule="exact"/>
        <w:ind w:firstLine="420" w:firstLineChars="200"/>
        <w:rPr>
          <w:rFonts w:ascii="宋体" w:hAnsi="宋体" w:cs="宋体"/>
          <w:color w:val="000000"/>
          <w:szCs w:val="21"/>
        </w:rPr>
      </w:pPr>
      <w:r>
        <w:rPr>
          <w:rFonts w:hint="eastAsia" w:ascii="宋体" w:hAnsi="宋体" w:cs="宋体"/>
          <w:color w:val="000000"/>
          <w:szCs w:val="21"/>
        </w:rPr>
        <w:t>没有响应采购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供应商修改、补正投标文件后，不影响评标委员会对其投标文件所作的评价和评分结果。</w:t>
      </w:r>
    </w:p>
    <w:p>
      <w:pPr>
        <w:numPr>
          <w:ilvl w:val="0"/>
          <w:numId w:val="8"/>
        </w:numPr>
        <w:spacing w:line="480" w:lineRule="exact"/>
        <w:rPr>
          <w:rFonts w:ascii="宋体" w:hAnsi="宋体" w:cs="宋体"/>
          <w:b/>
          <w:bCs/>
          <w:color w:val="000000"/>
          <w:szCs w:val="21"/>
        </w:rPr>
      </w:pPr>
      <w:r>
        <w:rPr>
          <w:rFonts w:hint="eastAsia" w:ascii="宋体" w:hAnsi="宋体" w:cs="宋体"/>
          <w:b/>
          <w:bCs/>
          <w:color w:val="000000"/>
          <w:szCs w:val="21"/>
        </w:rPr>
        <w:t>在资格审查时，如发现下列情形之一的，将被视为无效投标文件：</w:t>
      </w:r>
    </w:p>
    <w:p>
      <w:pPr>
        <w:numPr>
          <w:ilvl w:val="0"/>
          <w:numId w:val="9"/>
        </w:numPr>
        <w:spacing w:line="480" w:lineRule="exact"/>
        <w:rPr>
          <w:rFonts w:ascii="宋体" w:hAnsi="宋体" w:cs="宋体"/>
          <w:color w:val="000000"/>
          <w:szCs w:val="21"/>
        </w:rPr>
      </w:pPr>
      <w:r>
        <w:rPr>
          <w:rFonts w:hint="eastAsia" w:ascii="宋体" w:hAnsi="宋体" w:cs="宋体"/>
          <w:color w:val="000000"/>
          <w:szCs w:val="21"/>
        </w:rPr>
        <w:t>资格证明文件不全的或者不符合采购文件标明的资格要求的；</w:t>
      </w:r>
    </w:p>
    <w:p>
      <w:pPr>
        <w:spacing w:line="480" w:lineRule="exact"/>
        <w:rPr>
          <w:rFonts w:ascii="宋体" w:hAnsi="宋体" w:cs="宋体"/>
          <w:b/>
          <w:bCs/>
          <w:szCs w:val="21"/>
        </w:rPr>
      </w:pPr>
      <w:r>
        <w:rPr>
          <w:rFonts w:hint="eastAsia" w:ascii="宋体" w:hAnsi="宋体" w:cs="宋体"/>
          <w:b/>
          <w:bCs/>
          <w:szCs w:val="21"/>
        </w:rPr>
        <w:t>B、在符合性审查和商务评审时，如发现下列情形之一的，将被视为无效投标文件：</w:t>
      </w:r>
    </w:p>
    <w:p>
      <w:pPr>
        <w:spacing w:line="480" w:lineRule="exact"/>
        <w:ind w:left="210" w:leftChars="100"/>
        <w:rPr>
          <w:rFonts w:ascii="宋体" w:hAnsi="宋体" w:cs="宋体"/>
          <w:szCs w:val="21"/>
        </w:rPr>
      </w:pPr>
      <w:r>
        <w:rPr>
          <w:rFonts w:hint="eastAsia" w:ascii="宋体" w:hAnsi="宋体" w:cs="宋体"/>
          <w:szCs w:val="21"/>
        </w:rPr>
        <w:t>1、供应商资格声明函无法定代表人或授权代表签名,或委托人未提供法定代表人授权委托书、填写项目不齐全的；</w:t>
      </w:r>
    </w:p>
    <w:p>
      <w:pPr>
        <w:spacing w:line="480" w:lineRule="exact"/>
        <w:ind w:left="210" w:leftChars="100"/>
        <w:rPr>
          <w:rFonts w:ascii="宋体" w:hAnsi="宋体" w:cs="宋体"/>
          <w:szCs w:val="21"/>
        </w:rPr>
      </w:pPr>
      <w:r>
        <w:rPr>
          <w:rFonts w:hint="eastAsia" w:ascii="宋体" w:hAnsi="宋体" w:cs="宋体"/>
          <w:szCs w:val="21"/>
        </w:rPr>
        <w:t xml:space="preserve">2、投标代表人未能出具身份证明或与法定代表人授权委托人身份不符的； </w:t>
      </w:r>
    </w:p>
    <w:p>
      <w:pPr>
        <w:spacing w:line="480" w:lineRule="exact"/>
        <w:ind w:left="210" w:leftChars="100"/>
        <w:rPr>
          <w:rFonts w:ascii="宋体" w:hAnsi="宋体" w:cs="宋体"/>
          <w:szCs w:val="21"/>
        </w:rPr>
      </w:pPr>
      <w:r>
        <w:rPr>
          <w:rFonts w:hint="eastAsia" w:ascii="宋体" w:hAnsi="宋体" w:cs="宋体"/>
          <w:szCs w:val="21"/>
        </w:rPr>
        <w:t>3、投标文件格式不规范、项目不齐全或者内容虚假的；</w:t>
      </w:r>
    </w:p>
    <w:p>
      <w:pPr>
        <w:spacing w:line="480" w:lineRule="exact"/>
        <w:ind w:left="210" w:leftChars="100"/>
        <w:rPr>
          <w:rFonts w:ascii="宋体" w:hAnsi="宋体" w:cs="宋体"/>
          <w:szCs w:val="21"/>
        </w:rPr>
      </w:pPr>
      <w:r>
        <w:rPr>
          <w:rFonts w:hint="eastAsia" w:ascii="宋体" w:hAnsi="宋体" w:cs="宋体"/>
          <w:szCs w:val="21"/>
        </w:rPr>
        <w:t>4、投标文件的实质性内容未使用中文表述、意思表述不明确、前后矛盾或者使用计量单位不符合采购文件要求的（经评标委员会认定并允许其当场更正的笔误除外）；</w:t>
      </w:r>
    </w:p>
    <w:p>
      <w:pPr>
        <w:spacing w:line="480" w:lineRule="exact"/>
        <w:ind w:left="210" w:leftChars="100"/>
        <w:rPr>
          <w:rFonts w:ascii="宋体" w:hAnsi="宋体" w:cs="宋体"/>
          <w:szCs w:val="21"/>
        </w:rPr>
      </w:pPr>
      <w:r>
        <w:rPr>
          <w:rFonts w:hint="eastAsia" w:ascii="宋体" w:hAnsi="宋体" w:cs="宋体"/>
          <w:szCs w:val="21"/>
        </w:rPr>
        <w:t>5、投标有效期等商务条款不能满足采购文件要求的；</w:t>
      </w:r>
    </w:p>
    <w:p>
      <w:pPr>
        <w:spacing w:line="480" w:lineRule="exact"/>
        <w:ind w:left="210" w:leftChars="100"/>
        <w:rPr>
          <w:rFonts w:ascii="宋体" w:hAnsi="宋体" w:cs="宋体"/>
          <w:szCs w:val="21"/>
        </w:rPr>
      </w:pPr>
      <w:r>
        <w:rPr>
          <w:rFonts w:hint="eastAsia" w:ascii="宋体" w:hAnsi="宋体" w:cs="宋体"/>
          <w:szCs w:val="21"/>
        </w:rPr>
        <w:t>6、带“★”的条款不能满足采购文件要求、未实质性响应采购文件要求或者投标文件有采购方不能接受的附加条件的。</w:t>
      </w:r>
    </w:p>
    <w:p>
      <w:pPr>
        <w:spacing w:line="480" w:lineRule="exact"/>
        <w:rPr>
          <w:rFonts w:ascii="宋体" w:hAnsi="宋体" w:cs="宋体"/>
          <w:b/>
          <w:bCs/>
          <w:color w:val="000000"/>
          <w:szCs w:val="21"/>
        </w:rPr>
      </w:pPr>
      <w:r>
        <w:rPr>
          <w:rFonts w:hint="eastAsia" w:ascii="宋体" w:hAnsi="宋体" w:cs="宋体"/>
          <w:b/>
          <w:bCs/>
          <w:color w:val="000000"/>
          <w:szCs w:val="21"/>
        </w:rPr>
        <w:t>C、在技术评审时，如发现下列情形之一的，将被视为无效投标文件：</w:t>
      </w:r>
    </w:p>
    <w:p>
      <w:pPr>
        <w:spacing w:line="480" w:lineRule="exact"/>
        <w:ind w:left="210" w:leftChars="100"/>
        <w:rPr>
          <w:rFonts w:ascii="宋体" w:hAnsi="宋体" w:cs="宋体"/>
          <w:color w:val="000000"/>
          <w:szCs w:val="21"/>
        </w:rPr>
      </w:pPr>
      <w:r>
        <w:rPr>
          <w:rFonts w:hint="eastAsia" w:ascii="宋体" w:hAnsi="宋体" w:cs="宋体"/>
          <w:color w:val="000000"/>
          <w:szCs w:val="21"/>
        </w:rPr>
        <w:t>1、未提供或未如实提供投标货物的技术参数，或者投标文件标明的响应或偏离与事实不符或虚假投标的；</w:t>
      </w:r>
    </w:p>
    <w:p>
      <w:pPr>
        <w:spacing w:line="480" w:lineRule="exact"/>
        <w:ind w:left="210" w:leftChars="100"/>
        <w:rPr>
          <w:rFonts w:ascii="宋体" w:hAnsi="宋体" w:cs="宋体"/>
          <w:color w:val="000000"/>
          <w:szCs w:val="21"/>
        </w:rPr>
      </w:pPr>
      <w:r>
        <w:rPr>
          <w:rFonts w:hint="eastAsia" w:ascii="宋体" w:hAnsi="宋体" w:cs="宋体"/>
          <w:color w:val="000000"/>
          <w:szCs w:val="21"/>
        </w:rPr>
        <w:t>2、明显不符合采购文件要求的规格型号、质量标准，或者与采购文件中标“</w:t>
      </w:r>
      <w:r>
        <w:rPr>
          <w:rFonts w:hint="eastAsia" w:ascii="宋体" w:hAnsi="宋体" w:cs="宋体"/>
          <w:szCs w:val="21"/>
        </w:rPr>
        <w:t>★</w:t>
      </w:r>
      <w:r>
        <w:rPr>
          <w:rFonts w:hint="eastAsia" w:ascii="宋体" w:hAnsi="宋体" w:cs="宋体"/>
          <w:color w:val="000000"/>
          <w:szCs w:val="21"/>
        </w:rPr>
        <w:t>”的技术指标、主要功能项目发生实质性偏离的；</w:t>
      </w:r>
    </w:p>
    <w:p>
      <w:pPr>
        <w:spacing w:line="480" w:lineRule="exact"/>
        <w:ind w:left="210" w:leftChars="100"/>
        <w:rPr>
          <w:rFonts w:ascii="宋体" w:hAnsi="宋体" w:cs="宋体"/>
          <w:color w:val="000000"/>
          <w:szCs w:val="21"/>
        </w:rPr>
      </w:pPr>
      <w:r>
        <w:rPr>
          <w:rFonts w:hint="eastAsia" w:ascii="宋体" w:hAnsi="宋体" w:cs="宋体"/>
          <w:color w:val="000000"/>
          <w:szCs w:val="21"/>
        </w:rPr>
        <w:t>3、投标技术方案不明确，存在一个或一个以上备选（替代）投标方案的；</w:t>
      </w:r>
    </w:p>
    <w:p>
      <w:pPr>
        <w:spacing w:line="480" w:lineRule="exact"/>
        <w:rPr>
          <w:rFonts w:ascii="宋体" w:hAnsi="宋体" w:cs="宋体"/>
          <w:b/>
          <w:bCs/>
          <w:color w:val="000000"/>
          <w:szCs w:val="21"/>
        </w:rPr>
      </w:pPr>
      <w:r>
        <w:rPr>
          <w:rFonts w:hint="eastAsia" w:ascii="宋体" w:hAnsi="宋体" w:cs="宋体"/>
          <w:b/>
          <w:bCs/>
          <w:color w:val="000000"/>
          <w:szCs w:val="21"/>
        </w:rPr>
        <w:t>D、在报价评审时，如发现下列情形之一的，投标文件将被视为无效：</w:t>
      </w:r>
    </w:p>
    <w:p>
      <w:pPr>
        <w:spacing w:line="480" w:lineRule="exact"/>
        <w:ind w:left="210" w:leftChars="100"/>
        <w:rPr>
          <w:rFonts w:ascii="宋体" w:hAnsi="宋体" w:cs="宋体"/>
          <w:color w:val="000000"/>
          <w:szCs w:val="21"/>
        </w:rPr>
      </w:pPr>
      <w:r>
        <w:rPr>
          <w:rFonts w:hint="eastAsia" w:ascii="宋体" w:hAnsi="宋体" w:cs="宋体"/>
          <w:color w:val="000000"/>
          <w:szCs w:val="21"/>
        </w:rPr>
        <w:t>1、未采用人民币报价或者未按照采购文件标明的币种报价的；</w:t>
      </w:r>
    </w:p>
    <w:p>
      <w:pPr>
        <w:spacing w:line="480" w:lineRule="exact"/>
        <w:ind w:left="210" w:leftChars="100"/>
        <w:rPr>
          <w:rFonts w:ascii="宋体" w:hAnsi="宋体" w:cs="宋体"/>
          <w:color w:val="000000"/>
          <w:szCs w:val="21"/>
        </w:rPr>
      </w:pPr>
      <w:r>
        <w:rPr>
          <w:rFonts w:hint="eastAsia" w:ascii="宋体" w:hAnsi="宋体" w:cs="宋体"/>
          <w:color w:val="000000"/>
          <w:szCs w:val="21"/>
        </w:rPr>
        <w:t>2、报价超出最高限价，或者超出采购预算金额，采购单位不能支付的；</w:t>
      </w:r>
    </w:p>
    <w:p>
      <w:pPr>
        <w:spacing w:line="480" w:lineRule="exact"/>
        <w:ind w:left="210" w:leftChars="100"/>
        <w:rPr>
          <w:rFonts w:ascii="宋体" w:hAnsi="宋体" w:cs="宋体"/>
          <w:color w:val="000000"/>
          <w:szCs w:val="21"/>
        </w:rPr>
      </w:pPr>
      <w:r>
        <w:rPr>
          <w:rFonts w:hint="eastAsia" w:ascii="宋体" w:hAnsi="宋体" w:cs="宋体"/>
          <w:color w:val="000000"/>
          <w:szCs w:val="21"/>
        </w:rPr>
        <w:t>3、投标报价具有选择性的；</w:t>
      </w:r>
    </w:p>
    <w:p>
      <w:pPr>
        <w:spacing w:line="480" w:lineRule="exact"/>
        <w:ind w:left="210" w:leftChars="100"/>
        <w:rPr>
          <w:rFonts w:ascii="宋体" w:hAnsi="宋体" w:cs="宋体"/>
          <w:color w:val="000000"/>
          <w:szCs w:val="21"/>
        </w:rPr>
      </w:pPr>
      <w:r>
        <w:rPr>
          <w:rFonts w:hint="eastAsia" w:ascii="宋体" w:hAnsi="宋体" w:cs="宋体"/>
          <w:szCs w:val="21"/>
        </w:rPr>
        <w:t>4</w:t>
      </w:r>
      <w:r>
        <w:rPr>
          <w:rFonts w:hint="eastAsia" w:ascii="宋体" w:hAnsi="宋体" w:cs="宋体"/>
          <w:color w:val="000000"/>
          <w:szCs w:val="21"/>
        </w:rPr>
        <w:t>、投标报价中出现重大缺项、漏项；</w:t>
      </w:r>
    </w:p>
    <w:p>
      <w:pPr>
        <w:spacing w:line="480" w:lineRule="exact"/>
        <w:ind w:left="210" w:leftChars="100"/>
        <w:rPr>
          <w:rFonts w:ascii="宋体" w:hAnsi="宋体" w:cs="宋体"/>
          <w:color w:val="000000"/>
          <w:szCs w:val="21"/>
        </w:rPr>
      </w:pPr>
      <w:r>
        <w:rPr>
          <w:rFonts w:hint="eastAsia" w:ascii="宋体" w:hAnsi="宋体" w:cs="宋体"/>
          <w:color w:val="000000"/>
          <w:szCs w:val="21"/>
        </w:rPr>
        <w:t>5、评标委员会认为供应商的报价明显低于其他通过符合性审查供应商的报价，有可能影响产品质量或者不能诚信履约的，且不能在评标现场合理时间内提供相关证明材料说明其报价的合理性的。</w:t>
      </w:r>
    </w:p>
    <w:p>
      <w:pPr>
        <w:spacing w:line="480" w:lineRule="exact"/>
        <w:rPr>
          <w:rFonts w:ascii="宋体" w:hAnsi="宋体" w:cs="宋体"/>
          <w:b/>
          <w:bCs/>
          <w:color w:val="000000"/>
          <w:szCs w:val="21"/>
        </w:rPr>
      </w:pPr>
      <w:r>
        <w:rPr>
          <w:rFonts w:hint="eastAsia" w:ascii="宋体" w:hAnsi="宋体" w:cs="宋体"/>
          <w:b/>
          <w:bCs/>
          <w:color w:val="000000"/>
          <w:szCs w:val="21"/>
        </w:rPr>
        <w:t>E、法律、法规和采购文件规定的其他无效情形。</w:t>
      </w:r>
    </w:p>
    <w:p>
      <w:pPr>
        <w:widowControl/>
        <w:spacing w:line="480" w:lineRule="exact"/>
        <w:ind w:firstLine="422" w:firstLineChars="200"/>
        <w:jc w:val="left"/>
        <w:rPr>
          <w:rFonts w:ascii="宋体" w:hAnsi="宋体" w:cs="宋体"/>
          <w:b/>
          <w:bCs/>
          <w:kern w:val="0"/>
          <w:szCs w:val="21"/>
        </w:rPr>
      </w:pPr>
      <w:r>
        <w:rPr>
          <w:rFonts w:hint="eastAsia" w:ascii="宋体" w:hAnsi="宋体" w:cs="宋体"/>
          <w:b/>
          <w:bCs/>
          <w:kern w:val="0"/>
          <w:szCs w:val="21"/>
        </w:rPr>
        <w:t>（五）评分标准</w:t>
      </w:r>
    </w:p>
    <w:p>
      <w:pPr>
        <w:spacing w:line="390" w:lineRule="exact"/>
        <w:jc w:val="center"/>
        <w:rPr>
          <w:rFonts w:ascii="宋体" w:hAnsi="宋体" w:cs="宋体"/>
          <w:b/>
          <w:color w:val="000000"/>
          <w:szCs w:val="21"/>
        </w:rPr>
      </w:pPr>
      <w:r>
        <w:rPr>
          <w:rFonts w:hint="eastAsia" w:ascii="宋体" w:hAnsi="宋体" w:cs="宋体"/>
          <w:b/>
          <w:color w:val="000000"/>
          <w:szCs w:val="21"/>
        </w:rPr>
        <w:t>评分标准（兼评委打分表）</w:t>
      </w:r>
    </w:p>
    <w:tbl>
      <w:tblPr>
        <w:tblStyle w:val="53"/>
        <w:tblW w:w="9160" w:type="dxa"/>
        <w:jc w:val="center"/>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37"/>
        <w:gridCol w:w="1134"/>
        <w:gridCol w:w="6300"/>
        <w:gridCol w:w="6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21" w:hRule="atLeast"/>
          <w:jc w:val="center"/>
        </w:trPr>
        <w:tc>
          <w:tcPr>
            <w:tcW w:w="2171" w:type="dxa"/>
            <w:gridSpan w:val="2"/>
            <w:tcBorders>
              <w:top w:val="doub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考核项目</w:t>
            </w:r>
          </w:p>
        </w:tc>
        <w:tc>
          <w:tcPr>
            <w:tcW w:w="6300" w:type="dxa"/>
            <w:tcBorders>
              <w:top w:val="doub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评分标准</w:t>
            </w:r>
          </w:p>
        </w:tc>
        <w:tc>
          <w:tcPr>
            <w:tcW w:w="689" w:type="dxa"/>
            <w:tcBorders>
              <w:top w:val="double" w:color="auto" w:sz="4" w:space="0"/>
            </w:tcBorders>
            <w:vAlign w:val="center"/>
          </w:tcPr>
          <w:p>
            <w:pPr>
              <w:widowControl/>
              <w:jc w:val="center"/>
              <w:rPr>
                <w:rFonts w:ascii="宋体"/>
                <w:b/>
                <w:bCs/>
                <w:color w:val="000000"/>
                <w:kern w:val="0"/>
              </w:rPr>
            </w:pPr>
            <w:r>
              <w:rPr>
                <w:rFonts w:hint="eastAsia" w:ascii="宋体" w:hAnsi="宋体" w:cs="宋体"/>
                <w:b/>
                <w:bCs/>
                <w:color w:val="000000"/>
                <w:kern w:val="0"/>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708" w:hRule="atLeast"/>
          <w:jc w:val="center"/>
        </w:trPr>
        <w:tc>
          <w:tcPr>
            <w:tcW w:w="1037" w:type="dxa"/>
            <w:vAlign w:val="center"/>
          </w:tcPr>
          <w:p>
            <w:pPr>
              <w:widowControl/>
              <w:jc w:val="center"/>
              <w:rPr>
                <w:rFonts w:ascii="宋体"/>
                <w:color w:val="000000"/>
                <w:kern w:val="0"/>
              </w:rPr>
            </w:pPr>
            <w:r>
              <w:rPr>
                <w:rFonts w:hint="eastAsia" w:ascii="宋体" w:hAnsi="宋体" w:cs="宋体"/>
                <w:color w:val="000000"/>
                <w:kern w:val="0"/>
              </w:rPr>
              <w:t>投标</w:t>
            </w:r>
          </w:p>
          <w:p>
            <w:pPr>
              <w:widowControl/>
              <w:jc w:val="center"/>
              <w:rPr>
                <w:rFonts w:ascii="宋体"/>
                <w:color w:val="000000"/>
                <w:kern w:val="0"/>
              </w:rPr>
            </w:pPr>
            <w:r>
              <w:rPr>
                <w:rFonts w:hint="eastAsia" w:ascii="宋体" w:hAnsi="宋体" w:cs="宋体"/>
                <w:color w:val="000000"/>
                <w:kern w:val="0"/>
              </w:rPr>
              <w:t>报价</w:t>
            </w:r>
          </w:p>
          <w:p>
            <w:pPr>
              <w:widowControl/>
              <w:jc w:val="center"/>
              <w:rPr>
                <w:rFonts w:ascii="宋体"/>
                <w:color w:val="000000"/>
                <w:kern w:val="0"/>
              </w:rPr>
            </w:pPr>
            <w:r>
              <w:rPr>
                <w:rFonts w:hint="eastAsia" w:ascii="宋体" w:hAnsi="宋体" w:cs="宋体"/>
                <w:color w:val="000000"/>
                <w:kern w:val="0"/>
              </w:rPr>
              <w:t>（</w:t>
            </w:r>
            <w:r>
              <w:rPr>
                <w:rFonts w:ascii="宋体" w:hAnsi="宋体" w:cs="宋体"/>
                <w:color w:val="000000"/>
                <w:kern w:val="0"/>
              </w:rPr>
              <w:t>30</w:t>
            </w:r>
            <w:r>
              <w:rPr>
                <w:rFonts w:hint="eastAsia" w:ascii="宋体" w:hAnsi="宋体" w:cs="宋体"/>
                <w:color w:val="000000"/>
                <w:kern w:val="0"/>
              </w:rPr>
              <w:t>分）</w:t>
            </w:r>
          </w:p>
        </w:tc>
        <w:tc>
          <w:tcPr>
            <w:tcW w:w="1134" w:type="dxa"/>
            <w:vAlign w:val="center"/>
          </w:tcPr>
          <w:p>
            <w:pPr>
              <w:widowControl/>
              <w:rPr>
                <w:rFonts w:ascii="宋体"/>
                <w:color w:val="000000"/>
              </w:rPr>
            </w:pPr>
            <w:r>
              <w:rPr>
                <w:rFonts w:hint="eastAsia" w:ascii="宋体" w:hAnsi="宋体" w:cs="宋体"/>
                <w:color w:val="000000"/>
              </w:rPr>
              <w:t>投标报价</w:t>
            </w:r>
          </w:p>
        </w:tc>
        <w:tc>
          <w:tcPr>
            <w:tcW w:w="6300" w:type="dxa"/>
            <w:vAlign w:val="center"/>
          </w:tcPr>
          <w:p>
            <w:pPr>
              <w:widowControl/>
              <w:rPr>
                <w:rFonts w:ascii="宋体"/>
                <w:color w:val="000000"/>
                <w:kern w:val="0"/>
              </w:rPr>
            </w:pPr>
            <w:r>
              <w:rPr>
                <w:rFonts w:hint="eastAsia" w:ascii="宋体" w:hAnsi="宋体" w:cs="宋体"/>
                <w:color w:val="000000"/>
                <w:kern w:val="0"/>
              </w:rPr>
              <w:t>报价分采用低价优先法计算，即满足招标文件要求且投标价格最低的投标报价为评标基准价，基准价得分为满分</w:t>
            </w:r>
            <w:r>
              <w:rPr>
                <w:rFonts w:ascii="宋体" w:hAnsi="宋体" w:cs="宋体"/>
                <w:color w:val="000000"/>
                <w:kern w:val="0"/>
              </w:rPr>
              <w:t>30</w:t>
            </w:r>
            <w:r>
              <w:rPr>
                <w:rFonts w:hint="eastAsia" w:ascii="宋体" w:hAnsi="宋体" w:cs="宋体"/>
                <w:color w:val="000000"/>
                <w:kern w:val="0"/>
              </w:rPr>
              <w:t>分。</w:t>
            </w:r>
          </w:p>
          <w:p>
            <w:pPr>
              <w:widowControl/>
              <w:rPr>
                <w:rFonts w:ascii="宋体"/>
                <w:color w:val="000000"/>
                <w:kern w:val="0"/>
              </w:rPr>
            </w:pPr>
            <w:r>
              <w:rPr>
                <w:rFonts w:hint="eastAsia" w:ascii="宋体" w:hAnsi="宋体" w:cs="宋体"/>
                <w:color w:val="000000"/>
                <w:kern w:val="0"/>
              </w:rPr>
              <w:t>其他投标人的价格分按照下列公式计算：</w:t>
            </w:r>
          </w:p>
          <w:p>
            <w:pPr>
              <w:widowControl/>
              <w:rPr>
                <w:rFonts w:ascii="宋体"/>
                <w:color w:val="000000"/>
                <w:kern w:val="0"/>
              </w:rPr>
            </w:pPr>
            <w:r>
              <w:rPr>
                <w:rFonts w:hint="eastAsia" w:ascii="宋体" w:hAnsi="宋体" w:cs="宋体"/>
                <w:color w:val="000000"/>
                <w:kern w:val="0"/>
              </w:rPr>
              <w:t>计算方法：各投标单位的投标报价得分</w:t>
            </w:r>
            <w:r>
              <w:rPr>
                <w:rFonts w:ascii="宋体" w:hAnsi="宋体" w:cs="宋体"/>
                <w:color w:val="000000"/>
                <w:kern w:val="0"/>
              </w:rPr>
              <w:t>=</w:t>
            </w:r>
            <w:r>
              <w:rPr>
                <w:rFonts w:hint="eastAsia" w:ascii="宋体" w:hAnsi="宋体" w:cs="宋体"/>
                <w:color w:val="000000"/>
                <w:kern w:val="0"/>
              </w:rPr>
              <w:t>（基准价</w:t>
            </w:r>
            <w:r>
              <w:rPr>
                <w:rFonts w:ascii="宋体" w:hAnsi="宋体" w:cs="宋体"/>
                <w:color w:val="000000"/>
                <w:kern w:val="0"/>
              </w:rPr>
              <w:t>/</w:t>
            </w:r>
            <w:r>
              <w:rPr>
                <w:rFonts w:hint="eastAsia" w:ascii="宋体" w:hAnsi="宋体" w:cs="宋体"/>
                <w:color w:val="000000"/>
                <w:kern w:val="0"/>
              </w:rPr>
              <w:t>投标报价）×</w:t>
            </w:r>
            <w:r>
              <w:rPr>
                <w:rFonts w:ascii="宋体" w:hAnsi="宋体" w:cs="宋体"/>
                <w:color w:val="000000"/>
                <w:kern w:val="0"/>
              </w:rPr>
              <w:t>30%</w:t>
            </w:r>
            <w:r>
              <w:rPr>
                <w:rFonts w:hint="eastAsia" w:ascii="宋体" w:hAnsi="宋体" w:cs="宋体"/>
                <w:color w:val="000000"/>
                <w:kern w:val="0"/>
              </w:rPr>
              <w:t>×</w:t>
            </w:r>
            <w:r>
              <w:rPr>
                <w:rFonts w:ascii="宋体" w:hAnsi="宋体" w:cs="宋体"/>
                <w:color w:val="000000"/>
                <w:kern w:val="0"/>
              </w:rPr>
              <w:t>100</w:t>
            </w:r>
            <w:r>
              <w:rPr>
                <w:rFonts w:hint="eastAsia" w:ascii="宋体" w:hAnsi="宋体" w:cs="宋体"/>
                <w:color w:val="000000"/>
                <w:kern w:val="0"/>
              </w:rPr>
              <w:t>。</w:t>
            </w:r>
          </w:p>
          <w:p>
            <w:pPr>
              <w:widowControl/>
              <w:rPr>
                <w:rFonts w:ascii="宋体"/>
                <w:color w:val="000000"/>
                <w:kern w:val="0"/>
              </w:rPr>
            </w:pPr>
            <w:r>
              <w:rPr>
                <w:rFonts w:ascii="宋体"/>
                <w:color w:val="000000"/>
              </w:rPr>
              <w:t>{</w:t>
            </w:r>
            <w:r>
              <w:rPr>
                <w:rFonts w:hint="eastAsia" w:ascii="宋体" w:hAnsi="宋体" w:cs="宋体"/>
                <w:color w:val="000000"/>
              </w:rPr>
              <w:t>本项目在评审时对所投产品全部为小型和微型企业产品的投标人，在报价上给予</w:t>
            </w:r>
            <w:r>
              <w:rPr>
                <w:rFonts w:ascii="宋体" w:hAnsi="宋体" w:cs="宋体"/>
                <w:color w:val="000000"/>
              </w:rPr>
              <w:t>6%</w:t>
            </w:r>
            <w:r>
              <w:rPr>
                <w:rFonts w:hint="eastAsia" w:ascii="宋体" w:hAnsi="宋体" w:cs="宋体"/>
                <w:color w:val="000000"/>
              </w:rPr>
              <w:t>的扣除，用扣除后的价格参与评审。</w:t>
            </w:r>
          </w:p>
        </w:tc>
        <w:tc>
          <w:tcPr>
            <w:tcW w:w="689" w:type="dxa"/>
            <w:vAlign w:val="center"/>
          </w:tcPr>
          <w:p>
            <w:pPr>
              <w:widowControl/>
              <w:rPr>
                <w:rFonts w:ascii="宋体"/>
                <w:color w:val="000000"/>
                <w:kern w:val="0"/>
              </w:rPr>
            </w:pPr>
            <w:r>
              <w:rPr>
                <w:rFonts w:ascii="宋体" w:hAnsi="宋体" w:cs="宋体"/>
                <w:color w:val="000000"/>
                <w:kern w:val="0"/>
              </w:rPr>
              <w:t>30</w:t>
            </w:r>
            <w:r>
              <w:rPr>
                <w:rFonts w:hint="eastAsia" w:ascii="宋体" w:hAnsi="宋体" w:cs="宋体"/>
                <w:color w:val="000000"/>
                <w:kern w:val="0"/>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67" w:hRule="atLeast"/>
          <w:jc w:val="center"/>
        </w:trPr>
        <w:tc>
          <w:tcPr>
            <w:tcW w:w="1037" w:type="dxa"/>
            <w:vMerge w:val="restart"/>
            <w:vAlign w:val="center"/>
          </w:tcPr>
          <w:p>
            <w:pPr>
              <w:widowControl/>
              <w:jc w:val="center"/>
              <w:rPr>
                <w:rFonts w:ascii="宋体"/>
                <w:color w:val="000000"/>
                <w:kern w:val="0"/>
              </w:rPr>
            </w:pPr>
            <w:r>
              <w:rPr>
                <w:rFonts w:hint="eastAsia" w:ascii="宋体" w:hAnsi="宋体" w:cs="宋体"/>
                <w:color w:val="000000"/>
                <w:kern w:val="0"/>
              </w:rPr>
              <w:t>配置和技术参数（4</w:t>
            </w:r>
            <w:r>
              <w:rPr>
                <w:rFonts w:ascii="宋体" w:hAnsi="宋体" w:cs="宋体"/>
                <w:color w:val="000000"/>
                <w:kern w:val="0"/>
              </w:rPr>
              <w:t>4</w:t>
            </w:r>
            <w:r>
              <w:rPr>
                <w:rFonts w:hint="eastAsia" w:ascii="宋体" w:hAnsi="宋体" w:cs="宋体"/>
                <w:color w:val="000000"/>
                <w:kern w:val="0"/>
              </w:rPr>
              <w:t>分）</w:t>
            </w:r>
          </w:p>
        </w:tc>
        <w:tc>
          <w:tcPr>
            <w:tcW w:w="1134" w:type="dxa"/>
            <w:vAlign w:val="center"/>
          </w:tcPr>
          <w:p>
            <w:pPr>
              <w:widowControl/>
              <w:rPr>
                <w:rFonts w:ascii="宋体"/>
                <w:color w:val="000000"/>
              </w:rPr>
            </w:pPr>
            <w:r>
              <w:rPr>
                <w:rFonts w:hint="eastAsia" w:ascii="宋体" w:hAnsi="宋体" w:cs="宋体"/>
                <w:color w:val="000000"/>
              </w:rPr>
              <w:t>设备参数响应程度</w:t>
            </w:r>
          </w:p>
        </w:tc>
        <w:tc>
          <w:tcPr>
            <w:tcW w:w="6300" w:type="dxa"/>
            <w:vAlign w:val="center"/>
          </w:tcPr>
          <w:p>
            <w:pPr>
              <w:jc w:val="left"/>
              <w:rPr>
                <w:rFonts w:ascii="宋体" w:hAnsi="宋体"/>
                <w:bCs/>
                <w:szCs w:val="21"/>
              </w:rPr>
            </w:pPr>
            <w:r>
              <w:rPr>
                <w:rFonts w:hint="eastAsia" w:ascii="宋体" w:hAnsi="宋体"/>
                <w:szCs w:val="21"/>
              </w:rPr>
              <w:t>根据采购文件要求对投标人所提供投标产品技术指标进行评分，所有技术指标均达到采购文件要求的得基本分3</w:t>
            </w:r>
            <w:r>
              <w:rPr>
                <w:rFonts w:ascii="宋体" w:hAnsi="宋体"/>
                <w:szCs w:val="21"/>
              </w:rPr>
              <w:t>4</w:t>
            </w:r>
            <w:r>
              <w:rPr>
                <w:rFonts w:hint="eastAsia" w:ascii="宋体" w:hAnsi="宋体"/>
                <w:szCs w:val="21"/>
              </w:rPr>
              <w:t>分，</w:t>
            </w:r>
            <w:r>
              <w:rPr>
                <w:rFonts w:hint="eastAsia" w:ascii="宋体" w:hAnsi="宋体"/>
                <w:bCs/>
              </w:rPr>
              <w:t>若投标方对任何一项标有★的指标未响应或不满足，将按无效标处理；</w:t>
            </w:r>
            <w:r>
              <w:rPr>
                <w:rFonts w:hint="eastAsia" w:ascii="宋体" w:hAnsi="宋体"/>
                <w:szCs w:val="21"/>
              </w:rPr>
              <w:t>标有“▲”的重要技术条款，每负偏离一条扣3分</w:t>
            </w:r>
            <w:r>
              <w:rPr>
                <w:rFonts w:hint="eastAsia" w:ascii="宋体" w:hAnsi="宋体"/>
                <w:bCs/>
              </w:rPr>
              <w:t>；</w:t>
            </w:r>
            <w:r>
              <w:rPr>
                <w:rFonts w:hint="eastAsia" w:ascii="宋体" w:hAnsi="宋体"/>
                <w:szCs w:val="21"/>
              </w:rPr>
              <w:t>其他普通技术条款每负偏离一条扣1分，本项扣完为止。</w:t>
            </w:r>
          </w:p>
        </w:tc>
        <w:tc>
          <w:tcPr>
            <w:tcW w:w="689" w:type="dxa"/>
            <w:vAlign w:val="center"/>
          </w:tcPr>
          <w:p>
            <w:pPr>
              <w:widowControl/>
              <w:rPr>
                <w:rFonts w:ascii="宋体"/>
                <w:color w:val="000000"/>
                <w:kern w:val="0"/>
              </w:rPr>
            </w:pPr>
            <w:r>
              <w:rPr>
                <w:rFonts w:hint="eastAsia" w:ascii="宋体" w:hAnsi="宋体" w:cs="宋体"/>
                <w:color w:val="000000"/>
                <w:kern w:val="0"/>
              </w:rPr>
              <w:t>3</w:t>
            </w:r>
            <w:r>
              <w:rPr>
                <w:rFonts w:ascii="宋体" w:hAnsi="宋体" w:cs="宋体"/>
                <w:color w:val="000000"/>
                <w:kern w:val="0"/>
              </w:rPr>
              <w:t>4</w:t>
            </w:r>
            <w:r>
              <w:rPr>
                <w:rFonts w:hint="eastAsia" w:ascii="宋体" w:hAnsi="宋体" w:cs="宋体"/>
                <w:color w:val="000000"/>
                <w:kern w:val="0"/>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3" w:hRule="atLeast"/>
          <w:jc w:val="center"/>
        </w:trPr>
        <w:tc>
          <w:tcPr>
            <w:tcW w:w="1037" w:type="dxa"/>
            <w:vMerge w:val="continue"/>
            <w:vAlign w:val="center"/>
          </w:tcPr>
          <w:p>
            <w:pPr>
              <w:widowControl/>
              <w:jc w:val="left"/>
              <w:rPr>
                <w:rFonts w:ascii="宋体"/>
                <w:color w:val="000000"/>
                <w:kern w:val="0"/>
              </w:rPr>
            </w:pPr>
          </w:p>
        </w:tc>
        <w:tc>
          <w:tcPr>
            <w:tcW w:w="1134" w:type="dxa"/>
            <w:vAlign w:val="center"/>
          </w:tcPr>
          <w:p>
            <w:pPr>
              <w:widowControl/>
              <w:rPr>
                <w:rFonts w:ascii="宋体"/>
                <w:color w:val="000000"/>
              </w:rPr>
            </w:pPr>
            <w:r>
              <w:rPr>
                <w:rFonts w:hint="eastAsia" w:ascii="宋体" w:hAnsi="宋体" w:cs="宋体"/>
                <w:color w:val="000000"/>
              </w:rPr>
              <w:t>技术方案</w:t>
            </w:r>
          </w:p>
        </w:tc>
        <w:tc>
          <w:tcPr>
            <w:tcW w:w="6300" w:type="dxa"/>
            <w:vAlign w:val="center"/>
          </w:tcPr>
          <w:p>
            <w:pPr>
              <w:widowControl/>
              <w:rPr>
                <w:rFonts w:ascii="宋体"/>
                <w:color w:val="000000"/>
              </w:rPr>
            </w:pPr>
            <w:r>
              <w:rPr>
                <w:rFonts w:hint="eastAsia" w:asciiTheme="minorEastAsia" w:hAnsiTheme="minorEastAsia" w:eastAsiaTheme="minorEastAsia" w:cstheme="minorEastAsia"/>
                <w:szCs w:val="21"/>
              </w:rPr>
              <w:t>投标人需提供完整的方案，技术方案要求总体构架设计合理、考虑完整，符合</w:t>
            </w:r>
            <w:r>
              <w:rPr>
                <w:rFonts w:hint="eastAsia" w:asciiTheme="minorEastAsia" w:hAnsiTheme="minorEastAsia" w:eastAsiaTheme="minorEastAsia" w:cstheme="minorEastAsia"/>
                <w:szCs w:val="21"/>
                <w:lang w:val="zh-CN"/>
              </w:rPr>
              <w:t>宁海县越沙线公路治超电子检测系统建设项目</w:t>
            </w:r>
            <w:r>
              <w:rPr>
                <w:rFonts w:hint="eastAsia" w:asciiTheme="minorEastAsia" w:hAnsiTheme="minorEastAsia" w:eastAsiaTheme="minorEastAsia" w:cstheme="minorEastAsia"/>
                <w:szCs w:val="21"/>
              </w:rPr>
              <w:t>的实际应用情况，进行综合评议酌情打分0-3分。</w:t>
            </w:r>
          </w:p>
        </w:tc>
        <w:tc>
          <w:tcPr>
            <w:tcW w:w="689" w:type="dxa"/>
            <w:vAlign w:val="center"/>
          </w:tcPr>
          <w:p>
            <w:pPr>
              <w:widowControl/>
              <w:rPr>
                <w:rFonts w:ascii="宋体"/>
                <w:color w:val="000000"/>
              </w:rPr>
            </w:pPr>
            <w:r>
              <w:rPr>
                <w:rFonts w:hint="eastAsia" w:ascii="宋体" w:hAnsi="宋体" w:cs="宋体"/>
                <w:color w:val="000000"/>
              </w:rPr>
              <w:t>3分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3" w:hRule="atLeast"/>
          <w:jc w:val="center"/>
        </w:trPr>
        <w:tc>
          <w:tcPr>
            <w:tcW w:w="1037" w:type="dxa"/>
            <w:vMerge w:val="continue"/>
            <w:vAlign w:val="center"/>
          </w:tcPr>
          <w:p>
            <w:pPr>
              <w:widowControl/>
              <w:jc w:val="left"/>
              <w:rPr>
                <w:rFonts w:ascii="宋体"/>
                <w:color w:val="000000"/>
                <w:kern w:val="0"/>
              </w:rPr>
            </w:pPr>
          </w:p>
        </w:tc>
        <w:tc>
          <w:tcPr>
            <w:tcW w:w="113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施工组织设计</w:t>
            </w:r>
          </w:p>
        </w:tc>
        <w:tc>
          <w:tcPr>
            <w:tcW w:w="6300"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据项目施工组织计划，包括项目组织机构、项目施工、供货、安装、集成、调测、验收进度计划，针对本项目的技术力量配备等方面酌情打分0-3分。</w:t>
            </w:r>
          </w:p>
        </w:tc>
        <w:tc>
          <w:tcPr>
            <w:tcW w:w="689" w:type="dxa"/>
            <w:vAlign w:val="center"/>
          </w:tcPr>
          <w:p>
            <w:pPr>
              <w:widowControl/>
              <w:rPr>
                <w:rFonts w:ascii="宋体" w:hAnsi="宋体" w:cs="宋体"/>
                <w:color w:val="000000"/>
              </w:rPr>
            </w:pPr>
            <w:r>
              <w:rPr>
                <w:rFonts w:hint="eastAsia" w:ascii="宋体" w:hAnsi="宋体" w:cs="宋体"/>
                <w:color w:val="000000"/>
              </w:rPr>
              <w:t>3分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8" w:hRule="atLeast"/>
          <w:jc w:val="center"/>
        </w:trPr>
        <w:tc>
          <w:tcPr>
            <w:tcW w:w="1037" w:type="dxa"/>
            <w:vMerge w:val="continue"/>
            <w:vAlign w:val="center"/>
          </w:tcPr>
          <w:p>
            <w:pPr>
              <w:widowControl/>
              <w:jc w:val="left"/>
              <w:rPr>
                <w:rFonts w:ascii="宋体"/>
                <w:color w:val="000000"/>
                <w:kern w:val="0"/>
              </w:rPr>
            </w:pPr>
          </w:p>
        </w:tc>
        <w:tc>
          <w:tcPr>
            <w:tcW w:w="1134" w:type="dxa"/>
            <w:vAlign w:val="center"/>
          </w:tcPr>
          <w:p>
            <w:pPr>
              <w:widowControl/>
              <w:rPr>
                <w:rFonts w:ascii="宋体"/>
                <w:color w:val="000000"/>
              </w:rPr>
            </w:pPr>
            <w:r>
              <w:rPr>
                <w:rFonts w:hint="eastAsia" w:asciiTheme="minorEastAsia" w:hAnsiTheme="minorEastAsia" w:eastAsiaTheme="minorEastAsia" w:cstheme="minorEastAsia"/>
                <w:szCs w:val="21"/>
              </w:rPr>
              <w:t>项目实施要求</w:t>
            </w:r>
          </w:p>
        </w:tc>
        <w:tc>
          <w:tcPr>
            <w:tcW w:w="6300" w:type="dxa"/>
            <w:vAlign w:val="center"/>
          </w:tcPr>
          <w:p>
            <w:pPr>
              <w:widowControl/>
              <w:rPr>
                <w:rFonts w:ascii="宋体"/>
                <w:color w:val="000000"/>
              </w:rPr>
            </w:pPr>
            <w:r>
              <w:rPr>
                <w:rFonts w:hint="eastAsia" w:asciiTheme="minorEastAsia" w:hAnsiTheme="minorEastAsia" w:eastAsiaTheme="minorEastAsia" w:cstheme="minorEastAsia"/>
                <w:szCs w:val="21"/>
              </w:rPr>
              <w:t xml:space="preserve">项目实施管理体系、保证项目实施质量与安全的措施、保证项目文明实施的管理措施进行综合评议酌情打分0-3分。 </w:t>
            </w:r>
          </w:p>
        </w:tc>
        <w:tc>
          <w:tcPr>
            <w:tcW w:w="689" w:type="dxa"/>
            <w:vAlign w:val="center"/>
          </w:tcPr>
          <w:p>
            <w:pPr>
              <w:widowControl/>
              <w:rPr>
                <w:rFonts w:ascii="宋体"/>
                <w:color w:val="000000"/>
              </w:rPr>
            </w:pPr>
            <w:r>
              <w:rPr>
                <w:rFonts w:hint="eastAsia" w:ascii="宋体" w:hAnsi="宋体" w:cs="宋体"/>
                <w:color w:val="000000"/>
              </w:rPr>
              <w:t>3分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88" w:hRule="atLeast"/>
          <w:jc w:val="center"/>
        </w:trPr>
        <w:tc>
          <w:tcPr>
            <w:tcW w:w="1037" w:type="dxa"/>
            <w:vMerge w:val="continue"/>
            <w:vAlign w:val="center"/>
          </w:tcPr>
          <w:p>
            <w:pPr>
              <w:widowControl/>
              <w:jc w:val="left"/>
              <w:rPr>
                <w:rFonts w:ascii="宋体"/>
                <w:color w:val="000000"/>
                <w:kern w:val="0"/>
              </w:rPr>
            </w:pPr>
          </w:p>
        </w:tc>
        <w:tc>
          <w:tcPr>
            <w:tcW w:w="1134"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培训计划</w:t>
            </w:r>
          </w:p>
        </w:tc>
        <w:tc>
          <w:tcPr>
            <w:tcW w:w="6300"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根据投标方培训方案完整性、培训计划合理性等方面酌情打分。</w:t>
            </w:r>
          </w:p>
        </w:tc>
        <w:tc>
          <w:tcPr>
            <w:tcW w:w="689" w:type="dxa"/>
            <w:vAlign w:val="center"/>
          </w:tcPr>
          <w:p>
            <w:pPr>
              <w:widowControl/>
              <w:rPr>
                <w:rFonts w:ascii="宋体" w:hAnsi="宋体" w:cs="宋体"/>
                <w:color w:val="000000"/>
              </w:rPr>
            </w:pPr>
            <w:r>
              <w:rPr>
                <w:rFonts w:hint="eastAsia" w:ascii="宋体" w:hAnsi="宋体" w:cs="宋体"/>
                <w:color w:val="000000"/>
              </w:rPr>
              <w:t>1分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037" w:type="dxa"/>
            <w:vMerge w:val="restart"/>
            <w:vAlign w:val="center"/>
          </w:tcPr>
          <w:p>
            <w:pPr>
              <w:widowControl/>
              <w:jc w:val="left"/>
              <w:rPr>
                <w:rFonts w:ascii="宋体"/>
                <w:color w:val="000000"/>
                <w:kern w:val="0"/>
              </w:rPr>
            </w:pPr>
            <w:r>
              <w:rPr>
                <w:rFonts w:hint="eastAsia" w:ascii="宋体" w:hAnsi="宋体" w:cs="宋体"/>
                <w:color w:val="000000"/>
                <w:kern w:val="0"/>
              </w:rPr>
              <w:t>商务、资信其他（2</w:t>
            </w:r>
            <w:r>
              <w:rPr>
                <w:rFonts w:ascii="宋体" w:hAnsi="宋体" w:cs="宋体"/>
                <w:color w:val="000000"/>
                <w:kern w:val="0"/>
              </w:rPr>
              <w:t>6</w:t>
            </w:r>
            <w:r>
              <w:rPr>
                <w:rFonts w:hint="eastAsia" w:ascii="宋体" w:hAnsi="宋体" w:cs="宋体"/>
                <w:color w:val="000000"/>
                <w:kern w:val="0"/>
              </w:rPr>
              <w:t>分）</w:t>
            </w:r>
          </w:p>
        </w:tc>
        <w:tc>
          <w:tcPr>
            <w:tcW w:w="1134" w:type="dxa"/>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综合实力</w:t>
            </w:r>
          </w:p>
          <w:p>
            <w:pPr>
              <w:widowControl/>
              <w:rPr>
                <w:rFonts w:ascii="宋体"/>
                <w:color w:val="000000"/>
              </w:rPr>
            </w:pPr>
          </w:p>
        </w:tc>
        <w:tc>
          <w:tcPr>
            <w:tcW w:w="6300" w:type="dxa"/>
          </w:tcPr>
          <w:p>
            <w:pPr>
              <w:spacing w:line="240" w:lineRule="exact"/>
              <w:rPr>
                <w:rFonts w:asciiTheme="minorEastAsia" w:hAnsiTheme="minorEastAsia" w:eastAsiaTheme="minorEastAsia" w:cstheme="minorEastAsia"/>
                <w:szCs w:val="21"/>
              </w:rPr>
            </w:pPr>
            <w:r>
              <w:rPr>
                <w:rFonts w:asciiTheme="minorEastAsia" w:hAnsiTheme="minorEastAsia" w:eastAsiaTheme="minorEastAsia" w:cstheme="minorEastAsia"/>
                <w:szCs w:val="21"/>
              </w:rPr>
              <w:t>投标人具有安全技术防范资信等级资质的得</w:t>
            </w:r>
            <w:r>
              <w:rPr>
                <w:rFonts w:hint="eastAsia" w:asciiTheme="minorEastAsia" w:hAnsiTheme="minorEastAsia" w:eastAsiaTheme="minorEastAsia" w:cstheme="minorEastAsia"/>
                <w:szCs w:val="21"/>
              </w:rPr>
              <w:t>1分；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投标人具有ITSS信息技术服务运行维护标准符合性证书（成熟度叁级及以上）的得1分；</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投标人具有公路治超电子监控系统相关的管理软件著作权登记证书的，每有1个得1分，最高得2分。</w:t>
            </w:r>
          </w:p>
          <w:p>
            <w:pPr>
              <w:widowControl/>
              <w:jc w:val="left"/>
              <w:rPr>
                <w:rFonts w:ascii="宋体" w:hAnsi="宋体" w:cs="宋体"/>
                <w:szCs w:val="21"/>
                <w:lang w:bidi="ar"/>
              </w:rPr>
            </w:pPr>
            <w:r>
              <w:rPr>
                <w:rFonts w:hint="eastAsia" w:asciiTheme="minorEastAsia" w:hAnsiTheme="minorEastAsia" w:eastAsiaTheme="minorEastAsia" w:cstheme="minorEastAsia"/>
                <w:szCs w:val="21"/>
              </w:rPr>
              <w:t>注：证书复印件加盖投标单位公章编入投标文件（评标时以原件为准，未提供原件不得分）。</w:t>
            </w:r>
          </w:p>
        </w:tc>
        <w:tc>
          <w:tcPr>
            <w:tcW w:w="689" w:type="dxa"/>
            <w:vAlign w:val="center"/>
          </w:tcPr>
          <w:p>
            <w:pPr>
              <w:widowControl/>
              <w:rPr>
                <w:rFonts w:ascii="宋体"/>
                <w:color w:val="000000"/>
                <w:kern w:val="0"/>
              </w:rPr>
            </w:pPr>
            <w:r>
              <w:rPr>
                <w:rFonts w:hint="eastAsia" w:ascii="宋体" w:hAnsi="宋体" w:cs="宋体"/>
                <w:color w:val="000000"/>
                <w:kern w:val="0"/>
              </w:rPr>
              <w:t>4分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037" w:type="dxa"/>
            <w:vMerge w:val="continue"/>
            <w:vAlign w:val="center"/>
          </w:tcPr>
          <w:p>
            <w:pPr>
              <w:widowControl/>
              <w:jc w:val="left"/>
              <w:rPr>
                <w:rFonts w:ascii="宋体" w:hAnsi="宋体" w:cs="宋体"/>
                <w:color w:val="000000"/>
                <w:kern w:val="0"/>
              </w:rPr>
            </w:pPr>
          </w:p>
        </w:tc>
        <w:tc>
          <w:tcPr>
            <w:tcW w:w="1134" w:type="dxa"/>
            <w:vAlign w:val="center"/>
          </w:tcPr>
          <w:p>
            <w:pPr>
              <w:widowControl/>
              <w:rPr>
                <w:rFonts w:ascii="宋体" w:hAnsi="宋体" w:cs="宋体"/>
                <w:color w:val="000000"/>
              </w:rPr>
            </w:pPr>
            <w:r>
              <w:rPr>
                <w:rFonts w:hint="eastAsia" w:ascii="宋体" w:hAnsi="宋体" w:cs="宋体"/>
                <w:szCs w:val="21"/>
              </w:rPr>
              <w:t>无缝对接方案</w:t>
            </w:r>
          </w:p>
        </w:tc>
        <w:tc>
          <w:tcPr>
            <w:tcW w:w="6300" w:type="dxa"/>
            <w:vAlign w:val="center"/>
          </w:tcPr>
          <w:p>
            <w:pPr>
              <w:widowControl/>
              <w:spacing w:line="330" w:lineRule="exact"/>
              <w:jc w:val="left"/>
              <w:rPr>
                <w:rFonts w:ascii="宋体" w:hAnsi="宋体" w:cs="宋体"/>
                <w:szCs w:val="21"/>
                <w:lang w:bidi="ar"/>
              </w:rPr>
            </w:pPr>
            <w:r>
              <w:rPr>
                <w:rFonts w:hint="eastAsia" w:ascii="宋体" w:hAnsi="宋体" w:cs="宋体"/>
                <w:szCs w:val="21"/>
              </w:rPr>
              <w:t>提供的</w:t>
            </w:r>
            <w:r>
              <w:rPr>
                <w:rFonts w:hint="eastAsia" w:ascii="宋体" w:hAnsi="宋体" w:cs="宋体"/>
                <w:kern w:val="0"/>
                <w:szCs w:val="21"/>
              </w:rPr>
              <w:t>无缝对接方案</w:t>
            </w:r>
            <w:r>
              <w:rPr>
                <w:rFonts w:hint="eastAsia" w:ascii="宋体" w:hAnsi="宋体" w:cs="宋体"/>
                <w:szCs w:val="21"/>
              </w:rPr>
              <w:t>进行</w:t>
            </w:r>
            <w:r>
              <w:rPr>
                <w:rFonts w:hint="eastAsia" w:ascii="宋体" w:hAnsi="宋体" w:cs="宋体"/>
                <w:kern w:val="0"/>
                <w:szCs w:val="21"/>
              </w:rPr>
              <w:t>综合评议酌情打分0-4分</w:t>
            </w:r>
            <w:r>
              <w:rPr>
                <w:rFonts w:hint="eastAsia" w:asciiTheme="minorEastAsia" w:hAnsiTheme="minorEastAsia" w:eastAsiaTheme="minorEastAsia" w:cstheme="minorEastAsia"/>
                <w:szCs w:val="21"/>
              </w:rPr>
              <w:t>。</w:t>
            </w:r>
          </w:p>
        </w:tc>
        <w:tc>
          <w:tcPr>
            <w:tcW w:w="689" w:type="dxa"/>
            <w:vAlign w:val="center"/>
          </w:tcPr>
          <w:p>
            <w:pPr>
              <w:widowControl/>
              <w:rPr>
                <w:rFonts w:ascii="宋体" w:hAnsi="宋体" w:cs="宋体"/>
                <w:color w:val="000000"/>
                <w:kern w:val="0"/>
              </w:rPr>
            </w:pPr>
            <w:r>
              <w:rPr>
                <w:rFonts w:hint="eastAsia" w:ascii="宋体" w:hAnsi="宋体" w:cs="宋体"/>
                <w:color w:val="000000"/>
                <w:kern w:val="0"/>
              </w:rPr>
              <w:t>4分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11" w:hRule="atLeast"/>
          <w:jc w:val="center"/>
        </w:trPr>
        <w:tc>
          <w:tcPr>
            <w:tcW w:w="1037" w:type="dxa"/>
            <w:vMerge w:val="continue"/>
            <w:vAlign w:val="center"/>
          </w:tcPr>
          <w:p>
            <w:pPr>
              <w:widowControl/>
              <w:jc w:val="left"/>
              <w:rPr>
                <w:rFonts w:ascii="宋体" w:hAnsi="宋体" w:cs="宋体"/>
                <w:color w:val="000000"/>
                <w:kern w:val="0"/>
              </w:rPr>
            </w:pPr>
          </w:p>
        </w:tc>
        <w:tc>
          <w:tcPr>
            <w:tcW w:w="1134" w:type="dxa"/>
            <w:vAlign w:val="center"/>
          </w:tcPr>
          <w:p>
            <w:pPr>
              <w:widowControl/>
              <w:rPr>
                <w:rFonts w:ascii="宋体" w:hAnsi="宋体" w:cs="宋体"/>
                <w:szCs w:val="21"/>
              </w:rPr>
            </w:pPr>
            <w:r>
              <w:rPr>
                <w:rFonts w:hint="eastAsia" w:asciiTheme="minorEastAsia" w:hAnsiTheme="minorEastAsia" w:eastAsiaTheme="minorEastAsia" w:cstheme="minorEastAsia"/>
                <w:szCs w:val="21"/>
              </w:rPr>
              <w:t>项目负责人</w:t>
            </w:r>
          </w:p>
        </w:tc>
        <w:tc>
          <w:tcPr>
            <w:tcW w:w="6300"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拟委任的项目负责人：</w:t>
            </w:r>
          </w:p>
          <w:p>
            <w:pPr>
              <w:rPr>
                <w:rFonts w:asciiTheme="minorEastAsia" w:hAnsiTheme="minorEastAsia" w:eastAsiaTheme="minorEastAsia" w:cstheme="minorEastAsia"/>
                <w:szCs w:val="21"/>
              </w:rPr>
            </w:pPr>
            <w:r>
              <w:rPr>
                <w:rFonts w:asciiTheme="minorEastAsia" w:hAnsiTheme="minorEastAsia" w:eastAsiaTheme="minorEastAsia" w:cstheme="minorEastAsia"/>
                <w:szCs w:val="21"/>
              </w:rPr>
              <w:t>具有系统集成项目管理工程师中级及以上证书的得1分；担任过</w:t>
            </w:r>
            <w:r>
              <w:rPr>
                <w:rFonts w:hint="eastAsia" w:asciiTheme="minorEastAsia" w:hAnsiTheme="minorEastAsia" w:eastAsiaTheme="minorEastAsia" w:cstheme="minorEastAsia"/>
                <w:szCs w:val="21"/>
              </w:rPr>
              <w:t>公路治超电子检测系统建设或运维项目</w:t>
            </w:r>
            <w:r>
              <w:rPr>
                <w:rFonts w:asciiTheme="minorEastAsia" w:hAnsiTheme="minorEastAsia" w:eastAsiaTheme="minorEastAsia" w:cstheme="minorEastAsia"/>
                <w:szCs w:val="21"/>
              </w:rPr>
              <w:t>项目负责人的的得</w:t>
            </w: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分。</w:t>
            </w:r>
          </w:p>
          <w:p>
            <w:pPr>
              <w:rPr>
                <w:rFonts w:hAnsi="宋体"/>
                <w:szCs w:val="21"/>
              </w:rPr>
            </w:pPr>
            <w:r>
              <w:rPr>
                <w:rFonts w:asciiTheme="minorEastAsia" w:hAnsiTheme="minorEastAsia" w:eastAsiaTheme="minorEastAsia" w:cstheme="minorEastAsia"/>
                <w:szCs w:val="21"/>
              </w:rPr>
              <w:t>注</w:t>
            </w: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投标文件附中标通知书、合同均加盖公章和该人员的最近</w:t>
            </w:r>
            <w:r>
              <w:rPr>
                <w:rFonts w:hint="eastAsia" w:asciiTheme="minorEastAsia" w:hAnsiTheme="minorEastAsia" w:eastAsiaTheme="minorEastAsia" w:cstheme="minorEastAsia"/>
                <w:szCs w:val="21"/>
              </w:rPr>
              <w:t>6个月社保证明</w:t>
            </w:r>
            <w:r>
              <w:rPr>
                <w:rFonts w:asciiTheme="minorEastAsia" w:hAnsiTheme="minorEastAsia" w:eastAsiaTheme="minorEastAsia" w:cstheme="minorEastAsia"/>
                <w:szCs w:val="21"/>
              </w:rPr>
              <w:t>；合同中未体现项目负责人的还须提供业主出具的证明资料</w:t>
            </w:r>
            <w:r>
              <w:rPr>
                <w:rFonts w:hint="eastAsia" w:asciiTheme="minorEastAsia" w:hAnsiTheme="minorEastAsia" w:eastAsiaTheme="minorEastAsia" w:cstheme="minorEastAsia"/>
                <w:szCs w:val="21"/>
              </w:rPr>
              <w:t>，否则该项不得分。</w:t>
            </w:r>
          </w:p>
        </w:tc>
        <w:tc>
          <w:tcPr>
            <w:tcW w:w="689" w:type="dxa"/>
            <w:vAlign w:val="center"/>
          </w:tcPr>
          <w:p>
            <w:pPr>
              <w:widowControl/>
              <w:rPr>
                <w:rFonts w:ascii="宋体" w:hAnsi="宋体" w:cs="宋体"/>
                <w:color w:val="000000"/>
                <w:kern w:val="0"/>
              </w:rPr>
            </w:pPr>
            <w:r>
              <w:rPr>
                <w:rFonts w:hint="eastAsia" w:ascii="宋体" w:hAnsi="宋体" w:cs="宋体"/>
                <w:color w:val="000000"/>
                <w:kern w:val="0"/>
              </w:rPr>
              <w:t>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3" w:hRule="atLeast"/>
          <w:jc w:val="center"/>
        </w:trPr>
        <w:tc>
          <w:tcPr>
            <w:tcW w:w="1037" w:type="dxa"/>
            <w:vMerge w:val="continue"/>
            <w:vAlign w:val="center"/>
          </w:tcPr>
          <w:p>
            <w:pPr>
              <w:widowControl/>
              <w:jc w:val="left"/>
              <w:rPr>
                <w:rFonts w:ascii="宋体"/>
                <w:color w:val="000000"/>
                <w:kern w:val="0"/>
              </w:rPr>
            </w:pPr>
          </w:p>
        </w:tc>
        <w:tc>
          <w:tcPr>
            <w:tcW w:w="1134" w:type="dxa"/>
            <w:vAlign w:val="center"/>
          </w:tcPr>
          <w:p>
            <w:pPr>
              <w:widowControl/>
              <w:spacing w:line="330" w:lineRule="exact"/>
              <w:jc w:val="left"/>
              <w:rPr>
                <w:rFonts w:ascii="宋体"/>
                <w:color w:val="000000"/>
              </w:rPr>
            </w:pPr>
            <w:r>
              <w:rPr>
                <w:rFonts w:hint="eastAsia" w:asciiTheme="minorEastAsia" w:hAnsiTheme="minorEastAsia" w:eastAsiaTheme="minorEastAsia" w:cstheme="minorEastAsia"/>
                <w:szCs w:val="21"/>
              </w:rPr>
              <w:t>投标人业绩</w:t>
            </w:r>
          </w:p>
        </w:tc>
        <w:tc>
          <w:tcPr>
            <w:tcW w:w="6300" w:type="dxa"/>
            <w:vAlign w:val="center"/>
          </w:tcPr>
          <w:p>
            <w:pPr>
              <w:widowControl/>
              <w:rPr>
                <w:rFonts w:ascii="宋体"/>
                <w:color w:val="000000"/>
                <w:kern w:val="0"/>
              </w:rPr>
            </w:pPr>
            <w:r>
              <w:rPr>
                <w:rFonts w:hint="eastAsia" w:asciiTheme="minorEastAsia" w:hAnsiTheme="minorEastAsia" w:eastAsiaTheme="minorEastAsia" w:cstheme="minorEastAsia"/>
                <w:szCs w:val="21"/>
              </w:rPr>
              <w:t>2018年1月1日以来有公路治超电子检测系统建设项目或公路治超电子检测系统运维项目的，每个得0.5分，最多为2分（投标文件中提供合同和中标通知书复印件，</w:t>
            </w:r>
            <w:r>
              <w:rPr>
                <w:rFonts w:hint="eastAsia" w:asciiTheme="minorEastAsia" w:hAnsiTheme="minorEastAsia" w:eastAsiaTheme="minorEastAsia" w:cstheme="minorEastAsia"/>
                <w:bCs/>
                <w:szCs w:val="21"/>
              </w:rPr>
              <w:t>评标时以提供的原件为准，否则不得分</w:t>
            </w:r>
            <w:r>
              <w:rPr>
                <w:rFonts w:hint="eastAsia" w:asciiTheme="minorEastAsia" w:hAnsiTheme="minorEastAsia" w:eastAsiaTheme="minorEastAsia" w:cstheme="minorEastAsia"/>
                <w:szCs w:val="21"/>
              </w:rPr>
              <w:t>）。</w:t>
            </w:r>
          </w:p>
        </w:tc>
        <w:tc>
          <w:tcPr>
            <w:tcW w:w="689" w:type="dxa"/>
            <w:vAlign w:val="center"/>
          </w:tcPr>
          <w:p>
            <w:pPr>
              <w:widowControl/>
              <w:rPr>
                <w:rFonts w:ascii="宋体"/>
                <w:color w:val="000000"/>
                <w:kern w:val="0"/>
              </w:rPr>
            </w:pPr>
            <w:r>
              <w:rPr>
                <w:rFonts w:hint="eastAsia" w:ascii="宋体" w:hAnsi="宋体" w:cs="宋体"/>
                <w:color w:val="000000"/>
                <w:kern w:val="0"/>
              </w:rPr>
              <w:t>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jc w:val="center"/>
        </w:trPr>
        <w:tc>
          <w:tcPr>
            <w:tcW w:w="1037" w:type="dxa"/>
            <w:vMerge w:val="continue"/>
            <w:vAlign w:val="center"/>
          </w:tcPr>
          <w:p>
            <w:pPr>
              <w:widowControl/>
              <w:jc w:val="left"/>
              <w:rPr>
                <w:rFonts w:ascii="宋体"/>
                <w:color w:val="000000"/>
                <w:kern w:val="0"/>
              </w:rPr>
            </w:pPr>
          </w:p>
        </w:tc>
        <w:tc>
          <w:tcPr>
            <w:tcW w:w="1134" w:type="dxa"/>
            <w:vMerge w:val="restart"/>
            <w:vAlign w:val="center"/>
          </w:tcPr>
          <w:p>
            <w:pPr>
              <w:rPr>
                <w:rFonts w:hint="eastAsia" w:ascii="宋体" w:hAnsi="宋体" w:cs="宋体"/>
                <w:kern w:val="0"/>
                <w:szCs w:val="21"/>
              </w:rPr>
            </w:pPr>
            <w:r>
              <w:rPr>
                <w:rFonts w:ascii="宋体" w:hAnsi="宋体" w:cs="宋体"/>
                <w:kern w:val="0"/>
                <w:szCs w:val="21"/>
              </w:rPr>
              <w:t>售后服务体系及售后服务方案</w:t>
            </w:r>
          </w:p>
          <w:p>
            <w:pPr>
              <w:jc w:val="center"/>
              <w:rPr>
                <w:rFonts w:asciiTheme="minorEastAsia" w:hAnsiTheme="minorEastAsia" w:eastAsiaTheme="minorEastAsia" w:cstheme="minorEastAsia"/>
                <w:szCs w:val="21"/>
              </w:rPr>
            </w:pPr>
          </w:p>
        </w:tc>
        <w:tc>
          <w:tcPr>
            <w:tcW w:w="6300" w:type="dxa"/>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投标企业在投标地设有常驻售后服务机构，机构人员配备、车辆（专业登高车）施工机械设备配置情况酌情打分（5分）。</w:t>
            </w:r>
          </w:p>
        </w:tc>
        <w:tc>
          <w:tcPr>
            <w:tcW w:w="689" w:type="dxa"/>
            <w:vAlign w:val="center"/>
          </w:tcPr>
          <w:p>
            <w:pPr>
              <w:widowControl/>
              <w:rPr>
                <w:rFonts w:ascii="宋体" w:hAnsi="宋体" w:cs="宋体"/>
                <w:color w:val="000000"/>
                <w:kern w:val="0"/>
              </w:rPr>
            </w:pPr>
            <w:r>
              <w:rPr>
                <w:rFonts w:ascii="宋体" w:hAnsi="宋体" w:cs="宋体"/>
                <w:color w:val="000000"/>
                <w:kern w:val="0"/>
              </w:rPr>
              <w:t>5</w:t>
            </w:r>
            <w:r>
              <w:rPr>
                <w:rFonts w:hint="eastAsia" w:ascii="宋体" w:hAnsi="宋体" w:cs="宋体"/>
                <w:color w:val="000000"/>
                <w:kern w:val="0"/>
              </w:rPr>
              <w:t>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194" w:hRule="atLeast"/>
          <w:jc w:val="center"/>
        </w:trPr>
        <w:tc>
          <w:tcPr>
            <w:tcW w:w="1037" w:type="dxa"/>
            <w:vMerge w:val="continue"/>
            <w:vAlign w:val="center"/>
          </w:tcPr>
          <w:p>
            <w:pPr>
              <w:widowControl/>
              <w:jc w:val="left"/>
              <w:rPr>
                <w:rFonts w:ascii="宋体"/>
                <w:color w:val="000000"/>
                <w:kern w:val="0"/>
              </w:rPr>
            </w:pPr>
          </w:p>
        </w:tc>
        <w:tc>
          <w:tcPr>
            <w:tcW w:w="1134" w:type="dxa"/>
            <w:vMerge w:val="continue"/>
            <w:vAlign w:val="center"/>
          </w:tcPr>
          <w:p>
            <w:pPr>
              <w:rPr>
                <w:rFonts w:ascii="宋体" w:hAnsi="宋体" w:cs="宋体"/>
                <w:kern w:val="0"/>
                <w:szCs w:val="21"/>
              </w:rPr>
            </w:pPr>
          </w:p>
        </w:tc>
        <w:tc>
          <w:tcPr>
            <w:tcW w:w="6300" w:type="dxa"/>
            <w:vAlign w:val="center"/>
          </w:tcPr>
          <w:p>
            <w:pPr>
              <w:widowControl/>
              <w:rPr>
                <w:rFonts w:hint="eastAsia" w:ascii="宋体" w:hAnsi="宋体" w:cs="宋体"/>
                <w:color w:val="000000"/>
                <w:kern w:val="0"/>
                <w:szCs w:val="21"/>
              </w:rPr>
            </w:pPr>
            <w:r>
              <w:rPr>
                <w:rFonts w:hint="eastAsia" w:ascii="宋体" w:hAnsi="宋体" w:cs="宋体"/>
                <w:color w:val="000000"/>
                <w:kern w:val="0"/>
                <w:szCs w:val="21"/>
              </w:rPr>
              <w:t>根据投标人售后服务体系、服务承诺和维保方案详细完善等内容由评委根据投标人的售后服务体系、服务承诺和维保方案相互比较评分。售后服务体系、服务承诺和维保方案详细完善，能够很好地满足售后服务要求且优于其他投标人承诺的得5分；售后服务体系、服务承诺和维保方案比较完善，能够较好地满足售后服务要求的得3分：售后服务体系、服务承诺和维保方案不够完善的得2分以下。</w:t>
            </w:r>
          </w:p>
        </w:tc>
        <w:tc>
          <w:tcPr>
            <w:tcW w:w="689" w:type="dxa"/>
            <w:vAlign w:val="center"/>
          </w:tcPr>
          <w:p>
            <w:pPr>
              <w:widowControl/>
              <w:rPr>
                <w:rFonts w:hint="eastAsia" w:ascii="宋体" w:hAnsi="宋体" w:cs="宋体"/>
                <w:color w:val="000000"/>
                <w:kern w:val="0"/>
              </w:rPr>
            </w:pPr>
            <w:r>
              <w:rPr>
                <w:rFonts w:hint="eastAsia" w:ascii="宋体" w:hAnsi="宋体" w:cs="宋体"/>
                <w:color w:val="000000"/>
                <w:kern w:val="0"/>
              </w:rPr>
              <w:t>3分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5" w:hRule="atLeast"/>
          <w:jc w:val="center"/>
        </w:trPr>
        <w:tc>
          <w:tcPr>
            <w:tcW w:w="1037" w:type="dxa"/>
            <w:vMerge w:val="continue"/>
            <w:vAlign w:val="center"/>
          </w:tcPr>
          <w:p>
            <w:pPr>
              <w:widowControl/>
              <w:jc w:val="left"/>
              <w:rPr>
                <w:rFonts w:ascii="宋体"/>
                <w:color w:val="000000"/>
                <w:kern w:val="0"/>
              </w:rPr>
            </w:pPr>
          </w:p>
        </w:tc>
        <w:tc>
          <w:tcPr>
            <w:tcW w:w="1134" w:type="dxa"/>
            <w:vAlign w:val="center"/>
          </w:tcPr>
          <w:p>
            <w:pPr>
              <w:jc w:val="center"/>
              <w:rPr>
                <w:rFonts w:hint="eastAsia" w:asciiTheme="minorEastAsia" w:hAnsiTheme="minorEastAsia" w:eastAsiaTheme="minorEastAsia" w:cstheme="minorEastAsia"/>
                <w:szCs w:val="21"/>
              </w:rPr>
            </w:pPr>
            <w:r>
              <w:rPr>
                <w:rFonts w:hint="eastAsia" w:ascii="宋体" w:hAnsi="宋体" w:cs="宋体"/>
                <w:color w:val="000000"/>
                <w:kern w:val="0"/>
              </w:rPr>
              <w:t>质保期</w:t>
            </w:r>
          </w:p>
        </w:tc>
        <w:tc>
          <w:tcPr>
            <w:tcW w:w="6300" w:type="dxa"/>
            <w:vAlign w:val="center"/>
          </w:tcPr>
          <w:p>
            <w:pPr>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本项目全系统质保期为三年，不足三年的作无效标处理。在三年质保期的基础上每增加一年得1分，最多得2分。</w:t>
            </w:r>
          </w:p>
        </w:tc>
        <w:tc>
          <w:tcPr>
            <w:tcW w:w="689" w:type="dxa"/>
            <w:vAlign w:val="center"/>
          </w:tcPr>
          <w:p>
            <w:pPr>
              <w:widowControl/>
              <w:rPr>
                <w:rFonts w:hint="eastAsia" w:ascii="宋体" w:hAnsi="宋体" w:cs="宋体"/>
                <w:color w:val="000000"/>
                <w:kern w:val="0"/>
              </w:rPr>
            </w:pPr>
            <w:r>
              <w:rPr>
                <w:rFonts w:hint="eastAsia" w:ascii="宋体" w:hAnsi="宋体" w:cs="宋体"/>
                <w:color w:val="000000"/>
                <w:kern w:val="0"/>
              </w:rPr>
              <w:t>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82" w:hRule="atLeast"/>
          <w:jc w:val="center"/>
        </w:trPr>
        <w:tc>
          <w:tcPr>
            <w:tcW w:w="1037" w:type="dxa"/>
            <w:vMerge w:val="continue"/>
            <w:vAlign w:val="center"/>
          </w:tcPr>
          <w:p>
            <w:pPr>
              <w:widowControl/>
              <w:jc w:val="left"/>
              <w:rPr>
                <w:rFonts w:ascii="宋体"/>
                <w:color w:val="000000"/>
                <w:kern w:val="0"/>
              </w:rPr>
            </w:pPr>
          </w:p>
        </w:tc>
        <w:tc>
          <w:tcPr>
            <w:tcW w:w="1134" w:type="dxa"/>
            <w:vAlign w:val="center"/>
          </w:tcPr>
          <w:p>
            <w:pPr>
              <w:widowControl/>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备品备件</w:t>
            </w:r>
          </w:p>
        </w:tc>
        <w:tc>
          <w:tcPr>
            <w:tcW w:w="6300" w:type="dxa"/>
            <w:vAlign w:val="center"/>
          </w:tcPr>
          <w:p>
            <w:pPr>
              <w:widowControl/>
              <w:spacing w:line="33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根据投标人的提供的备品备件的情况进行评比并酌情打分，最高2分。</w:t>
            </w:r>
          </w:p>
        </w:tc>
        <w:tc>
          <w:tcPr>
            <w:tcW w:w="689" w:type="dxa"/>
            <w:vAlign w:val="center"/>
          </w:tcPr>
          <w:p>
            <w:pPr>
              <w:widowControl/>
              <w:rPr>
                <w:rFonts w:ascii="宋体" w:hAnsi="宋体" w:cs="宋体"/>
                <w:color w:val="000000"/>
                <w:kern w:val="0"/>
              </w:rPr>
            </w:pPr>
            <w:r>
              <w:rPr>
                <w:rFonts w:hint="eastAsia" w:ascii="宋体" w:hAnsi="宋体" w:cs="宋体"/>
                <w:color w:val="000000"/>
                <w:kern w:val="0"/>
              </w:rPr>
              <w:t>2分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63" w:hRule="atLeast"/>
          <w:jc w:val="center"/>
        </w:trPr>
        <w:tc>
          <w:tcPr>
            <w:tcW w:w="1037" w:type="dxa"/>
            <w:vMerge w:val="continue"/>
            <w:vAlign w:val="center"/>
          </w:tcPr>
          <w:p>
            <w:pPr>
              <w:widowControl/>
              <w:jc w:val="left"/>
              <w:rPr>
                <w:rFonts w:ascii="宋体"/>
                <w:color w:val="000000"/>
                <w:kern w:val="0"/>
              </w:rPr>
            </w:pPr>
          </w:p>
        </w:tc>
        <w:tc>
          <w:tcPr>
            <w:tcW w:w="1134" w:type="dxa"/>
            <w:vAlign w:val="center"/>
          </w:tcPr>
          <w:p>
            <w:pPr>
              <w:widowControl/>
              <w:spacing w:line="330" w:lineRule="exact"/>
              <w:jc w:val="left"/>
              <w:rPr>
                <w:rFonts w:ascii="宋体" w:hAnsi="宋体"/>
                <w:szCs w:val="21"/>
              </w:rPr>
            </w:pPr>
            <w:r>
              <w:rPr>
                <w:rFonts w:hint="eastAsia" w:ascii="宋体" w:hAnsi="宋体"/>
                <w:szCs w:val="21"/>
              </w:rPr>
              <w:t>节能环保</w:t>
            </w:r>
          </w:p>
          <w:p>
            <w:pPr>
              <w:widowControl/>
              <w:spacing w:line="330" w:lineRule="exact"/>
              <w:jc w:val="left"/>
              <w:rPr>
                <w:rFonts w:ascii="宋体" w:hAnsi="宋体"/>
                <w:szCs w:val="21"/>
              </w:rPr>
            </w:pPr>
          </w:p>
        </w:tc>
        <w:tc>
          <w:tcPr>
            <w:tcW w:w="6300" w:type="dxa"/>
            <w:vAlign w:val="center"/>
          </w:tcPr>
          <w:p>
            <w:pPr>
              <w:widowControl/>
              <w:spacing w:line="330" w:lineRule="exact"/>
              <w:jc w:val="left"/>
              <w:rPr>
                <w:rFonts w:ascii="宋体" w:hAnsi="宋体"/>
                <w:szCs w:val="21"/>
              </w:rPr>
            </w:pPr>
            <w:r>
              <w:rPr>
                <w:rFonts w:hint="eastAsia" w:ascii="宋体" w:hAnsi="宋体"/>
                <w:szCs w:val="21"/>
              </w:rPr>
              <w:t>所有投标产品列入国家节能产品清单的产品得</w:t>
            </w:r>
            <w:r>
              <w:rPr>
                <w:rFonts w:ascii="宋体" w:hAnsi="宋体"/>
                <w:szCs w:val="21"/>
              </w:rPr>
              <w:t>1</w:t>
            </w:r>
            <w:r>
              <w:rPr>
                <w:rFonts w:hint="eastAsia" w:ascii="宋体" w:hAnsi="宋体"/>
                <w:szCs w:val="21"/>
              </w:rPr>
              <w:t>分，部分产品列入或没有列入均不得分，以中国政府采购网(www.ccgp.gov.cn)上财政部发布的文件为准。所有投标产品列入国家环保产品清单的产品得</w:t>
            </w:r>
            <w:r>
              <w:rPr>
                <w:rFonts w:ascii="宋体" w:hAnsi="宋体"/>
                <w:szCs w:val="21"/>
              </w:rPr>
              <w:t>1</w:t>
            </w:r>
            <w:r>
              <w:rPr>
                <w:rFonts w:hint="eastAsia" w:ascii="宋体" w:hAnsi="宋体"/>
                <w:szCs w:val="21"/>
              </w:rPr>
              <w:t>分，部分产品列入或没有列入均不得分，以中国政府采购网(www.ccgp.gov.cn)上财政部发布的文件为准。</w:t>
            </w:r>
          </w:p>
        </w:tc>
        <w:tc>
          <w:tcPr>
            <w:tcW w:w="689" w:type="dxa"/>
            <w:vAlign w:val="center"/>
          </w:tcPr>
          <w:p>
            <w:pPr>
              <w:widowControl/>
              <w:rPr>
                <w:rFonts w:ascii="宋体" w:hAnsi="宋体" w:cs="宋体"/>
                <w:color w:val="000000"/>
                <w:kern w:val="0"/>
              </w:rPr>
            </w:pPr>
            <w:r>
              <w:rPr>
                <w:rFonts w:ascii="宋体" w:hAnsi="宋体" w:cs="宋体"/>
                <w:color w:val="000000"/>
                <w:kern w:val="0"/>
              </w:rPr>
              <w:t>2</w:t>
            </w:r>
            <w:r>
              <w:rPr>
                <w:rFonts w:hint="eastAsia" w:ascii="宋体" w:hAnsi="宋体" w:cs="宋体"/>
                <w:color w:val="000000"/>
                <w:kern w:val="0"/>
              </w:rPr>
              <w:t>分</w:t>
            </w:r>
          </w:p>
        </w:tc>
      </w:tr>
    </w:tbl>
    <w:p>
      <w:pPr>
        <w:pStyle w:val="27"/>
        <w:snapToGrid w:val="0"/>
        <w:spacing w:before="120" w:after="120" w:line="390" w:lineRule="exact"/>
        <w:jc w:val="left"/>
        <w:rPr>
          <w:rFonts w:hAnsi="宋体" w:cs="宋体"/>
          <w:b/>
        </w:rPr>
      </w:pPr>
      <w:r>
        <w:rPr>
          <w:rFonts w:hAnsi="宋体" w:cs="宋体"/>
          <w:b/>
        </w:rPr>
        <w:t xml:space="preserve">评委签名：                                                 </w:t>
      </w:r>
    </w:p>
    <w:p>
      <w:pPr>
        <w:pStyle w:val="27"/>
        <w:snapToGrid w:val="0"/>
        <w:spacing w:before="120" w:after="120" w:line="240" w:lineRule="auto"/>
        <w:jc w:val="left"/>
        <w:rPr>
          <w:rFonts w:hAnsi="宋体" w:cs="宋体"/>
          <w:b/>
        </w:rPr>
      </w:pPr>
    </w:p>
    <w:p>
      <w:pPr>
        <w:pStyle w:val="27"/>
        <w:snapToGrid w:val="0"/>
        <w:spacing w:before="120" w:after="120" w:line="240" w:lineRule="auto"/>
        <w:jc w:val="left"/>
        <w:rPr>
          <w:rFonts w:hAnsi="宋体" w:cs="宋体"/>
          <w:b/>
        </w:rPr>
      </w:pPr>
    </w:p>
    <w:p>
      <w:pPr>
        <w:pStyle w:val="27"/>
        <w:snapToGrid w:val="0"/>
        <w:spacing w:before="120" w:after="120" w:line="240" w:lineRule="auto"/>
        <w:ind w:firstLine="6493" w:firstLineChars="2695"/>
        <w:jc w:val="left"/>
        <w:rPr>
          <w:rFonts w:hAnsi="宋体" w:cs="宋体"/>
          <w:b/>
        </w:rPr>
      </w:pPr>
      <w:r>
        <w:rPr>
          <w:rFonts w:hAnsi="宋体" w:cs="宋体"/>
          <w:b/>
        </w:rPr>
        <w:t>时间：    年  月  日</w:t>
      </w:r>
    </w:p>
    <w:p>
      <w:pPr>
        <w:snapToGrid w:val="0"/>
        <w:spacing w:line="480" w:lineRule="exact"/>
        <w:ind w:firstLine="420" w:firstLineChars="200"/>
        <w:rPr>
          <w:rFonts w:ascii="宋体" w:hAnsi="宋体" w:cs="宋体"/>
          <w:b/>
          <w:bCs/>
          <w:color w:val="000000"/>
          <w:szCs w:val="21"/>
        </w:rPr>
      </w:pPr>
      <w:r>
        <w:rPr>
          <w:rFonts w:hint="eastAsia" w:ascii="宋体" w:hAnsi="宋体" w:cs="宋体"/>
          <w:color w:val="000000"/>
          <w:szCs w:val="21"/>
        </w:rPr>
        <w:t>注：1、小数点后保留一位数。2、各评标委员会成员自行按以上参考分值评分。3、重大事件由评标委员会集体讨论，须有三分之二或以上的评标委员会签字认可。</w:t>
      </w:r>
    </w:p>
    <w:p>
      <w:pPr>
        <w:pStyle w:val="27"/>
        <w:snapToGrid w:val="0"/>
        <w:spacing w:beforeLines="0" w:afterLines="0" w:line="480" w:lineRule="exact"/>
        <w:outlineLvl w:val="1"/>
        <w:rPr>
          <w:rFonts w:hAnsi="宋体" w:cs="宋体"/>
          <w:b/>
          <w:color w:val="000000"/>
        </w:rPr>
      </w:pPr>
      <w:bookmarkStart w:id="25" w:name="_Toc9029"/>
      <w:r>
        <w:rPr>
          <w:rFonts w:hAnsi="宋体" w:cs="宋体"/>
          <w:b/>
          <w:color w:val="000000"/>
        </w:rPr>
        <w:t>六、定标</w:t>
      </w:r>
      <w:bookmarkEnd w:id="25"/>
    </w:p>
    <w:p>
      <w:pPr>
        <w:pStyle w:val="27"/>
        <w:snapToGrid w:val="0"/>
        <w:spacing w:beforeLines="0" w:afterLines="0" w:line="480" w:lineRule="exact"/>
        <w:ind w:firstLine="472" w:firstLineChars="196"/>
        <w:rPr>
          <w:rFonts w:hAnsi="宋体" w:cs="宋体"/>
          <w:b/>
          <w:bCs/>
          <w:color w:val="000000"/>
        </w:rPr>
      </w:pPr>
      <w:r>
        <w:rPr>
          <w:rFonts w:hAnsi="宋体" w:cs="宋体"/>
          <w:b/>
          <w:bCs/>
          <w:color w:val="000000"/>
        </w:rPr>
        <w:t>（一）确定中标供应商。本项目由采购单位（或采购单位事先授权评标委员会）确定中标供应商。</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1.采购代理机构在评标结束后将评标报告交采购单位确认，同时在发布招标公告的网站上对评标结果进行公示。</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2.供应商对评标结果无异议的，采购单位应在收到评标报告后5个工作日内对评标结果进行确认。如有供应商对评标结果提出质疑的，采购单位可在质疑处理完毕后确定中标供应商。</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3.采购单位依法确定中标供应商后2个工作日内，采购代理机构以书面形式发出《中标通知书》,并同时在相关网站上发布中标公告。</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4.各参加政府采购活动的供应商认为该中标结果和采购过程等使自己的权益受到损害的，可以自本公告期限届满之日（自本公告发布之日起至第2日24时止）起7个工作日内，以书面形式向采购单位提出质疑。质疑供应商对采购单位、采购代理机构的答复不满意或者采购单位、采购代理机构未在规定的时间内作出答复的，可以再答复期满后十五个工作日内向同级政府采购监督管理部门投诉。</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5.若中标供应商放弃中标，或因不可抗力提出不能履行合同，或不按采购文件规定提交履约担保，或其它原因被依法撤销中标资格，则采购单位可确定排名第二的中标候选人为中标供应商或重新组织招标。</w:t>
      </w:r>
    </w:p>
    <w:p>
      <w:pPr>
        <w:snapToGrid w:val="0"/>
        <w:spacing w:line="480" w:lineRule="exact"/>
        <w:ind w:firstLine="422" w:firstLineChars="200"/>
        <w:rPr>
          <w:rFonts w:ascii="宋体" w:hAnsi="宋体" w:cs="宋体"/>
          <w:b/>
          <w:bCs/>
          <w:color w:val="000000"/>
          <w:szCs w:val="21"/>
        </w:rPr>
      </w:pPr>
      <w:r>
        <w:rPr>
          <w:rFonts w:hint="eastAsia" w:ascii="宋体" w:hAnsi="宋体" w:cs="宋体"/>
          <w:b/>
          <w:bCs/>
          <w:color w:val="000000"/>
          <w:szCs w:val="21"/>
        </w:rPr>
        <w:t>七、评标过程的监控与保密</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1、本项目评标过程实行全程录音、录像监控，供应商在评标过程中所进行的试图影响评标结果的不公正活动，可能导致其投标被拒绝。</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2、开标后到中标通知书发出之前，所有涉及评标委员会名单以及对投标文件的澄清、评价、比较等情况，评标委员会成员、采购单位和采购代理机构的有关人员均不得向供应商或其他无关人员透露。</w:t>
      </w:r>
    </w:p>
    <w:p>
      <w:pPr>
        <w:snapToGrid w:val="0"/>
        <w:spacing w:line="480" w:lineRule="exact"/>
        <w:ind w:firstLine="413" w:firstLineChars="196"/>
        <w:rPr>
          <w:rFonts w:ascii="宋体" w:hAnsi="宋体" w:cs="宋体"/>
          <w:b/>
          <w:bCs/>
          <w:color w:val="000000"/>
          <w:szCs w:val="21"/>
        </w:rPr>
      </w:pPr>
      <w:bookmarkStart w:id="26" w:name="_Toc17747"/>
      <w:r>
        <w:rPr>
          <w:rFonts w:hint="eastAsia" w:ascii="宋体" w:hAnsi="宋体" w:cs="宋体"/>
          <w:b/>
          <w:color w:val="000000"/>
          <w:szCs w:val="21"/>
        </w:rPr>
        <w:t>八、合同授予</w:t>
      </w:r>
      <w:bookmarkEnd w:id="26"/>
      <w:r>
        <w:rPr>
          <w:rFonts w:hint="eastAsia" w:ascii="宋体" w:hAnsi="宋体" w:cs="宋体"/>
          <w:b/>
          <w:color w:val="000000"/>
          <w:szCs w:val="21"/>
        </w:rPr>
        <w:t>：</w:t>
      </w:r>
      <w:r>
        <w:rPr>
          <w:rFonts w:hint="eastAsia" w:ascii="宋体" w:hAnsi="宋体" w:cs="宋体"/>
          <w:b/>
          <w:bCs/>
          <w:color w:val="000000"/>
          <w:szCs w:val="21"/>
        </w:rPr>
        <w:t>签订合同</w:t>
      </w:r>
    </w:p>
    <w:p>
      <w:pPr>
        <w:snapToGrid w:val="0"/>
        <w:spacing w:line="480" w:lineRule="exact"/>
        <w:ind w:firstLine="420" w:firstLineChars="200"/>
        <w:rPr>
          <w:rFonts w:ascii="宋体" w:hAnsi="宋体" w:cs="宋体"/>
          <w:color w:val="000000"/>
          <w:kern w:val="0"/>
          <w:szCs w:val="21"/>
        </w:rPr>
      </w:pPr>
      <w:r>
        <w:rPr>
          <w:rFonts w:hint="eastAsia" w:ascii="宋体" w:hAnsi="宋体" w:cs="宋体"/>
          <w:color w:val="000000"/>
          <w:szCs w:val="21"/>
        </w:rPr>
        <w:t>1.</w:t>
      </w:r>
      <w:r>
        <w:rPr>
          <w:rFonts w:hint="eastAsia" w:ascii="宋体" w:hAnsi="宋体" w:cs="宋体"/>
          <w:color w:val="000000"/>
          <w:kern w:val="0"/>
          <w:szCs w:val="21"/>
        </w:rPr>
        <w:t>采购单位应当自中标通知书发出之日起30日内，按照采购文件和中标单位投标文件的规定，与中标单位签订书面合同。所签订的合同不得对采购文件确定的事项和中标单位投标文件作实质性修改。</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kern w:val="0"/>
          <w:szCs w:val="21"/>
        </w:rPr>
        <w:t>采购单位不得向中标单位提出任何不合理的要求作为签订合同的条件。</w:t>
      </w:r>
    </w:p>
    <w:p>
      <w:pPr>
        <w:snapToGrid w:val="0"/>
        <w:spacing w:line="480" w:lineRule="exact"/>
        <w:ind w:firstLine="420" w:firstLineChars="200"/>
        <w:rPr>
          <w:rFonts w:ascii="宋体" w:hAnsi="宋体" w:cs="宋体"/>
          <w:color w:val="000000"/>
          <w:szCs w:val="21"/>
        </w:rPr>
      </w:pPr>
      <w:r>
        <w:rPr>
          <w:rFonts w:ascii="宋体" w:hAnsi="宋体" w:cs="宋体"/>
          <w:color w:val="000000"/>
          <w:szCs w:val="21"/>
        </w:rPr>
        <w:t>2.采购单位在签订合同时，在合同金额变更范围内，如需审批的办理相关审批手续。有权变更采购项目的数量和服务内容，但不能对单价或其他条款和条件作任何改变。</w:t>
      </w:r>
    </w:p>
    <w:p>
      <w:pPr>
        <w:snapToGrid w:val="0"/>
        <w:spacing w:line="480" w:lineRule="exact"/>
        <w:ind w:firstLine="420" w:firstLineChars="200"/>
        <w:rPr>
          <w:rFonts w:ascii="宋体" w:hAnsi="宋体" w:cs="宋体"/>
          <w:color w:val="000000"/>
          <w:szCs w:val="21"/>
        </w:rPr>
      </w:pPr>
      <w:r>
        <w:rPr>
          <w:rFonts w:ascii="宋体" w:hAnsi="宋体" w:cs="宋体"/>
          <w:color w:val="000000"/>
          <w:szCs w:val="21"/>
        </w:rPr>
        <w:t>3.采购文件、中标供应商的投标文件及评标过程中有关的澄清文件均应作为合同签订的附件。</w:t>
      </w:r>
    </w:p>
    <w:p>
      <w:pPr>
        <w:snapToGrid w:val="0"/>
        <w:spacing w:line="480" w:lineRule="exact"/>
        <w:ind w:firstLine="420" w:firstLineChars="200"/>
        <w:rPr>
          <w:rFonts w:ascii="宋体" w:hAnsi="宋体" w:cs="宋体"/>
          <w:color w:val="000000"/>
          <w:szCs w:val="21"/>
        </w:rPr>
      </w:pPr>
      <w:r>
        <w:rPr>
          <w:rFonts w:ascii="宋体" w:hAnsi="宋体" w:cs="宋体"/>
          <w:color w:val="000000"/>
          <w:szCs w:val="21"/>
        </w:rPr>
        <w:t>4.中标或者成交供应商拒绝与采购单位签订合同的，采购单位应重新招标。</w:t>
      </w:r>
    </w:p>
    <w:p>
      <w:pPr>
        <w:snapToGrid w:val="0"/>
        <w:spacing w:line="480" w:lineRule="exact"/>
        <w:ind w:firstLine="413" w:firstLineChars="196"/>
        <w:rPr>
          <w:rFonts w:ascii="宋体" w:hAnsi="宋体" w:cs="宋体"/>
          <w:b/>
          <w:color w:val="000000"/>
          <w:szCs w:val="21"/>
        </w:rPr>
      </w:pPr>
      <w:r>
        <w:rPr>
          <w:rFonts w:hint="eastAsia" w:ascii="宋体" w:hAnsi="宋体" w:cs="宋体"/>
          <w:b/>
          <w:color w:val="000000"/>
          <w:szCs w:val="21"/>
        </w:rPr>
        <w:t>九、履约验收：</w:t>
      </w:r>
    </w:p>
    <w:p>
      <w:pPr>
        <w:snapToGrid w:val="0"/>
        <w:spacing w:line="480" w:lineRule="exact"/>
        <w:ind w:firstLine="420" w:firstLineChars="200"/>
        <w:rPr>
          <w:rFonts w:ascii="宋体" w:hAnsi="宋体" w:cs="宋体"/>
          <w:color w:val="000000"/>
          <w:szCs w:val="21"/>
        </w:rPr>
      </w:pPr>
      <w:r>
        <w:rPr>
          <w:rFonts w:hint="eastAsia" w:ascii="宋体" w:hAnsi="宋体" w:cs="宋体"/>
          <w:color w:val="000000"/>
          <w:szCs w:val="21"/>
        </w:rPr>
        <w:t>采购单位负责对中标供应商的履约行为进行验收。</w:t>
      </w:r>
    </w:p>
    <w:p>
      <w:pPr>
        <w:spacing w:line="480" w:lineRule="exact"/>
        <w:jc w:val="left"/>
        <w:rPr>
          <w:rFonts w:ascii="宋体" w:hAnsi="宋体"/>
          <w:szCs w:val="21"/>
        </w:rPr>
      </w:pPr>
    </w:p>
    <w:p>
      <w:pPr>
        <w:widowControl/>
        <w:spacing w:line="400" w:lineRule="exact"/>
        <w:ind w:left="420" w:right="105"/>
        <w:jc w:val="right"/>
        <w:rPr>
          <w:rFonts w:ascii="宋体" w:hAnsi="宋体"/>
          <w:szCs w:val="21"/>
        </w:rPr>
      </w:pPr>
    </w:p>
    <w:p>
      <w:pPr>
        <w:widowControl/>
        <w:spacing w:line="400" w:lineRule="exact"/>
        <w:ind w:left="420" w:right="105"/>
        <w:jc w:val="right"/>
        <w:rPr>
          <w:rFonts w:ascii="宋体" w:hAnsi="宋体"/>
          <w:szCs w:val="21"/>
        </w:rPr>
      </w:pPr>
    </w:p>
    <w:p>
      <w:pPr>
        <w:widowControl/>
        <w:spacing w:line="400" w:lineRule="exact"/>
        <w:ind w:left="420" w:right="105"/>
        <w:jc w:val="right"/>
        <w:rPr>
          <w:rFonts w:ascii="宋体" w:hAnsi="宋体"/>
          <w:szCs w:val="21"/>
        </w:rPr>
      </w:pPr>
    </w:p>
    <w:p>
      <w:pPr>
        <w:widowControl/>
        <w:spacing w:line="400" w:lineRule="exact"/>
        <w:ind w:left="420" w:right="105"/>
        <w:jc w:val="right"/>
        <w:rPr>
          <w:rFonts w:ascii="宋体" w:hAnsi="宋体"/>
          <w:szCs w:val="21"/>
        </w:rPr>
      </w:pPr>
    </w:p>
    <w:p>
      <w:pPr>
        <w:widowControl/>
        <w:spacing w:line="400" w:lineRule="exact"/>
        <w:ind w:left="420" w:right="105"/>
        <w:jc w:val="right"/>
        <w:rPr>
          <w:rFonts w:ascii="宋体" w:hAnsi="宋体"/>
          <w:szCs w:val="21"/>
        </w:rPr>
      </w:pPr>
    </w:p>
    <w:p>
      <w:pPr>
        <w:spacing w:before="120" w:beforeLines="50" w:after="120" w:afterLines="50" w:line="360" w:lineRule="auto"/>
        <w:jc w:val="center"/>
        <w:outlineLvl w:val="0"/>
        <w:rPr>
          <w:rFonts w:ascii="宋体" w:hAnsi="宋体" w:cs="宋体"/>
          <w:bCs/>
          <w:sz w:val="30"/>
          <w:szCs w:val="30"/>
        </w:rPr>
      </w:pPr>
      <w:r>
        <w:rPr>
          <w:rFonts w:ascii="宋体" w:hAnsi="宋体"/>
          <w:szCs w:val="21"/>
        </w:rPr>
        <w:br w:type="page"/>
      </w:r>
      <w:r>
        <w:rPr>
          <w:rFonts w:hint="eastAsia" w:ascii="宋体" w:hAnsi="宋体" w:cs="宋体"/>
          <w:sz w:val="30"/>
          <w:szCs w:val="30"/>
        </w:rPr>
        <w:t xml:space="preserve">第五章  </w:t>
      </w:r>
      <w:r>
        <w:rPr>
          <w:rFonts w:hint="eastAsia" w:ascii="宋体" w:hAnsi="宋体" w:cs="宋体"/>
          <w:bCs/>
          <w:sz w:val="30"/>
          <w:szCs w:val="30"/>
        </w:rPr>
        <w:t>合同主要条款</w:t>
      </w:r>
    </w:p>
    <w:p>
      <w:pPr>
        <w:spacing w:line="480" w:lineRule="exact"/>
        <w:rPr>
          <w:rFonts w:ascii="宋体" w:hAnsi="宋体"/>
          <w:szCs w:val="21"/>
        </w:rPr>
      </w:pPr>
    </w:p>
    <w:p>
      <w:pPr>
        <w:snapToGrid w:val="0"/>
        <w:spacing w:before="120" w:beforeLines="50" w:after="120" w:afterLines="50" w:line="400" w:lineRule="exact"/>
        <w:jc w:val="center"/>
        <w:outlineLvl w:val="0"/>
        <w:rPr>
          <w:rFonts w:ascii="宋体" w:hAnsi="宋体" w:cs="宋体"/>
          <w:b/>
          <w:sz w:val="30"/>
        </w:rPr>
      </w:pPr>
      <w:r>
        <w:rPr>
          <w:rFonts w:hint="eastAsia" w:ascii="宋体" w:hAnsi="宋体" w:cs="宋体"/>
          <w:b/>
          <w:sz w:val="30"/>
        </w:rPr>
        <w:t>采 购 合 同</w:t>
      </w:r>
    </w:p>
    <w:p>
      <w:pPr>
        <w:keepNext/>
        <w:keepLines/>
        <w:tabs>
          <w:tab w:val="center" w:pos="4819"/>
        </w:tabs>
        <w:spacing w:before="200" w:after="200" w:line="360" w:lineRule="auto"/>
        <w:jc w:val="center"/>
      </w:pPr>
      <w:bookmarkStart w:id="27" w:name="_Toc460356672"/>
      <w:r>
        <w:rPr>
          <w:rFonts w:hint="eastAsia"/>
        </w:rPr>
        <w:t>（</w:t>
      </w:r>
      <w:r>
        <w:rPr>
          <w:rFonts w:hint="eastAsia"/>
          <w:sz w:val="28"/>
          <w:szCs w:val="28"/>
        </w:rPr>
        <w:t>仅供参考，可以另行拟定</w:t>
      </w:r>
      <w:r>
        <w:rPr>
          <w:rFonts w:hint="eastAsia"/>
        </w:rPr>
        <w:t>）</w:t>
      </w:r>
      <w:bookmarkEnd w:id="27"/>
    </w:p>
    <w:p>
      <w:pPr>
        <w:snapToGrid w:val="0"/>
        <w:spacing w:line="380" w:lineRule="exact"/>
        <w:rPr>
          <w:rFonts w:ascii="宋体" w:hAnsi="宋体"/>
          <w:b/>
          <w:bCs/>
          <w:sz w:val="28"/>
          <w:szCs w:val="28"/>
        </w:rPr>
      </w:pPr>
    </w:p>
    <w:p>
      <w:pPr>
        <w:pStyle w:val="27"/>
        <w:snapToGrid w:val="0"/>
        <w:spacing w:beforeLines="0" w:afterLines="0"/>
        <w:ind w:firstLine="480" w:firstLineChars="200"/>
        <w:rPr>
          <w:rFonts w:hAnsi="宋体"/>
        </w:rPr>
      </w:pPr>
      <w:r>
        <w:rPr>
          <w:rFonts w:hAnsi="宋体"/>
        </w:rPr>
        <w:t>项目名称：                                       项目编号：</w:t>
      </w:r>
    </w:p>
    <w:p>
      <w:pPr>
        <w:pStyle w:val="27"/>
        <w:snapToGrid w:val="0"/>
        <w:spacing w:beforeLines="0" w:afterLines="0"/>
        <w:ind w:firstLine="480" w:firstLineChars="200"/>
        <w:rPr>
          <w:rFonts w:hAnsi="宋体"/>
        </w:rPr>
      </w:pPr>
      <w:r>
        <w:rPr>
          <w:rFonts w:hAnsi="宋体"/>
        </w:rPr>
        <w:t>甲方：（买方）</w:t>
      </w:r>
    </w:p>
    <w:p>
      <w:pPr>
        <w:pStyle w:val="27"/>
        <w:snapToGrid w:val="0"/>
        <w:spacing w:beforeLines="0" w:afterLines="0"/>
        <w:ind w:firstLine="480" w:firstLineChars="200"/>
        <w:rPr>
          <w:rFonts w:hAnsi="宋体"/>
        </w:rPr>
      </w:pPr>
      <w:r>
        <w:rPr>
          <w:rFonts w:hAnsi="宋体"/>
        </w:rPr>
        <w:t>乙方：（卖方）</w:t>
      </w:r>
    </w:p>
    <w:p>
      <w:pPr>
        <w:pStyle w:val="27"/>
        <w:snapToGrid w:val="0"/>
        <w:spacing w:beforeLines="0" w:afterLines="0"/>
        <w:ind w:firstLine="480" w:firstLineChars="200"/>
        <w:rPr>
          <w:rFonts w:hAnsi="宋体"/>
        </w:rPr>
      </w:pPr>
      <w:r>
        <w:rPr>
          <w:rFonts w:hAnsi="宋体"/>
        </w:rPr>
        <w:t>甲、乙双方根据 招标的结果，签署本合同。</w:t>
      </w:r>
    </w:p>
    <w:p>
      <w:pPr>
        <w:pStyle w:val="27"/>
        <w:snapToGrid w:val="0"/>
        <w:spacing w:beforeLines="0" w:afterLines="0"/>
        <w:ind w:firstLine="482" w:firstLineChars="200"/>
        <w:rPr>
          <w:rFonts w:hAnsi="宋体"/>
          <w:b/>
        </w:rPr>
      </w:pPr>
      <w:r>
        <w:rPr>
          <w:rFonts w:hAnsi="宋体"/>
          <w:b/>
        </w:rPr>
        <w:t>一、货物内容</w:t>
      </w:r>
    </w:p>
    <w:p>
      <w:pPr>
        <w:pStyle w:val="27"/>
        <w:snapToGrid w:val="0"/>
        <w:spacing w:beforeLines="0" w:afterLines="0"/>
        <w:ind w:firstLine="480" w:firstLineChars="200"/>
        <w:rPr>
          <w:rFonts w:hAnsi="宋体"/>
        </w:rPr>
      </w:pPr>
      <w:r>
        <w:rPr>
          <w:rFonts w:hAnsi="宋体"/>
        </w:rPr>
        <w:t>1. 货物名称：</w:t>
      </w:r>
    </w:p>
    <w:p>
      <w:pPr>
        <w:pStyle w:val="27"/>
        <w:snapToGrid w:val="0"/>
        <w:spacing w:beforeLines="0" w:afterLines="0"/>
        <w:ind w:firstLine="480" w:firstLineChars="200"/>
        <w:rPr>
          <w:rFonts w:hAnsi="宋体"/>
        </w:rPr>
      </w:pPr>
      <w:r>
        <w:rPr>
          <w:rFonts w:hAnsi="宋体"/>
        </w:rPr>
        <w:t>2. 型号规格：</w:t>
      </w:r>
    </w:p>
    <w:p>
      <w:pPr>
        <w:pStyle w:val="27"/>
        <w:snapToGrid w:val="0"/>
        <w:spacing w:beforeLines="0" w:afterLines="0"/>
        <w:ind w:firstLine="480" w:firstLineChars="200"/>
        <w:rPr>
          <w:rFonts w:hAnsi="宋体"/>
        </w:rPr>
      </w:pPr>
      <w:r>
        <w:rPr>
          <w:rFonts w:hAnsi="宋体"/>
        </w:rPr>
        <w:t>3. 技术参数：</w:t>
      </w:r>
    </w:p>
    <w:p>
      <w:pPr>
        <w:pStyle w:val="27"/>
        <w:snapToGrid w:val="0"/>
        <w:spacing w:beforeLines="0" w:afterLines="0"/>
        <w:ind w:firstLine="480" w:firstLineChars="200"/>
        <w:rPr>
          <w:rFonts w:hAnsi="宋体"/>
        </w:rPr>
      </w:pPr>
      <w:r>
        <w:rPr>
          <w:rFonts w:hAnsi="宋体"/>
        </w:rPr>
        <w:t>4. 数量（单位）：</w:t>
      </w:r>
    </w:p>
    <w:p>
      <w:pPr>
        <w:pStyle w:val="27"/>
        <w:snapToGrid w:val="0"/>
        <w:spacing w:beforeLines="0" w:afterLines="0"/>
        <w:ind w:firstLine="482" w:firstLineChars="200"/>
        <w:rPr>
          <w:rFonts w:hAnsi="宋体"/>
          <w:b/>
        </w:rPr>
      </w:pPr>
      <w:r>
        <w:rPr>
          <w:rFonts w:hAnsi="宋体"/>
          <w:b/>
        </w:rPr>
        <w:t>二、合同金额</w:t>
      </w:r>
    </w:p>
    <w:p>
      <w:pPr>
        <w:pStyle w:val="27"/>
        <w:snapToGrid w:val="0"/>
        <w:spacing w:beforeLines="0" w:afterLines="0"/>
        <w:ind w:firstLine="480" w:firstLineChars="200"/>
        <w:rPr>
          <w:rFonts w:hAnsi="宋体"/>
        </w:rPr>
      </w:pPr>
      <w:r>
        <w:rPr>
          <w:rFonts w:hAnsi="宋体"/>
        </w:rPr>
        <w:t>本合同金额为（大写）：___________________________元（￥_______________元）人民币。</w:t>
      </w:r>
    </w:p>
    <w:p>
      <w:pPr>
        <w:pStyle w:val="27"/>
        <w:snapToGrid w:val="0"/>
        <w:spacing w:beforeLines="0" w:afterLines="0"/>
        <w:ind w:firstLine="482" w:firstLineChars="200"/>
        <w:rPr>
          <w:rFonts w:hAnsi="宋体"/>
          <w:b/>
        </w:rPr>
      </w:pPr>
      <w:r>
        <w:rPr>
          <w:rFonts w:hAnsi="宋体"/>
          <w:b/>
        </w:rPr>
        <w:t>三、技术资料</w:t>
      </w:r>
    </w:p>
    <w:p>
      <w:pPr>
        <w:pStyle w:val="27"/>
        <w:snapToGrid w:val="0"/>
        <w:spacing w:beforeLines="0" w:afterLines="0"/>
        <w:ind w:firstLine="480" w:firstLineChars="200"/>
        <w:rPr>
          <w:rFonts w:hAnsi="宋体"/>
        </w:rPr>
      </w:pPr>
      <w:r>
        <w:rPr>
          <w:rFonts w:hAnsi="宋体"/>
        </w:rPr>
        <w:t>1. 乙方应按招标文件规定的时间向甲方提供使用货物的有关技术资料。</w:t>
      </w:r>
    </w:p>
    <w:p>
      <w:pPr>
        <w:pStyle w:val="27"/>
        <w:snapToGrid w:val="0"/>
        <w:spacing w:beforeLines="0" w:afterLines="0"/>
        <w:ind w:firstLine="480" w:firstLineChars="200"/>
        <w:rPr>
          <w:rFonts w:hAnsi="宋体"/>
        </w:rPr>
      </w:pPr>
      <w:r>
        <w:rPr>
          <w:rFonts w:hAnsi="宋体"/>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7"/>
        <w:snapToGrid w:val="0"/>
        <w:spacing w:beforeLines="0" w:afterLines="0"/>
        <w:ind w:firstLine="482" w:firstLineChars="200"/>
        <w:rPr>
          <w:rFonts w:hAnsi="宋体"/>
          <w:b/>
        </w:rPr>
      </w:pPr>
      <w:r>
        <w:rPr>
          <w:rFonts w:hAnsi="宋体"/>
          <w:b/>
        </w:rPr>
        <w:t>四、知识产权</w:t>
      </w:r>
    </w:p>
    <w:p>
      <w:pPr>
        <w:pStyle w:val="27"/>
        <w:snapToGrid w:val="0"/>
        <w:spacing w:beforeLines="0" w:afterLines="0"/>
        <w:ind w:firstLine="480" w:firstLineChars="200"/>
        <w:rPr>
          <w:rFonts w:hAnsi="宋体"/>
          <w:bCs/>
        </w:rPr>
      </w:pPr>
      <w:r>
        <w:rPr>
          <w:rFonts w:hAnsi="宋体"/>
        </w:rPr>
        <w:t>乙方应保证所提供的货物或其任何一部分均不会侵犯任何第三方的知识产权</w:t>
      </w:r>
      <w:r>
        <w:rPr>
          <w:rFonts w:hAnsi="宋体"/>
          <w:bCs/>
        </w:rPr>
        <w:t>。</w:t>
      </w:r>
    </w:p>
    <w:p>
      <w:pPr>
        <w:pStyle w:val="27"/>
        <w:snapToGrid w:val="0"/>
        <w:spacing w:beforeLines="0" w:afterLines="0"/>
        <w:ind w:firstLine="482" w:firstLineChars="200"/>
        <w:rPr>
          <w:rFonts w:hAnsi="宋体"/>
          <w:u w:val="single"/>
        </w:rPr>
      </w:pPr>
      <w:r>
        <w:rPr>
          <w:rFonts w:hAnsi="宋体"/>
          <w:b/>
        </w:rPr>
        <w:t>五、产权担保</w:t>
      </w:r>
    </w:p>
    <w:p>
      <w:pPr>
        <w:pStyle w:val="27"/>
        <w:snapToGrid w:val="0"/>
        <w:spacing w:beforeLines="0" w:afterLines="0"/>
        <w:ind w:firstLine="480" w:firstLineChars="200"/>
        <w:rPr>
          <w:rFonts w:hAnsi="宋体"/>
          <w:u w:val="single"/>
        </w:rPr>
      </w:pPr>
      <w:r>
        <w:rPr>
          <w:rFonts w:hAnsi="宋体"/>
        </w:rPr>
        <w:t>乙方保证所交付的货物的所有权完全属于乙方且无任何抵押、查封等产权瑕疵。</w:t>
      </w:r>
    </w:p>
    <w:p>
      <w:pPr>
        <w:pStyle w:val="27"/>
        <w:snapToGrid w:val="0"/>
        <w:spacing w:beforeLines="0" w:afterLines="0"/>
        <w:ind w:firstLine="482" w:firstLineChars="200"/>
        <w:rPr>
          <w:rFonts w:hAnsi="宋体"/>
          <w:b/>
        </w:rPr>
      </w:pPr>
      <w:r>
        <w:rPr>
          <w:rFonts w:hint="eastAsia" w:hAnsi="宋体"/>
          <w:b/>
        </w:rPr>
        <w:t>六</w:t>
      </w:r>
      <w:r>
        <w:rPr>
          <w:rFonts w:hAnsi="宋体"/>
          <w:b/>
        </w:rPr>
        <w:t>、转包或分包</w:t>
      </w:r>
    </w:p>
    <w:p>
      <w:pPr>
        <w:snapToGrid w:val="0"/>
        <w:spacing w:line="400" w:lineRule="exact"/>
        <w:ind w:firstLine="420" w:firstLineChars="200"/>
        <w:rPr>
          <w:rFonts w:ascii="宋体" w:hAnsi="宋体"/>
          <w:szCs w:val="21"/>
        </w:rPr>
      </w:pPr>
      <w:r>
        <w:rPr>
          <w:rFonts w:ascii="宋体" w:hAnsi="宋体"/>
          <w:szCs w:val="21"/>
        </w:rPr>
        <w:t>1</w:t>
      </w:r>
      <w:r>
        <w:rPr>
          <w:rFonts w:hint="eastAsia" w:ascii="宋体" w:hAnsi="宋体"/>
          <w:szCs w:val="21"/>
        </w:rPr>
        <w:t>. 本合同范围的货物，应由</w:t>
      </w:r>
      <w:r>
        <w:rPr>
          <w:rFonts w:ascii="宋体" w:hAnsi="宋体"/>
          <w:szCs w:val="21"/>
        </w:rPr>
        <w:t>乙</w:t>
      </w:r>
      <w:r>
        <w:rPr>
          <w:rFonts w:hint="eastAsia" w:ascii="宋体" w:hAnsi="宋体"/>
          <w:szCs w:val="21"/>
        </w:rPr>
        <w:t>方直接供应，不得转让他人供应；</w:t>
      </w:r>
    </w:p>
    <w:p>
      <w:pPr>
        <w:snapToGrid w:val="0"/>
        <w:spacing w:line="400" w:lineRule="exact"/>
        <w:ind w:firstLine="420" w:firstLineChars="200"/>
        <w:rPr>
          <w:rFonts w:ascii="宋体" w:hAnsi="宋体"/>
          <w:szCs w:val="21"/>
        </w:rPr>
      </w:pPr>
      <w:r>
        <w:rPr>
          <w:rFonts w:ascii="宋体" w:hAnsi="宋体"/>
          <w:szCs w:val="21"/>
        </w:rPr>
        <w:t>2</w:t>
      </w:r>
      <w:r>
        <w:rPr>
          <w:rFonts w:hint="eastAsia" w:ascii="宋体" w:hAnsi="宋体"/>
          <w:szCs w:val="21"/>
        </w:rPr>
        <w:t>. 除非得到</w:t>
      </w:r>
      <w:r>
        <w:rPr>
          <w:rFonts w:ascii="宋体" w:hAnsi="宋体"/>
          <w:szCs w:val="21"/>
        </w:rPr>
        <w:t>甲</w:t>
      </w:r>
      <w:r>
        <w:rPr>
          <w:rFonts w:hint="eastAsia" w:ascii="宋体" w:hAnsi="宋体"/>
          <w:szCs w:val="21"/>
        </w:rPr>
        <w:t>方的书面同意，</w:t>
      </w:r>
      <w:r>
        <w:rPr>
          <w:rFonts w:ascii="宋体" w:hAnsi="宋体"/>
          <w:szCs w:val="21"/>
        </w:rPr>
        <w:t>乙</w:t>
      </w:r>
      <w:r>
        <w:rPr>
          <w:rFonts w:hint="eastAsia" w:ascii="宋体" w:hAnsi="宋体"/>
          <w:szCs w:val="21"/>
        </w:rPr>
        <w:t>方不得将本合同范围的货物全部或部分分包给他人供应；</w:t>
      </w:r>
    </w:p>
    <w:p>
      <w:pPr>
        <w:snapToGrid w:val="0"/>
        <w:spacing w:line="400" w:lineRule="exact"/>
        <w:ind w:firstLine="420" w:firstLineChars="200"/>
        <w:rPr>
          <w:rFonts w:ascii="宋体" w:hAnsi="宋体"/>
          <w:szCs w:val="21"/>
        </w:rPr>
      </w:pPr>
      <w:r>
        <w:rPr>
          <w:rFonts w:ascii="宋体" w:hAnsi="宋体"/>
          <w:szCs w:val="21"/>
        </w:rPr>
        <w:t>3</w:t>
      </w:r>
      <w:r>
        <w:rPr>
          <w:rFonts w:hint="eastAsia" w:ascii="宋体" w:hAnsi="宋体"/>
          <w:szCs w:val="21"/>
        </w:rPr>
        <w:t>. 如有转让和未经</w:t>
      </w:r>
      <w:r>
        <w:rPr>
          <w:rFonts w:ascii="宋体" w:hAnsi="宋体"/>
          <w:szCs w:val="21"/>
        </w:rPr>
        <w:t>甲</w:t>
      </w:r>
      <w:r>
        <w:rPr>
          <w:rFonts w:hint="eastAsia" w:ascii="宋体" w:hAnsi="宋体"/>
          <w:szCs w:val="21"/>
        </w:rPr>
        <w:t>方同意的分包行为，</w:t>
      </w:r>
      <w:r>
        <w:rPr>
          <w:rFonts w:ascii="宋体" w:hAnsi="宋体"/>
          <w:szCs w:val="21"/>
        </w:rPr>
        <w:t>甲</w:t>
      </w:r>
      <w:r>
        <w:rPr>
          <w:rFonts w:hint="eastAsia" w:ascii="宋体" w:hAnsi="宋体"/>
          <w:szCs w:val="21"/>
        </w:rPr>
        <w:t>方有权解除合同，没收履约保证金（维修保证金）并追究乙方的违约责任。</w:t>
      </w:r>
    </w:p>
    <w:p>
      <w:pPr>
        <w:pStyle w:val="27"/>
        <w:snapToGrid w:val="0"/>
        <w:spacing w:beforeLines="0" w:afterLines="0"/>
        <w:ind w:firstLine="482" w:firstLineChars="200"/>
        <w:rPr>
          <w:rFonts w:hAnsi="宋体"/>
        </w:rPr>
      </w:pPr>
      <w:r>
        <w:rPr>
          <w:rFonts w:hint="eastAsia" w:hAnsi="宋体"/>
          <w:b/>
        </w:rPr>
        <w:t>七</w:t>
      </w:r>
      <w:r>
        <w:rPr>
          <w:rFonts w:hAnsi="宋体"/>
          <w:b/>
        </w:rPr>
        <w:t>、质保期</w:t>
      </w:r>
    </w:p>
    <w:p>
      <w:pPr>
        <w:pStyle w:val="27"/>
        <w:snapToGrid w:val="0"/>
        <w:spacing w:beforeLines="0" w:afterLines="0"/>
        <w:ind w:firstLine="480" w:firstLineChars="200"/>
        <w:rPr>
          <w:rFonts w:hAnsi="宋体"/>
        </w:rPr>
      </w:pPr>
      <w:r>
        <w:rPr>
          <w:rFonts w:hAnsi="宋体"/>
        </w:rPr>
        <w:t>1. 质保期</w:t>
      </w:r>
      <w:r>
        <w:rPr>
          <w:rFonts w:hint="eastAsia" w:hAnsi="宋体"/>
        </w:rPr>
        <w:t xml:space="preserve">  </w:t>
      </w:r>
      <w:r>
        <w:rPr>
          <w:rFonts w:hAnsi="宋体"/>
        </w:rPr>
        <w:t>年。（自交货验收合格之日起计）</w:t>
      </w:r>
    </w:p>
    <w:p>
      <w:pPr>
        <w:pStyle w:val="27"/>
        <w:snapToGrid w:val="0"/>
        <w:spacing w:beforeLines="0" w:afterLines="0"/>
        <w:ind w:firstLine="482" w:firstLineChars="200"/>
        <w:rPr>
          <w:rFonts w:hAnsi="宋体"/>
          <w:b/>
        </w:rPr>
      </w:pPr>
      <w:r>
        <w:rPr>
          <w:rFonts w:hint="eastAsia" w:hAnsi="宋体"/>
          <w:b/>
        </w:rPr>
        <w:t>八</w:t>
      </w:r>
      <w:r>
        <w:rPr>
          <w:rFonts w:hAnsi="宋体"/>
          <w:b/>
        </w:rPr>
        <w:t>、交货期、交货方式及交货地点</w:t>
      </w:r>
    </w:p>
    <w:p>
      <w:pPr>
        <w:pStyle w:val="27"/>
        <w:snapToGrid w:val="0"/>
        <w:spacing w:beforeLines="0" w:afterLines="0"/>
        <w:ind w:firstLine="480" w:firstLineChars="200"/>
        <w:rPr>
          <w:rFonts w:hAnsi="宋体"/>
          <w:bCs/>
        </w:rPr>
      </w:pPr>
      <w:r>
        <w:rPr>
          <w:rFonts w:hAnsi="宋体"/>
          <w:bCs/>
        </w:rPr>
        <w:t>1. 交货期：</w:t>
      </w:r>
    </w:p>
    <w:p>
      <w:pPr>
        <w:pStyle w:val="27"/>
        <w:snapToGrid w:val="0"/>
        <w:spacing w:beforeLines="0" w:afterLines="0"/>
        <w:ind w:firstLine="480" w:firstLineChars="200"/>
        <w:rPr>
          <w:rFonts w:hAnsi="宋体"/>
          <w:bCs/>
        </w:rPr>
      </w:pPr>
      <w:r>
        <w:rPr>
          <w:rFonts w:hAnsi="宋体"/>
          <w:bCs/>
        </w:rPr>
        <w:t>2. 交货方式：</w:t>
      </w:r>
    </w:p>
    <w:p>
      <w:pPr>
        <w:pStyle w:val="27"/>
        <w:snapToGrid w:val="0"/>
        <w:spacing w:beforeLines="0" w:afterLines="0"/>
        <w:ind w:firstLine="480" w:firstLineChars="200"/>
        <w:rPr>
          <w:rFonts w:hAnsi="宋体"/>
          <w:b/>
        </w:rPr>
      </w:pPr>
      <w:r>
        <w:rPr>
          <w:rFonts w:hAnsi="宋体"/>
          <w:bCs/>
        </w:rPr>
        <w:t>3. 交货地点：</w:t>
      </w:r>
    </w:p>
    <w:p>
      <w:pPr>
        <w:pStyle w:val="27"/>
        <w:snapToGrid w:val="0"/>
        <w:spacing w:beforeLines="0" w:afterLines="0"/>
        <w:ind w:firstLine="482" w:firstLineChars="200"/>
        <w:rPr>
          <w:rFonts w:hAnsi="宋体"/>
          <w:b/>
        </w:rPr>
      </w:pPr>
      <w:r>
        <w:rPr>
          <w:rFonts w:hint="eastAsia" w:hAnsi="宋体"/>
          <w:b/>
        </w:rPr>
        <w:t>九</w:t>
      </w:r>
      <w:r>
        <w:rPr>
          <w:rFonts w:hAnsi="宋体"/>
          <w:b/>
        </w:rPr>
        <w:t>、货款支付及履约保证金</w:t>
      </w:r>
    </w:p>
    <w:p>
      <w:pPr>
        <w:pStyle w:val="27"/>
        <w:snapToGrid w:val="0"/>
        <w:spacing w:beforeLines="0" w:afterLines="0"/>
        <w:ind w:firstLine="480" w:firstLineChars="200"/>
        <w:rPr>
          <w:rFonts w:hAnsi="宋体"/>
          <w:bCs/>
        </w:rPr>
      </w:pPr>
      <w:r>
        <w:rPr>
          <w:rFonts w:hAnsi="宋体"/>
          <w:bCs/>
        </w:rPr>
        <w:t>1.付款方式：</w:t>
      </w:r>
    </w:p>
    <w:p>
      <w:pPr>
        <w:pStyle w:val="27"/>
        <w:snapToGrid w:val="0"/>
        <w:spacing w:beforeLines="0" w:afterLines="0"/>
        <w:ind w:firstLine="480" w:firstLineChars="200"/>
        <w:rPr>
          <w:rFonts w:hAnsi="宋体"/>
        </w:rPr>
      </w:pPr>
      <w:r>
        <w:rPr>
          <w:rFonts w:hAnsi="宋体"/>
          <w:bCs/>
        </w:rPr>
        <w:t>2.</w:t>
      </w:r>
      <w:r>
        <w:rPr>
          <w:rFonts w:hAnsi="宋体"/>
        </w:rPr>
        <w:t>当采购数量与实际使用数量不一致时，乙方应根据实际使用量供货，合同的最终结算金额按实际使用量乘以成交单价进行计算。</w:t>
      </w:r>
    </w:p>
    <w:p>
      <w:pPr>
        <w:ind w:firstLine="480" w:firstLineChars="200"/>
        <w:rPr>
          <w:rFonts w:ascii="宋体" w:hAnsi="宋体"/>
          <w:sz w:val="24"/>
        </w:rPr>
      </w:pPr>
      <w:r>
        <w:rPr>
          <w:rFonts w:hint="eastAsia" w:ascii="宋体" w:hAnsi="宋体"/>
          <w:sz w:val="24"/>
        </w:rPr>
        <w:t>3. 乙方交纳人民币           元作为本合同的履约保证金，履约保证金在合同履行完毕后并验收合格一周内无息退还（如中标人未能履行合同规定的任何义务，采购人有权从履约保证金中得到相应补偿）。</w:t>
      </w:r>
    </w:p>
    <w:p>
      <w:pPr>
        <w:snapToGrid w:val="0"/>
        <w:spacing w:line="400" w:lineRule="exact"/>
        <w:ind w:firstLine="422" w:firstLineChars="200"/>
        <w:rPr>
          <w:rFonts w:ascii="宋体" w:hAnsi="宋体"/>
          <w:b/>
          <w:szCs w:val="21"/>
        </w:rPr>
      </w:pPr>
      <w:r>
        <w:rPr>
          <w:rFonts w:hint="eastAsia" w:ascii="宋体" w:hAnsi="宋体"/>
          <w:b/>
          <w:szCs w:val="21"/>
        </w:rPr>
        <w:t>十、税费</w:t>
      </w:r>
    </w:p>
    <w:p>
      <w:pPr>
        <w:snapToGrid w:val="0"/>
        <w:spacing w:line="400" w:lineRule="exact"/>
        <w:ind w:firstLine="420" w:firstLineChars="200"/>
        <w:rPr>
          <w:rFonts w:ascii="宋体" w:hAnsi="宋体"/>
          <w:szCs w:val="21"/>
        </w:rPr>
      </w:pPr>
      <w:r>
        <w:rPr>
          <w:rFonts w:hint="eastAsia" w:ascii="宋体" w:hAnsi="宋体"/>
          <w:szCs w:val="21"/>
        </w:rPr>
        <w:t>本合同执行中相关的一切税费均由</w:t>
      </w:r>
      <w:r>
        <w:rPr>
          <w:rFonts w:ascii="宋体" w:hAnsi="宋体"/>
          <w:szCs w:val="21"/>
        </w:rPr>
        <w:t>乙</w:t>
      </w:r>
      <w:r>
        <w:rPr>
          <w:rFonts w:hint="eastAsia" w:ascii="宋体" w:hAnsi="宋体"/>
          <w:szCs w:val="21"/>
        </w:rPr>
        <w:t>方负担。</w:t>
      </w:r>
    </w:p>
    <w:p>
      <w:pPr>
        <w:pStyle w:val="27"/>
        <w:snapToGrid w:val="0"/>
        <w:spacing w:beforeLines="0" w:afterLines="0"/>
        <w:ind w:firstLine="482" w:firstLineChars="200"/>
        <w:rPr>
          <w:rFonts w:hAnsi="宋体"/>
        </w:rPr>
      </w:pPr>
      <w:r>
        <w:rPr>
          <w:rFonts w:hAnsi="宋体"/>
          <w:b/>
        </w:rPr>
        <w:t>十</w:t>
      </w:r>
      <w:r>
        <w:rPr>
          <w:rFonts w:hint="eastAsia" w:hAnsi="宋体"/>
          <w:b/>
        </w:rPr>
        <w:t>一</w:t>
      </w:r>
      <w:r>
        <w:rPr>
          <w:rFonts w:hAnsi="宋体"/>
          <w:b/>
        </w:rPr>
        <w:t>、质量保证及售后服务</w:t>
      </w:r>
    </w:p>
    <w:p>
      <w:pPr>
        <w:pStyle w:val="27"/>
        <w:snapToGrid w:val="0"/>
        <w:spacing w:beforeLines="0" w:afterLines="0"/>
        <w:ind w:firstLine="480" w:firstLineChars="200"/>
        <w:rPr>
          <w:rFonts w:hAnsi="宋体"/>
        </w:rPr>
      </w:pPr>
      <w:r>
        <w:rPr>
          <w:rFonts w:hAnsi="宋体"/>
        </w:rPr>
        <w:t>1. 乙方应按招标文件规定的货物性能、技术要求、质量标准向甲方提供未经使用的全新产品。</w:t>
      </w:r>
    </w:p>
    <w:p>
      <w:pPr>
        <w:pStyle w:val="27"/>
        <w:snapToGrid w:val="0"/>
        <w:spacing w:beforeLines="0" w:afterLines="0"/>
        <w:ind w:firstLine="480" w:firstLineChars="200"/>
        <w:rPr>
          <w:rFonts w:hAnsi="宋体"/>
        </w:rPr>
      </w:pPr>
      <w:r>
        <w:rPr>
          <w:rFonts w:hAnsi="宋体"/>
        </w:rPr>
        <w:t>2. 乙方提供的货物在质保期内因货物本身的质量问题发生故障，乙方应负责免费更换。对达不到技术要求者，根据实际情况，经双方协商，可按以下办法处理：</w:t>
      </w:r>
    </w:p>
    <w:p>
      <w:pPr>
        <w:pStyle w:val="27"/>
        <w:snapToGrid w:val="0"/>
        <w:spacing w:beforeLines="0" w:afterLines="0"/>
        <w:ind w:firstLine="480" w:firstLineChars="200"/>
        <w:rPr>
          <w:rFonts w:hAnsi="宋体"/>
        </w:rPr>
      </w:pPr>
      <w:r>
        <w:rPr>
          <w:rFonts w:hAnsi="宋体"/>
        </w:rPr>
        <w:t>（1）更换：由乙方承担所发生的全部费用。</w:t>
      </w:r>
    </w:p>
    <w:p>
      <w:pPr>
        <w:pStyle w:val="27"/>
        <w:snapToGrid w:val="0"/>
        <w:spacing w:beforeLines="0" w:afterLines="0"/>
        <w:ind w:firstLine="480" w:firstLineChars="200"/>
        <w:rPr>
          <w:rFonts w:hAnsi="宋体"/>
        </w:rPr>
      </w:pPr>
      <w:r>
        <w:rPr>
          <w:rFonts w:hAnsi="宋体"/>
        </w:rPr>
        <w:t>（2）贬值处理：由甲乙双方合议定价。</w:t>
      </w:r>
    </w:p>
    <w:p>
      <w:pPr>
        <w:pStyle w:val="27"/>
        <w:snapToGrid w:val="0"/>
        <w:spacing w:beforeLines="0" w:afterLines="0"/>
        <w:ind w:firstLine="480" w:firstLineChars="200"/>
        <w:rPr>
          <w:rFonts w:hAnsi="宋体"/>
        </w:rPr>
      </w:pPr>
      <w:r>
        <w:rPr>
          <w:rFonts w:hAnsi="宋体"/>
        </w:rPr>
        <w:t>（3）退货处理：乙方应退还甲方支付的合同款，同时应承担该货物的直接费用（运输、保险、检验、货款利息及银行手续费等）。</w:t>
      </w:r>
    </w:p>
    <w:p>
      <w:pPr>
        <w:pStyle w:val="27"/>
        <w:snapToGrid w:val="0"/>
        <w:spacing w:beforeLines="0" w:afterLines="0"/>
        <w:ind w:firstLine="480" w:firstLineChars="200"/>
        <w:rPr>
          <w:rFonts w:hAnsi="宋体"/>
        </w:rPr>
      </w:pPr>
      <w:r>
        <w:rPr>
          <w:rFonts w:hAnsi="宋体"/>
        </w:rPr>
        <w:t>3. 如在使用过程中发生质量问题，乙方在接到甲方通知后在小时内到达甲方现场。</w:t>
      </w:r>
    </w:p>
    <w:p>
      <w:pPr>
        <w:pStyle w:val="27"/>
        <w:snapToGrid w:val="0"/>
        <w:spacing w:beforeLines="0" w:afterLines="0"/>
        <w:ind w:firstLine="480" w:firstLineChars="200"/>
        <w:rPr>
          <w:rFonts w:hAnsi="宋体"/>
        </w:rPr>
      </w:pPr>
      <w:r>
        <w:rPr>
          <w:rFonts w:hAnsi="宋体"/>
        </w:rPr>
        <w:t>4. 在质保期内，乙方应对货物出现的质量及安全问题负责处理解决并承担一切费用。</w:t>
      </w:r>
    </w:p>
    <w:p>
      <w:pPr>
        <w:pStyle w:val="27"/>
        <w:snapToGrid w:val="0"/>
        <w:spacing w:beforeLines="0" w:afterLines="0"/>
        <w:ind w:firstLine="480" w:firstLineChars="200"/>
        <w:rPr>
          <w:rFonts w:hAnsi="宋体"/>
        </w:rPr>
      </w:pPr>
      <w:r>
        <w:rPr>
          <w:rFonts w:hAnsi="宋体"/>
        </w:rPr>
        <w:t>5. 上述的货物免费保修期为年，因人为因素出现的故障不在免费保修范围内。超过保修期的机器设备，终生维修，维修时只收部件成本费。</w:t>
      </w:r>
    </w:p>
    <w:p>
      <w:pPr>
        <w:pStyle w:val="27"/>
        <w:snapToGrid w:val="0"/>
        <w:spacing w:beforeLines="0" w:afterLines="0"/>
        <w:ind w:firstLine="482" w:firstLineChars="200"/>
        <w:rPr>
          <w:rFonts w:hAnsi="宋体"/>
          <w:b/>
        </w:rPr>
      </w:pPr>
      <w:r>
        <w:rPr>
          <w:rFonts w:hAnsi="宋体"/>
          <w:b/>
        </w:rPr>
        <w:t>十</w:t>
      </w:r>
      <w:r>
        <w:rPr>
          <w:rFonts w:hint="eastAsia" w:hAnsi="宋体"/>
          <w:b/>
        </w:rPr>
        <w:t>二</w:t>
      </w:r>
      <w:r>
        <w:rPr>
          <w:rFonts w:hAnsi="宋体"/>
          <w:b/>
        </w:rPr>
        <w:t>、调试和验收</w:t>
      </w:r>
    </w:p>
    <w:p>
      <w:pPr>
        <w:pStyle w:val="27"/>
        <w:snapToGrid w:val="0"/>
        <w:spacing w:beforeLines="0" w:afterLines="0"/>
        <w:ind w:firstLine="480" w:firstLineChars="200"/>
        <w:jc w:val="left"/>
        <w:rPr>
          <w:rFonts w:hAnsi="宋体"/>
        </w:rPr>
      </w:pPr>
      <w:r>
        <w:rPr>
          <w:rFonts w:hAnsi="宋体"/>
        </w:rPr>
        <w:t>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7"/>
        <w:snapToGrid w:val="0"/>
        <w:spacing w:beforeLines="0" w:afterLines="0"/>
        <w:ind w:firstLine="480" w:firstLineChars="200"/>
        <w:rPr>
          <w:rFonts w:hAnsi="宋体"/>
        </w:rPr>
      </w:pPr>
      <w:r>
        <w:rPr>
          <w:rFonts w:hAnsi="宋体"/>
        </w:rPr>
        <w:t>2. 乙方交货前应对产品作出全面检查和对验收文件进行整理，并列出清单，作为甲方收货验收和使用的技术条件依据，检验的结果应随货物交甲方。</w:t>
      </w:r>
    </w:p>
    <w:p>
      <w:pPr>
        <w:pStyle w:val="27"/>
        <w:snapToGrid w:val="0"/>
        <w:spacing w:beforeLines="0" w:afterLines="0"/>
        <w:ind w:firstLine="480" w:firstLineChars="200"/>
        <w:rPr>
          <w:rFonts w:hAnsi="宋体"/>
          <w:u w:val="single"/>
        </w:rPr>
      </w:pPr>
      <w:r>
        <w:rPr>
          <w:rFonts w:hAnsi="宋体"/>
        </w:rPr>
        <w:t>3. 甲方对乙方提供的货物在使用前进行调试时，乙方需负责安装并培训甲方的使用操作人员，并协助甲方一起调试，直到符合技术要求，甲方才做最终验收。</w:t>
      </w:r>
    </w:p>
    <w:p>
      <w:pPr>
        <w:pStyle w:val="27"/>
        <w:snapToGrid w:val="0"/>
        <w:spacing w:beforeLines="0" w:afterLines="0"/>
        <w:ind w:firstLine="480" w:firstLineChars="200"/>
        <w:rPr>
          <w:rFonts w:hAnsi="宋体"/>
        </w:rPr>
      </w:pPr>
      <w:r>
        <w:rPr>
          <w:rFonts w:hAnsi="宋体"/>
        </w:rPr>
        <w:t>4. 对技术复杂的货物，甲方应请国家认可的专业检测机构参与初步验收及最终验收，并由其出具质量检测报告。</w:t>
      </w:r>
    </w:p>
    <w:p>
      <w:pPr>
        <w:pStyle w:val="27"/>
        <w:snapToGrid w:val="0"/>
        <w:spacing w:beforeLines="0" w:afterLines="0"/>
        <w:ind w:firstLine="480" w:firstLineChars="200"/>
        <w:rPr>
          <w:rFonts w:hAnsi="宋体"/>
        </w:rPr>
      </w:pPr>
      <w:r>
        <w:rPr>
          <w:rFonts w:hAnsi="宋体"/>
        </w:rPr>
        <w:t>5. 验收时乙方必须在现场，验收完毕后作出验收结果报告；验收费用由乙方负责。</w:t>
      </w:r>
    </w:p>
    <w:p>
      <w:pPr>
        <w:pStyle w:val="27"/>
        <w:snapToGrid w:val="0"/>
        <w:spacing w:beforeLines="0" w:afterLines="0"/>
        <w:ind w:firstLine="482" w:firstLineChars="200"/>
        <w:rPr>
          <w:rFonts w:hAnsi="宋体"/>
          <w:b/>
        </w:rPr>
      </w:pPr>
      <w:r>
        <w:rPr>
          <w:rFonts w:hAnsi="宋体"/>
          <w:b/>
        </w:rPr>
        <w:t>十</w:t>
      </w:r>
      <w:r>
        <w:rPr>
          <w:rFonts w:hint="eastAsia" w:hAnsi="宋体"/>
          <w:b/>
        </w:rPr>
        <w:t>三</w:t>
      </w:r>
      <w:r>
        <w:rPr>
          <w:rFonts w:hAnsi="宋体"/>
          <w:b/>
        </w:rPr>
        <w:t>、货物包装、发运及运输</w:t>
      </w:r>
    </w:p>
    <w:p>
      <w:pPr>
        <w:pStyle w:val="27"/>
        <w:snapToGrid w:val="0"/>
        <w:spacing w:beforeLines="0" w:afterLines="0"/>
        <w:ind w:firstLine="480" w:firstLineChars="200"/>
        <w:rPr>
          <w:rFonts w:hAnsi="宋体"/>
        </w:rPr>
      </w:pPr>
      <w:r>
        <w:rPr>
          <w:rFonts w:hAnsi="宋体"/>
          <w:bCs/>
        </w:rPr>
        <w:t xml:space="preserve">1. </w:t>
      </w:r>
      <w:r>
        <w:rPr>
          <w:rFonts w:hAnsi="宋体"/>
        </w:rPr>
        <w:t>乙方应在货物发运前对其进行满足运输距离、防潮、防震、防锈和防破损装卸等要求包装，以保证货物安全运达甲方指定地点。</w:t>
      </w:r>
    </w:p>
    <w:p>
      <w:pPr>
        <w:pStyle w:val="27"/>
        <w:snapToGrid w:val="0"/>
        <w:spacing w:beforeLines="0" w:afterLines="0"/>
        <w:ind w:firstLine="480" w:firstLineChars="200"/>
        <w:rPr>
          <w:rFonts w:hAnsi="宋体"/>
        </w:rPr>
      </w:pPr>
      <w:r>
        <w:rPr>
          <w:rFonts w:hAnsi="宋体"/>
        </w:rPr>
        <w:t>2. 使用说明书、质量检验证明书、随配附件和工具以及清单一并附于货物内。</w:t>
      </w:r>
    </w:p>
    <w:p>
      <w:pPr>
        <w:pStyle w:val="27"/>
        <w:snapToGrid w:val="0"/>
        <w:spacing w:beforeLines="0" w:afterLines="0"/>
        <w:ind w:firstLine="480" w:firstLineChars="200"/>
        <w:rPr>
          <w:rFonts w:hAnsi="宋体"/>
        </w:rPr>
      </w:pPr>
      <w:r>
        <w:rPr>
          <w:rFonts w:hAnsi="宋体"/>
        </w:rPr>
        <w:t>3. 乙方在货物发运手续办理完毕后24小时内或货到甲方48小时前通知甲方，以准备接货。</w:t>
      </w:r>
    </w:p>
    <w:p>
      <w:pPr>
        <w:pStyle w:val="27"/>
        <w:snapToGrid w:val="0"/>
        <w:spacing w:beforeLines="0" w:afterLines="0"/>
        <w:ind w:firstLine="480" w:firstLineChars="200"/>
        <w:rPr>
          <w:rFonts w:hAnsi="宋体"/>
        </w:rPr>
      </w:pPr>
      <w:r>
        <w:rPr>
          <w:rFonts w:hAnsi="宋体"/>
        </w:rPr>
        <w:t>4. 货物在交付甲方前发生的风险均由乙方负责。</w:t>
      </w:r>
    </w:p>
    <w:p>
      <w:pPr>
        <w:pStyle w:val="27"/>
        <w:snapToGrid w:val="0"/>
        <w:spacing w:beforeLines="0" w:afterLines="0"/>
        <w:ind w:firstLine="480" w:firstLineChars="200"/>
        <w:rPr>
          <w:rFonts w:hAnsi="宋体"/>
        </w:rPr>
      </w:pPr>
      <w:r>
        <w:rPr>
          <w:rFonts w:hAnsi="宋体"/>
        </w:rPr>
        <w:t>5. 货物在规定的交付期限内由乙方送达甲方指定的地点视为交付，乙方同时需通知甲方货物已送达。</w:t>
      </w:r>
    </w:p>
    <w:p>
      <w:pPr>
        <w:pStyle w:val="27"/>
        <w:snapToGrid w:val="0"/>
        <w:spacing w:beforeLines="0" w:afterLines="0"/>
        <w:ind w:firstLine="482" w:firstLineChars="200"/>
        <w:rPr>
          <w:rFonts w:hAnsi="宋体"/>
          <w:b/>
        </w:rPr>
      </w:pPr>
      <w:r>
        <w:rPr>
          <w:rFonts w:hAnsi="宋体"/>
          <w:b/>
        </w:rPr>
        <w:t>十</w:t>
      </w:r>
      <w:r>
        <w:rPr>
          <w:rFonts w:hint="eastAsia" w:hAnsi="宋体"/>
          <w:b/>
        </w:rPr>
        <w:t>四</w:t>
      </w:r>
      <w:r>
        <w:rPr>
          <w:rFonts w:hAnsi="宋体"/>
          <w:b/>
        </w:rPr>
        <w:t>、违约责任</w:t>
      </w:r>
    </w:p>
    <w:p>
      <w:pPr>
        <w:pStyle w:val="27"/>
        <w:snapToGrid w:val="0"/>
        <w:spacing w:beforeLines="0" w:afterLines="0"/>
        <w:ind w:firstLine="480" w:firstLineChars="200"/>
        <w:rPr>
          <w:rFonts w:hAnsi="宋体"/>
        </w:rPr>
      </w:pPr>
      <w:r>
        <w:rPr>
          <w:rFonts w:hAnsi="宋体"/>
        </w:rPr>
        <w:t>1. 甲方无正当理由拒收货物的，甲方向乙方偿付拒收货款总值的百分之五违约金。</w:t>
      </w:r>
    </w:p>
    <w:p>
      <w:pPr>
        <w:pStyle w:val="27"/>
        <w:snapToGrid w:val="0"/>
        <w:spacing w:beforeLines="0" w:afterLines="0"/>
        <w:ind w:firstLine="480" w:firstLineChars="200"/>
        <w:rPr>
          <w:rFonts w:hAnsi="宋体"/>
        </w:rPr>
      </w:pPr>
      <w:r>
        <w:rPr>
          <w:rFonts w:hAnsi="宋体"/>
        </w:rPr>
        <w:t>2. 甲方无故逾期验收和办理货款支付手续的,甲方应按逾期付款总额每日万分之五向乙方支付违约金。</w:t>
      </w:r>
    </w:p>
    <w:p>
      <w:pPr>
        <w:pStyle w:val="27"/>
        <w:snapToGrid w:val="0"/>
        <w:spacing w:beforeLines="0" w:afterLines="0"/>
        <w:ind w:firstLine="480" w:firstLineChars="200"/>
        <w:rPr>
          <w:rFonts w:hAnsi="宋体"/>
        </w:rPr>
      </w:pPr>
      <w:r>
        <w:rPr>
          <w:rFonts w:hAnsi="宋体"/>
        </w:rPr>
        <w:t xml:space="preserve">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7"/>
        <w:snapToGrid w:val="0"/>
        <w:spacing w:beforeLines="0" w:afterLines="0"/>
        <w:ind w:firstLine="480" w:firstLineChars="200"/>
        <w:rPr>
          <w:rFonts w:hAnsi="宋体"/>
        </w:rPr>
      </w:pPr>
      <w:r>
        <w:rPr>
          <w:rFonts w:hAnsi="宋体"/>
        </w:rPr>
        <w:t>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7"/>
        <w:snapToGrid w:val="0"/>
        <w:spacing w:beforeLines="0" w:afterLines="0"/>
        <w:ind w:firstLine="480" w:firstLineChars="200"/>
        <w:rPr>
          <w:rFonts w:hAnsi="宋体"/>
        </w:rPr>
      </w:pPr>
      <w:r>
        <w:rPr>
          <w:rFonts w:hAnsi="宋体"/>
        </w:rPr>
        <w:t>5. 乙方如提供售后服务和维修不到位的，甲方将视情节没收维修保证金，并将情况报告县采购办进行处罚。</w:t>
      </w:r>
    </w:p>
    <w:p>
      <w:pPr>
        <w:pStyle w:val="27"/>
        <w:snapToGrid w:val="0"/>
        <w:spacing w:beforeLines="0" w:afterLines="0"/>
        <w:ind w:firstLine="482" w:firstLineChars="200"/>
        <w:rPr>
          <w:rFonts w:hAnsi="宋体"/>
          <w:b/>
        </w:rPr>
      </w:pPr>
      <w:r>
        <w:rPr>
          <w:rFonts w:hAnsi="宋体"/>
          <w:b/>
        </w:rPr>
        <w:t>十</w:t>
      </w:r>
      <w:r>
        <w:rPr>
          <w:rFonts w:hint="eastAsia" w:hAnsi="宋体"/>
          <w:b/>
        </w:rPr>
        <w:t>五</w:t>
      </w:r>
      <w:r>
        <w:rPr>
          <w:rFonts w:hAnsi="宋体"/>
          <w:b/>
        </w:rPr>
        <w:t>、不可抗力事件处理</w:t>
      </w:r>
    </w:p>
    <w:p>
      <w:pPr>
        <w:pStyle w:val="27"/>
        <w:snapToGrid w:val="0"/>
        <w:spacing w:beforeLines="0" w:afterLines="0"/>
        <w:ind w:firstLine="480" w:firstLineChars="200"/>
        <w:rPr>
          <w:rFonts w:hAnsi="宋体"/>
        </w:rPr>
      </w:pPr>
      <w:r>
        <w:rPr>
          <w:rFonts w:hAnsi="宋体"/>
        </w:rPr>
        <w:t>1. 在合同有效期内，任何一方因不可抗力事件导致不能履行合同，则合同履行期可延长，其延长期与不可抗力影响期相同。</w:t>
      </w:r>
    </w:p>
    <w:p>
      <w:pPr>
        <w:pStyle w:val="27"/>
        <w:snapToGrid w:val="0"/>
        <w:spacing w:beforeLines="0" w:afterLines="0"/>
        <w:ind w:firstLine="480" w:firstLineChars="200"/>
        <w:rPr>
          <w:rFonts w:hAnsi="宋体"/>
        </w:rPr>
      </w:pPr>
      <w:r>
        <w:rPr>
          <w:rFonts w:hAnsi="宋体"/>
        </w:rPr>
        <w:t>2. 不可抗力事件发生后，应立即通知对方，并寄送有关权威机构出具的证明。</w:t>
      </w:r>
    </w:p>
    <w:p>
      <w:pPr>
        <w:pStyle w:val="27"/>
        <w:snapToGrid w:val="0"/>
        <w:spacing w:beforeLines="0" w:afterLines="0"/>
        <w:ind w:firstLine="480" w:firstLineChars="200"/>
        <w:rPr>
          <w:rFonts w:hAnsi="宋体"/>
        </w:rPr>
      </w:pPr>
      <w:r>
        <w:rPr>
          <w:rFonts w:hAnsi="宋体"/>
        </w:rPr>
        <w:t>3. 不可抗力事件延续120天以上，双方应通过友好协商，确定是否继续履行合同。</w:t>
      </w:r>
    </w:p>
    <w:p>
      <w:pPr>
        <w:pStyle w:val="27"/>
        <w:snapToGrid w:val="0"/>
        <w:spacing w:beforeLines="0" w:afterLines="0"/>
        <w:ind w:firstLine="482" w:firstLineChars="200"/>
        <w:rPr>
          <w:rFonts w:hAnsi="宋体"/>
          <w:b/>
        </w:rPr>
      </w:pPr>
      <w:r>
        <w:rPr>
          <w:rFonts w:hAnsi="宋体"/>
          <w:b/>
        </w:rPr>
        <w:t>十</w:t>
      </w:r>
      <w:r>
        <w:rPr>
          <w:rFonts w:hint="eastAsia" w:hAnsi="宋体"/>
          <w:b/>
        </w:rPr>
        <w:t>六</w:t>
      </w:r>
      <w:r>
        <w:rPr>
          <w:rFonts w:hAnsi="宋体"/>
          <w:b/>
        </w:rPr>
        <w:t>、诉讼</w:t>
      </w:r>
    </w:p>
    <w:p>
      <w:pPr>
        <w:pStyle w:val="27"/>
        <w:snapToGrid w:val="0"/>
        <w:spacing w:beforeLines="0" w:afterLines="0"/>
        <w:ind w:firstLine="480" w:firstLineChars="200"/>
        <w:rPr>
          <w:rFonts w:hAnsi="宋体"/>
        </w:rPr>
      </w:pPr>
      <w:r>
        <w:rPr>
          <w:rFonts w:hAnsi="宋体"/>
        </w:rPr>
        <w:t>双方在执行合同中所发生的一切争议，应通过协商解决。如协商不成，可向甲方所在地法院起诉。</w:t>
      </w:r>
    </w:p>
    <w:p>
      <w:pPr>
        <w:pStyle w:val="27"/>
        <w:snapToGrid w:val="0"/>
        <w:spacing w:beforeLines="0" w:afterLines="0"/>
        <w:ind w:firstLine="482" w:firstLineChars="200"/>
        <w:rPr>
          <w:rFonts w:hAnsi="宋体"/>
          <w:b/>
        </w:rPr>
      </w:pPr>
      <w:r>
        <w:rPr>
          <w:rFonts w:hAnsi="宋体"/>
          <w:b/>
        </w:rPr>
        <w:t>十</w:t>
      </w:r>
      <w:r>
        <w:rPr>
          <w:rFonts w:hint="eastAsia" w:hAnsi="宋体"/>
          <w:b/>
        </w:rPr>
        <w:t>七</w:t>
      </w:r>
      <w:r>
        <w:rPr>
          <w:rFonts w:hAnsi="宋体"/>
          <w:b/>
        </w:rPr>
        <w:t>、合同生效及其它</w:t>
      </w:r>
    </w:p>
    <w:p>
      <w:pPr>
        <w:pStyle w:val="27"/>
        <w:snapToGrid w:val="0"/>
        <w:spacing w:beforeLines="0" w:afterLines="0"/>
        <w:ind w:firstLine="480" w:firstLineChars="200"/>
        <w:rPr>
          <w:rFonts w:hAnsi="宋体"/>
        </w:rPr>
      </w:pPr>
      <w:r>
        <w:rPr>
          <w:rFonts w:hAnsi="宋体"/>
        </w:rPr>
        <w:t>1. 合同经双方法定代表人或授权代表签字并加盖单位公章后生效。</w:t>
      </w:r>
    </w:p>
    <w:p>
      <w:pPr>
        <w:pStyle w:val="27"/>
        <w:snapToGrid w:val="0"/>
        <w:spacing w:beforeLines="0" w:afterLines="0"/>
        <w:ind w:firstLine="480" w:firstLineChars="200"/>
        <w:rPr>
          <w:rFonts w:hAnsi="宋体"/>
        </w:rPr>
      </w:pPr>
      <w:r>
        <w:rPr>
          <w:rFonts w:hAnsi="宋体"/>
        </w:rPr>
        <w:t>2. 合同执行中涉及采购资金和采购内容修改或补充的，须经财政部门审批，并签书面补充协议报政府采购监督管理部门备案，方可作为主合同不可分割的一部分。</w:t>
      </w:r>
    </w:p>
    <w:p>
      <w:pPr>
        <w:pStyle w:val="27"/>
        <w:snapToGrid w:val="0"/>
        <w:spacing w:beforeLines="0" w:afterLines="0"/>
        <w:ind w:firstLine="480" w:firstLineChars="200"/>
        <w:rPr>
          <w:rFonts w:hAnsi="宋体"/>
        </w:rPr>
      </w:pPr>
      <w:r>
        <w:rPr>
          <w:rFonts w:hAnsi="宋体"/>
        </w:rPr>
        <w:t>3. 本合同未尽事宜，遵照《合同法》有关条文执行。</w:t>
      </w:r>
    </w:p>
    <w:p>
      <w:pPr>
        <w:pStyle w:val="27"/>
        <w:snapToGrid w:val="0"/>
        <w:spacing w:beforeLines="0" w:afterLines="0"/>
        <w:ind w:firstLine="480" w:firstLineChars="200"/>
        <w:rPr>
          <w:rFonts w:hAnsi="宋体"/>
        </w:rPr>
      </w:pPr>
      <w:r>
        <w:rPr>
          <w:rFonts w:hAnsi="宋体"/>
        </w:rPr>
        <w:t>4. 本合同正本一式</w:t>
      </w:r>
      <w:r>
        <w:rPr>
          <w:rFonts w:hint="eastAsia" w:hAnsi="宋体"/>
        </w:rPr>
        <w:t>陆</w:t>
      </w:r>
      <w:r>
        <w:rPr>
          <w:rFonts w:hAnsi="宋体"/>
        </w:rPr>
        <w:t>份，具有同等法律效力，甲乙双方各执</w:t>
      </w:r>
      <w:r>
        <w:rPr>
          <w:rFonts w:hint="eastAsia" w:hAnsi="宋体"/>
        </w:rPr>
        <w:t>贰</w:t>
      </w:r>
      <w:r>
        <w:rPr>
          <w:rFonts w:hAnsi="宋体"/>
        </w:rPr>
        <w:t>份；采购办、代理公司各执</w:t>
      </w:r>
      <w:r>
        <w:rPr>
          <w:rFonts w:hint="eastAsia" w:hAnsi="宋体"/>
        </w:rPr>
        <w:t>壹</w:t>
      </w:r>
      <w:r>
        <w:rPr>
          <w:rFonts w:hAnsi="宋体"/>
        </w:rPr>
        <w:t>份。</w:t>
      </w: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szCs w:val="21"/>
        </w:rPr>
      </w:pPr>
      <w:r>
        <w:rPr>
          <w:rFonts w:hint="eastAsia" w:ascii="宋体" w:hAnsi="宋体" w:cs="宋体"/>
          <w:b/>
          <w:szCs w:val="21"/>
        </w:rPr>
        <w:t>买受人（甲方）：</w:t>
      </w:r>
      <w:r>
        <w:rPr>
          <w:rFonts w:hint="eastAsia" w:ascii="宋体" w:hAnsi="宋体" w:cs="宋体"/>
          <w:b/>
          <w:szCs w:val="21"/>
          <w:u w:val="single"/>
        </w:rPr>
        <w:t xml:space="preserve">           </w:t>
      </w:r>
      <w:r>
        <w:rPr>
          <w:rFonts w:hint="eastAsia" w:ascii="宋体" w:hAnsi="宋体" w:cs="宋体"/>
          <w:szCs w:val="21"/>
        </w:rPr>
        <w:t xml:space="preserve">（公章）          </w:t>
      </w:r>
      <w:r>
        <w:rPr>
          <w:rFonts w:hint="eastAsia" w:ascii="宋体" w:hAnsi="宋体" w:cs="宋体"/>
          <w:b/>
          <w:szCs w:val="21"/>
        </w:rPr>
        <w:t>出卖人（乙方）：</w:t>
      </w:r>
      <w:r>
        <w:rPr>
          <w:rFonts w:hint="eastAsia" w:ascii="宋体" w:hAnsi="宋体" w:cs="宋体"/>
          <w:b/>
          <w:szCs w:val="21"/>
          <w:u w:val="single"/>
        </w:rPr>
        <w:t xml:space="preserve">            </w:t>
      </w:r>
      <w:r>
        <w:rPr>
          <w:rFonts w:hint="eastAsia" w:ascii="宋体" w:hAnsi="宋体" w:cs="宋体"/>
          <w:szCs w:val="21"/>
        </w:rPr>
        <w:t>（公章）</w:t>
      </w:r>
    </w:p>
    <w:p>
      <w:pPr>
        <w:spacing w:line="480" w:lineRule="exact"/>
        <w:rPr>
          <w:rFonts w:ascii="宋体" w:hAnsi="宋体" w:cs="宋体"/>
          <w:b/>
          <w:bCs/>
          <w:szCs w:val="21"/>
        </w:rPr>
      </w:pPr>
      <w:r>
        <w:rPr>
          <w:rFonts w:hint="eastAsia" w:ascii="宋体" w:hAnsi="宋体" w:cs="宋体"/>
          <w:b/>
          <w:bCs/>
          <w:szCs w:val="21"/>
        </w:rPr>
        <w:t>法定（授权）代表人：</w:t>
      </w:r>
      <w:r>
        <w:rPr>
          <w:rFonts w:hint="eastAsia" w:ascii="宋体" w:hAnsi="宋体" w:cs="宋体"/>
          <w:b/>
          <w:bCs/>
          <w:szCs w:val="21"/>
          <w:u w:val="single"/>
        </w:rPr>
        <w:t xml:space="preserve">              </w:t>
      </w:r>
      <w:r>
        <w:rPr>
          <w:rFonts w:hint="eastAsia" w:ascii="宋体" w:hAnsi="宋体" w:cs="宋体"/>
          <w:b/>
          <w:bCs/>
          <w:szCs w:val="21"/>
        </w:rPr>
        <w:t xml:space="preserve">         法定（授权）代表人：</w:t>
      </w:r>
      <w:r>
        <w:rPr>
          <w:rFonts w:hint="eastAsia" w:ascii="宋体" w:hAnsi="宋体" w:cs="宋体"/>
          <w:b/>
          <w:bCs/>
          <w:szCs w:val="21"/>
          <w:u w:val="single"/>
        </w:rPr>
        <w:t xml:space="preserve">              </w:t>
      </w:r>
    </w:p>
    <w:p>
      <w:pPr>
        <w:spacing w:line="480" w:lineRule="exact"/>
        <w:rPr>
          <w:rFonts w:ascii="宋体" w:hAnsi="宋体" w:cs="宋体"/>
          <w:b/>
          <w:bCs/>
          <w:szCs w:val="21"/>
        </w:rPr>
      </w:pPr>
      <w:r>
        <w:rPr>
          <w:rFonts w:hint="eastAsia" w:ascii="宋体" w:hAnsi="宋体" w:cs="宋体"/>
          <w:b/>
          <w:bCs/>
          <w:szCs w:val="21"/>
        </w:rPr>
        <w:t>开户银行：____________________             开户银行：______________________</w:t>
      </w:r>
    </w:p>
    <w:p>
      <w:pPr>
        <w:spacing w:line="480" w:lineRule="exact"/>
        <w:rPr>
          <w:rFonts w:ascii="宋体" w:hAnsi="宋体" w:cs="宋体"/>
          <w:szCs w:val="21"/>
        </w:rPr>
      </w:pPr>
      <w:r>
        <w:rPr>
          <w:rFonts w:hint="eastAsia" w:ascii="宋体" w:hAnsi="宋体" w:cs="宋体"/>
          <w:szCs w:val="21"/>
        </w:rPr>
        <w:t>帐    号：______________________            帐    号：________________________</w:t>
      </w:r>
    </w:p>
    <w:p>
      <w:pPr>
        <w:spacing w:line="480" w:lineRule="exact"/>
        <w:rPr>
          <w:rFonts w:ascii="宋体" w:hAnsi="宋体" w:cs="宋体"/>
          <w:szCs w:val="21"/>
        </w:rPr>
      </w:pPr>
      <w:r>
        <w:rPr>
          <w:rFonts w:hint="eastAsia" w:ascii="宋体" w:hAnsi="宋体" w:cs="宋体"/>
          <w:szCs w:val="21"/>
        </w:rPr>
        <w:t>联系电话：_______________________           联系电话：_________________________</w:t>
      </w:r>
    </w:p>
    <w:p>
      <w:pPr>
        <w:spacing w:line="480" w:lineRule="exact"/>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           日期：</w:t>
      </w:r>
      <w:r>
        <w:rPr>
          <w:rFonts w:hint="eastAsia" w:ascii="宋体" w:hAnsi="宋体" w:cs="宋体"/>
          <w:szCs w:val="21"/>
          <w:u w:val="single"/>
        </w:rPr>
        <w:t xml:space="preserve">         </w:t>
      </w:r>
      <w:r>
        <w:rPr>
          <w:rFonts w:hint="eastAsia" w:ascii="宋体" w:hAnsi="宋体" w:cs="宋体"/>
          <w:szCs w:val="21"/>
        </w:rPr>
        <w:t xml:space="preserve">年 </w:t>
      </w:r>
      <w:r>
        <w:rPr>
          <w:rFonts w:hint="eastAsia" w:ascii="宋体" w:hAnsi="宋体" w:cs="宋体"/>
          <w:szCs w:val="21"/>
          <w:u w:val="single"/>
        </w:rPr>
        <w:t xml:space="preserve">     </w:t>
      </w:r>
      <w:r>
        <w:rPr>
          <w:rFonts w:hint="eastAsia" w:ascii="宋体" w:hAnsi="宋体" w:cs="宋体"/>
          <w:szCs w:val="21"/>
        </w:rPr>
        <w:t xml:space="preserve">月 </w:t>
      </w:r>
      <w:r>
        <w:rPr>
          <w:rFonts w:hint="eastAsia" w:ascii="宋体" w:hAnsi="宋体" w:cs="宋体"/>
          <w:szCs w:val="21"/>
          <w:u w:val="single"/>
        </w:rPr>
        <w:t xml:space="preserve">     </w:t>
      </w:r>
      <w:r>
        <w:rPr>
          <w:rFonts w:hint="eastAsia" w:ascii="宋体" w:hAnsi="宋体" w:cs="宋体"/>
          <w:szCs w:val="21"/>
        </w:rPr>
        <w:t>日</w:t>
      </w:r>
    </w:p>
    <w:p>
      <w:pPr>
        <w:pStyle w:val="27"/>
        <w:snapToGrid w:val="0"/>
        <w:spacing w:before="120" w:beforeLines="0" w:after="120" w:afterLines="0" w:line="480" w:lineRule="exact"/>
        <w:rPr>
          <w:rFonts w:hAnsi="宋体" w:cs="宋体"/>
          <w:sz w:val="21"/>
          <w:szCs w:val="21"/>
        </w:rPr>
      </w:pPr>
      <w:r>
        <w:rPr>
          <w:rFonts w:hint="eastAsia" w:hAnsi="宋体" w:cs="宋体"/>
          <w:sz w:val="21"/>
          <w:szCs w:val="21"/>
        </w:rPr>
        <w:t xml:space="preserve">  </w:t>
      </w:r>
    </w:p>
    <w:p>
      <w:pPr>
        <w:pStyle w:val="27"/>
        <w:snapToGrid w:val="0"/>
        <w:spacing w:before="120" w:beforeLines="0" w:after="120" w:afterLines="0" w:line="480" w:lineRule="exact"/>
        <w:rPr>
          <w:rFonts w:hAnsi="宋体" w:cs="宋体"/>
          <w:sz w:val="21"/>
          <w:szCs w:val="21"/>
        </w:rPr>
      </w:pPr>
    </w:p>
    <w:p>
      <w:pPr>
        <w:pStyle w:val="27"/>
        <w:snapToGrid w:val="0"/>
        <w:spacing w:before="120" w:beforeLines="0" w:after="120" w:afterLines="0" w:line="480" w:lineRule="exact"/>
        <w:rPr>
          <w:rFonts w:hAnsi="宋体" w:cs="宋体"/>
          <w:sz w:val="21"/>
          <w:szCs w:val="21"/>
        </w:rPr>
      </w:pPr>
    </w:p>
    <w:p>
      <w:pPr>
        <w:pStyle w:val="27"/>
        <w:snapToGrid w:val="0"/>
        <w:spacing w:before="120" w:beforeLines="0" w:after="120" w:afterLines="0" w:line="480" w:lineRule="exact"/>
        <w:ind w:firstLine="210" w:firstLineChars="100"/>
        <w:rPr>
          <w:rFonts w:hAnsi="宋体" w:cs="宋体"/>
          <w:sz w:val="21"/>
          <w:szCs w:val="21"/>
        </w:rPr>
      </w:pPr>
      <w:r>
        <w:rPr>
          <w:rFonts w:hint="eastAsia" w:hAnsi="宋体" w:cs="宋体"/>
          <w:sz w:val="21"/>
          <w:szCs w:val="21"/>
        </w:rPr>
        <w:t>合同见证方:宁波中屹工程管理咨询有限公司</w:t>
      </w:r>
    </w:p>
    <w:p>
      <w:pPr>
        <w:pStyle w:val="27"/>
        <w:snapToGrid w:val="0"/>
        <w:spacing w:before="120" w:beforeLines="0" w:after="120" w:afterLines="0" w:line="480" w:lineRule="exact"/>
        <w:ind w:firstLine="105" w:firstLineChars="50"/>
        <w:rPr>
          <w:rFonts w:hAnsi="宋体" w:cs="宋体"/>
          <w:sz w:val="21"/>
          <w:szCs w:val="21"/>
        </w:rPr>
      </w:pPr>
      <w:r>
        <w:rPr>
          <w:rFonts w:hint="eastAsia" w:hAnsi="宋体" w:cs="宋体"/>
          <w:sz w:val="21"/>
          <w:szCs w:val="21"/>
        </w:rPr>
        <w:t xml:space="preserve"> 法定代表人或主要负责人:</w:t>
      </w:r>
    </w:p>
    <w:p>
      <w:pPr>
        <w:pStyle w:val="27"/>
        <w:snapToGrid w:val="0"/>
        <w:spacing w:before="120" w:beforeLines="0" w:after="120" w:afterLines="0" w:line="480" w:lineRule="exact"/>
        <w:ind w:firstLine="105" w:firstLineChars="50"/>
        <w:rPr>
          <w:rFonts w:hAnsi="宋体" w:cs="宋体"/>
          <w:sz w:val="21"/>
          <w:szCs w:val="21"/>
        </w:rPr>
      </w:pPr>
      <w:r>
        <w:rPr>
          <w:rFonts w:hint="eastAsia" w:hAnsi="宋体" w:cs="宋体"/>
          <w:sz w:val="21"/>
          <w:szCs w:val="21"/>
        </w:rPr>
        <w:t xml:space="preserve"> 日期:</w:t>
      </w:r>
    </w:p>
    <w:p>
      <w:pPr>
        <w:pStyle w:val="27"/>
        <w:tabs>
          <w:tab w:val="left" w:pos="2472"/>
        </w:tabs>
        <w:snapToGrid w:val="0"/>
        <w:spacing w:beforeLines="0" w:afterLines="0" w:line="360" w:lineRule="auto"/>
        <w:jc w:val="center"/>
        <w:outlineLvl w:val="0"/>
        <w:rPr>
          <w:rFonts w:hAnsi="宋体" w:cs="宋体"/>
          <w:sz w:val="30"/>
          <w:szCs w:val="30"/>
        </w:rPr>
      </w:pPr>
      <w:r>
        <w:rPr>
          <w:rFonts w:hint="eastAsia" w:hAnsi="宋体" w:cs="宋体"/>
          <w:sz w:val="21"/>
          <w:szCs w:val="21"/>
        </w:rPr>
        <w:br w:type="page"/>
      </w:r>
      <w:bookmarkStart w:id="28" w:name="_Toc2464"/>
      <w:r>
        <w:rPr>
          <w:rFonts w:hAnsi="宋体" w:cs="宋体"/>
          <w:sz w:val="30"/>
          <w:szCs w:val="30"/>
        </w:rPr>
        <w:t>第六章　投标文件格式</w:t>
      </w:r>
      <w:bookmarkEnd w:id="28"/>
    </w:p>
    <w:p>
      <w:pPr>
        <w:snapToGrid w:val="0"/>
        <w:spacing w:line="380" w:lineRule="exact"/>
        <w:jc w:val="left"/>
        <w:rPr>
          <w:rFonts w:ascii="宋体" w:hAnsi="宋体" w:cs="宋体"/>
          <w:b/>
          <w:sz w:val="24"/>
        </w:rPr>
      </w:pPr>
    </w:p>
    <w:p>
      <w:pPr>
        <w:snapToGrid w:val="0"/>
        <w:spacing w:line="380" w:lineRule="exact"/>
        <w:jc w:val="left"/>
        <w:rPr>
          <w:rFonts w:ascii="宋体" w:hAnsi="宋体" w:cs="宋体"/>
          <w:b/>
          <w:sz w:val="24"/>
        </w:rPr>
      </w:pPr>
      <w:r>
        <w:rPr>
          <w:rFonts w:hint="eastAsia" w:ascii="宋体" w:hAnsi="宋体" w:cs="宋体"/>
          <w:b/>
          <w:sz w:val="24"/>
        </w:rPr>
        <w:t>★本项目投标文件由资格审查文件、商务技术文件和报价文件三部分组成；三部分文件必须分别装订成册。</w:t>
      </w:r>
    </w:p>
    <w:p>
      <w:pPr>
        <w:snapToGrid w:val="0"/>
        <w:spacing w:line="380" w:lineRule="exact"/>
        <w:jc w:val="left"/>
        <w:rPr>
          <w:rFonts w:ascii="宋体" w:hAnsi="宋体" w:cs="宋体"/>
          <w:b/>
          <w:sz w:val="24"/>
        </w:rPr>
      </w:pPr>
    </w:p>
    <w:p>
      <w:pPr>
        <w:snapToGrid w:val="0"/>
        <w:spacing w:line="380" w:lineRule="exact"/>
        <w:jc w:val="left"/>
        <w:rPr>
          <w:rFonts w:ascii="宋体" w:hAnsi="宋体" w:cs="宋体"/>
          <w:b/>
          <w:sz w:val="24"/>
        </w:rPr>
      </w:pPr>
    </w:p>
    <w:p>
      <w:pPr>
        <w:widowControl/>
        <w:spacing w:line="276" w:lineRule="auto"/>
        <w:jc w:val="left"/>
        <w:rPr>
          <w:rFonts w:ascii="宋体" w:hAnsi="宋体" w:cs="宋体"/>
        </w:rPr>
      </w:pPr>
      <w:r>
        <w:rPr>
          <w:rFonts w:hint="eastAsia" w:ascii="宋体" w:hAnsi="宋体" w:cs="宋体"/>
          <w:kern w:val="0"/>
          <w:sz w:val="22"/>
          <w:szCs w:val="22"/>
        </w:rPr>
        <w:t>一、资格审查文件的外包装封面格式：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资格审查文件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二、资格审查文件封面格式：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center"/>
        <w:rPr>
          <w:rFonts w:ascii="宋体" w:hAnsi="宋体" w:cs="宋体"/>
          <w:kern w:val="0"/>
          <w:sz w:val="44"/>
          <w:szCs w:val="44"/>
        </w:rPr>
      </w:pPr>
    </w:p>
    <w:p>
      <w:pPr>
        <w:widowControl/>
        <w:spacing w:line="276" w:lineRule="auto"/>
        <w:jc w:val="center"/>
        <w:rPr>
          <w:rFonts w:ascii="宋体" w:hAnsi="宋体" w:cs="宋体"/>
          <w:sz w:val="44"/>
          <w:szCs w:val="44"/>
        </w:rPr>
      </w:pPr>
      <w:r>
        <w:rPr>
          <w:rFonts w:hint="eastAsia" w:ascii="宋体" w:hAnsi="宋体" w:cs="宋体"/>
          <w:kern w:val="0"/>
          <w:sz w:val="44"/>
          <w:szCs w:val="44"/>
        </w:rPr>
        <w:t>资格审查文件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kern w:val="0"/>
          <w:sz w:val="22"/>
          <w:szCs w:val="22"/>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napToGrid w:val="0"/>
        <w:spacing w:line="276" w:lineRule="auto"/>
        <w:jc w:val="left"/>
        <w:rPr>
          <w:rFonts w:ascii="宋体" w:hAnsi="宋体" w:cs="宋体"/>
          <w:szCs w:val="21"/>
        </w:rPr>
      </w:pPr>
    </w:p>
    <w:p>
      <w:pPr>
        <w:widowControl/>
        <w:spacing w:line="480" w:lineRule="exact"/>
        <w:jc w:val="left"/>
        <w:rPr>
          <w:rFonts w:ascii="宋体" w:hAnsi="宋体" w:cs="宋体"/>
        </w:rPr>
      </w:pPr>
      <w:r>
        <w:rPr>
          <w:rFonts w:hint="eastAsia" w:ascii="宋体" w:hAnsi="宋体" w:cs="宋体"/>
          <w:kern w:val="0"/>
          <w:sz w:val="22"/>
          <w:szCs w:val="22"/>
        </w:rPr>
        <w:t>三、资格审查文件内容包括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1、资格条件自查表（格式见附件）；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2、供应商资格声明函（格式见附件）；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3、符合《中华人民共和国政府采购法》第二十二条规定的供应商资格条件，提供以下材料（开标时原件备查）：</w:t>
      </w:r>
    </w:p>
    <w:p>
      <w:pPr>
        <w:snapToGrid w:val="0"/>
        <w:spacing w:line="480" w:lineRule="exact"/>
        <w:ind w:firstLine="420" w:firstLineChars="200"/>
        <w:jc w:val="left"/>
        <w:rPr>
          <w:rFonts w:ascii="宋体" w:hAnsi="宋体" w:cs="宋体"/>
          <w:szCs w:val="21"/>
        </w:rPr>
      </w:pPr>
      <w:r>
        <w:rPr>
          <w:rFonts w:hint="eastAsia" w:ascii="宋体" w:hAnsi="宋体" w:cs="宋体"/>
          <w:szCs w:val="21"/>
        </w:rPr>
        <w:t>（1）有效的企业法人营业执照（或事业法人登记证）、其他组织（个体工商户）的营业执照或者民办非企业单位登记证书复印件；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（2）2018年或2019年财务状况报告复印件，其他组织或供应商新成立不足一年，提供银行出具的资信证明材料复印件；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（3）2020年开具的缴纳税收的凭据证明材料复印件；如依法免税的，应提供相应文件证明其依法免税；</w:t>
      </w:r>
    </w:p>
    <w:p>
      <w:pPr>
        <w:snapToGrid w:val="0"/>
        <w:spacing w:line="480" w:lineRule="exact"/>
        <w:ind w:firstLine="420" w:firstLineChars="200"/>
        <w:jc w:val="left"/>
        <w:rPr>
          <w:rFonts w:ascii="宋体" w:hAnsi="宋体" w:cs="宋体"/>
          <w:szCs w:val="21"/>
        </w:rPr>
      </w:pPr>
      <w:r>
        <w:rPr>
          <w:rFonts w:hint="eastAsia" w:ascii="宋体" w:hAnsi="宋体" w:cs="宋体"/>
          <w:szCs w:val="21"/>
        </w:rPr>
        <w:t>（4）2020年开具的缴纳社会保险的凭据证明材料复印件；如依法不需要缴纳社会保障资金的，应提供相应文件证明其依法不需要缴纳社会保障资金；</w:t>
      </w:r>
    </w:p>
    <w:p>
      <w:pPr>
        <w:snapToGrid w:val="0"/>
        <w:spacing w:line="480" w:lineRule="exact"/>
        <w:ind w:firstLine="420" w:firstLineChars="200"/>
        <w:jc w:val="left"/>
        <w:rPr>
          <w:rFonts w:ascii="宋体" w:hAnsi="宋体" w:cs="宋体"/>
          <w:szCs w:val="21"/>
        </w:rPr>
      </w:pPr>
      <w:r>
        <w:rPr>
          <w:rFonts w:hint="eastAsia" w:ascii="宋体" w:hAnsi="宋体" w:cs="宋体"/>
          <w:szCs w:val="21"/>
        </w:rPr>
        <w:t>（5）提供具有履行合同所必需的设备和专业技术能力的书面声明；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（6）提供参加政府采购活动前3年内在经营活动中没有重大违法记录的书面声明。</w:t>
      </w:r>
    </w:p>
    <w:p>
      <w:pPr>
        <w:snapToGrid w:val="0"/>
        <w:spacing w:line="480" w:lineRule="exact"/>
        <w:ind w:firstLine="420" w:firstLineChars="200"/>
        <w:jc w:val="left"/>
        <w:rPr>
          <w:rFonts w:ascii="宋体" w:hAnsi="宋体" w:cs="宋体"/>
          <w:szCs w:val="21"/>
        </w:rPr>
      </w:pPr>
      <w:r>
        <w:rPr>
          <w:rFonts w:hint="eastAsia" w:ascii="宋体" w:hAnsi="宋体" w:cs="宋体"/>
          <w:szCs w:val="21"/>
        </w:rPr>
        <w:t>4、供应商特定资格条件的证明文件（如有）；</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left"/>
        <w:rPr>
          <w:rFonts w:ascii="宋体" w:hAnsi="宋体" w:cs="宋体"/>
          <w:szCs w:val="21"/>
        </w:rPr>
      </w:pPr>
      <w:r>
        <w:rPr>
          <w:rFonts w:hint="eastAsia" w:ascii="宋体" w:hAnsi="宋体" w:cs="宋体"/>
          <w:szCs w:val="21"/>
        </w:rPr>
        <w:br w:type="page"/>
      </w:r>
    </w:p>
    <w:p>
      <w:pPr>
        <w:widowControl/>
        <w:spacing w:line="276" w:lineRule="auto"/>
        <w:ind w:firstLine="110" w:firstLineChars="50"/>
        <w:jc w:val="left"/>
        <w:rPr>
          <w:rFonts w:ascii="宋体" w:hAnsi="宋体" w:cs="宋体"/>
          <w:b/>
        </w:rPr>
      </w:pPr>
      <w:r>
        <w:rPr>
          <w:rFonts w:hint="eastAsia" w:ascii="宋体" w:hAnsi="宋体" w:cs="宋体"/>
          <w:b/>
          <w:kern w:val="0"/>
          <w:sz w:val="22"/>
          <w:szCs w:val="22"/>
        </w:rPr>
        <w:t>1、资格条件自查表</w:t>
      </w:r>
    </w:p>
    <w:p>
      <w:pPr>
        <w:widowControl/>
        <w:spacing w:line="276" w:lineRule="auto"/>
        <w:jc w:val="left"/>
        <w:rPr>
          <w:rFonts w:ascii="宋体" w:hAnsi="宋体" w:cs="宋体"/>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资格条件自查表</w:t>
      </w:r>
    </w:p>
    <w:tbl>
      <w:tblPr>
        <w:tblStyle w:val="53"/>
        <w:tblW w:w="8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831"/>
        <w:gridCol w:w="4461"/>
        <w:gridCol w:w="1410"/>
        <w:gridCol w:w="2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3" w:hRule="atLeast"/>
          <w:jc w:val="center"/>
        </w:trPr>
        <w:tc>
          <w:tcPr>
            <w:tcW w:w="831" w:type="dxa"/>
            <w:vAlign w:val="center"/>
          </w:tcPr>
          <w:p>
            <w:pPr>
              <w:snapToGrid w:val="0"/>
              <w:spacing w:line="220" w:lineRule="exact"/>
              <w:jc w:val="center"/>
              <w:rPr>
                <w:rFonts w:ascii="宋体" w:hAnsi="宋体" w:cs="宋体"/>
                <w:color w:val="000000"/>
                <w:szCs w:val="21"/>
              </w:rPr>
            </w:pPr>
            <w:r>
              <w:rPr>
                <w:rStyle w:val="47"/>
                <w:rFonts w:hint="eastAsia"/>
                <w:color w:val="000000"/>
                <w:szCs w:val="21"/>
              </w:rPr>
              <w:t>评审内容</w:t>
            </w:r>
          </w:p>
        </w:tc>
        <w:tc>
          <w:tcPr>
            <w:tcW w:w="4461" w:type="dxa"/>
            <w:vAlign w:val="center"/>
          </w:tcPr>
          <w:p>
            <w:pPr>
              <w:snapToGrid w:val="0"/>
              <w:spacing w:line="220" w:lineRule="exact"/>
              <w:jc w:val="center"/>
              <w:rPr>
                <w:rFonts w:ascii="宋体" w:hAnsi="宋体" w:cs="宋体"/>
                <w:color w:val="000000"/>
                <w:szCs w:val="21"/>
              </w:rPr>
            </w:pPr>
            <w:r>
              <w:rPr>
                <w:rStyle w:val="47"/>
                <w:rFonts w:hint="eastAsia"/>
                <w:color w:val="000000"/>
                <w:szCs w:val="21"/>
              </w:rPr>
              <w:t>采购文件要求</w:t>
            </w:r>
          </w:p>
        </w:tc>
        <w:tc>
          <w:tcPr>
            <w:tcW w:w="1410" w:type="dxa"/>
            <w:vAlign w:val="center"/>
          </w:tcPr>
          <w:p>
            <w:pPr>
              <w:snapToGrid w:val="0"/>
              <w:spacing w:line="220" w:lineRule="exact"/>
              <w:jc w:val="center"/>
              <w:rPr>
                <w:rFonts w:ascii="宋体" w:hAnsi="宋体" w:cs="宋体"/>
                <w:color w:val="000000"/>
                <w:szCs w:val="21"/>
              </w:rPr>
            </w:pPr>
            <w:r>
              <w:rPr>
                <w:rStyle w:val="47"/>
                <w:rFonts w:hint="eastAsia"/>
                <w:color w:val="000000"/>
                <w:szCs w:val="21"/>
              </w:rPr>
              <w:t>自查结论</w:t>
            </w:r>
          </w:p>
        </w:tc>
        <w:tc>
          <w:tcPr>
            <w:tcW w:w="2231" w:type="dxa"/>
            <w:vAlign w:val="center"/>
          </w:tcPr>
          <w:p>
            <w:pPr>
              <w:snapToGrid w:val="0"/>
              <w:spacing w:line="220" w:lineRule="exact"/>
              <w:jc w:val="center"/>
              <w:rPr>
                <w:rFonts w:ascii="宋体" w:hAnsi="宋体" w:cs="宋体"/>
                <w:color w:val="000000"/>
                <w:szCs w:val="21"/>
              </w:rPr>
            </w:pPr>
            <w:r>
              <w:rPr>
                <w:rStyle w:val="47"/>
                <w:rFonts w:hint="eastAsia"/>
                <w:color w:val="000000"/>
                <w:szCs w:val="21"/>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3" w:hRule="atLeast"/>
          <w:jc w:val="center"/>
        </w:trPr>
        <w:tc>
          <w:tcPr>
            <w:tcW w:w="831" w:type="dxa"/>
            <w:vMerge w:val="restart"/>
            <w:vAlign w:val="center"/>
          </w:tcPr>
          <w:p>
            <w:pPr>
              <w:pStyle w:val="140"/>
              <w:snapToGrid w:val="0"/>
              <w:spacing w:before="0" w:beforeAutospacing="0" w:after="0" w:afterAutospacing="0" w:line="220" w:lineRule="exact"/>
              <w:jc w:val="center"/>
              <w:rPr>
                <w:rFonts w:cs="宋体"/>
                <w:b/>
                <w:color w:val="000000"/>
                <w:sz w:val="21"/>
                <w:szCs w:val="21"/>
              </w:rPr>
            </w:pPr>
            <w:r>
              <w:rPr>
                <w:rFonts w:cs="宋体"/>
                <w:b/>
                <w:color w:val="000000"/>
                <w:sz w:val="21"/>
                <w:szCs w:val="21"/>
              </w:rPr>
              <w:t>资</w:t>
            </w:r>
          </w:p>
          <w:p>
            <w:pPr>
              <w:pStyle w:val="140"/>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格</w:t>
            </w:r>
          </w:p>
          <w:p>
            <w:pPr>
              <w:pStyle w:val="140"/>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性</w:t>
            </w:r>
          </w:p>
          <w:p>
            <w:pPr>
              <w:pStyle w:val="140"/>
              <w:snapToGrid w:val="0"/>
              <w:spacing w:before="0" w:beforeAutospacing="0" w:after="0" w:afterAutospacing="0" w:line="220" w:lineRule="exact"/>
              <w:jc w:val="center"/>
              <w:rPr>
                <w:rFonts w:cs="宋体"/>
                <w:b/>
                <w:color w:val="000000"/>
                <w:sz w:val="21"/>
                <w:szCs w:val="21"/>
              </w:rPr>
            </w:pPr>
            <w:r>
              <w:rPr>
                <w:rFonts w:cs="宋体"/>
                <w:b/>
                <w:color w:val="000000"/>
                <w:sz w:val="21"/>
                <w:szCs w:val="21"/>
              </w:rPr>
              <w:t>审</w:t>
            </w:r>
          </w:p>
          <w:p>
            <w:pPr>
              <w:pStyle w:val="140"/>
              <w:snapToGrid w:val="0"/>
              <w:spacing w:before="0" w:beforeAutospacing="0" w:after="0" w:afterAutospacing="0" w:line="220" w:lineRule="exact"/>
              <w:jc w:val="center"/>
              <w:rPr>
                <w:rFonts w:cs="宋体"/>
                <w:b/>
                <w:color w:val="000000"/>
                <w:sz w:val="21"/>
                <w:szCs w:val="21"/>
              </w:rPr>
            </w:pPr>
            <w:r>
              <w:rPr>
                <w:rFonts w:cs="宋体"/>
                <w:b/>
                <w:color w:val="000000"/>
                <w:sz w:val="21"/>
                <w:szCs w:val="21"/>
              </w:rPr>
              <w:t>查</w:t>
            </w: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一.供应商具备《政府采购法》第二十二条所规定的条件：</w:t>
            </w:r>
          </w:p>
        </w:tc>
        <w:tc>
          <w:tcPr>
            <w:tcW w:w="1410" w:type="dxa"/>
            <w:vMerge w:val="restart"/>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b/>
                <w:color w:val="000000"/>
                <w:sz w:val="21"/>
                <w:szCs w:val="21"/>
              </w:rPr>
            </w:pPr>
          </w:p>
        </w:tc>
        <w:tc>
          <w:tcPr>
            <w:tcW w:w="4461" w:type="dxa"/>
            <w:vAlign w:val="center"/>
          </w:tcPr>
          <w:p>
            <w:pPr>
              <w:spacing w:line="240" w:lineRule="exact"/>
              <w:rPr>
                <w:rFonts w:ascii="宋体" w:hAnsi="宋体" w:cs="宋体"/>
                <w:color w:val="000000"/>
                <w:szCs w:val="21"/>
              </w:rPr>
            </w:pPr>
            <w:r>
              <w:rPr>
                <w:rFonts w:hint="eastAsia" w:ascii="宋体" w:hAnsi="宋体" w:cs="宋体"/>
                <w:color w:val="000000"/>
                <w:szCs w:val="21"/>
              </w:rPr>
              <w:t>1、有效的企业法人营业执照（或事业法人登记证）、其他组织的营业执照或者民办非企业单位登记证书复印件；</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b/>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2、投标供应商如果有名称变更的，应提供由行政主管部门出具的变更证明文件。</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3、2018年或2019年财务状况报告复印件，其他组织或供应商新成立不足一年提供银行出具的资信证明材料复印件；</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4、2020年开具的缴纳税收的凭据证明材料复印件；如依法免税的，应提供相应文件证明其依法免税；</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5、2020年开具的缴纳社会保险的凭据证明材料复印件；如依法不需要缴纳社会保障资金的，应提供相应文件证明其依法不需要缴纳社会保障资金；</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rPr>
                <w:rFonts w:ascii="宋体" w:hAnsi="宋体" w:cs="宋体"/>
                <w:color w:val="000000"/>
                <w:szCs w:val="21"/>
              </w:rPr>
            </w:pPr>
            <w:r>
              <w:rPr>
                <w:rFonts w:hint="eastAsia" w:ascii="宋体" w:hAnsi="宋体" w:cs="宋体"/>
                <w:color w:val="000000"/>
                <w:szCs w:val="21"/>
              </w:rPr>
              <w:t>6、</w:t>
            </w:r>
            <w:r>
              <w:rPr>
                <w:rFonts w:hint="eastAsia" w:ascii="宋体" w:hAnsi="宋体" w:cs="宋体"/>
                <w:color w:val="000000"/>
              </w:rPr>
              <w:t>提供具有履行合同所必需的设备和专业技术能力的书面声明；</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jc w:val="center"/>
              <w:rPr>
                <w:rFonts w:ascii="宋体" w:hAnsi="宋体" w:cs="宋体"/>
                <w:color w:val="000000"/>
                <w:szCs w:val="21"/>
              </w:rPr>
            </w:pPr>
            <w:r>
              <w:rPr>
                <w:rFonts w:hint="eastAsia" w:ascii="宋体" w:hAnsi="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rPr>
                <w:rFonts w:ascii="宋体" w:hAnsi="宋体" w:cs="宋体"/>
                <w:color w:val="000000"/>
                <w:szCs w:val="21"/>
              </w:rPr>
            </w:pPr>
            <w:r>
              <w:rPr>
                <w:rFonts w:hint="eastAsia" w:ascii="宋体" w:hAnsi="宋体" w:cs="宋体"/>
                <w:color w:val="000000"/>
                <w:szCs w:val="21"/>
              </w:rPr>
              <w:t>7、</w:t>
            </w:r>
            <w:r>
              <w:rPr>
                <w:rFonts w:hint="eastAsia" w:ascii="宋体" w:hAnsi="宋体" w:cs="宋体"/>
                <w:color w:val="000000"/>
              </w:rPr>
              <w:t>提供参加政府采购活动前</w:t>
            </w:r>
            <w:r>
              <w:rPr>
                <w:color w:val="000000"/>
              </w:rPr>
              <w:t>3</w:t>
            </w:r>
            <w:r>
              <w:rPr>
                <w:rFonts w:hint="eastAsia" w:ascii="宋体" w:hAnsi="宋体" w:cs="宋体"/>
                <w:color w:val="000000"/>
              </w:rPr>
              <w:t>年内在经营活动中没有重大违法记录的书面声明。</w:t>
            </w:r>
          </w:p>
        </w:tc>
        <w:tc>
          <w:tcPr>
            <w:tcW w:w="1410" w:type="dxa"/>
            <w:vMerge w:val="continue"/>
            <w:vAlign w:val="center"/>
          </w:tcPr>
          <w:p>
            <w:pPr>
              <w:snapToGrid w:val="0"/>
              <w:rPr>
                <w:rFonts w:ascii="宋体" w:hAnsi="宋体" w:cs="宋体"/>
                <w:color w:val="000000"/>
                <w:szCs w:val="21"/>
              </w:rPr>
            </w:pPr>
          </w:p>
        </w:tc>
        <w:tc>
          <w:tcPr>
            <w:tcW w:w="2231" w:type="dxa"/>
            <w:vAlign w:val="center"/>
          </w:tcPr>
          <w:p>
            <w:pPr>
              <w:snapToGrid w:val="0"/>
              <w:jc w:val="center"/>
              <w:rPr>
                <w:rFonts w:ascii="宋体" w:hAnsi="宋体" w:cs="宋体"/>
                <w:color w:val="000000"/>
                <w:szCs w:val="21"/>
              </w:rPr>
            </w:pPr>
            <w:r>
              <w:rPr>
                <w:rFonts w:hint="eastAsia" w:ascii="宋体" w:hAnsi="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3" w:hRule="atLeast"/>
          <w:jc w:val="center"/>
        </w:trPr>
        <w:tc>
          <w:tcPr>
            <w:tcW w:w="831" w:type="dxa"/>
            <w:vMerge w:val="continue"/>
            <w:vAlign w:val="center"/>
          </w:tcPr>
          <w:p>
            <w:pPr>
              <w:pStyle w:val="140"/>
              <w:snapToGrid w:val="0"/>
              <w:spacing w:before="0" w:beforeAutospacing="0" w:after="0" w:afterAutospacing="0" w:line="220" w:lineRule="exact"/>
              <w:jc w:val="center"/>
              <w:rPr>
                <w:rFonts w:cs="宋体"/>
                <w:color w:val="000000"/>
                <w:sz w:val="21"/>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8、若以不具有独立承担民事责任能力的分支机构投标，须取得具有法人资格的总公司的授权书，并提供总公司营业执照副本复印件。</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1252"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二.</w:t>
            </w:r>
            <w:r>
              <w:rPr>
                <w:rFonts w:hint="eastAsia" w:ascii="宋体" w:hAnsi="宋体" w:cs="宋体"/>
                <w:color w:val="000000"/>
              </w:rPr>
              <w:t>单位负责人为同一人或者存在直接控股、管理关系的不同供应商，不得参加同一合同项下的政府采购活动。除单一来源采购项目外，</w:t>
            </w:r>
            <w:r>
              <w:rPr>
                <w:rFonts w:hint="eastAsia" w:ascii="宋体" w:hAnsi="宋体" w:cs="宋体"/>
                <w:bCs/>
                <w:color w:val="000000"/>
                <w:szCs w:val="21"/>
              </w:rPr>
              <w:t>为采购项目提供整体设计、规范编制或者项目管理、监理、检测等服务的供应商及其附属机构，不得再参加本项目投标。</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3"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三.供应商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代理机构于投标截止日当天在“信用中国”网站（www.creditchina.gov.cn）及中国政府采购网查询结果为准，如相关失信记录已失效，供应商需提供相关证明资料）。</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□通过</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510"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vAlign w:val="center"/>
          </w:tcPr>
          <w:p>
            <w:pPr>
              <w:snapToGrid w:val="0"/>
              <w:spacing w:line="240" w:lineRule="exact"/>
              <w:rPr>
                <w:rFonts w:ascii="宋体" w:hAnsi="宋体" w:cs="宋体"/>
                <w:color w:val="000000"/>
                <w:szCs w:val="21"/>
              </w:rPr>
            </w:pPr>
            <w:r>
              <w:rPr>
                <w:rFonts w:hint="eastAsia" w:ascii="宋体" w:hAnsi="宋体" w:cs="宋体"/>
                <w:color w:val="000000"/>
                <w:szCs w:val="21"/>
              </w:rPr>
              <w:t>四、本项目不接受联合体投标。</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3"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tcPr>
          <w:p>
            <w:pPr>
              <w:spacing w:line="400" w:lineRule="exact"/>
              <w:rPr>
                <w:rFonts w:ascii="宋体" w:hAnsi="宋体" w:cs="宋体"/>
                <w:szCs w:val="21"/>
              </w:rPr>
            </w:pPr>
            <w:r>
              <w:rPr>
                <w:rFonts w:hint="eastAsia" w:ascii="宋体" w:hAnsi="宋体" w:cs="宋体"/>
                <w:color w:val="000000"/>
              </w:rPr>
              <w:t>五、特定资格条件：</w:t>
            </w:r>
            <w:r>
              <w:rPr>
                <w:rFonts w:hint="eastAsia" w:ascii="宋体" w:hAnsi="宋体" w:cs="宋体"/>
                <w:szCs w:val="21"/>
              </w:rPr>
              <w:t xml:space="preserve">/ </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3" w:hRule="atLeast"/>
          <w:jc w:val="center"/>
        </w:trPr>
        <w:tc>
          <w:tcPr>
            <w:tcW w:w="831" w:type="dxa"/>
            <w:vMerge w:val="continue"/>
            <w:vAlign w:val="center"/>
          </w:tcPr>
          <w:p>
            <w:pPr>
              <w:snapToGrid w:val="0"/>
              <w:spacing w:line="220" w:lineRule="exact"/>
              <w:rPr>
                <w:rFonts w:ascii="宋体" w:hAnsi="宋体" w:cs="宋体"/>
                <w:color w:val="000000"/>
                <w:szCs w:val="21"/>
              </w:rPr>
            </w:pPr>
          </w:p>
        </w:tc>
        <w:tc>
          <w:tcPr>
            <w:tcW w:w="4461" w:type="dxa"/>
            <w:vAlign w:val="center"/>
          </w:tcPr>
          <w:p>
            <w:pPr>
              <w:spacing w:line="360" w:lineRule="auto"/>
              <w:rPr>
                <w:rFonts w:ascii="宋体" w:hAnsi="宋体" w:cs="宋体"/>
                <w:color w:val="000000"/>
              </w:rPr>
            </w:pPr>
            <w:r>
              <w:rPr>
                <w:rFonts w:hint="eastAsia" w:ascii="宋体" w:hAnsi="宋体" w:cs="宋体"/>
                <w:color w:val="000000"/>
              </w:rPr>
              <w:t>六、</w:t>
            </w:r>
            <w:r>
              <w:rPr>
                <w:rFonts w:hint="eastAsia" w:ascii="宋体" w:hAnsi="宋体" w:cs="宋体"/>
                <w:szCs w:val="21"/>
              </w:rPr>
              <w:t>采购文件要求的其他资格条件（如有）</w:t>
            </w:r>
          </w:p>
        </w:tc>
        <w:tc>
          <w:tcPr>
            <w:tcW w:w="1410" w:type="dxa"/>
            <w:vAlign w:val="center"/>
          </w:tcPr>
          <w:p>
            <w:pPr>
              <w:snapToGrid w:val="0"/>
              <w:rPr>
                <w:rFonts w:ascii="宋体" w:hAnsi="宋体" w:cs="宋体"/>
                <w:color w:val="000000"/>
                <w:szCs w:val="21"/>
              </w:rPr>
            </w:pPr>
            <w:r>
              <w:rPr>
                <w:rFonts w:hint="eastAsia" w:ascii="宋体" w:hAnsi="宋体" w:cs="宋体"/>
                <w:color w:val="000000"/>
                <w:szCs w:val="21"/>
              </w:rPr>
              <w:t xml:space="preserve">□通过 </w:t>
            </w:r>
          </w:p>
          <w:p>
            <w:pPr>
              <w:snapToGrid w:val="0"/>
              <w:rPr>
                <w:rFonts w:ascii="宋体" w:hAnsi="宋体" w:cs="宋体"/>
                <w:color w:val="000000"/>
                <w:szCs w:val="21"/>
              </w:rPr>
            </w:pPr>
            <w:r>
              <w:rPr>
                <w:rFonts w:hint="eastAsia" w:ascii="宋体" w:hAnsi="宋体" w:cs="宋体"/>
                <w:color w:val="000000"/>
                <w:szCs w:val="21"/>
              </w:rPr>
              <w:t>□不通过</w:t>
            </w:r>
          </w:p>
        </w:tc>
        <w:tc>
          <w:tcPr>
            <w:tcW w:w="2231" w:type="dxa"/>
            <w:vAlign w:val="center"/>
          </w:tcPr>
          <w:p>
            <w:pPr>
              <w:snapToGrid w:val="0"/>
              <w:spacing w:line="220" w:lineRule="exact"/>
              <w:jc w:val="center"/>
              <w:rPr>
                <w:rFonts w:ascii="宋体" w:hAnsi="宋体" w:cs="宋体"/>
                <w:color w:val="000000"/>
                <w:szCs w:val="21"/>
              </w:rPr>
            </w:pPr>
            <w:r>
              <w:rPr>
                <w:rFonts w:hint="eastAsia" w:ascii="宋体" w:hAnsi="宋体" w:cs="宋体"/>
                <w:color w:val="000000"/>
                <w:szCs w:val="21"/>
              </w:rPr>
              <w:t>第（ ）页</w:t>
            </w:r>
          </w:p>
        </w:tc>
      </w:tr>
    </w:tbl>
    <w:p>
      <w:pPr>
        <w:snapToGrid w:val="0"/>
        <w:rPr>
          <w:rFonts w:ascii="宋体" w:hAnsi="宋体" w:cs="宋体"/>
          <w:color w:val="000000"/>
          <w:szCs w:val="21"/>
        </w:rPr>
      </w:pPr>
      <w:r>
        <w:rPr>
          <w:rFonts w:hint="eastAsia" w:ascii="宋体" w:hAnsi="宋体" w:cs="宋体"/>
          <w:b/>
          <w:color w:val="000000"/>
          <w:szCs w:val="21"/>
        </w:rPr>
        <w:t xml:space="preserve">备注：资格条件自查表将作为供应商有效性审查的重要内容之一，供应商必须严格按照其内容及序列要求在投标文件中对应如实提供，对资格性审查文件的任何缺漏和不符合项将会直接导致投标无效！ </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p>
    <w:p>
      <w:pPr>
        <w:widowControl/>
        <w:spacing w:line="276" w:lineRule="auto"/>
        <w:jc w:val="left"/>
        <w:rPr>
          <w:rFonts w:ascii="宋体" w:hAnsi="宋体" w:cs="宋体"/>
        </w:rPr>
      </w:pPr>
    </w:p>
    <w:p>
      <w:pPr>
        <w:widowControl/>
        <w:spacing w:line="276" w:lineRule="auto"/>
        <w:ind w:firstLine="110" w:firstLineChars="50"/>
        <w:jc w:val="left"/>
        <w:rPr>
          <w:rFonts w:ascii="宋体" w:hAnsi="宋体" w:cs="宋体"/>
          <w:b/>
          <w:kern w:val="0"/>
          <w:sz w:val="22"/>
          <w:szCs w:val="22"/>
        </w:rPr>
      </w:pPr>
    </w:p>
    <w:p>
      <w:pPr>
        <w:widowControl/>
        <w:spacing w:line="276" w:lineRule="auto"/>
        <w:ind w:firstLine="110" w:firstLineChars="50"/>
        <w:jc w:val="left"/>
        <w:rPr>
          <w:rFonts w:ascii="宋体" w:hAnsi="宋体" w:cs="宋体"/>
          <w:b/>
          <w:kern w:val="0"/>
          <w:sz w:val="22"/>
          <w:szCs w:val="22"/>
        </w:rPr>
      </w:pPr>
    </w:p>
    <w:p>
      <w:pPr>
        <w:widowControl/>
        <w:jc w:val="left"/>
        <w:rPr>
          <w:rFonts w:ascii="宋体" w:hAnsi="宋体" w:cs="宋体"/>
          <w:b/>
          <w:kern w:val="0"/>
          <w:sz w:val="22"/>
          <w:szCs w:val="22"/>
        </w:rPr>
      </w:pPr>
      <w:r>
        <w:rPr>
          <w:rFonts w:ascii="宋体" w:hAnsi="宋体" w:cs="宋体"/>
          <w:b/>
          <w:kern w:val="0"/>
          <w:sz w:val="22"/>
          <w:szCs w:val="22"/>
        </w:rPr>
        <w:br w:type="page"/>
      </w:r>
    </w:p>
    <w:p>
      <w:pPr>
        <w:snapToGrid w:val="0"/>
        <w:rPr>
          <w:rFonts w:ascii="宋体" w:hAnsi="宋体" w:cs="宋体"/>
          <w:b/>
          <w:bCs/>
          <w:color w:val="000000"/>
        </w:rPr>
      </w:pPr>
      <w:r>
        <w:rPr>
          <w:rFonts w:hint="eastAsia" w:ascii="宋体" w:hAnsi="宋体" w:cs="宋体"/>
          <w:b/>
          <w:kern w:val="0"/>
          <w:sz w:val="22"/>
          <w:szCs w:val="22"/>
        </w:rPr>
        <w:t>2、</w:t>
      </w:r>
      <w:r>
        <w:rPr>
          <w:rFonts w:hint="eastAsia" w:ascii="宋体" w:hAnsi="宋体" w:cs="宋体"/>
          <w:b/>
          <w:bCs/>
          <w:color w:val="000000"/>
        </w:rPr>
        <w:t>供应商资格声明函格式；</w:t>
      </w:r>
    </w:p>
    <w:p>
      <w:pPr>
        <w:jc w:val="center"/>
        <w:rPr>
          <w:rFonts w:ascii="宋体" w:hAnsi="宋体" w:cs="宋体"/>
          <w:b/>
          <w:color w:val="000000"/>
          <w:sz w:val="32"/>
          <w:szCs w:val="3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供应商资格声明函</w:t>
      </w:r>
    </w:p>
    <w:p>
      <w:pPr>
        <w:spacing w:line="360" w:lineRule="auto"/>
        <w:ind w:right="420" w:firstLine="3150" w:firstLineChars="1500"/>
        <w:rPr>
          <w:rFonts w:ascii="宋体" w:hAnsi="宋体" w:cs="宋体"/>
          <w:color w:val="000000"/>
        </w:rPr>
      </w:pPr>
      <w:r>
        <w:rPr>
          <w:rFonts w:hint="eastAsia" w:ascii="宋体" w:hAnsi="宋体" w:cs="宋体"/>
          <w:color w:val="000000"/>
        </w:rPr>
        <w:t xml:space="preserve">                 </w:t>
      </w:r>
    </w:p>
    <w:p>
      <w:pPr>
        <w:spacing w:line="360" w:lineRule="auto"/>
        <w:rPr>
          <w:rFonts w:ascii="宋体" w:hAnsi="宋体"/>
          <w:b/>
        </w:rPr>
      </w:pPr>
      <w:r>
        <w:rPr>
          <w:rFonts w:hint="eastAsia" w:ascii="宋体" w:hAnsi="宋体"/>
          <w:b/>
        </w:rPr>
        <w:t>宁波中屹工程管理咨询有限公司：</w:t>
      </w:r>
    </w:p>
    <w:p>
      <w:pPr>
        <w:snapToGrid w:val="0"/>
        <w:spacing w:before="120" w:beforeLines="50" w:line="360" w:lineRule="auto"/>
        <w:ind w:firstLine="424" w:firstLineChars="202"/>
        <w:rPr>
          <w:rFonts w:ascii="宋体" w:hAnsi="宋体"/>
        </w:rPr>
      </w:pPr>
      <w:r>
        <w:rPr>
          <w:rFonts w:hint="eastAsia" w:ascii="宋体" w:hAnsi="宋体"/>
        </w:rPr>
        <w:t>关于你贵司</w:t>
      </w:r>
      <w:r>
        <w:rPr>
          <w:rFonts w:hint="eastAsia" w:ascii="宋体" w:hAnsi="宋体"/>
          <w:u w:val="single"/>
        </w:rPr>
        <w:t xml:space="preserve">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rPr>
        <w:t>XXXXXXXXXXXXXXXXXXXXXXXXXXXX</w:t>
      </w:r>
      <w:r>
        <w:rPr>
          <w:rFonts w:ascii="宋体" w:hAnsi="宋体"/>
          <w:u w:val="single"/>
        </w:rPr>
        <w:t xml:space="preserve">  </w:t>
      </w:r>
      <w:r>
        <w:rPr>
          <w:rFonts w:hint="eastAsia" w:ascii="宋体" w:hAnsi="宋体"/>
        </w:rPr>
        <w:t>项目（项目编号：　　　）的采购公告，本公司（企业）愿意参加投标，并声明：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并已清楚采购文件的要求及有关文件规定。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本公司（企业）的法定代表人或单位负责人与所参投的本采购项目的其他供应商的法定代表人或单位负责人不为同一人且与其他供应商之间不存在直接控股、管理关系。</w:t>
      </w:r>
    </w:p>
    <w:p>
      <w:pPr>
        <w:snapToGrid w:val="0"/>
        <w:spacing w:line="360" w:lineRule="auto"/>
        <w:ind w:firstLine="424" w:firstLineChars="202"/>
        <w:rPr>
          <w:rFonts w:ascii="宋体" w:hAnsi="宋体"/>
        </w:rPr>
      </w:pPr>
      <w:r>
        <w:rPr>
          <w:rFonts w:hint="eastAsia" w:ascii="宋体" w:hAnsi="宋体"/>
          <w:szCs w:val="21"/>
        </w:rPr>
        <w:t>根据《中华人民共和国政府采购法</w:t>
      </w:r>
      <w:r>
        <w:rPr>
          <w:rFonts w:hint="eastAsia" w:ascii="宋体" w:hAnsi="宋体"/>
        </w:rPr>
        <w:t>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rPr>
      </w:pPr>
      <w:r>
        <w:rPr>
          <w:rFonts w:hint="eastAsia" w:ascii="宋体" w:hAnsi="宋体"/>
          <w:b/>
        </w:rPr>
        <w:t>本公司（企业）</w:t>
      </w:r>
      <w:r>
        <w:rPr>
          <w:rFonts w:ascii="宋体" w:hAnsi="宋体"/>
          <w:b/>
        </w:rPr>
        <w:t>具有履行合同所必需的设备和专业技术能力</w:t>
      </w:r>
      <w:r>
        <w:rPr>
          <w:rFonts w:hint="eastAsia" w:ascii="宋体" w:hAnsi="宋体"/>
          <w:b/>
        </w:rPr>
        <w:t>，且本公司（企业）参加政府采购活动前</w:t>
      </w:r>
      <w:r>
        <w:rPr>
          <w:rFonts w:ascii="宋体" w:hAnsi="宋体"/>
          <w:b/>
        </w:rPr>
        <w:t>3</w:t>
      </w:r>
      <w:r>
        <w:rPr>
          <w:rFonts w:hint="eastAsia" w:ascii="宋体" w:hAnsi="宋体"/>
          <w:b/>
        </w:rPr>
        <w:t>年内在经营活动中没有重大违法记录。</w:t>
      </w:r>
      <w:r>
        <w:rPr>
          <w:rFonts w:hint="eastAsia" w:ascii="宋体" w:hAnsi="宋体"/>
        </w:rPr>
        <w:t>否则，由此所造成的损失、不良后果及法律责任，一律由我公司（企业）承担。</w:t>
      </w:r>
    </w:p>
    <w:p>
      <w:pPr>
        <w:snapToGrid w:val="0"/>
        <w:spacing w:line="360" w:lineRule="auto"/>
        <w:ind w:firstLine="426" w:firstLineChars="202"/>
        <w:rPr>
          <w:rFonts w:ascii="宋体" w:hAnsi="宋体"/>
          <w:b/>
          <w:bCs/>
        </w:rPr>
      </w:pPr>
      <w:r>
        <w:rPr>
          <w:rFonts w:hint="eastAsia" w:ascii="宋体" w:hAnsi="宋体"/>
          <w:b/>
          <w:bCs/>
        </w:rPr>
        <w:t>本公司（企业）</w:t>
      </w:r>
      <w:r>
        <w:rPr>
          <w:rFonts w:hint="eastAsia" w:ascii="宋体" w:hAnsi="宋体"/>
          <w:b/>
          <w:bCs/>
          <w:szCs w:val="21"/>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r>
        <w:rPr>
          <w:rFonts w:hint="eastAsia" w:ascii="宋体" w:hAnsi="宋体"/>
          <w:b/>
          <w:bCs/>
        </w:rPr>
        <w:t>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snapToGrid w:val="0"/>
        <w:spacing w:line="360" w:lineRule="auto"/>
        <w:ind w:left="425"/>
        <w:rPr>
          <w:rFonts w:ascii="宋体" w:hAnsi="宋体"/>
          <w:spacing w:val="4"/>
        </w:rPr>
      </w:pPr>
    </w:p>
    <w:p>
      <w:pPr>
        <w:spacing w:line="360" w:lineRule="auto"/>
        <w:ind w:right="420" w:firstLine="3150" w:firstLineChars="1500"/>
      </w:pPr>
      <w:r>
        <w:rPr>
          <w:rFonts w:hint="eastAsia" w:ascii="宋体" w:hAnsi="宋体" w:cs="宋体"/>
        </w:rPr>
        <w:t>法定代表人或授权代表</w:t>
      </w:r>
      <w:r>
        <w:rPr>
          <w:rFonts w:hint="eastAsia" w:ascii="宋体" w:hAnsi="宋体" w:cs="宋体"/>
          <w:color w:val="000000"/>
        </w:rPr>
        <w:t>（签名或印章）</w:t>
      </w:r>
      <w:r>
        <w:rPr>
          <w:rFonts w:hint="eastAsia" w:ascii="宋体" w:hAnsi="宋体" w:cs="宋体"/>
        </w:rPr>
        <w:t>：</w:t>
      </w:r>
      <w:r>
        <w:t xml:space="preserve">     </w:t>
      </w:r>
    </w:p>
    <w:p>
      <w:pPr>
        <w:spacing w:line="360" w:lineRule="auto"/>
        <w:ind w:right="420" w:firstLine="3150" w:firstLineChars="1500"/>
      </w:pPr>
      <w:r>
        <w:rPr>
          <w:rFonts w:hint="eastAsia" w:ascii="宋体" w:hAnsi="宋体" w:cs="宋体"/>
        </w:rPr>
        <w:t>供应商公章：</w:t>
      </w:r>
      <w:r>
        <w:t xml:space="preserve">                               </w:t>
      </w:r>
    </w:p>
    <w:p>
      <w:pPr>
        <w:spacing w:line="360" w:lineRule="auto"/>
        <w:ind w:right="420" w:firstLine="3150" w:firstLineChars="1500"/>
      </w:pPr>
      <w:r>
        <w:rPr>
          <w:rFonts w:hint="eastAsia" w:ascii="宋体" w:hAnsi="宋体" w:cs="宋体"/>
        </w:rPr>
        <w:t>年</w:t>
      </w:r>
      <w:r>
        <w:t xml:space="preserve">    </w:t>
      </w:r>
      <w:r>
        <w:rPr>
          <w:rFonts w:hint="eastAsia" w:ascii="宋体" w:hAnsi="宋体" w:cs="宋体"/>
        </w:rPr>
        <w:t>月</w:t>
      </w:r>
      <w:r>
        <w:t xml:space="preserve">    </w:t>
      </w:r>
      <w:r>
        <w:rPr>
          <w:rFonts w:hint="eastAsia" w:ascii="宋体" w:hAnsi="宋体" w:cs="宋体"/>
        </w:rPr>
        <w:t>日</w:t>
      </w:r>
    </w:p>
    <w:p>
      <w:pPr>
        <w:widowControl/>
        <w:spacing w:line="276" w:lineRule="auto"/>
        <w:ind w:firstLine="105" w:firstLineChars="50"/>
        <w:jc w:val="left"/>
        <w:rPr>
          <w:rFonts w:ascii="宋体" w:hAnsi="宋体" w:cs="宋体"/>
          <w:szCs w:val="21"/>
        </w:rPr>
      </w:pPr>
    </w:p>
    <w:p>
      <w:pPr>
        <w:widowControl/>
        <w:snapToGrid w:val="0"/>
        <w:spacing w:line="276" w:lineRule="auto"/>
        <w:jc w:val="left"/>
        <w:rPr>
          <w:rFonts w:ascii="宋体" w:hAnsi="宋体" w:cs="宋体"/>
          <w:szCs w:val="21"/>
        </w:rPr>
      </w:pPr>
    </w:p>
    <w:p>
      <w:pPr>
        <w:widowControl/>
        <w:snapToGrid w:val="0"/>
        <w:spacing w:line="276" w:lineRule="auto"/>
        <w:jc w:val="left"/>
        <w:rPr>
          <w:rFonts w:ascii="宋体" w:hAnsi="宋体" w:cs="宋体"/>
          <w:szCs w:val="21"/>
        </w:rPr>
      </w:pPr>
    </w:p>
    <w:p>
      <w:pPr>
        <w:widowControl/>
        <w:snapToGrid w:val="0"/>
        <w:spacing w:line="276" w:lineRule="auto"/>
        <w:jc w:val="left"/>
        <w:rPr>
          <w:rFonts w:ascii="宋体" w:hAnsi="宋体" w:cs="宋体"/>
          <w:szCs w:val="21"/>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snapToGrid w:val="0"/>
        <w:rPr>
          <w:rFonts w:ascii="宋体" w:hAnsi="宋体" w:cs="宋体"/>
          <w:b/>
          <w:kern w:val="0"/>
          <w:sz w:val="22"/>
          <w:szCs w:val="22"/>
        </w:rPr>
      </w:pPr>
    </w:p>
    <w:p>
      <w:pPr>
        <w:snapToGrid w:val="0"/>
        <w:rPr>
          <w:rFonts w:ascii="宋体" w:hAnsi="宋体" w:cs="宋体"/>
          <w:b/>
          <w:kern w:val="0"/>
          <w:sz w:val="22"/>
          <w:szCs w:val="22"/>
        </w:rPr>
      </w:pPr>
    </w:p>
    <w:p>
      <w:pPr>
        <w:snapToGrid w:val="0"/>
        <w:rPr>
          <w:rFonts w:ascii="宋体" w:hAnsi="宋体" w:cs="宋体"/>
          <w:b/>
          <w:kern w:val="0"/>
          <w:sz w:val="22"/>
          <w:szCs w:val="22"/>
        </w:rPr>
      </w:pPr>
      <w:r>
        <w:rPr>
          <w:rFonts w:hint="eastAsia" w:ascii="宋体" w:hAnsi="宋体" w:cs="宋体"/>
          <w:b/>
          <w:kern w:val="0"/>
          <w:sz w:val="22"/>
          <w:szCs w:val="22"/>
        </w:rPr>
        <w:t>3、符合《中华人民共和国政府采购法》第二十二条规定的供应商资格条件，必须提供以下材料（开标时原件备查）：</w:t>
      </w: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1）有效的企业法人营业执照（或事业法人登记证）、其他组织（个体工商户）的营业执照或者民办非企业单位登记证书复印件；</w:t>
      </w: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2）</w:t>
      </w:r>
      <w:r>
        <w:rPr>
          <w:rFonts w:hint="eastAsia" w:ascii="宋体" w:hAnsi="宋体" w:cs="宋体"/>
          <w:szCs w:val="21"/>
        </w:rPr>
        <w:t>2018年或2019年</w:t>
      </w:r>
      <w:r>
        <w:rPr>
          <w:rFonts w:hint="eastAsia" w:ascii="宋体" w:hAnsi="宋体" w:cs="宋体"/>
          <w:color w:val="000000"/>
          <w:szCs w:val="21"/>
        </w:rPr>
        <w:t>财务状况报告复印件，其他组织或供应商新成立不足一年，提供银行出具的资信证明材料复印件；</w:t>
      </w: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3）2020年开具的缴纳税收的凭据证明材料复印件；如依法免税的，应提供相应文件证明其依法免税；</w:t>
      </w: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4）2020年开具的缴纳社会保险的凭据证明材料复印件；如依法不需要缴纳社会保障资金的，应提供相应文件证明其依法不需要缴纳社会保障资金；</w:t>
      </w:r>
    </w:p>
    <w:p>
      <w:pPr>
        <w:widowControl/>
        <w:spacing w:line="276" w:lineRule="auto"/>
        <w:jc w:val="left"/>
        <w:rPr>
          <w:rFonts w:ascii="宋体" w:hAnsi="宋体" w:cs="宋体"/>
          <w:b/>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widowControl/>
        <w:spacing w:line="276" w:lineRule="auto"/>
        <w:jc w:val="left"/>
        <w:rPr>
          <w:rFonts w:ascii="宋体" w:hAnsi="宋体" w:cs="宋体"/>
          <w:b/>
        </w:rPr>
      </w:pPr>
    </w:p>
    <w:p>
      <w:pPr>
        <w:snapToGrid w:val="0"/>
        <w:rPr>
          <w:rFonts w:ascii="宋体" w:hAnsi="宋体" w:cs="宋体"/>
          <w:color w:val="000000"/>
          <w:szCs w:val="21"/>
        </w:rPr>
      </w:pPr>
      <w:r>
        <w:rPr>
          <w:rFonts w:hint="eastAsia" w:ascii="宋体" w:hAnsi="宋体" w:cs="宋体"/>
          <w:color w:val="000000"/>
          <w:szCs w:val="21"/>
        </w:rPr>
        <w:t>5）提供具有履行合同所必需的设备和专业技术能力的书面声明；</w:t>
      </w:r>
    </w:p>
    <w:p>
      <w:pPr>
        <w:widowControl/>
        <w:spacing w:line="276" w:lineRule="auto"/>
        <w:jc w:val="left"/>
        <w:rPr>
          <w:rFonts w:ascii="宋体" w:hAnsi="宋体" w:cs="宋体"/>
          <w:b/>
        </w:rPr>
      </w:pPr>
    </w:p>
    <w:p>
      <w:pPr>
        <w:widowControl/>
        <w:spacing w:line="276" w:lineRule="auto"/>
        <w:jc w:val="left"/>
        <w:rPr>
          <w:rFonts w:ascii="宋体" w:hAnsi="宋体" w:cs="宋体"/>
          <w:b/>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具备履行合同所需的设备和专业技术能力的声明</w:t>
      </w: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w:t>
      </w:r>
    </w:p>
    <w:p>
      <w:pPr>
        <w:spacing w:line="360" w:lineRule="auto"/>
        <w:ind w:firstLine="420" w:firstLineChars="200"/>
        <w:rPr>
          <w:rFonts w:ascii="宋体" w:hAnsi="宋体" w:cs="宋体"/>
          <w:color w:val="000000"/>
        </w:rPr>
      </w:pPr>
      <w:r>
        <w:rPr>
          <w:rFonts w:hint="eastAsia" w:ascii="宋体" w:hAnsi="宋体" w:cs="宋体"/>
          <w:color w:val="000000"/>
        </w:rPr>
        <w:t>我公司（单位）具备履行合同所需的设备和专业技术能力，具体情况介绍如下：</w:t>
      </w:r>
    </w:p>
    <w:p>
      <w:pPr>
        <w:spacing w:line="360" w:lineRule="auto"/>
        <w:rPr>
          <w:rFonts w:ascii="宋体" w:hAnsi="宋体" w:cs="宋体"/>
          <w:color w:val="000000"/>
        </w:rPr>
      </w:pPr>
      <w:r>
        <w:rPr>
          <w:rFonts w:hint="eastAsia" w:ascii="宋体" w:hAnsi="宋体" w:cs="宋体"/>
          <w:color w:val="000000"/>
        </w:rPr>
        <w:t xml:space="preserve">        （内容包括：主要设备、专业技术人员、公司资质等）                                          </w:t>
      </w:r>
    </w:p>
    <w:p>
      <w:pPr>
        <w:spacing w:line="360" w:lineRule="auto"/>
        <w:rPr>
          <w:rFonts w:ascii="宋体" w:hAnsi="宋体" w:cs="宋体"/>
          <w:color w:val="000000"/>
        </w:rPr>
      </w:pPr>
      <w:r>
        <w:rPr>
          <w:rFonts w:hint="eastAsia" w:ascii="宋体" w:hAnsi="宋体" w:cs="宋体"/>
          <w:color w:val="000000"/>
        </w:rPr>
        <w:t xml:space="preserve">                                                                            </w:t>
      </w:r>
    </w:p>
    <w:p>
      <w:pPr>
        <w:spacing w:line="360" w:lineRule="auto"/>
        <w:rPr>
          <w:rFonts w:ascii="宋体" w:hAnsi="宋体" w:cs="宋体"/>
          <w:color w:val="000000"/>
        </w:rPr>
      </w:pPr>
      <w:r>
        <w:rPr>
          <w:rFonts w:hint="eastAsia" w:ascii="宋体" w:hAnsi="宋体" w:cs="宋体"/>
          <w:color w:val="000000"/>
        </w:rPr>
        <w:t>……..</w:t>
      </w:r>
    </w:p>
    <w:p>
      <w:pPr>
        <w:spacing w:line="360" w:lineRule="auto"/>
        <w:rPr>
          <w:rFonts w:ascii="宋体" w:hAnsi="宋体" w:cs="宋体"/>
          <w:color w:val="000000"/>
        </w:rPr>
      </w:pPr>
      <w:r>
        <w:rPr>
          <w:rFonts w:hint="eastAsia" w:ascii="宋体" w:hAnsi="宋体" w:cs="宋体"/>
          <w:color w:val="000000"/>
        </w:rPr>
        <w:t xml:space="preserve">     特此承诺。</w:t>
      </w: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ind w:firstLine="4830" w:firstLineChars="2300"/>
        <w:rPr>
          <w:rFonts w:ascii="宋体" w:hAnsi="宋体" w:cs="宋体"/>
          <w:color w:val="000000"/>
        </w:rPr>
      </w:pPr>
      <w:r>
        <w:rPr>
          <w:rFonts w:hint="eastAsia" w:ascii="宋体" w:hAnsi="宋体" w:cs="宋体"/>
          <w:color w:val="000000"/>
        </w:rPr>
        <w:t>供应商（盖章）</w:t>
      </w:r>
    </w:p>
    <w:p>
      <w:pPr>
        <w:spacing w:line="360" w:lineRule="auto"/>
        <w:rPr>
          <w:rFonts w:ascii="宋体" w:hAnsi="宋体" w:cs="宋体"/>
          <w:color w:val="000000"/>
        </w:rPr>
      </w:pPr>
      <w:r>
        <w:rPr>
          <w:rFonts w:hint="eastAsia" w:ascii="宋体" w:hAnsi="宋体" w:cs="宋体"/>
          <w:color w:val="000000"/>
        </w:rPr>
        <w:t xml:space="preserve">             法定代表人（负责人）或其授权委托人（签名或印章）：</w:t>
      </w:r>
    </w:p>
    <w:p>
      <w:pPr>
        <w:snapToGrid w:val="0"/>
        <w:rPr>
          <w:rFonts w:ascii="宋体" w:hAnsi="宋体" w:cs="宋体"/>
          <w:color w:val="000000"/>
          <w:szCs w:val="21"/>
        </w:rPr>
      </w:pPr>
      <w:r>
        <w:rPr>
          <w:rFonts w:hint="eastAsia" w:ascii="宋体" w:hAnsi="宋体" w:cs="宋体"/>
          <w:color w:val="000000"/>
        </w:rPr>
        <w:t xml:space="preserve">                                  日期：</w:t>
      </w: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p>
    <w:p>
      <w:pPr>
        <w:snapToGrid w:val="0"/>
        <w:rPr>
          <w:rFonts w:ascii="宋体" w:hAnsi="宋体" w:cs="宋体"/>
          <w:color w:val="000000"/>
          <w:szCs w:val="21"/>
        </w:rPr>
      </w:pPr>
      <w:r>
        <w:rPr>
          <w:rFonts w:hint="eastAsia" w:ascii="宋体" w:hAnsi="宋体" w:cs="宋体"/>
          <w:color w:val="000000"/>
          <w:szCs w:val="21"/>
        </w:rPr>
        <w:t>6）提供参加政府采购活动前3年内在经营活动中没有重大违法记录的书面声明。</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近三年在政府采购活动中无重大违法记录的声明</w:t>
      </w:r>
    </w:p>
    <w:p>
      <w:pPr>
        <w:rPr>
          <w:rFonts w:ascii="宋体" w:hAnsi="宋体" w:cs="宋体"/>
          <w:color w:val="000000"/>
        </w:rPr>
      </w:pPr>
    </w:p>
    <w:p>
      <w:pPr>
        <w:rPr>
          <w:rFonts w:ascii="宋体" w:hAnsi="宋体" w:cs="宋体"/>
          <w:color w:val="000000"/>
        </w:rPr>
      </w:pPr>
    </w:p>
    <w:p>
      <w:pPr>
        <w:spacing w:line="360" w:lineRule="auto"/>
        <w:rPr>
          <w:rFonts w:ascii="宋体" w:hAnsi="宋体" w:cs="宋体"/>
          <w:color w:val="000000"/>
        </w:rPr>
      </w:pPr>
      <w:r>
        <w:rPr>
          <w:rFonts w:hint="eastAsia" w:ascii="宋体" w:hAnsi="宋体" w:cs="宋体"/>
          <w:color w:val="000000"/>
        </w:rPr>
        <w:t xml:space="preserve">     参加政府采购活动前三年内，在经营活动中没有重大违法记录，特此声明。</w:t>
      </w:r>
    </w:p>
    <w:p>
      <w:pPr>
        <w:spacing w:line="360" w:lineRule="auto"/>
        <w:rPr>
          <w:rFonts w:ascii="宋体" w:hAnsi="宋体" w:cs="宋体"/>
          <w:color w:val="000000"/>
        </w:rPr>
      </w:pPr>
    </w:p>
    <w:p>
      <w:pPr>
        <w:spacing w:line="360" w:lineRule="auto"/>
        <w:ind w:firstLine="1365" w:firstLineChars="650"/>
        <w:rPr>
          <w:rFonts w:ascii="宋体" w:hAnsi="宋体" w:cs="宋体"/>
          <w:color w:val="000000"/>
        </w:rPr>
      </w:pPr>
    </w:p>
    <w:p>
      <w:pPr>
        <w:spacing w:line="360" w:lineRule="auto"/>
        <w:ind w:firstLine="1365" w:firstLineChars="650"/>
        <w:rPr>
          <w:rFonts w:ascii="宋体" w:hAnsi="宋体" w:cs="宋体"/>
          <w:color w:val="000000"/>
        </w:rPr>
      </w:pPr>
    </w:p>
    <w:p>
      <w:pPr>
        <w:spacing w:line="360" w:lineRule="auto"/>
        <w:ind w:firstLine="3675" w:firstLineChars="1750"/>
        <w:rPr>
          <w:rFonts w:ascii="宋体" w:hAnsi="宋体" w:cs="宋体"/>
          <w:color w:val="000000"/>
        </w:rPr>
      </w:pPr>
      <w:r>
        <w:rPr>
          <w:rFonts w:hint="eastAsia" w:ascii="宋体" w:hAnsi="宋体" w:cs="宋体"/>
          <w:color w:val="000000"/>
        </w:rPr>
        <w:t>供应商（盖章）</w:t>
      </w:r>
    </w:p>
    <w:p>
      <w:pPr>
        <w:spacing w:line="360" w:lineRule="auto"/>
        <w:rPr>
          <w:rFonts w:ascii="宋体" w:hAnsi="宋体" w:cs="宋体"/>
          <w:color w:val="000000"/>
        </w:rPr>
      </w:pPr>
      <w:r>
        <w:rPr>
          <w:rFonts w:hint="eastAsia" w:ascii="宋体" w:hAnsi="宋体" w:cs="宋体"/>
          <w:color w:val="000000"/>
        </w:rPr>
        <w:t xml:space="preserve">             法定代表人或其授权代表（签名或印章）：</w:t>
      </w:r>
    </w:p>
    <w:p>
      <w:pPr>
        <w:snapToGrid w:val="0"/>
        <w:rPr>
          <w:rFonts w:ascii="宋体" w:hAnsi="宋体" w:cs="宋体"/>
          <w:color w:val="000000"/>
          <w:szCs w:val="21"/>
        </w:rPr>
      </w:pPr>
      <w:r>
        <w:rPr>
          <w:rFonts w:hint="eastAsia" w:ascii="宋体" w:hAnsi="宋体" w:cs="宋体"/>
          <w:color w:val="000000"/>
        </w:rPr>
        <w:t xml:space="preserve">                                    日    期：</w:t>
      </w:r>
    </w:p>
    <w:p>
      <w:pPr>
        <w:widowControl/>
        <w:spacing w:line="276" w:lineRule="auto"/>
        <w:jc w:val="left"/>
        <w:rPr>
          <w:rFonts w:ascii="宋体" w:hAnsi="宋体" w:cs="宋体"/>
          <w:b/>
        </w:rPr>
      </w:pPr>
    </w:p>
    <w:p>
      <w:pPr>
        <w:widowControl/>
        <w:jc w:val="left"/>
        <w:rPr>
          <w:rFonts w:ascii="宋体" w:hAnsi="宋体" w:cs="宋体"/>
          <w:b/>
        </w:rPr>
      </w:pPr>
      <w:r>
        <w:rPr>
          <w:rFonts w:ascii="宋体" w:hAnsi="宋体" w:cs="宋体"/>
          <w:b/>
        </w:rPr>
        <w:br w:type="page"/>
      </w:r>
    </w:p>
    <w:p>
      <w:pPr>
        <w:snapToGrid w:val="0"/>
        <w:rPr>
          <w:rFonts w:ascii="宋体" w:hAnsi="宋体" w:cs="宋体"/>
          <w:b/>
          <w:kern w:val="0"/>
          <w:sz w:val="22"/>
          <w:szCs w:val="22"/>
        </w:rPr>
      </w:pPr>
      <w:r>
        <w:rPr>
          <w:rFonts w:hint="eastAsia" w:ascii="宋体" w:hAnsi="宋体" w:cs="宋体"/>
          <w:b/>
          <w:kern w:val="0"/>
          <w:sz w:val="22"/>
          <w:szCs w:val="22"/>
        </w:rPr>
        <w:t>4、供应商特定资格条件的证明文件（如有）；</w:t>
      </w:r>
    </w:p>
    <w:p>
      <w:pPr>
        <w:widowControl/>
        <w:jc w:val="left"/>
        <w:rPr>
          <w:rFonts w:ascii="宋体" w:hAnsi="宋体" w:cs="宋体"/>
          <w:b/>
        </w:rPr>
      </w:pPr>
      <w:r>
        <w:rPr>
          <w:rFonts w:ascii="宋体" w:hAnsi="宋体" w:cs="宋体"/>
          <w:b/>
        </w:rPr>
        <w:br w:type="page"/>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一、商务技术文件的外包装封面格式：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商务技术文件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二、商务技术文件封面格式：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商务技术文件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widowControl/>
        <w:spacing w:line="276" w:lineRule="auto"/>
        <w:jc w:val="left"/>
        <w:rPr>
          <w:rFonts w:ascii="宋体" w:hAnsi="宋体" w:cs="宋体"/>
        </w:rPr>
      </w:pPr>
      <w:r>
        <w:rPr>
          <w:rFonts w:hint="eastAsia" w:ascii="宋体" w:hAnsi="宋体" w:cs="宋体"/>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tabs>
          <w:tab w:val="left" w:pos="312"/>
        </w:tabs>
        <w:snapToGrid w:val="0"/>
        <w:spacing w:line="480" w:lineRule="exact"/>
        <w:ind w:firstLine="472" w:firstLineChars="196"/>
        <w:jc w:val="left"/>
        <w:rPr>
          <w:rFonts w:ascii="宋体" w:hAnsi="宋体" w:cs="宋体"/>
          <w:b/>
          <w:sz w:val="24"/>
        </w:rPr>
      </w:pPr>
      <w:r>
        <w:rPr>
          <w:rFonts w:hint="eastAsia" w:ascii="宋体" w:hAnsi="宋体" w:cs="宋体"/>
          <w:b/>
          <w:sz w:val="24"/>
        </w:rPr>
        <w:t>商务技术文件内容包括：</w:t>
      </w:r>
    </w:p>
    <w:p>
      <w:pPr>
        <w:snapToGrid w:val="0"/>
        <w:spacing w:line="480" w:lineRule="exact"/>
        <w:ind w:firstLine="420" w:firstLineChars="200"/>
        <w:jc w:val="left"/>
        <w:rPr>
          <w:rFonts w:ascii="宋体" w:hAnsi="宋体" w:cs="宋体"/>
          <w:szCs w:val="21"/>
        </w:rPr>
      </w:pPr>
      <w:r>
        <w:rPr>
          <w:rFonts w:hint="eastAsia" w:ascii="宋体" w:hAnsi="宋体" w:cs="宋体"/>
          <w:szCs w:val="21"/>
        </w:rPr>
        <w:t>（1）符合性自查表（格式见附件）；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（2）供应商响应表（格式见附件）；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（3）投标函（格式见附件）；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（4）法定代表人身份证明书（格式见附件）和法定代表人的身份证复印件（正反两面）；</w:t>
      </w:r>
    </w:p>
    <w:p>
      <w:pPr>
        <w:snapToGrid w:val="0"/>
        <w:spacing w:line="480" w:lineRule="exact"/>
        <w:ind w:firstLine="420" w:firstLineChars="200"/>
        <w:jc w:val="left"/>
        <w:rPr>
          <w:rFonts w:ascii="宋体" w:hAnsi="宋体" w:cs="宋体"/>
          <w:szCs w:val="21"/>
        </w:rPr>
      </w:pPr>
      <w:r>
        <w:rPr>
          <w:rFonts w:hint="eastAsia" w:ascii="宋体" w:hAnsi="宋体" w:cs="宋体"/>
          <w:szCs w:val="21"/>
        </w:rPr>
        <w:t>（5）法定代表人授权书（格式见附件）和被授权代表身份证复印件（供应商的代表若为非法定代表人的，必须提交法定代表人授权书原件）；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（6）服务（技术）条款偏离表（格式见附件）；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（7）商务条款偏离表（格式见附件）；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（8）供应商基本情况表（格式见附件）；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（9）设备清单一览表（格式见附件）；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（10）本项目拟投入人员配备汇总表（格式见附件）；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（11）同类业绩情况一览表（格式见附件）；</w:t>
      </w:r>
    </w:p>
    <w:p>
      <w:pPr>
        <w:snapToGrid w:val="0"/>
        <w:spacing w:line="480" w:lineRule="exact"/>
        <w:ind w:firstLine="420" w:firstLineChars="200"/>
        <w:jc w:val="left"/>
        <w:rPr>
          <w:rFonts w:ascii="宋体" w:hAnsi="宋体" w:cs="宋体"/>
          <w:szCs w:val="21"/>
        </w:rPr>
      </w:pPr>
      <w:r>
        <w:rPr>
          <w:rFonts w:hint="eastAsia" w:ascii="宋体" w:hAnsi="宋体" w:cs="宋体"/>
          <w:szCs w:val="21"/>
        </w:rPr>
        <w:t>（12）技术部分：针对本项目</w:t>
      </w:r>
      <w:r>
        <w:rPr>
          <w:rFonts w:hint="eastAsia" w:ascii="宋体" w:hAnsi="宋体"/>
        </w:rPr>
        <w:t>第二章采购需求和</w:t>
      </w:r>
      <w:r>
        <w:rPr>
          <w:rFonts w:hint="eastAsia" w:ascii="宋体" w:hAnsi="宋体" w:cs="宋体"/>
          <w:szCs w:val="21"/>
        </w:rPr>
        <w:t>第四章评分标准中的条款拟定各种方案，格式自拟；</w:t>
      </w:r>
    </w:p>
    <w:p>
      <w:pPr>
        <w:snapToGrid w:val="0"/>
        <w:spacing w:line="480" w:lineRule="exact"/>
        <w:ind w:firstLine="420" w:firstLineChars="200"/>
        <w:jc w:val="left"/>
        <w:rPr>
          <w:rFonts w:ascii="宋体" w:hAnsi="宋体" w:cs="宋体"/>
          <w:szCs w:val="21"/>
        </w:rPr>
      </w:pPr>
      <w:r>
        <w:rPr>
          <w:rFonts w:hint="eastAsia" w:ascii="宋体" w:hAnsi="宋体" w:cs="宋体"/>
          <w:szCs w:val="21"/>
        </w:rPr>
        <w:t>（13）第四章评标办法及评分标准中需提供的其他相关证书及合同复印件、中标通知书等并加盖公章；</w:t>
      </w:r>
    </w:p>
    <w:p>
      <w:pPr>
        <w:snapToGrid w:val="0"/>
        <w:spacing w:line="480" w:lineRule="exact"/>
        <w:ind w:firstLine="420" w:firstLineChars="200"/>
        <w:jc w:val="left"/>
        <w:rPr>
          <w:rFonts w:ascii="宋体" w:hAnsi="宋体" w:cs="宋体"/>
          <w:szCs w:val="21"/>
        </w:rPr>
      </w:pPr>
      <w:r>
        <w:rPr>
          <w:rFonts w:hint="eastAsia" w:ascii="宋体" w:hAnsi="宋体" w:cs="宋体"/>
          <w:szCs w:val="21"/>
        </w:rPr>
        <w:t>（14）供应商认为有需要提供的其它有关证明资料。</w:t>
      </w:r>
    </w:p>
    <w:p>
      <w:pPr>
        <w:snapToGrid w:val="0"/>
        <w:spacing w:line="480" w:lineRule="exact"/>
        <w:ind w:firstLine="420" w:firstLineChars="200"/>
        <w:jc w:val="left"/>
        <w:rPr>
          <w:rFonts w:ascii="宋体" w:hAnsi="宋体" w:cs="宋体"/>
          <w:szCs w:val="21"/>
        </w:rPr>
      </w:pPr>
    </w:p>
    <w:p>
      <w:pPr>
        <w:pStyle w:val="152"/>
        <w:adjustRightInd w:val="0"/>
        <w:snapToGrid w:val="0"/>
        <w:spacing w:line="480" w:lineRule="exact"/>
        <w:ind w:firstLineChars="0"/>
        <w:jc w:val="left"/>
        <w:textAlignment w:val="baseline"/>
        <w:rPr>
          <w:rFonts w:ascii="宋体" w:hAnsi="宋体" w:cs="宋体"/>
          <w:szCs w:val="21"/>
        </w:rPr>
      </w:pPr>
    </w:p>
    <w:p>
      <w:pPr>
        <w:spacing w:line="360" w:lineRule="auto"/>
        <w:ind w:left="420" w:leftChars="200"/>
        <w:rPr>
          <w:rFonts w:ascii="宋体" w:hAnsi="宋体" w:cs="宋体"/>
          <w:b/>
          <w:u w:val="double"/>
        </w:rPr>
      </w:pPr>
    </w:p>
    <w:p>
      <w:pPr>
        <w:snapToGrid w:val="0"/>
        <w:spacing w:line="360" w:lineRule="auto"/>
        <w:ind w:firstLine="630" w:firstLineChars="300"/>
        <w:jc w:val="left"/>
        <w:rPr>
          <w:rFonts w:ascii="宋体" w:hAnsi="宋体" w:cs="宋体"/>
        </w:rPr>
      </w:pPr>
    </w:p>
    <w:p>
      <w:pPr>
        <w:snapToGrid w:val="0"/>
        <w:spacing w:line="360" w:lineRule="auto"/>
        <w:ind w:firstLine="630" w:firstLineChars="300"/>
        <w:jc w:val="left"/>
        <w:rPr>
          <w:rFonts w:ascii="宋体" w:hAnsi="宋体" w:cs="宋体"/>
        </w:rPr>
      </w:pPr>
    </w:p>
    <w:p>
      <w:pPr>
        <w:snapToGrid w:val="0"/>
        <w:spacing w:line="360" w:lineRule="auto"/>
        <w:ind w:firstLine="630" w:firstLineChars="300"/>
        <w:jc w:val="left"/>
        <w:rPr>
          <w:rFonts w:ascii="宋体" w:hAnsi="宋体" w:cs="宋体"/>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r>
        <w:rPr>
          <w:rFonts w:ascii="宋体" w:hAnsi="宋体" w:cs="宋体"/>
          <w:b/>
          <w:color w:val="000000"/>
          <w:szCs w:val="21"/>
        </w:rPr>
        <w:br w:type="page"/>
      </w:r>
    </w:p>
    <w:p>
      <w:pPr>
        <w:numPr>
          <w:ilvl w:val="0"/>
          <w:numId w:val="10"/>
        </w:numPr>
        <w:snapToGrid w:val="0"/>
        <w:rPr>
          <w:rFonts w:ascii="宋体" w:hAnsi="宋体" w:cs="宋体"/>
          <w:b/>
          <w:color w:val="000000"/>
          <w:szCs w:val="21"/>
        </w:rPr>
      </w:pPr>
      <w:r>
        <w:rPr>
          <w:rFonts w:hint="eastAsia" w:ascii="宋体" w:hAnsi="宋体" w:cs="宋体"/>
          <w:b/>
          <w:color w:val="000000"/>
          <w:szCs w:val="21"/>
        </w:rPr>
        <w:t>符合性自查表格式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符合性自查表</w:t>
      </w:r>
    </w:p>
    <w:tbl>
      <w:tblPr>
        <w:tblStyle w:val="53"/>
        <w:tblW w:w="84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08"/>
        <w:gridCol w:w="1270"/>
        <w:gridCol w:w="2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547" w:hRule="atLeast"/>
          <w:jc w:val="center"/>
        </w:trPr>
        <w:tc>
          <w:tcPr>
            <w:tcW w:w="1149" w:type="dxa"/>
            <w:vAlign w:val="center"/>
          </w:tcPr>
          <w:p>
            <w:pPr>
              <w:spacing w:line="240" w:lineRule="exact"/>
              <w:jc w:val="center"/>
              <w:rPr>
                <w:rFonts w:ascii="宋体" w:hAnsi="宋体" w:cs="宋体"/>
                <w:color w:val="000000"/>
              </w:rPr>
            </w:pPr>
            <w:r>
              <w:rPr>
                <w:rFonts w:hint="eastAsia" w:ascii="宋体" w:hAnsi="宋体" w:cs="宋体"/>
                <w:color w:val="000000"/>
              </w:rPr>
              <w:t>评审内容</w:t>
            </w:r>
          </w:p>
        </w:tc>
        <w:tc>
          <w:tcPr>
            <w:tcW w:w="3408" w:type="dxa"/>
            <w:vAlign w:val="center"/>
          </w:tcPr>
          <w:p>
            <w:pPr>
              <w:spacing w:line="240" w:lineRule="exact"/>
              <w:jc w:val="center"/>
              <w:rPr>
                <w:rFonts w:ascii="宋体" w:hAnsi="宋体" w:cs="宋体"/>
                <w:color w:val="000000"/>
              </w:rPr>
            </w:pPr>
            <w:r>
              <w:rPr>
                <w:rFonts w:hint="eastAsia" w:ascii="宋体" w:hAnsi="宋体" w:cs="宋体"/>
                <w:color w:val="000000"/>
              </w:rPr>
              <w:t>采购文件要求</w:t>
            </w:r>
          </w:p>
        </w:tc>
        <w:tc>
          <w:tcPr>
            <w:tcW w:w="1270" w:type="dxa"/>
            <w:vAlign w:val="center"/>
          </w:tcPr>
          <w:p>
            <w:pPr>
              <w:spacing w:line="240" w:lineRule="exact"/>
              <w:jc w:val="center"/>
              <w:rPr>
                <w:rFonts w:ascii="宋体" w:hAnsi="宋体" w:cs="宋体"/>
                <w:color w:val="000000"/>
              </w:rPr>
            </w:pPr>
            <w:r>
              <w:rPr>
                <w:rFonts w:hint="eastAsia" w:ascii="宋体" w:hAnsi="宋体" w:cs="宋体"/>
                <w:color w:val="000000"/>
              </w:rPr>
              <w:t>自查结论</w:t>
            </w:r>
          </w:p>
        </w:tc>
        <w:tc>
          <w:tcPr>
            <w:tcW w:w="2611" w:type="dxa"/>
            <w:vAlign w:val="center"/>
          </w:tcPr>
          <w:p>
            <w:pPr>
              <w:spacing w:line="240" w:lineRule="exact"/>
              <w:jc w:val="center"/>
              <w:rPr>
                <w:rFonts w:ascii="宋体" w:hAnsi="宋体" w:cs="宋体"/>
                <w:color w:val="000000"/>
              </w:rPr>
            </w:pPr>
            <w:r>
              <w:rPr>
                <w:rFonts w:hint="eastAsia" w:ascii="宋体" w:hAnsi="宋体" w:cs="宋体"/>
                <w:color w:val="000000"/>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260" w:hRule="atLeast"/>
          <w:jc w:val="center"/>
        </w:trPr>
        <w:tc>
          <w:tcPr>
            <w:tcW w:w="1149" w:type="dxa"/>
            <w:vMerge w:val="restart"/>
            <w:vAlign w:val="center"/>
          </w:tcPr>
          <w:p>
            <w:pPr>
              <w:spacing w:line="240" w:lineRule="exact"/>
              <w:rPr>
                <w:rFonts w:ascii="宋体" w:hAnsi="宋体" w:cs="宋体"/>
                <w:color w:val="000000"/>
              </w:rPr>
            </w:pPr>
            <w:r>
              <w:rPr>
                <w:rFonts w:hint="eastAsia" w:ascii="宋体" w:hAnsi="宋体" w:cs="宋体"/>
                <w:color w:val="000000"/>
              </w:rPr>
              <w:t>符合</w:t>
            </w:r>
          </w:p>
          <w:p>
            <w:pPr>
              <w:spacing w:line="240" w:lineRule="exact"/>
              <w:rPr>
                <w:rFonts w:ascii="宋体" w:hAnsi="宋体" w:cs="宋体"/>
                <w:color w:val="000000"/>
              </w:rPr>
            </w:pPr>
            <w:r>
              <w:rPr>
                <w:rFonts w:hint="eastAsia" w:ascii="宋体" w:hAnsi="宋体" w:cs="宋体"/>
                <w:color w:val="000000"/>
              </w:rPr>
              <w:t>性审</w:t>
            </w:r>
          </w:p>
          <w:p>
            <w:pPr>
              <w:spacing w:line="240" w:lineRule="exact"/>
              <w:rPr>
                <w:rFonts w:ascii="宋体" w:hAnsi="宋体" w:cs="宋体"/>
                <w:color w:val="000000"/>
              </w:rPr>
            </w:pPr>
            <w:r>
              <w:rPr>
                <w:rFonts w:hint="eastAsia" w:ascii="宋体" w:hAnsi="宋体" w:cs="宋体"/>
                <w:color w:val="000000"/>
              </w:rPr>
              <w:t>查</w:t>
            </w:r>
          </w:p>
        </w:tc>
        <w:tc>
          <w:tcPr>
            <w:tcW w:w="3408" w:type="dxa"/>
            <w:vAlign w:val="center"/>
          </w:tcPr>
          <w:p>
            <w:pPr>
              <w:spacing w:line="240" w:lineRule="exact"/>
              <w:rPr>
                <w:rFonts w:ascii="宋体" w:hAnsi="宋体" w:cs="宋体"/>
                <w:color w:val="000000"/>
              </w:rPr>
            </w:pPr>
            <w:r>
              <w:rPr>
                <w:rFonts w:hint="eastAsia" w:ascii="宋体" w:hAnsi="宋体" w:cs="宋体"/>
                <w:color w:val="000000"/>
              </w:rPr>
              <w:t>1、投标函；</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543"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2、供应商按采购文件要求缴纳投标保证金的；</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669"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3、投标文件完全满足采购文件的实质性条款（即标注★号条款），无负偏离；</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382"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4、按照采购文件规定要求签署、盖章且投标文件有法定代表人签署本人姓名（或印盖本人姓名章），或签署人有法定代表人有效授权书。</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382"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5、投标文件内容不存在采购文件所规定的其它无效投标条款要求；</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382"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6、不存在按有关法律、法规、规章属于投标无效情形的。</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Ex>
        <w:trPr>
          <w:trHeight w:val="382" w:hRule="atLeast"/>
          <w:jc w:val="center"/>
        </w:trPr>
        <w:tc>
          <w:tcPr>
            <w:tcW w:w="1149" w:type="dxa"/>
            <w:vMerge w:val="continue"/>
            <w:vAlign w:val="center"/>
          </w:tcPr>
          <w:p>
            <w:pPr>
              <w:spacing w:line="240" w:lineRule="exact"/>
              <w:rPr>
                <w:rFonts w:ascii="宋体" w:hAnsi="宋体" w:cs="宋体"/>
                <w:color w:val="000000"/>
              </w:rPr>
            </w:pPr>
          </w:p>
        </w:tc>
        <w:tc>
          <w:tcPr>
            <w:tcW w:w="3408" w:type="dxa"/>
            <w:vAlign w:val="center"/>
          </w:tcPr>
          <w:p>
            <w:pPr>
              <w:spacing w:line="240" w:lineRule="exact"/>
              <w:rPr>
                <w:rFonts w:ascii="宋体" w:hAnsi="宋体" w:cs="宋体"/>
                <w:color w:val="000000"/>
              </w:rPr>
            </w:pPr>
            <w:r>
              <w:rPr>
                <w:rFonts w:hint="eastAsia" w:ascii="宋体" w:hAnsi="宋体" w:cs="宋体"/>
                <w:color w:val="000000"/>
              </w:rPr>
              <w:t>7、不存在投标文件的有效期不满足采购文件要求情形</w:t>
            </w:r>
          </w:p>
        </w:tc>
        <w:tc>
          <w:tcPr>
            <w:tcW w:w="1270" w:type="dxa"/>
            <w:vAlign w:val="center"/>
          </w:tcPr>
          <w:p>
            <w:pPr>
              <w:spacing w:line="240" w:lineRule="exact"/>
              <w:rPr>
                <w:rFonts w:ascii="宋体" w:hAnsi="宋体" w:cs="宋体"/>
                <w:color w:val="000000"/>
              </w:rPr>
            </w:pPr>
            <w:r>
              <w:rPr>
                <w:rFonts w:hint="eastAsia" w:ascii="宋体" w:hAnsi="宋体" w:cs="宋体"/>
                <w:color w:val="000000"/>
              </w:rPr>
              <w:t xml:space="preserve">□通过 </w:t>
            </w:r>
          </w:p>
          <w:p>
            <w:pPr>
              <w:spacing w:line="240" w:lineRule="exact"/>
              <w:rPr>
                <w:rFonts w:ascii="宋体" w:hAnsi="宋体" w:cs="宋体"/>
                <w:color w:val="000000"/>
              </w:rPr>
            </w:pPr>
            <w:r>
              <w:rPr>
                <w:rFonts w:hint="eastAsia" w:ascii="宋体" w:hAnsi="宋体" w:cs="宋体"/>
                <w:color w:val="000000"/>
              </w:rPr>
              <w:t>□不通过</w:t>
            </w:r>
          </w:p>
        </w:tc>
        <w:tc>
          <w:tcPr>
            <w:tcW w:w="2611" w:type="dxa"/>
            <w:vAlign w:val="center"/>
          </w:tcPr>
          <w:p>
            <w:pPr>
              <w:spacing w:line="240" w:lineRule="exact"/>
              <w:rPr>
                <w:rFonts w:ascii="宋体" w:hAnsi="宋体" w:cs="宋体"/>
                <w:color w:val="000000"/>
              </w:rPr>
            </w:pPr>
            <w:r>
              <w:rPr>
                <w:rFonts w:hint="eastAsia" w:ascii="宋体" w:hAnsi="宋体" w:cs="宋体"/>
                <w:color w:val="000000"/>
              </w:rPr>
              <w:t>第（ ）页</w:t>
            </w:r>
          </w:p>
        </w:tc>
      </w:tr>
    </w:tbl>
    <w:p>
      <w:pPr>
        <w:snapToGrid w:val="0"/>
        <w:rPr>
          <w:rFonts w:ascii="宋体" w:hAnsi="宋体" w:cs="宋体"/>
          <w:b/>
          <w:color w:val="000000"/>
          <w:szCs w:val="21"/>
        </w:rPr>
      </w:pPr>
      <w:r>
        <w:rPr>
          <w:rFonts w:hint="eastAsia" w:ascii="宋体" w:hAnsi="宋体" w:cs="宋体"/>
          <w:b/>
          <w:color w:val="000000"/>
          <w:szCs w:val="21"/>
        </w:rPr>
        <w:t xml:space="preserve">备注：符合性自查表将作为投标供应商有效性审查的重要内容之一，投标供应商必须严格按照其内容及序列要求在投标文件中对应如实提供，对证明文件的任何缺漏和不符合项将会直接导致投标无效！ </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（2）供应商响应表格式</w:t>
      </w:r>
    </w:p>
    <w:p>
      <w:pPr>
        <w:jc w:val="center"/>
        <w:rPr>
          <w:rFonts w:ascii="宋体" w:hAnsi="宋体" w:cs="宋体"/>
          <w:b/>
          <w:color w:val="000000"/>
          <w:sz w:val="32"/>
          <w:szCs w:val="32"/>
        </w:rPr>
      </w:pPr>
      <w:r>
        <w:rPr>
          <w:rFonts w:hint="eastAsia" w:ascii="宋体" w:hAnsi="宋体" w:cs="宋体"/>
          <w:b/>
          <w:color w:val="000000"/>
          <w:sz w:val="32"/>
          <w:szCs w:val="32"/>
        </w:rPr>
        <w:t>供应商响应表</w:t>
      </w:r>
    </w:p>
    <w:p>
      <w:pPr>
        <w:rPr>
          <w:rFonts w:ascii="宋体" w:hAnsi="宋体" w:cs="宋体"/>
          <w:color w:val="000000"/>
        </w:rPr>
      </w:pP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ascii="宋体" w:hAnsi="宋体" w:cs="宋体"/>
          <w:color w:val="000000"/>
        </w:rPr>
      </w:pPr>
      <w:r>
        <w:rPr>
          <w:rFonts w:hint="eastAsia" w:ascii="宋体" w:hAnsi="宋体" w:cs="宋体"/>
          <w:color w:val="000000"/>
        </w:rPr>
        <w:t>子包号：</w:t>
      </w:r>
    </w:p>
    <w:tbl>
      <w:tblPr>
        <w:tblStyle w:val="53"/>
        <w:tblW w:w="8436" w:type="dxa"/>
        <w:tblInd w:w="93" w:type="dxa"/>
        <w:tblLayout w:type="fixed"/>
        <w:tblCellMar>
          <w:top w:w="0" w:type="dxa"/>
          <w:left w:w="108" w:type="dxa"/>
          <w:bottom w:w="0" w:type="dxa"/>
          <w:right w:w="108" w:type="dxa"/>
        </w:tblCellMar>
      </w:tblPr>
      <w:tblGrid>
        <w:gridCol w:w="574"/>
        <w:gridCol w:w="4942"/>
        <w:gridCol w:w="1460"/>
        <w:gridCol w:w="1460"/>
      </w:tblGrid>
      <w:tr>
        <w:tblPrEx>
          <w:tblLayout w:type="fixed"/>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序号</w:t>
            </w:r>
          </w:p>
        </w:tc>
        <w:tc>
          <w:tcPr>
            <w:tcW w:w="49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评审内容</w:t>
            </w: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自评分</w:t>
            </w: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证明文件</w:t>
            </w:r>
          </w:p>
        </w:tc>
      </w:tr>
      <w:tr>
        <w:tblPrEx>
          <w:tblLayout w:type="fixed"/>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Layout w:type="fixed"/>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Layout w:type="fixed"/>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Layout w:type="fixed"/>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Layout w:type="fixed"/>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Layout w:type="fixed"/>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Layout w:type="fixed"/>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Layout w:type="fixed"/>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Layout w:type="fixed"/>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Layout w:type="fixed"/>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Layout w:type="fixed"/>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r>
        <w:tblPrEx>
          <w:tblLayout w:type="fixed"/>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见（  ）页</w:t>
            </w:r>
          </w:p>
        </w:tc>
      </w:tr>
    </w:tbl>
    <w:p>
      <w:pPr>
        <w:rPr>
          <w:rFonts w:ascii="宋体" w:hAnsi="宋体" w:cs="宋体"/>
          <w:b/>
          <w:color w:val="000000"/>
        </w:rPr>
      </w:pPr>
      <w:r>
        <w:rPr>
          <w:rFonts w:hint="eastAsia" w:ascii="宋体" w:hAnsi="宋体" w:cs="宋体"/>
          <w:b/>
          <w:color w:val="000000"/>
        </w:rPr>
        <w:t>注：根据评分标准内容逐条填写并自行评分。</w:t>
      </w:r>
    </w:p>
    <w:p>
      <w:pPr>
        <w:rPr>
          <w:rFonts w:ascii="宋体" w:hAnsi="宋体" w:cs="宋体"/>
          <w:color w:val="000000"/>
        </w:rPr>
      </w:pPr>
    </w:p>
    <w:p>
      <w:pPr>
        <w:ind w:firstLine="6090" w:firstLineChars="2900"/>
        <w:rPr>
          <w:rFonts w:ascii="宋体" w:hAnsi="宋体" w:cs="宋体"/>
          <w:color w:val="000000"/>
        </w:rPr>
      </w:pPr>
      <w:r>
        <w:rPr>
          <w:rFonts w:hint="eastAsia" w:ascii="宋体" w:hAnsi="宋体" w:cs="宋体"/>
          <w:color w:val="000000"/>
        </w:rPr>
        <w:t>供应商名称：</w:t>
      </w:r>
    </w:p>
    <w:p>
      <w:pPr>
        <w:rPr>
          <w:rFonts w:ascii="宋体" w:hAnsi="宋体" w:cs="宋体"/>
          <w:color w:val="000000"/>
        </w:rPr>
      </w:pPr>
    </w:p>
    <w:p>
      <w:pPr>
        <w:ind w:firstLine="6090" w:firstLineChars="2900"/>
        <w:rPr>
          <w:rFonts w:ascii="宋体" w:hAnsi="宋体" w:cs="宋体"/>
          <w:color w:val="000000"/>
        </w:rPr>
      </w:pPr>
      <w:r>
        <w:rPr>
          <w:rFonts w:hint="eastAsia" w:ascii="宋体" w:hAnsi="宋体" w:cs="宋体"/>
          <w:color w:val="000000"/>
        </w:rPr>
        <w:t>年  月  日</w:t>
      </w:r>
    </w:p>
    <w:p>
      <w:pPr>
        <w:snapToGrid w:val="0"/>
        <w:spacing w:before="120" w:beforeLines="50" w:after="50"/>
        <w:rPr>
          <w:rFonts w:ascii="宋体" w:hAnsi="宋体"/>
          <w:color w:val="000000"/>
          <w:szCs w:val="21"/>
        </w:rPr>
      </w:pPr>
      <w:r>
        <w:rPr>
          <w:rFonts w:ascii="宋体" w:hAnsi="宋体" w:cs="宋体"/>
          <w:b/>
          <w:color w:val="000000"/>
          <w:szCs w:val="21"/>
        </w:rPr>
        <w:br w:type="page"/>
      </w:r>
      <w:r>
        <w:rPr>
          <w:rFonts w:hint="eastAsia" w:ascii="宋体" w:hAnsi="宋体" w:cs="宋体"/>
          <w:b/>
          <w:color w:val="000000"/>
          <w:szCs w:val="21"/>
        </w:rPr>
        <w:t>（3）</w:t>
      </w:r>
      <w:r>
        <w:rPr>
          <w:rFonts w:hint="eastAsia" w:ascii="宋体" w:hAnsi="宋体"/>
          <w:b/>
          <w:bCs/>
          <w:color w:val="000000"/>
          <w:szCs w:val="21"/>
        </w:rPr>
        <w:t>投标函格式</w:t>
      </w:r>
    </w:p>
    <w:p>
      <w:pPr>
        <w:jc w:val="center"/>
        <w:rPr>
          <w:rFonts w:ascii="宋体" w:hAnsi="宋体" w:cs="宋体"/>
          <w:b/>
          <w:color w:val="000000"/>
          <w:sz w:val="32"/>
          <w:szCs w:val="32"/>
        </w:rPr>
      </w:pPr>
      <w:r>
        <w:rPr>
          <w:rFonts w:hint="eastAsia" w:ascii="宋体" w:hAnsi="宋体" w:cs="宋体"/>
          <w:b/>
          <w:color w:val="000000"/>
          <w:sz w:val="32"/>
          <w:szCs w:val="32"/>
        </w:rPr>
        <w:t>投 标 函</w:t>
      </w:r>
    </w:p>
    <w:p>
      <w:pPr>
        <w:snapToGrid w:val="0"/>
        <w:spacing w:before="120" w:beforeLines="50" w:after="50"/>
        <w:jc w:val="center"/>
        <w:rPr>
          <w:rFonts w:ascii="宋体" w:hAnsi="宋体"/>
          <w:b/>
          <w:color w:val="000000"/>
          <w:szCs w:val="21"/>
        </w:rPr>
      </w:pPr>
    </w:p>
    <w:p>
      <w:pPr>
        <w:snapToGrid w:val="0"/>
        <w:spacing w:line="360" w:lineRule="auto"/>
        <w:rPr>
          <w:rFonts w:ascii="宋体" w:hAnsi="宋体"/>
          <w:color w:val="000000"/>
          <w:szCs w:val="21"/>
        </w:rPr>
      </w:pPr>
      <w:r>
        <w:rPr>
          <w:rFonts w:hint="eastAsia" w:ascii="宋体" w:hAnsi="宋体"/>
          <w:color w:val="000000"/>
          <w:szCs w:val="21"/>
        </w:rPr>
        <w:t>致：</w:t>
      </w:r>
      <w:r>
        <w:rPr>
          <w:rFonts w:hint="eastAsia" w:ascii="宋体" w:hAnsi="宋体"/>
          <w:color w:val="000000"/>
          <w:szCs w:val="21"/>
          <w:u w:val="single"/>
        </w:rPr>
        <w:t xml:space="preserve">                  </w:t>
      </w:r>
      <w:r>
        <w:rPr>
          <w:rFonts w:hint="eastAsia" w:ascii="宋体" w:hAnsi="宋体"/>
          <w:color w:val="000000"/>
          <w:szCs w:val="21"/>
        </w:rPr>
        <w:t>（招标采购单位名称）：</w:t>
      </w:r>
    </w:p>
    <w:p>
      <w:pPr>
        <w:snapToGrid w:val="0"/>
        <w:spacing w:line="360" w:lineRule="auto"/>
        <w:ind w:firstLine="480"/>
        <w:rPr>
          <w:rFonts w:ascii="宋体" w:hAnsi="宋体"/>
          <w:color w:val="000000"/>
          <w:szCs w:val="21"/>
        </w:rPr>
      </w:pPr>
      <w:r>
        <w:rPr>
          <w:rFonts w:hint="eastAsia" w:ascii="宋体" w:hAnsi="宋体"/>
          <w:color w:val="000000"/>
          <w:szCs w:val="21"/>
        </w:rPr>
        <w:t>根据贵方为</w:t>
      </w:r>
      <w:r>
        <w:rPr>
          <w:rFonts w:ascii="宋体" w:hAnsi="宋体"/>
          <w:color w:val="000000"/>
          <w:szCs w:val="21"/>
          <w:u w:val="single"/>
        </w:rPr>
        <w:t xml:space="preserve">                       </w:t>
      </w:r>
      <w:r>
        <w:rPr>
          <w:rFonts w:hint="eastAsia" w:ascii="宋体" w:hAnsi="宋体"/>
          <w:color w:val="000000"/>
          <w:szCs w:val="21"/>
        </w:rPr>
        <w:t>项目的采购公告</w:t>
      </w:r>
      <w:r>
        <w:rPr>
          <w:rFonts w:ascii="宋体" w:hAnsi="宋体"/>
          <w:color w:val="000000"/>
          <w:szCs w:val="21"/>
        </w:rPr>
        <w:t>/</w:t>
      </w:r>
      <w:r>
        <w:rPr>
          <w:rFonts w:hint="eastAsia" w:ascii="宋体" w:hAnsi="宋体"/>
          <w:color w:val="000000"/>
          <w:szCs w:val="21"/>
        </w:rPr>
        <w:t>投标邀请书（项目编号：</w:t>
      </w:r>
      <w:r>
        <w:rPr>
          <w:rFonts w:hint="eastAsia" w:ascii="宋体" w:hAnsi="宋体"/>
          <w:color w:val="000000"/>
          <w:szCs w:val="21"/>
          <w:u w:val="single"/>
        </w:rPr>
        <w:t xml:space="preserve">        </w:t>
      </w:r>
      <w:r>
        <w:rPr>
          <w:rFonts w:hint="eastAsia" w:ascii="宋体" w:hAnsi="宋体"/>
          <w:color w:val="000000"/>
          <w:szCs w:val="21"/>
        </w:rPr>
        <w:t>，子包号：</w:t>
      </w:r>
      <w:r>
        <w:rPr>
          <w:rFonts w:hint="eastAsia" w:ascii="宋体" w:hAnsi="宋体"/>
          <w:color w:val="000000"/>
          <w:szCs w:val="21"/>
          <w:u w:val="single"/>
        </w:rPr>
        <w:t xml:space="preserve">    </w:t>
      </w:r>
      <w:r>
        <w:rPr>
          <w:rFonts w:hint="eastAsia" w:ascii="宋体" w:hAnsi="宋体"/>
          <w:color w:val="000000"/>
          <w:szCs w:val="21"/>
        </w:rPr>
        <w:t>），签字代表</w:t>
      </w:r>
      <w:r>
        <w:rPr>
          <w:rFonts w:hint="eastAsia" w:ascii="宋体" w:hAnsi="宋体"/>
          <w:color w:val="000000"/>
          <w:szCs w:val="21"/>
          <w:u w:val="single"/>
        </w:rPr>
        <w:t xml:space="preserve">         </w:t>
      </w:r>
      <w:r>
        <w:rPr>
          <w:rFonts w:hint="eastAsia" w:ascii="宋体" w:hAnsi="宋体"/>
          <w:color w:val="000000"/>
          <w:szCs w:val="21"/>
        </w:rPr>
        <w:t>（全名）经正式授权并代表供应商</w:t>
      </w:r>
      <w:r>
        <w:rPr>
          <w:rFonts w:ascii="宋体" w:hAnsi="宋体"/>
          <w:color w:val="000000"/>
          <w:szCs w:val="21"/>
          <w:u w:val="single"/>
        </w:rPr>
        <w:t xml:space="preserve"> </w:t>
      </w:r>
      <w:r>
        <w:rPr>
          <w:rFonts w:hint="eastAsia" w:ascii="宋体" w:hAnsi="宋体"/>
          <w:color w:val="000000"/>
          <w:szCs w:val="21"/>
          <w:u w:val="single"/>
        </w:rPr>
        <w:t xml:space="preserve">           </w:t>
      </w:r>
      <w:r>
        <w:rPr>
          <w:rFonts w:hint="eastAsia" w:ascii="宋体" w:hAnsi="宋体"/>
          <w:color w:val="000000"/>
          <w:szCs w:val="21"/>
        </w:rPr>
        <w:t>（供应商名称）提交投标文件。</w:t>
      </w:r>
    </w:p>
    <w:p>
      <w:pPr>
        <w:snapToGrid w:val="0"/>
        <w:spacing w:line="360" w:lineRule="auto"/>
        <w:ind w:firstLine="420" w:firstLineChars="200"/>
        <w:rPr>
          <w:rFonts w:ascii="宋体" w:hAnsi="宋体"/>
          <w:color w:val="000000"/>
          <w:szCs w:val="21"/>
        </w:rPr>
      </w:pPr>
      <w:r>
        <w:rPr>
          <w:rFonts w:hint="eastAsia" w:ascii="宋体" w:hAnsi="宋体"/>
          <w:color w:val="000000"/>
          <w:szCs w:val="21"/>
        </w:rPr>
        <w:t>据此函，签字代表宣布同意如下：</w:t>
      </w:r>
    </w:p>
    <w:p>
      <w:pPr>
        <w:snapToGrid w:val="0"/>
        <w:spacing w:line="360" w:lineRule="auto"/>
        <w:ind w:firstLine="420" w:firstLineChars="200"/>
        <w:rPr>
          <w:rFonts w:ascii="宋体" w:hAnsi="宋体"/>
          <w:color w:val="000000"/>
          <w:szCs w:val="21"/>
        </w:rPr>
      </w:pPr>
      <w:r>
        <w:rPr>
          <w:rFonts w:ascii="宋体" w:hAnsi="宋体"/>
          <w:color w:val="000000"/>
          <w:szCs w:val="21"/>
        </w:rPr>
        <w:t>1</w:t>
      </w:r>
      <w:r>
        <w:rPr>
          <w:rFonts w:hint="eastAsia" w:ascii="宋体" w:hAnsi="宋体"/>
          <w:color w:val="000000"/>
          <w:szCs w:val="21"/>
        </w:rPr>
        <w:t>.供应商已详细审查全部“采购文件”，包括修改文件（如有的话）以及全部参考资料和有关附件，已经了解我方对于采购文件、采购过程、采购结果有依法进行询问、质疑、投诉的权利及相关渠道和要求。</w:t>
      </w:r>
    </w:p>
    <w:p>
      <w:pPr>
        <w:snapToGrid w:val="0"/>
        <w:spacing w:line="360" w:lineRule="auto"/>
        <w:ind w:firstLine="420" w:firstLineChars="200"/>
        <w:rPr>
          <w:rFonts w:ascii="宋体" w:hAnsi="宋体"/>
          <w:color w:val="000000"/>
          <w:szCs w:val="21"/>
        </w:rPr>
      </w:pPr>
      <w:r>
        <w:rPr>
          <w:rFonts w:ascii="宋体" w:hAnsi="宋体"/>
          <w:color w:val="000000"/>
          <w:szCs w:val="21"/>
        </w:rPr>
        <w:t>2</w:t>
      </w:r>
      <w:r>
        <w:rPr>
          <w:rFonts w:hint="eastAsia" w:ascii="宋体" w:hAnsi="宋体"/>
          <w:color w:val="000000"/>
          <w:szCs w:val="21"/>
        </w:rPr>
        <w:t>.供应商在投标之前已经与贵方进行了充分的沟通，完全理解并接受采购文件的各项规定和要求，对采购文件的合理性、合法性不再有异议。</w:t>
      </w:r>
    </w:p>
    <w:p>
      <w:pPr>
        <w:snapToGrid w:val="0"/>
        <w:spacing w:line="360" w:lineRule="auto"/>
        <w:ind w:firstLine="420" w:firstLineChars="200"/>
        <w:rPr>
          <w:rFonts w:ascii="宋体" w:hAnsi="宋体"/>
          <w:color w:val="000000"/>
          <w:szCs w:val="21"/>
        </w:rPr>
      </w:pPr>
      <w:r>
        <w:rPr>
          <w:rFonts w:ascii="宋体" w:hAnsi="宋体"/>
          <w:color w:val="000000"/>
          <w:szCs w:val="21"/>
        </w:rPr>
        <w:t>3</w:t>
      </w:r>
      <w:r>
        <w:rPr>
          <w:rFonts w:hint="eastAsia" w:ascii="宋体" w:hAnsi="宋体"/>
          <w:color w:val="000000"/>
          <w:szCs w:val="21"/>
        </w:rPr>
        <w:t>.本投标有效期自开标日起90个日历日。</w:t>
      </w:r>
    </w:p>
    <w:p>
      <w:pPr>
        <w:snapToGri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.如中标，本投标文件至本项目合同履行完毕止均保持有效，本供应商将按“采购文件”及政府采购法律、法规的规定履行合同责任和义务。</w:t>
      </w:r>
    </w:p>
    <w:p>
      <w:pPr>
        <w:snapToGrid w:val="0"/>
        <w:spacing w:line="360" w:lineRule="auto"/>
        <w:ind w:firstLine="420" w:firstLineChars="200"/>
        <w:rPr>
          <w:rFonts w:ascii="宋体" w:hAnsi="宋体"/>
          <w:szCs w:val="21"/>
        </w:rPr>
      </w:pPr>
      <w:r>
        <w:rPr>
          <w:rFonts w:ascii="宋体" w:hAnsi="宋体"/>
          <w:szCs w:val="21"/>
        </w:rPr>
        <w:t>5</w:t>
      </w:r>
      <w:r>
        <w:rPr>
          <w:rFonts w:hint="eastAsia" w:ascii="宋体" w:hAnsi="宋体"/>
          <w:szCs w:val="21"/>
        </w:rPr>
        <w:t>.供应商同意按照贵方要求提供与投标有关的一切数据或资料。</w:t>
      </w:r>
    </w:p>
    <w:p>
      <w:pPr>
        <w:snapToGrid w:val="0"/>
        <w:spacing w:line="360" w:lineRule="auto"/>
        <w:ind w:firstLine="420" w:firstLineChars="200"/>
        <w:rPr>
          <w:rFonts w:ascii="宋体" w:hAnsi="宋体" w:cs="宋体"/>
          <w:lang w:val="zh-CN"/>
        </w:rPr>
      </w:pPr>
      <w:r>
        <w:rPr>
          <w:rFonts w:hint="eastAsia" w:ascii="宋体" w:hAnsi="宋体"/>
          <w:szCs w:val="21"/>
        </w:rPr>
        <w:t>6.</w:t>
      </w:r>
      <w:r>
        <w:rPr>
          <w:rFonts w:hint="eastAsia" w:ascii="宋体" w:hAnsi="宋体" w:cs="宋体"/>
          <w:lang w:val="zh-CN"/>
        </w:rPr>
        <w:t>我们郑重声明：本投标文件提供的情况和文件完全是真实的。</w:t>
      </w:r>
    </w:p>
    <w:p>
      <w:pPr>
        <w:snapToGrid w:val="0"/>
        <w:spacing w:line="360" w:lineRule="auto"/>
        <w:ind w:firstLine="420" w:firstLineChars="200"/>
        <w:rPr>
          <w:rFonts w:ascii="宋体" w:hAnsi="宋体" w:cs="宋体"/>
          <w:szCs w:val="21"/>
          <w:lang w:val="zh-CN"/>
        </w:rPr>
      </w:pPr>
      <w:r>
        <w:rPr>
          <w:rFonts w:hint="eastAsia" w:ascii="宋体" w:hAnsi="宋体" w:cs="宋体"/>
          <w:szCs w:val="21"/>
        </w:rPr>
        <w:t>7.</w:t>
      </w:r>
      <w:r>
        <w:rPr>
          <w:rFonts w:hint="eastAsia" w:ascii="宋体" w:hAnsi="宋体" w:cs="宋体"/>
          <w:szCs w:val="21"/>
          <w:lang w:val="zh-CN"/>
        </w:rPr>
        <w:t>按照</w:t>
      </w:r>
      <w:r>
        <w:rPr>
          <w:rFonts w:hint="eastAsia" w:ascii="宋体" w:hAnsi="宋体" w:cs="宋体"/>
          <w:szCs w:val="21"/>
        </w:rPr>
        <w:t>采购</w:t>
      </w:r>
      <w:r>
        <w:rPr>
          <w:rFonts w:hint="eastAsia" w:ascii="宋体" w:hAnsi="宋体" w:cs="宋体"/>
          <w:szCs w:val="21"/>
          <w:lang w:val="zh-CN"/>
        </w:rPr>
        <w:t>文件的规定，在中标后向</w:t>
      </w:r>
      <w:r>
        <w:rPr>
          <w:rFonts w:hint="eastAsia" w:ascii="宋体" w:hAnsi="宋体" w:cs="宋体"/>
          <w:szCs w:val="21"/>
        </w:rPr>
        <w:t>采购代理机构</w:t>
      </w:r>
      <w:r>
        <w:rPr>
          <w:rFonts w:hint="eastAsia" w:ascii="宋体" w:hAnsi="宋体" w:cs="宋体"/>
          <w:szCs w:val="21"/>
          <w:lang w:val="zh-CN"/>
        </w:rPr>
        <w:t>一次性支付招标代理费。</w:t>
      </w:r>
    </w:p>
    <w:p>
      <w:pPr>
        <w:snapToGrid w:val="0"/>
        <w:spacing w:line="360" w:lineRule="auto"/>
        <w:ind w:firstLine="420" w:firstLineChars="200"/>
        <w:rPr>
          <w:rFonts w:ascii="宋体" w:hAnsi="宋体"/>
          <w:szCs w:val="21"/>
        </w:rPr>
      </w:pPr>
      <w:r>
        <w:rPr>
          <w:rFonts w:hint="eastAsia" w:ascii="宋体" w:hAnsi="宋体"/>
          <w:szCs w:val="21"/>
        </w:rPr>
        <w:t>8.与本投标有关的一切正式往来信函请寄：</w:t>
      </w:r>
    </w:p>
    <w:p>
      <w:pPr>
        <w:snapToGrid w:val="0"/>
        <w:spacing w:line="360" w:lineRule="auto"/>
        <w:rPr>
          <w:rFonts w:ascii="宋体" w:hAnsi="宋体"/>
          <w:color w:val="000000"/>
          <w:szCs w:val="21"/>
        </w:rPr>
      </w:pPr>
      <w:r>
        <w:rPr>
          <w:rFonts w:hint="eastAsia" w:ascii="宋体" w:hAnsi="宋体"/>
          <w:color w:val="000000"/>
          <w:szCs w:val="21"/>
        </w:rPr>
        <w:t>地址：</w:t>
      </w:r>
      <w:r>
        <w:rPr>
          <w:rFonts w:hint="eastAsia" w:ascii="宋体" w:hAnsi="宋体"/>
          <w:color w:val="000000"/>
          <w:szCs w:val="21"/>
          <w:u w:val="single"/>
        </w:rPr>
        <w:t xml:space="preserve">                      </w:t>
      </w:r>
      <w:r>
        <w:rPr>
          <w:rFonts w:hint="eastAsia" w:ascii="宋体" w:hAnsi="宋体"/>
          <w:color w:val="000000"/>
          <w:szCs w:val="21"/>
        </w:rPr>
        <w:t>邮编：</w:t>
      </w:r>
      <w:r>
        <w:rPr>
          <w:rFonts w:ascii="宋体" w:hAnsi="宋体"/>
          <w:color w:val="000000"/>
          <w:szCs w:val="21"/>
        </w:rPr>
        <w:t xml:space="preserve">__________   </w:t>
      </w:r>
      <w:r>
        <w:rPr>
          <w:rFonts w:hint="eastAsia" w:ascii="宋体" w:hAnsi="宋体"/>
          <w:color w:val="000000"/>
          <w:szCs w:val="21"/>
        </w:rPr>
        <w:t>电话：</w:t>
      </w:r>
      <w:r>
        <w:rPr>
          <w:rFonts w:ascii="宋体" w:hAnsi="宋体"/>
          <w:color w:val="000000"/>
          <w:szCs w:val="21"/>
        </w:rPr>
        <w:t>______________</w:t>
      </w:r>
    </w:p>
    <w:p>
      <w:pPr>
        <w:snapToGrid w:val="0"/>
        <w:spacing w:line="360" w:lineRule="auto"/>
        <w:rPr>
          <w:rFonts w:ascii="宋体" w:hAnsi="宋体"/>
          <w:color w:val="000000"/>
          <w:szCs w:val="21"/>
        </w:rPr>
      </w:pPr>
      <w:r>
        <w:rPr>
          <w:rFonts w:hint="eastAsia" w:ascii="宋体" w:hAnsi="宋体"/>
          <w:color w:val="000000"/>
          <w:szCs w:val="21"/>
        </w:rPr>
        <w:t>传真：</w:t>
      </w:r>
      <w:r>
        <w:rPr>
          <w:rFonts w:ascii="宋体" w:hAnsi="宋体"/>
          <w:color w:val="000000"/>
          <w:szCs w:val="21"/>
        </w:rPr>
        <w:t>______________</w:t>
      </w:r>
      <w:r>
        <w:rPr>
          <w:rFonts w:hint="eastAsia" w:ascii="宋体" w:hAnsi="宋体"/>
          <w:color w:val="000000"/>
          <w:szCs w:val="21"/>
        </w:rPr>
        <w:t>供应商代表姓名</w:t>
      </w:r>
      <w:r>
        <w:rPr>
          <w:rFonts w:ascii="宋体" w:hAnsi="宋体"/>
          <w:color w:val="000000"/>
          <w:szCs w:val="21"/>
        </w:rPr>
        <w:t xml:space="preserve"> ___________  </w:t>
      </w:r>
      <w:r>
        <w:rPr>
          <w:rFonts w:hint="eastAsia" w:ascii="宋体" w:hAnsi="宋体"/>
          <w:color w:val="000000"/>
          <w:szCs w:val="21"/>
        </w:rPr>
        <w:t>职务：</w:t>
      </w:r>
      <w:r>
        <w:rPr>
          <w:rFonts w:ascii="宋体" w:hAnsi="宋体"/>
          <w:color w:val="000000"/>
          <w:szCs w:val="21"/>
        </w:rPr>
        <w:t>______</w:t>
      </w:r>
      <w:r>
        <w:rPr>
          <w:rFonts w:ascii="宋体" w:hAnsi="宋体"/>
          <w:color w:val="000000"/>
          <w:szCs w:val="21"/>
          <w:u w:val="single"/>
        </w:rPr>
        <w:t xml:space="preserve"> </w:t>
      </w:r>
      <w:r>
        <w:rPr>
          <w:rFonts w:ascii="宋体" w:hAnsi="宋体"/>
          <w:color w:val="000000"/>
          <w:szCs w:val="21"/>
        </w:rPr>
        <w:t>_______</w:t>
      </w:r>
    </w:p>
    <w:p>
      <w:pPr>
        <w:snapToGrid w:val="0"/>
        <w:spacing w:line="360" w:lineRule="auto"/>
        <w:rPr>
          <w:rFonts w:ascii="宋体" w:hAnsi="宋体"/>
          <w:color w:val="000000"/>
          <w:szCs w:val="21"/>
        </w:rPr>
      </w:pPr>
      <w:r>
        <w:rPr>
          <w:rFonts w:hint="eastAsia" w:ascii="宋体" w:hAnsi="宋体"/>
          <w:color w:val="000000"/>
          <w:szCs w:val="21"/>
        </w:rPr>
        <w:t>供应商名称</w:t>
      </w:r>
      <w:r>
        <w:rPr>
          <w:rFonts w:ascii="宋体" w:hAnsi="宋体"/>
          <w:color w:val="000000"/>
          <w:szCs w:val="21"/>
        </w:rPr>
        <w:t>(</w:t>
      </w:r>
      <w:r>
        <w:rPr>
          <w:rFonts w:hint="eastAsia" w:ascii="宋体" w:hAnsi="宋体"/>
          <w:color w:val="000000"/>
          <w:szCs w:val="21"/>
        </w:rPr>
        <w:t>公章</w:t>
      </w:r>
      <w:r>
        <w:rPr>
          <w:rFonts w:ascii="宋体" w:hAnsi="宋体"/>
          <w:color w:val="000000"/>
          <w:szCs w:val="21"/>
        </w:rPr>
        <w:t>):___________________</w:t>
      </w:r>
    </w:p>
    <w:p>
      <w:pPr>
        <w:snapToGrid w:val="0"/>
        <w:spacing w:line="360" w:lineRule="auto"/>
        <w:rPr>
          <w:rFonts w:ascii="宋体" w:hAnsi="宋体"/>
          <w:color w:val="000000"/>
          <w:szCs w:val="21"/>
        </w:rPr>
      </w:pPr>
      <w:r>
        <w:rPr>
          <w:rFonts w:hint="eastAsia" w:ascii="宋体" w:hAnsi="宋体"/>
          <w:color w:val="000000"/>
          <w:szCs w:val="21"/>
        </w:rPr>
        <w:t>开户银行：</w:t>
      </w:r>
      <w:r>
        <w:rPr>
          <w:rFonts w:ascii="宋体" w:hAnsi="宋体"/>
          <w:color w:val="000000"/>
          <w:szCs w:val="21"/>
          <w:u w:val="single"/>
        </w:rPr>
        <w:t xml:space="preserve">                      </w:t>
      </w:r>
      <w:r>
        <w:rPr>
          <w:rFonts w:ascii="宋体" w:hAnsi="宋体"/>
          <w:color w:val="000000"/>
          <w:szCs w:val="21"/>
        </w:rPr>
        <w:t xml:space="preserve">   </w:t>
      </w:r>
      <w:r>
        <w:rPr>
          <w:rFonts w:hint="eastAsia" w:ascii="宋体" w:hAnsi="宋体"/>
          <w:color w:val="000000"/>
          <w:szCs w:val="21"/>
        </w:rPr>
        <w:t>银行帐号：</w:t>
      </w:r>
      <w:r>
        <w:rPr>
          <w:rFonts w:ascii="宋体" w:hAnsi="宋体"/>
          <w:color w:val="000000"/>
          <w:szCs w:val="21"/>
          <w:u w:val="single"/>
        </w:rPr>
        <w:t xml:space="preserve">                    </w:t>
      </w:r>
      <w:r>
        <w:rPr>
          <w:rFonts w:ascii="宋体" w:hAnsi="宋体"/>
          <w:color w:val="000000"/>
          <w:szCs w:val="21"/>
        </w:rPr>
        <w:t xml:space="preserve"> </w:t>
      </w:r>
    </w:p>
    <w:p>
      <w:pPr>
        <w:snapToGrid w:val="0"/>
        <w:spacing w:before="50" w:after="120" w:afterLines="50"/>
        <w:rPr>
          <w:rFonts w:ascii="宋体" w:hAnsi="宋体"/>
          <w:color w:val="000000"/>
          <w:szCs w:val="21"/>
        </w:rPr>
      </w:pPr>
      <w:r>
        <w:rPr>
          <w:rFonts w:hint="eastAsia" w:ascii="宋体" w:hAnsi="宋体"/>
          <w:color w:val="000000"/>
          <w:szCs w:val="21"/>
        </w:rPr>
        <w:t>授权代表</w:t>
      </w:r>
      <w:r>
        <w:rPr>
          <w:rFonts w:hint="eastAsia" w:ascii="宋体" w:hAnsi="宋体" w:cs="宋体"/>
          <w:color w:val="000000"/>
        </w:rPr>
        <w:t>（签名或印章）</w:t>
      </w:r>
      <w:r>
        <w:rPr>
          <w:rFonts w:ascii="宋体" w:hAnsi="宋体"/>
          <w:color w:val="000000"/>
          <w:szCs w:val="21"/>
        </w:rPr>
        <w:t xml:space="preserve">:___________                      </w:t>
      </w:r>
      <w:r>
        <w:rPr>
          <w:rFonts w:hint="eastAsia" w:ascii="宋体" w:hAnsi="宋体"/>
          <w:color w:val="000000"/>
          <w:szCs w:val="21"/>
        </w:rPr>
        <w:t>日期</w:t>
      </w:r>
      <w:r>
        <w:rPr>
          <w:rFonts w:ascii="宋体" w:hAnsi="宋体"/>
          <w:color w:val="000000"/>
          <w:szCs w:val="21"/>
        </w:rPr>
        <w:t>:_____</w:t>
      </w:r>
      <w:r>
        <w:rPr>
          <w:rFonts w:hint="eastAsia" w:ascii="宋体" w:hAnsi="宋体"/>
          <w:color w:val="000000"/>
          <w:szCs w:val="21"/>
        </w:rPr>
        <w:t>年</w:t>
      </w:r>
      <w:r>
        <w:rPr>
          <w:rFonts w:ascii="宋体" w:hAnsi="宋体"/>
          <w:color w:val="000000"/>
          <w:szCs w:val="21"/>
        </w:rPr>
        <w:t>___</w:t>
      </w:r>
      <w:r>
        <w:rPr>
          <w:rFonts w:hint="eastAsia" w:ascii="宋体" w:hAnsi="宋体"/>
          <w:color w:val="000000"/>
          <w:szCs w:val="21"/>
        </w:rPr>
        <w:t>月</w:t>
      </w:r>
      <w:r>
        <w:rPr>
          <w:rFonts w:ascii="宋体" w:hAnsi="宋体"/>
          <w:color w:val="000000"/>
          <w:szCs w:val="21"/>
        </w:rPr>
        <w:t>___</w:t>
      </w:r>
      <w:r>
        <w:rPr>
          <w:rFonts w:hint="eastAsia" w:ascii="宋体" w:hAnsi="宋体"/>
          <w:color w:val="000000"/>
          <w:szCs w:val="21"/>
        </w:rPr>
        <w:t>日</w:t>
      </w:r>
    </w:p>
    <w:p>
      <w:pPr>
        <w:widowControl/>
        <w:jc w:val="left"/>
        <w:rPr>
          <w:rFonts w:ascii="宋体" w:hAnsi="宋体" w:cs="宋体"/>
          <w:b/>
          <w:color w:val="000000"/>
          <w:szCs w:val="21"/>
        </w:rPr>
      </w:pPr>
    </w:p>
    <w:p>
      <w:pPr>
        <w:snapToGrid w:val="0"/>
        <w:rPr>
          <w:rFonts w:ascii="宋体" w:hAnsi="宋体" w:cs="宋体"/>
          <w:b/>
          <w:color w:val="000000"/>
          <w:szCs w:val="21"/>
        </w:rPr>
      </w:pPr>
      <w:r>
        <w:rPr>
          <w:rFonts w:ascii="宋体" w:hAnsi="宋体" w:cs="宋体"/>
          <w:b/>
          <w:color w:val="000000"/>
          <w:szCs w:val="21"/>
        </w:rPr>
        <w:br w:type="page"/>
      </w:r>
      <w:r>
        <w:rPr>
          <w:rFonts w:hint="eastAsia" w:ascii="宋体" w:hAnsi="宋体" w:cs="宋体"/>
          <w:b/>
          <w:color w:val="000000"/>
          <w:szCs w:val="21"/>
        </w:rPr>
        <w:t>（4）法定代表人身份证明格式</w:t>
      </w:r>
    </w:p>
    <w:p>
      <w:pPr>
        <w:jc w:val="center"/>
        <w:rPr>
          <w:rFonts w:ascii="宋体" w:hAnsi="宋体" w:cs="宋体"/>
          <w:b/>
          <w:color w:val="000000"/>
          <w:sz w:val="32"/>
          <w:szCs w:val="32"/>
        </w:rPr>
      </w:pPr>
    </w:p>
    <w:p>
      <w:pPr>
        <w:jc w:val="center"/>
        <w:rPr>
          <w:rFonts w:ascii="宋体" w:hAnsi="宋体" w:cs="宋体"/>
          <w:b/>
          <w:color w:val="000000"/>
          <w:sz w:val="32"/>
          <w:szCs w:val="32"/>
        </w:rPr>
      </w:pPr>
      <w:r>
        <w:rPr>
          <w:rFonts w:hint="eastAsia" w:ascii="宋体" w:hAnsi="宋体" w:cs="宋体"/>
          <w:b/>
          <w:color w:val="000000"/>
          <w:sz w:val="32"/>
          <w:szCs w:val="32"/>
        </w:rPr>
        <w:t>法定代表人身份证明</w:t>
      </w:r>
    </w:p>
    <w:p>
      <w:pPr>
        <w:spacing w:line="480" w:lineRule="auto"/>
        <w:ind w:firstLine="420" w:firstLineChars="200"/>
        <w:rPr>
          <w:rFonts w:ascii="宋体" w:hAnsi="宋体" w:cs="宋体"/>
          <w:color w:val="000000"/>
          <w:szCs w:val="21"/>
        </w:rPr>
      </w:pPr>
    </w:p>
    <w:p>
      <w:pPr>
        <w:spacing w:line="480" w:lineRule="auto"/>
        <w:ind w:firstLine="420" w:firstLineChars="200"/>
        <w:rPr>
          <w:rFonts w:ascii="宋体" w:hAnsi="宋体" w:cs="宋体"/>
          <w:color w:val="000000"/>
          <w:szCs w:val="21"/>
        </w:rPr>
      </w:pPr>
      <w:r>
        <w:rPr>
          <w:rFonts w:hint="eastAsia" w:ascii="宋体" w:hAnsi="宋体" w:cs="宋体"/>
          <w:color w:val="000000"/>
          <w:szCs w:val="21"/>
        </w:rPr>
        <w:t>供应商名称：</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单位性质：</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经营期限：</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周岁  </w:t>
      </w: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ascii="宋体" w:hAnsi="宋体" w:cs="宋体"/>
          <w:color w:val="000000"/>
          <w:szCs w:val="21"/>
        </w:rPr>
        <w:t>_</w:t>
      </w:r>
    </w:p>
    <w:p>
      <w:pPr>
        <w:spacing w:line="480" w:lineRule="auto"/>
        <w:ind w:firstLine="420" w:firstLineChars="200"/>
        <w:rPr>
          <w:rFonts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p>
    <w:p>
      <w:pPr>
        <w:spacing w:line="480" w:lineRule="auto"/>
        <w:ind w:firstLine="420" w:firstLineChars="200"/>
        <w:rPr>
          <w:rFonts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（供应商名称）的法定代表人。</w:t>
      </w:r>
    </w:p>
    <w:p>
      <w:pPr>
        <w:spacing w:line="480" w:lineRule="auto"/>
        <w:ind w:firstLine="840" w:firstLineChars="400"/>
        <w:rPr>
          <w:rFonts w:ascii="宋体" w:hAnsi="宋体" w:cs="宋体"/>
          <w:color w:val="000000"/>
          <w:szCs w:val="21"/>
        </w:rPr>
      </w:pPr>
      <w:r>
        <w:rPr>
          <w:rFonts w:hint="eastAsia" w:ascii="宋体" w:hAnsi="宋体" w:cs="宋体"/>
          <w:color w:val="000000"/>
          <w:szCs w:val="21"/>
        </w:rPr>
        <w:t>特此证明。</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wordWrap w:val="0"/>
        <w:spacing w:line="360" w:lineRule="auto"/>
        <w:jc w:val="right"/>
        <w:rPr>
          <w:rFonts w:ascii="宋体" w:hAnsi="宋体" w:cs="宋体"/>
          <w:color w:val="000000"/>
          <w:szCs w:val="21"/>
        </w:rPr>
      </w:pPr>
      <w:r>
        <w:rPr>
          <w:rFonts w:hint="eastAsia" w:ascii="宋体" w:hAnsi="宋体" w:cs="宋体"/>
          <w:color w:val="000000"/>
          <w:szCs w:val="21"/>
        </w:rPr>
        <w:t>供应商：</w:t>
      </w:r>
      <w:r>
        <w:rPr>
          <w:rFonts w:hint="eastAsia" w:ascii="宋体" w:hAnsi="宋体" w:cs="宋体"/>
          <w:color w:val="000000"/>
          <w:szCs w:val="21"/>
          <w:u w:val="single"/>
        </w:rPr>
        <w:t xml:space="preserve">                                </w:t>
      </w:r>
      <w:r>
        <w:rPr>
          <w:rFonts w:hint="eastAsia" w:ascii="宋体" w:hAnsi="宋体" w:cs="宋体"/>
          <w:color w:val="000000"/>
          <w:szCs w:val="21"/>
        </w:rPr>
        <w:t>（盖单位公章）</w:t>
      </w:r>
    </w:p>
    <w:p>
      <w:pPr>
        <w:spacing w:line="360" w:lineRule="auto"/>
        <w:ind w:firstLine="4515" w:firstLineChars="2150"/>
        <w:rPr>
          <w:rFonts w:ascii="宋体" w:hAnsi="宋体" w:cs="宋体"/>
          <w:color w:val="000000"/>
          <w:szCs w:val="21"/>
          <w:u w:val="single"/>
        </w:rPr>
      </w:pPr>
    </w:p>
    <w:p>
      <w:pPr>
        <w:spacing w:line="360" w:lineRule="auto"/>
        <w:ind w:firstLine="3675" w:firstLineChars="1750"/>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spacing w:line="360" w:lineRule="auto"/>
        <w:rPr>
          <w:rFonts w:ascii="宋体" w:hAnsi="宋体" w:cs="宋体"/>
          <w:color w:val="000000"/>
          <w:sz w:val="24"/>
        </w:rPr>
      </w:pP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t>附法定代表人身份证复印件（正反面）：</w:t>
      </w:r>
    </w:p>
    <w:p>
      <w:pPr>
        <w:jc w:val="center"/>
        <w:rPr>
          <w:rFonts w:ascii="宋体" w:hAnsi="宋体" w:cs="宋体"/>
          <w:b/>
          <w:color w:val="000000"/>
          <w:szCs w:val="21"/>
        </w:rPr>
      </w:pPr>
      <w:r>
        <w:rPr>
          <w:rFonts w:hint="eastAsia"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（5）法定代表人授权委托书格式</w:t>
      </w:r>
    </w:p>
    <w:p>
      <w:pPr>
        <w:jc w:val="center"/>
        <w:rPr>
          <w:rFonts w:ascii="宋体" w:hAnsi="宋体" w:cs="宋体"/>
          <w:b/>
          <w:color w:val="000000"/>
          <w:szCs w:val="21"/>
        </w:rPr>
      </w:pPr>
    </w:p>
    <w:p>
      <w:pPr>
        <w:jc w:val="center"/>
        <w:rPr>
          <w:rFonts w:ascii="宋体" w:hAnsi="宋体" w:cs="宋体"/>
          <w:b/>
          <w:color w:val="000000"/>
          <w:sz w:val="32"/>
          <w:szCs w:val="32"/>
        </w:rPr>
      </w:pPr>
      <w:r>
        <w:rPr>
          <w:rFonts w:hint="eastAsia" w:ascii="宋体" w:hAnsi="宋体" w:cs="宋体"/>
          <w:b/>
          <w:color w:val="000000"/>
          <w:sz w:val="32"/>
          <w:szCs w:val="32"/>
        </w:rPr>
        <w:t>法定代表人授权委托书</w:t>
      </w:r>
    </w:p>
    <w:p>
      <w:pPr>
        <w:jc w:val="center"/>
        <w:rPr>
          <w:rFonts w:ascii="宋体" w:hAnsi="宋体" w:cs="宋体"/>
          <w:b/>
          <w:color w:val="000000"/>
          <w:sz w:val="32"/>
          <w:szCs w:val="32"/>
        </w:rPr>
      </w:pPr>
      <w:r>
        <w:rPr>
          <w:rFonts w:hint="eastAsia" w:ascii="宋体" w:hAnsi="宋体" w:cs="宋体"/>
          <w:bCs/>
          <w:color w:val="000000"/>
          <w:sz w:val="24"/>
        </w:rPr>
        <w:t>（法定代表人来投标的，此表不用）</w:t>
      </w:r>
    </w:p>
    <w:p>
      <w:pPr>
        <w:snapToGrid w:val="0"/>
        <w:spacing w:line="360" w:lineRule="auto"/>
        <w:rPr>
          <w:rFonts w:ascii="宋体" w:hAnsi="宋体" w:cs="宋体"/>
          <w:bCs/>
          <w:color w:val="000000"/>
          <w:sz w:val="24"/>
        </w:rPr>
      </w:pPr>
    </w:p>
    <w:p>
      <w:pPr>
        <w:snapToGrid w:val="0"/>
        <w:spacing w:line="360" w:lineRule="auto"/>
        <w:rPr>
          <w:rFonts w:ascii="宋体" w:hAnsi="宋体" w:cs="宋体"/>
          <w:color w:val="000000"/>
          <w:szCs w:val="21"/>
        </w:rPr>
      </w:pPr>
      <w:r>
        <w:rPr>
          <w:rFonts w:hint="eastAsia" w:ascii="宋体" w:hAnsi="宋体" w:cs="宋体"/>
          <w:bCs/>
          <w:color w:val="000000"/>
          <w:szCs w:val="21"/>
        </w:rPr>
        <w:t>致：</w:t>
      </w:r>
      <w:r>
        <w:rPr>
          <w:rFonts w:hint="eastAsia" w:ascii="宋体" w:hAnsi="宋体" w:cs="宋体"/>
          <w:color w:val="000000"/>
          <w:szCs w:val="21"/>
          <w:u w:val="single"/>
        </w:rPr>
        <w:t xml:space="preserve">              </w:t>
      </w:r>
      <w:r>
        <w:rPr>
          <w:rFonts w:hint="eastAsia" w:ascii="宋体" w:hAnsi="宋体" w:cs="宋体"/>
          <w:color w:val="000000"/>
          <w:szCs w:val="21"/>
        </w:rPr>
        <w:t>（采购单位名称）</w:t>
      </w:r>
      <w:r>
        <w:rPr>
          <w:rFonts w:hint="eastAsia" w:ascii="宋体" w:hAnsi="宋体" w:cs="宋体"/>
          <w:b/>
          <w:bCs/>
          <w:color w:val="000000"/>
          <w:szCs w:val="21"/>
        </w:rPr>
        <w:t xml:space="preserve"> </w:t>
      </w:r>
      <w:r>
        <w:rPr>
          <w:rFonts w:hint="eastAsia" w:ascii="宋体" w:hAnsi="宋体" w:cs="宋体"/>
          <w:color w:val="000000"/>
          <w:szCs w:val="21"/>
        </w:rPr>
        <w:t>：</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我</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 xml:space="preserve">（供应商名称）的法定代表人，现授权委托本单位在职职工 </w:t>
      </w:r>
      <w:r>
        <w:rPr>
          <w:rFonts w:hint="eastAsia" w:ascii="宋体" w:hAnsi="宋体" w:cs="宋体"/>
          <w:color w:val="000000"/>
          <w:szCs w:val="21"/>
          <w:u w:val="single"/>
        </w:rPr>
        <w:t xml:space="preserve">           </w:t>
      </w:r>
      <w:r>
        <w:rPr>
          <w:rFonts w:hint="eastAsia" w:ascii="宋体" w:hAnsi="宋体" w:cs="宋体"/>
          <w:color w:val="000000"/>
          <w:szCs w:val="21"/>
        </w:rPr>
        <w:t>（姓名）以我方的名义参加</w:t>
      </w:r>
      <w:r>
        <w:rPr>
          <w:rFonts w:hint="eastAsia" w:ascii="宋体" w:hAnsi="宋体" w:cs="宋体"/>
          <w:color w:val="000000"/>
          <w:szCs w:val="21"/>
          <w:u w:val="single"/>
        </w:rPr>
        <w:t xml:space="preserve">                       政府采购 </w:t>
      </w:r>
      <w:r>
        <w:rPr>
          <w:rFonts w:hint="eastAsia" w:ascii="宋体" w:hAnsi="宋体" w:cs="宋体"/>
          <w:color w:val="000000"/>
          <w:szCs w:val="21"/>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我方对授权代表的签名事项负全部责任。</w:t>
      </w:r>
    </w:p>
    <w:p>
      <w:pPr>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在撤销授权的书面通知以前，本授权书一直有效。授权代表在授权书有效期内签署的所有文件不因授权的撤销而失效。</w:t>
      </w:r>
    </w:p>
    <w:p>
      <w:pPr>
        <w:snapToGrid w:val="0"/>
        <w:spacing w:line="360" w:lineRule="auto"/>
        <w:ind w:firstLine="480"/>
        <w:rPr>
          <w:rFonts w:ascii="宋体" w:hAnsi="宋体" w:cs="宋体"/>
          <w:color w:val="000000"/>
          <w:szCs w:val="21"/>
        </w:rPr>
      </w:pPr>
      <w:r>
        <w:rPr>
          <w:rFonts w:hint="eastAsia" w:ascii="宋体" w:hAnsi="宋体" w:cs="宋体"/>
          <w:color w:val="000000"/>
          <w:szCs w:val="21"/>
        </w:rPr>
        <w:t>授权代表无转委托权，特此委托。</w:t>
      </w: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rPr>
      </w:pPr>
    </w:p>
    <w:p>
      <w:pPr>
        <w:snapToGrid w:val="0"/>
        <w:spacing w:line="360" w:lineRule="auto"/>
        <w:rPr>
          <w:rFonts w:ascii="宋体" w:hAnsi="宋体" w:cs="宋体"/>
          <w:color w:val="000000"/>
          <w:szCs w:val="21"/>
          <w:u w:val="single"/>
        </w:rPr>
      </w:pPr>
      <w:r>
        <w:rPr>
          <w:rFonts w:hint="eastAsia" w:ascii="宋体" w:hAnsi="宋体" w:cs="宋体"/>
          <w:color w:val="000000"/>
          <w:szCs w:val="21"/>
        </w:rPr>
        <w:t>授权代表</w:t>
      </w:r>
      <w:r>
        <w:rPr>
          <w:rFonts w:hint="eastAsia" w:ascii="宋体" w:hAnsi="宋体" w:cs="宋体"/>
          <w:color w:val="000000"/>
        </w:rPr>
        <w:t>（签名或印章）</w:t>
      </w:r>
      <w:r>
        <w:rPr>
          <w:rFonts w:hint="eastAsia" w:ascii="宋体" w:hAnsi="宋体" w:cs="宋体"/>
          <w:color w:val="000000"/>
          <w:szCs w:val="21"/>
        </w:rPr>
        <w:t>：</w:t>
      </w:r>
      <w:r>
        <w:rPr>
          <w:rFonts w:hint="eastAsia" w:ascii="宋体" w:hAnsi="宋体" w:cs="宋体"/>
          <w:color w:val="000000"/>
          <w:szCs w:val="21"/>
          <w:u w:val="single"/>
        </w:rPr>
        <w:t xml:space="preserve">          </w:t>
      </w:r>
      <w:r>
        <w:rPr>
          <w:rFonts w:hint="eastAsia" w:ascii="宋体" w:hAnsi="宋体" w:cs="宋体"/>
          <w:color w:val="000000"/>
          <w:szCs w:val="21"/>
        </w:rPr>
        <w:t xml:space="preserve">                 法定代表人</w:t>
      </w:r>
      <w:r>
        <w:rPr>
          <w:rFonts w:hint="eastAsia" w:ascii="宋体" w:hAnsi="宋体" w:cs="宋体"/>
          <w:color w:val="000000"/>
        </w:rPr>
        <w:t>（签名或印章）</w:t>
      </w:r>
      <w:r>
        <w:rPr>
          <w:rFonts w:hint="eastAsia" w:ascii="宋体" w:hAnsi="宋体" w:cs="宋体"/>
          <w:color w:val="000000"/>
          <w:szCs w:val="21"/>
        </w:rPr>
        <w:t>：</w:t>
      </w:r>
      <w:r>
        <w:rPr>
          <w:rFonts w:hint="eastAsia" w:ascii="宋体" w:hAnsi="宋体" w:cs="宋体"/>
          <w:color w:val="000000"/>
          <w:szCs w:val="21"/>
          <w:u w:val="single"/>
        </w:rPr>
        <w:t xml:space="preserve">          </w:t>
      </w:r>
    </w:p>
    <w:p>
      <w:pPr>
        <w:snapToGrid w:val="0"/>
        <w:spacing w:line="360" w:lineRule="auto"/>
        <w:ind w:firstLine="840" w:firstLineChars="400"/>
        <w:rPr>
          <w:rFonts w:ascii="宋体" w:hAnsi="宋体" w:cs="宋体"/>
          <w:color w:val="000000"/>
          <w:szCs w:val="21"/>
        </w:rPr>
      </w:pPr>
      <w:r>
        <w:rPr>
          <w:rFonts w:hint="eastAsia" w:ascii="宋体" w:hAnsi="宋体" w:cs="宋体"/>
          <w:color w:val="000000"/>
          <w:szCs w:val="21"/>
        </w:rPr>
        <w:t>职务：</w:t>
      </w:r>
      <w:r>
        <w:rPr>
          <w:rFonts w:hint="eastAsia" w:ascii="宋体" w:hAnsi="宋体" w:cs="宋体"/>
          <w:color w:val="000000"/>
          <w:szCs w:val="21"/>
          <w:u w:val="single"/>
        </w:rPr>
        <w:t xml:space="preserve">           </w:t>
      </w:r>
      <w:r>
        <w:rPr>
          <w:rFonts w:hint="eastAsia" w:ascii="宋体" w:hAnsi="宋体" w:cs="宋体"/>
          <w:color w:val="000000"/>
          <w:szCs w:val="21"/>
        </w:rPr>
        <w:t xml:space="preserve">                          职务：</w:t>
      </w:r>
      <w:r>
        <w:rPr>
          <w:rFonts w:hint="eastAsia" w:ascii="宋体" w:hAnsi="宋体" w:cs="宋体"/>
          <w:color w:val="000000"/>
          <w:szCs w:val="21"/>
          <w:u w:val="single"/>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rPr>
        <w:t>授权代表身份证号码：</w:t>
      </w:r>
      <w:r>
        <w:rPr>
          <w:rFonts w:hint="eastAsia" w:ascii="宋体" w:hAnsi="宋体" w:cs="宋体"/>
          <w:color w:val="000000"/>
          <w:szCs w:val="21"/>
          <w:u w:val="single"/>
        </w:rPr>
        <w:t xml:space="preserve">                             </w:t>
      </w:r>
      <w:r>
        <w:rPr>
          <w:rFonts w:hint="eastAsia" w:ascii="宋体" w:hAnsi="宋体" w:cs="宋体"/>
          <w:color w:val="000000"/>
          <w:szCs w:val="21"/>
        </w:rPr>
        <w:t xml:space="preserve"> </w:t>
      </w:r>
    </w:p>
    <w:p>
      <w:pPr>
        <w:snapToGrid w:val="0"/>
        <w:spacing w:line="360" w:lineRule="auto"/>
        <w:rPr>
          <w:rFonts w:ascii="宋体" w:hAnsi="宋体" w:cs="宋体"/>
          <w:color w:val="000000"/>
          <w:szCs w:val="21"/>
        </w:rPr>
      </w:pPr>
      <w:r>
        <w:rPr>
          <w:rFonts w:hint="eastAsia" w:ascii="宋体" w:hAnsi="宋体" w:cs="宋体"/>
          <w:color w:val="000000"/>
          <w:szCs w:val="21"/>
        </w:rPr>
        <w:t xml:space="preserve">                                    </w:t>
      </w:r>
    </w:p>
    <w:p>
      <w:pPr>
        <w:snapToGrid w:val="0"/>
        <w:spacing w:line="360" w:lineRule="auto"/>
        <w:rPr>
          <w:rFonts w:ascii="宋体" w:hAnsi="宋体" w:cs="宋体"/>
          <w:color w:val="000000"/>
          <w:szCs w:val="21"/>
        </w:rPr>
      </w:pPr>
    </w:p>
    <w:p>
      <w:pPr>
        <w:snapToGrid w:val="0"/>
        <w:spacing w:line="360" w:lineRule="auto"/>
        <w:ind w:firstLine="4830" w:firstLineChars="2300"/>
        <w:rPr>
          <w:rFonts w:ascii="宋体" w:hAnsi="宋体" w:cs="宋体"/>
          <w:color w:val="000000"/>
          <w:szCs w:val="21"/>
        </w:rPr>
      </w:pPr>
      <w:r>
        <w:rPr>
          <w:rFonts w:hint="eastAsia" w:ascii="宋体" w:hAnsi="宋体" w:cs="宋体"/>
          <w:color w:val="000000"/>
          <w:szCs w:val="21"/>
        </w:rPr>
        <w:t>供应商公章：</w:t>
      </w:r>
    </w:p>
    <w:p>
      <w:pPr>
        <w:snapToGrid w:val="0"/>
        <w:spacing w:line="360" w:lineRule="auto"/>
        <w:ind w:firstLine="4830" w:firstLineChars="2300"/>
        <w:rPr>
          <w:rFonts w:ascii="宋体" w:hAnsi="宋体" w:cs="宋体"/>
          <w:color w:val="000000"/>
          <w:szCs w:val="21"/>
        </w:rPr>
      </w:pPr>
    </w:p>
    <w:p>
      <w:pPr>
        <w:snapToGrid w:val="0"/>
        <w:spacing w:line="360" w:lineRule="auto"/>
        <w:jc w:val="center"/>
        <w:rPr>
          <w:rFonts w:ascii="宋体" w:hAnsi="宋体" w:cs="宋体"/>
          <w:color w:val="000000"/>
          <w:szCs w:val="21"/>
        </w:rPr>
      </w:pPr>
      <w:r>
        <w:rPr>
          <w:rFonts w:hint="eastAsia" w:ascii="宋体" w:hAnsi="宋体" w:cs="宋体"/>
          <w:color w:val="000000"/>
          <w:szCs w:val="21"/>
        </w:rPr>
        <w:t xml:space="preserve">                                        年    月    日</w:t>
      </w:r>
    </w:p>
    <w:p>
      <w:pPr>
        <w:spacing w:line="360" w:lineRule="auto"/>
        <w:rPr>
          <w:rFonts w:ascii="宋体" w:hAnsi="宋体" w:cs="宋体"/>
          <w:b/>
          <w:color w:val="000000"/>
          <w:szCs w:val="21"/>
        </w:rPr>
      </w:pPr>
    </w:p>
    <w:p>
      <w:pPr>
        <w:spacing w:line="360" w:lineRule="auto"/>
        <w:rPr>
          <w:rFonts w:ascii="宋体" w:hAnsi="宋体" w:cs="宋体"/>
          <w:b/>
          <w:color w:val="000000"/>
          <w:szCs w:val="21"/>
        </w:rPr>
      </w:pPr>
    </w:p>
    <w:p>
      <w:pPr>
        <w:snapToGrid w:val="0"/>
        <w:spacing w:before="50" w:after="50"/>
        <w:rPr>
          <w:rFonts w:ascii="宋体" w:hAnsi="宋体"/>
          <w:b/>
          <w:szCs w:val="21"/>
        </w:rPr>
      </w:pPr>
      <w:r>
        <w:rPr>
          <w:rFonts w:hint="eastAsia" w:ascii="宋体" w:hAnsi="宋体" w:cs="宋体"/>
          <w:b/>
          <w:color w:val="000000"/>
          <w:szCs w:val="21"/>
        </w:rPr>
        <w:t>附：</w:t>
      </w:r>
      <w:r>
        <w:rPr>
          <w:rFonts w:hint="eastAsia" w:ascii="宋体" w:hAnsi="宋体"/>
          <w:b/>
          <w:szCs w:val="21"/>
        </w:rPr>
        <w:t>授权代表身份证复印件（正反面）及开标日前近三个月内当地相关部门出具的社保证明。</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p>
    <w:p>
      <w:pPr>
        <w:widowControl/>
        <w:jc w:val="left"/>
        <w:rPr>
          <w:rFonts w:ascii="宋体" w:hAnsi="宋体" w:cs="宋体"/>
          <w:b/>
          <w:color w:val="000000"/>
          <w:szCs w:val="21"/>
        </w:rPr>
      </w:pPr>
      <w:r>
        <w:rPr>
          <w:rFonts w:ascii="宋体" w:hAnsi="宋体" w:cs="宋体"/>
          <w:b/>
          <w:color w:val="000000"/>
          <w:szCs w:val="21"/>
        </w:rPr>
        <w:br w:type="page"/>
      </w:r>
    </w:p>
    <w:p>
      <w:pPr>
        <w:snapToGrid w:val="0"/>
        <w:rPr>
          <w:rFonts w:ascii="宋体" w:hAnsi="宋体" w:cs="宋体"/>
          <w:color w:val="000000"/>
        </w:rPr>
      </w:pPr>
      <w:r>
        <w:rPr>
          <w:rFonts w:hint="eastAsia" w:ascii="宋体" w:hAnsi="宋体" w:cs="宋体"/>
          <w:b/>
          <w:color w:val="000000"/>
          <w:szCs w:val="21"/>
        </w:rPr>
        <w:t>（6）服务（技术）条款偏离表格式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服务（技术）条款偏离表</w:t>
      </w:r>
    </w:p>
    <w:p>
      <w:pPr>
        <w:widowControl/>
        <w:snapToGrid w:val="0"/>
        <w:spacing w:line="276" w:lineRule="auto"/>
        <w:jc w:val="left"/>
        <w:rPr>
          <w:rFonts w:ascii="宋体" w:hAnsi="宋体" w:cs="宋体"/>
          <w:kern w:val="0"/>
          <w:szCs w:val="21"/>
        </w:rPr>
      </w:pP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ascii="宋体" w:hAnsi="宋体" w:cs="宋体"/>
          <w:szCs w:val="21"/>
          <w:u w:val="single"/>
        </w:rPr>
      </w:pPr>
      <w:r>
        <w:rPr>
          <w:rFonts w:hint="eastAsia" w:ascii="宋体" w:hAnsi="宋体" w:cs="宋体"/>
          <w:color w:val="000000"/>
        </w:rPr>
        <w:t>子包号：</w:t>
      </w:r>
      <w:r>
        <w:rPr>
          <w:rFonts w:hint="eastAsia" w:ascii="宋体" w:hAnsi="宋体" w:cs="宋体"/>
          <w:kern w:val="0"/>
          <w:szCs w:val="21"/>
        </w:rPr>
        <w:t xml:space="preserve">         </w:t>
      </w:r>
    </w:p>
    <w:tbl>
      <w:tblPr>
        <w:tblStyle w:val="53"/>
        <w:tblW w:w="9039"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1729"/>
        <w:gridCol w:w="3059"/>
        <w:gridCol w:w="1455"/>
        <w:gridCol w:w="2796"/>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53"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left"/>
              <w:rPr>
                <w:rFonts w:ascii="宋体" w:hAnsi="宋体" w:cs="宋体"/>
                <w:szCs w:val="21"/>
              </w:rPr>
            </w:pPr>
            <w:r>
              <w:rPr>
                <w:rFonts w:hint="eastAsia" w:ascii="宋体" w:hAnsi="宋体" w:cs="宋体"/>
                <w:kern w:val="0"/>
                <w:szCs w:val="21"/>
              </w:rPr>
              <w:t>序号</w:t>
            </w:r>
          </w:p>
        </w:tc>
        <w:tc>
          <w:tcPr>
            <w:tcW w:w="3059"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采购文件要求的服务（技术）</w:t>
            </w:r>
            <w:r>
              <w:rPr>
                <w:rFonts w:hint="eastAsia" w:ascii="宋体" w:hAnsi="宋体" w:cs="宋体"/>
                <w:kern w:val="0"/>
                <w:szCs w:val="21"/>
                <w:lang w:val="zh-CN"/>
              </w:rPr>
              <w:t>技术条款</w:t>
            </w:r>
          </w:p>
        </w:tc>
        <w:tc>
          <w:tcPr>
            <w:tcW w:w="1455"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投标文件的响应（偏离）情况</w:t>
            </w:r>
          </w:p>
        </w:tc>
        <w:tc>
          <w:tcPr>
            <w:tcW w:w="2796" w:type="dxa"/>
            <w:tcBorders>
              <w:top w:val="single" w:color="auto" w:sz="4" w:space="0"/>
              <w:left w:val="single" w:color="auto" w:sz="4" w:space="0"/>
              <w:bottom w:val="single" w:color="auto" w:sz="4" w:space="0"/>
              <w:right w:val="single" w:color="auto" w:sz="4" w:space="0"/>
            </w:tcBorders>
            <w:vAlign w:val="center"/>
          </w:tcPr>
          <w:p>
            <w:pPr>
              <w:widowControl/>
              <w:snapToGrid w:val="0"/>
              <w:spacing w:line="276" w:lineRule="auto"/>
              <w:jc w:val="center"/>
              <w:rPr>
                <w:rFonts w:ascii="宋体" w:hAnsi="宋体" w:cs="宋体"/>
                <w:szCs w:val="21"/>
              </w:rPr>
            </w:pPr>
            <w:r>
              <w:rPr>
                <w:rFonts w:hint="eastAsia" w:ascii="宋体" w:hAnsi="宋体" w:cs="宋体"/>
                <w:kern w:val="0"/>
                <w:szCs w:val="21"/>
              </w:rPr>
              <w:t>供应商的承诺和说明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70"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22"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60"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16" w:hRule="atLeast"/>
        </w:trPr>
        <w:tc>
          <w:tcPr>
            <w:tcW w:w="172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szCs w:val="21"/>
              </w:rPr>
            </w:pPr>
          </w:p>
        </w:tc>
        <w:tc>
          <w:tcPr>
            <w:tcW w:w="305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left"/>
              <w:rPr>
                <w:rFonts w:ascii="宋体" w:hAnsi="宋体" w:cs="宋体"/>
                <w:szCs w:val="21"/>
              </w:rPr>
            </w:pPr>
          </w:p>
        </w:tc>
        <w:tc>
          <w:tcPr>
            <w:tcW w:w="1455"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c>
          <w:tcPr>
            <w:tcW w:w="2796" w:type="dxa"/>
            <w:tcBorders>
              <w:top w:val="single" w:color="auto" w:sz="4" w:space="0"/>
              <w:left w:val="single" w:color="auto" w:sz="4" w:space="0"/>
              <w:bottom w:val="single" w:color="auto" w:sz="4" w:space="0"/>
              <w:right w:val="single" w:color="auto" w:sz="4" w:space="0"/>
            </w:tcBorders>
          </w:tcPr>
          <w:p>
            <w:pPr>
              <w:widowControl/>
              <w:snapToGrid w:val="0"/>
              <w:spacing w:line="276" w:lineRule="auto"/>
              <w:jc w:val="left"/>
              <w:rPr>
                <w:rFonts w:ascii="宋体" w:hAnsi="宋体" w:cs="宋体"/>
                <w:szCs w:val="21"/>
              </w:rPr>
            </w:pPr>
          </w:p>
        </w:tc>
      </w:tr>
    </w:tbl>
    <w:p>
      <w:pPr>
        <w:widowControl/>
        <w:spacing w:line="360" w:lineRule="auto"/>
        <w:jc w:val="left"/>
        <w:rPr>
          <w:rFonts w:ascii="宋体" w:hAnsi="宋体" w:cs="宋体"/>
          <w:szCs w:val="21"/>
        </w:rPr>
      </w:pPr>
      <w:r>
        <w:rPr>
          <w:rFonts w:hint="eastAsia" w:ascii="宋体" w:hAnsi="宋体" w:cs="宋体"/>
          <w:kern w:val="0"/>
          <w:szCs w:val="21"/>
        </w:rPr>
        <w:t xml:space="preserve">注：1、采购文件要求具体见采购文件“第二章  采购需求”中关于服务（技术）要求内容进行响应； </w:t>
      </w:r>
    </w:p>
    <w:p>
      <w:pPr>
        <w:widowControl/>
        <w:spacing w:line="360" w:lineRule="auto"/>
        <w:jc w:val="left"/>
        <w:rPr>
          <w:rFonts w:ascii="宋体" w:hAnsi="宋体" w:cs="宋体"/>
          <w:szCs w:val="21"/>
        </w:rPr>
      </w:pPr>
      <w:r>
        <w:rPr>
          <w:rFonts w:hint="eastAsia" w:ascii="宋体" w:hAnsi="宋体" w:cs="宋体"/>
          <w:kern w:val="0"/>
          <w:szCs w:val="21"/>
        </w:rPr>
        <w:t>2、若无偏离应在本表空白处醒目地注明“无服务（技术）条款偏离”的字样。</w:t>
      </w:r>
    </w:p>
    <w:p>
      <w:pPr>
        <w:widowControl/>
        <w:snapToGrid w:val="0"/>
        <w:spacing w:line="276" w:lineRule="auto"/>
        <w:jc w:val="left"/>
        <w:rPr>
          <w:rFonts w:ascii="宋体" w:hAnsi="宋体" w:cs="宋体"/>
          <w:szCs w:val="21"/>
        </w:rPr>
      </w:pPr>
    </w:p>
    <w:p>
      <w:pPr>
        <w:spacing w:line="360" w:lineRule="auto"/>
        <w:ind w:firstLine="4095" w:firstLineChars="1950"/>
        <w:rPr>
          <w:rFonts w:ascii="宋体" w:hAnsi="宋体" w:cs="宋体"/>
          <w:color w:val="000000"/>
        </w:rPr>
      </w:pPr>
    </w:p>
    <w:p>
      <w:pPr>
        <w:spacing w:line="360" w:lineRule="auto"/>
        <w:ind w:firstLine="4095" w:firstLineChars="1950"/>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 xml:space="preserve">法定代表人或授权代表（签名或印章）：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napToGrid w:val="0"/>
        <w:ind w:firstLine="5460" w:firstLineChars="2600"/>
        <w:rPr>
          <w:rFonts w:ascii="宋体" w:hAnsi="宋体" w:cs="宋体"/>
          <w:b/>
          <w:color w:val="000000"/>
          <w:szCs w:val="21"/>
        </w:rPr>
      </w:pPr>
      <w:r>
        <w:rPr>
          <w:rFonts w:hint="eastAsia" w:ascii="宋体" w:hAnsi="宋体" w:cs="宋体"/>
          <w:color w:val="000000"/>
        </w:rPr>
        <w:t xml:space="preserve">日  期： </w:t>
      </w:r>
    </w:p>
    <w:p>
      <w:pPr>
        <w:snapToGrid w:val="0"/>
        <w:rPr>
          <w:rFonts w:ascii="宋体" w:hAnsi="宋体" w:cs="宋体"/>
          <w:b/>
          <w:color w:val="000000"/>
          <w:szCs w:val="21"/>
        </w:rPr>
      </w:pPr>
    </w:p>
    <w:p>
      <w:pPr>
        <w:snapToGrid w:val="0"/>
        <w:rPr>
          <w:rFonts w:ascii="宋体" w:hAnsi="宋体" w:cs="宋体"/>
          <w:b/>
          <w:color w:val="000000"/>
          <w:szCs w:val="21"/>
        </w:rPr>
      </w:pPr>
    </w:p>
    <w:p>
      <w:pPr>
        <w:widowControl/>
        <w:jc w:val="left"/>
        <w:rPr>
          <w:rFonts w:ascii="宋体" w:hAnsi="宋体" w:cs="宋体"/>
          <w:b/>
          <w:color w:val="000000"/>
          <w:szCs w:val="21"/>
        </w:rPr>
      </w:pPr>
      <w:r>
        <w:rPr>
          <w:rFonts w:ascii="宋体" w:hAnsi="宋体" w:cs="宋体"/>
          <w:b/>
          <w:color w:val="000000"/>
          <w:szCs w:val="21"/>
        </w:rPr>
        <w:br w:type="page"/>
      </w:r>
    </w:p>
    <w:p>
      <w:pPr>
        <w:snapToGrid w:val="0"/>
        <w:rPr>
          <w:rFonts w:ascii="宋体" w:hAnsi="宋体" w:cs="宋体"/>
          <w:b/>
          <w:color w:val="000000"/>
          <w:szCs w:val="21"/>
        </w:rPr>
      </w:pPr>
      <w:r>
        <w:rPr>
          <w:rFonts w:hint="eastAsia" w:ascii="宋体" w:hAnsi="宋体" w:cs="宋体"/>
          <w:b/>
          <w:color w:val="000000"/>
          <w:szCs w:val="21"/>
        </w:rPr>
        <w:t>（7）商务条款偏离表格式</w:t>
      </w:r>
    </w:p>
    <w:p>
      <w:pPr>
        <w:widowControl/>
        <w:snapToGrid w:val="0"/>
        <w:spacing w:line="276" w:lineRule="auto"/>
        <w:jc w:val="center"/>
        <w:rPr>
          <w:rFonts w:ascii="宋体" w:hAnsi="宋体" w:cs="宋体"/>
          <w:b/>
          <w:kern w:val="0"/>
          <w:sz w:val="24"/>
          <w:szCs w:val="22"/>
        </w:rPr>
      </w:pP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商务条款偏离表</w:t>
      </w: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ascii="宋体" w:hAnsi="宋体" w:cs="宋体"/>
          <w:color w:val="000000"/>
        </w:rPr>
      </w:pPr>
      <w:r>
        <w:rPr>
          <w:rFonts w:hint="eastAsia" w:ascii="宋体" w:hAnsi="宋体" w:cs="宋体"/>
          <w:color w:val="000000"/>
        </w:rPr>
        <w:t>子包号：</w:t>
      </w:r>
    </w:p>
    <w:tbl>
      <w:tblPr>
        <w:tblStyle w:val="53"/>
        <w:tblW w:w="84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026" w:type="dxa"/>
            <w:vAlign w:val="center"/>
          </w:tcPr>
          <w:p>
            <w:pPr>
              <w:spacing w:line="360" w:lineRule="auto"/>
              <w:jc w:val="center"/>
              <w:rPr>
                <w:rFonts w:ascii="宋体"/>
              </w:rPr>
            </w:pPr>
            <w:r>
              <w:rPr>
                <w:rFonts w:hint="eastAsia" w:ascii="宋体" w:hAnsi="宋体" w:cs="宋体"/>
              </w:rPr>
              <w:t>条款号</w:t>
            </w:r>
          </w:p>
        </w:tc>
        <w:tc>
          <w:tcPr>
            <w:tcW w:w="4647" w:type="dxa"/>
            <w:vAlign w:val="center"/>
          </w:tcPr>
          <w:p>
            <w:pPr>
              <w:spacing w:line="360" w:lineRule="auto"/>
              <w:jc w:val="center"/>
              <w:rPr>
                <w:rFonts w:ascii="宋体"/>
              </w:rPr>
            </w:pPr>
            <w:r>
              <w:rPr>
                <w:rFonts w:hint="eastAsia" w:ascii="宋体" w:hAnsi="宋体" w:cs="宋体"/>
              </w:rPr>
              <w:t>采购文件的商务条款</w:t>
            </w:r>
          </w:p>
        </w:tc>
        <w:tc>
          <w:tcPr>
            <w:tcW w:w="1575" w:type="dxa"/>
            <w:vAlign w:val="center"/>
          </w:tcPr>
          <w:p>
            <w:pPr>
              <w:spacing w:line="360" w:lineRule="auto"/>
              <w:jc w:val="center"/>
              <w:rPr>
                <w:rFonts w:ascii="宋体"/>
              </w:rPr>
            </w:pPr>
            <w:r>
              <w:rPr>
                <w:rFonts w:hint="eastAsia" w:ascii="宋体" w:hAnsi="宋体" w:cs="宋体"/>
              </w:rPr>
              <w:t>投标文件的</w:t>
            </w:r>
          </w:p>
          <w:p>
            <w:pPr>
              <w:spacing w:line="360" w:lineRule="auto"/>
              <w:jc w:val="center"/>
              <w:rPr>
                <w:rFonts w:ascii="宋体"/>
              </w:rPr>
            </w:pPr>
            <w:r>
              <w:rPr>
                <w:rFonts w:hint="eastAsia" w:ascii="宋体" w:hAnsi="宋体" w:cs="宋体"/>
              </w:rPr>
              <w:t>响应情况</w:t>
            </w:r>
          </w:p>
        </w:tc>
        <w:tc>
          <w:tcPr>
            <w:tcW w:w="1185" w:type="dxa"/>
            <w:vAlign w:val="center"/>
          </w:tcPr>
          <w:p>
            <w:pPr>
              <w:spacing w:line="360" w:lineRule="auto"/>
              <w:jc w:val="center"/>
              <w:rPr>
                <w:rFonts w:ascii="宋体"/>
              </w:rPr>
            </w:pPr>
            <w:r>
              <w:rPr>
                <w:rFonts w:hint="eastAsia" w:ascii="宋体" w:hAnsi="宋体" w:cs="宋体"/>
              </w:rPr>
              <w:t>说明（偏离</w:t>
            </w:r>
            <w:r>
              <w:rPr>
                <w:rFonts w:ascii="宋体" w:hAnsi="宋体" w:cs="宋体"/>
              </w:rPr>
              <w:t>/</w:t>
            </w:r>
            <w:r>
              <w:rPr>
                <w:rFonts w:hint="eastAsia" w:ascii="宋体" w:hAnsi="宋体" w:cs="宋体"/>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rPr>
                <w:b/>
                <w:bCs/>
              </w:rPr>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rPr>
                <w:b/>
                <w:bCs/>
              </w:rPr>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rPr>
                <w:b/>
                <w:bCs/>
              </w:rPr>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rPr>
                <w:b/>
                <w:bCs/>
              </w:rPr>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026" w:type="dxa"/>
            <w:vAlign w:val="center"/>
          </w:tcPr>
          <w:p>
            <w:pPr>
              <w:spacing w:line="360" w:lineRule="auto"/>
              <w:jc w:val="center"/>
            </w:pPr>
          </w:p>
        </w:tc>
        <w:tc>
          <w:tcPr>
            <w:tcW w:w="4647" w:type="dxa"/>
            <w:vAlign w:val="center"/>
          </w:tcPr>
          <w:p>
            <w:pPr>
              <w:spacing w:line="360" w:lineRule="auto"/>
            </w:pPr>
          </w:p>
        </w:tc>
        <w:tc>
          <w:tcPr>
            <w:tcW w:w="1575" w:type="dxa"/>
            <w:vAlign w:val="center"/>
          </w:tcPr>
          <w:p>
            <w:pPr>
              <w:spacing w:line="360" w:lineRule="auto"/>
              <w:jc w:val="center"/>
              <w:rPr>
                <w:rFonts w:ascii="宋体"/>
                <w:sz w:val="24"/>
              </w:rPr>
            </w:pPr>
          </w:p>
        </w:tc>
        <w:tc>
          <w:tcPr>
            <w:tcW w:w="1185" w:type="dxa"/>
            <w:vAlign w:val="center"/>
          </w:tcPr>
          <w:p>
            <w:pPr>
              <w:spacing w:line="360" w:lineRule="auto"/>
              <w:jc w:val="center"/>
              <w:rPr>
                <w:rFonts w:ascii="宋体"/>
                <w:sz w:val="24"/>
              </w:rPr>
            </w:pPr>
          </w:p>
        </w:tc>
      </w:tr>
    </w:tbl>
    <w:p>
      <w:pPr>
        <w:rPr>
          <w:rFonts w:ascii="宋体" w:hAnsi="宋体" w:cs="宋体"/>
          <w:color w:val="000000"/>
        </w:rPr>
      </w:pPr>
      <w:r>
        <w:rPr>
          <w:rFonts w:hint="eastAsia" w:ascii="宋体" w:hAnsi="宋体" w:cs="宋体"/>
          <w:color w:val="000000"/>
        </w:rPr>
        <w:t>按第二章《采购需求》</w:t>
      </w:r>
      <w:r>
        <w:rPr>
          <w:rFonts w:hint="eastAsia" w:ascii="宋体" w:hAnsi="宋体" w:cs="宋体"/>
          <w:color w:val="000000"/>
          <w:szCs w:val="21"/>
        </w:rPr>
        <w:t>“</w:t>
      </w:r>
      <w:r>
        <w:rPr>
          <w:rFonts w:hint="eastAsia" w:ascii="宋体" w:hAnsi="宋体" w:cs="宋体"/>
          <w:color w:val="000000"/>
        </w:rPr>
        <w:t>一、商务要求表”逐项填写，供应商可自行补充。</w:t>
      </w:r>
    </w:p>
    <w:p>
      <w:pPr>
        <w:rPr>
          <w:rFonts w:ascii="宋体" w:hAnsi="宋体" w:cs="宋体"/>
          <w:color w:val="000000"/>
        </w:rPr>
      </w:pPr>
    </w:p>
    <w:p>
      <w:pPr>
        <w:spacing w:line="360" w:lineRule="auto"/>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 xml:space="preserve">法定代表人或授权代表（签名或印章）：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pacing w:line="360" w:lineRule="auto"/>
        <w:ind w:firstLine="5460" w:firstLineChars="2600"/>
        <w:rPr>
          <w:rFonts w:ascii="宋体" w:hAnsi="宋体" w:cs="宋体"/>
          <w:color w:val="000000"/>
        </w:rPr>
      </w:pPr>
      <w:r>
        <w:rPr>
          <w:rFonts w:hint="eastAsia" w:ascii="宋体" w:hAnsi="宋体" w:cs="宋体"/>
          <w:color w:val="000000"/>
        </w:rPr>
        <w:t xml:space="preserve">日  期：        </w:t>
      </w:r>
    </w:p>
    <w:p>
      <w:pPr>
        <w:snapToGrid w:val="0"/>
        <w:rPr>
          <w:rFonts w:ascii="宋体" w:hAnsi="宋体" w:cs="宋体"/>
          <w:b/>
          <w:color w:val="000000"/>
          <w:szCs w:val="21"/>
        </w:rPr>
      </w:pPr>
    </w:p>
    <w:p>
      <w:pPr>
        <w:snapToGrid w:val="0"/>
        <w:rPr>
          <w:rFonts w:ascii="宋体" w:hAnsi="宋体" w:cs="宋体"/>
          <w:b/>
          <w:color w:val="000000"/>
          <w:szCs w:val="21"/>
        </w:rPr>
      </w:pPr>
    </w:p>
    <w:p>
      <w:pPr>
        <w:snapToGrid w:val="0"/>
        <w:rPr>
          <w:rFonts w:ascii="宋体" w:hAnsi="宋体" w:cs="宋体"/>
          <w:b/>
          <w:color w:val="000000"/>
          <w:szCs w:val="21"/>
        </w:rPr>
      </w:pPr>
      <w:r>
        <w:rPr>
          <w:rFonts w:hint="eastAsia" w:ascii="宋体" w:hAnsi="宋体" w:cs="宋体"/>
          <w:b/>
          <w:color w:val="000000"/>
          <w:szCs w:val="21"/>
        </w:rPr>
        <w:t>（8）供应商基本情况表格式</w:t>
      </w: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rPr>
        <w:t>供应商基本情况表</w:t>
      </w:r>
    </w:p>
    <w:tbl>
      <w:tblPr>
        <w:tblStyle w:val="53"/>
        <w:tblW w:w="821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单位名称</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组织机构代码</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注册地址</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注册登记号</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经营地址</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pacing w:val="30"/>
                <w:szCs w:val="21"/>
              </w:rPr>
            </w:pPr>
            <w:r>
              <w:rPr>
                <w:rFonts w:hint="eastAsia" w:ascii="宋体" w:hAnsi="宋体" w:cs="宋体"/>
                <w:color w:val="000000"/>
                <w:szCs w:val="21"/>
              </w:rPr>
              <w:t>税务登记证号</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单位性质</w:t>
            </w:r>
          </w:p>
        </w:tc>
        <w:tc>
          <w:tcPr>
            <w:tcW w:w="2499" w:type="dxa"/>
            <w:gridSpan w:val="3"/>
            <w:vAlign w:val="center"/>
          </w:tcPr>
          <w:p>
            <w:pPr>
              <w:pStyle w:val="133"/>
              <w:widowControl w:val="0"/>
              <w:spacing w:before="0" w:beforeAutospacing="0" w:after="0" w:afterAutospacing="0" w:line="360" w:lineRule="auto"/>
              <w:ind w:left="2160" w:hanging="480"/>
              <w:rPr>
                <w:rFonts w:cs="宋体"/>
                <w:color w:val="000000"/>
                <w:kern w:val="2"/>
                <w:sz w:val="21"/>
                <w:szCs w:val="21"/>
              </w:rPr>
            </w:pPr>
          </w:p>
        </w:tc>
        <w:tc>
          <w:tcPr>
            <w:tcW w:w="2141" w:type="dxa"/>
            <w:vAlign w:val="center"/>
          </w:tcPr>
          <w:p>
            <w:pPr>
              <w:spacing w:line="360" w:lineRule="auto"/>
              <w:jc w:val="center"/>
              <w:rPr>
                <w:rFonts w:ascii="宋体" w:hAnsi="宋体" w:cs="宋体"/>
                <w:color w:val="000000"/>
                <w:spacing w:val="34"/>
                <w:szCs w:val="21"/>
              </w:rPr>
            </w:pPr>
            <w:r>
              <w:rPr>
                <w:rFonts w:hint="eastAsia" w:ascii="宋体" w:hAnsi="宋体" w:cs="宋体"/>
                <w:color w:val="000000"/>
                <w:spacing w:val="34"/>
                <w:szCs w:val="21"/>
              </w:rPr>
              <w:t>注册资本</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经营范围</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营业期限</w:t>
            </w:r>
          </w:p>
        </w:tc>
        <w:tc>
          <w:tcPr>
            <w:tcW w:w="210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资质情况</w:t>
            </w:r>
          </w:p>
        </w:tc>
        <w:tc>
          <w:tcPr>
            <w:tcW w:w="6740" w:type="dxa"/>
            <w:gridSpan w:val="5"/>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员工数量</w:t>
            </w:r>
          </w:p>
        </w:tc>
        <w:tc>
          <w:tcPr>
            <w:tcW w:w="6740" w:type="dxa"/>
            <w:gridSpan w:val="5"/>
            <w:vAlign w:val="center"/>
          </w:tcPr>
          <w:p>
            <w:pPr>
              <w:spacing w:line="360" w:lineRule="auto"/>
              <w:rPr>
                <w:rFonts w:ascii="宋体" w:hAnsi="宋体" w:cs="宋体"/>
                <w:color w:val="000000"/>
                <w:szCs w:val="21"/>
              </w:rPr>
            </w:pPr>
            <w:r>
              <w:rPr>
                <w:rFonts w:hint="eastAsia" w:ascii="宋体" w:hAnsi="宋体" w:cs="宋体"/>
                <w:color w:val="000000"/>
                <w:szCs w:val="21"/>
              </w:rPr>
              <w:t>共</w:t>
            </w:r>
            <w:r>
              <w:rPr>
                <w:rFonts w:hint="eastAsia" w:ascii="宋体" w:hAnsi="宋体" w:cs="宋体"/>
                <w:color w:val="000000"/>
                <w:szCs w:val="21"/>
                <w:u w:val="single"/>
              </w:rPr>
              <w:t xml:space="preserve">  </w:t>
            </w:r>
            <w:r>
              <w:rPr>
                <w:rFonts w:hint="eastAsia" w:ascii="宋体" w:hAnsi="宋体" w:cs="宋体"/>
                <w:color w:val="000000"/>
                <w:szCs w:val="21"/>
              </w:rPr>
              <w:t>人，其中，高级职称</w:t>
            </w:r>
            <w:r>
              <w:rPr>
                <w:rFonts w:hint="eastAsia" w:ascii="宋体" w:hAnsi="宋体" w:cs="宋体"/>
                <w:color w:val="000000"/>
                <w:szCs w:val="21"/>
                <w:u w:val="single"/>
              </w:rPr>
              <w:t xml:space="preserve">   </w:t>
            </w:r>
            <w:r>
              <w:rPr>
                <w:rFonts w:hint="eastAsia" w:ascii="宋体" w:hAnsi="宋体" w:cs="宋体"/>
                <w:color w:val="000000"/>
                <w:szCs w:val="21"/>
              </w:rPr>
              <w:t>人，中级职称</w:t>
            </w:r>
            <w:r>
              <w:rPr>
                <w:rFonts w:hint="eastAsia" w:ascii="宋体" w:hAnsi="宋体" w:cs="宋体"/>
                <w:color w:val="000000"/>
                <w:szCs w:val="21"/>
                <w:u w:val="single"/>
              </w:rPr>
              <w:t xml:space="preserve">  </w:t>
            </w:r>
            <w:r>
              <w:rPr>
                <w:rFonts w:hint="eastAsia" w:ascii="宋体" w:hAnsi="宋体" w:cs="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联系电话</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传真</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主要业绩</w:t>
            </w:r>
          </w:p>
        </w:tc>
        <w:tc>
          <w:tcPr>
            <w:tcW w:w="6740" w:type="dxa"/>
            <w:gridSpan w:val="5"/>
            <w:vAlign w:val="center"/>
          </w:tcPr>
          <w:p>
            <w:pPr>
              <w:spacing w:line="360" w:lineRule="auto"/>
              <w:rPr>
                <w:rFonts w:ascii="宋体" w:hAnsi="宋体" w:cs="宋体"/>
                <w:color w:val="000000"/>
                <w:szCs w:val="21"/>
              </w:rPr>
            </w:pPr>
          </w:p>
          <w:p>
            <w:pPr>
              <w:spacing w:line="360" w:lineRule="auto"/>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210" w:type="dxa"/>
            <w:gridSpan w:val="6"/>
            <w:vAlign w:val="center"/>
          </w:tcPr>
          <w:p>
            <w:pPr>
              <w:spacing w:line="360" w:lineRule="auto"/>
              <w:jc w:val="center"/>
              <w:rPr>
                <w:rFonts w:ascii="宋体" w:hAnsi="宋体" w:cs="宋体"/>
                <w:color w:val="000000"/>
                <w:szCs w:val="21"/>
              </w:rPr>
            </w:pPr>
            <w:r>
              <w:rPr>
                <w:rFonts w:hint="eastAsia" w:ascii="宋体" w:hAnsi="宋体" w:cs="宋体"/>
                <w:color w:val="000000"/>
                <w:szCs w:val="21"/>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姓  名</w:t>
            </w:r>
          </w:p>
        </w:tc>
        <w:tc>
          <w:tcPr>
            <w:tcW w:w="2499" w:type="dxa"/>
            <w:gridSpan w:val="3"/>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身份证号码</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470"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职  务</w:t>
            </w:r>
          </w:p>
        </w:tc>
        <w:tc>
          <w:tcPr>
            <w:tcW w:w="835" w:type="dxa"/>
            <w:vAlign w:val="center"/>
          </w:tcPr>
          <w:p>
            <w:pPr>
              <w:spacing w:line="360" w:lineRule="auto"/>
              <w:jc w:val="center"/>
              <w:rPr>
                <w:rFonts w:ascii="宋体" w:hAnsi="宋体" w:cs="宋体"/>
                <w:color w:val="000000"/>
                <w:szCs w:val="21"/>
              </w:rPr>
            </w:pPr>
          </w:p>
        </w:tc>
        <w:tc>
          <w:tcPr>
            <w:tcW w:w="969"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职   称</w:t>
            </w:r>
          </w:p>
        </w:tc>
        <w:tc>
          <w:tcPr>
            <w:tcW w:w="695" w:type="dxa"/>
            <w:vAlign w:val="center"/>
          </w:tcPr>
          <w:p>
            <w:pPr>
              <w:spacing w:line="360" w:lineRule="auto"/>
              <w:jc w:val="center"/>
              <w:rPr>
                <w:rFonts w:ascii="宋体" w:hAnsi="宋体" w:cs="宋体"/>
                <w:color w:val="000000"/>
                <w:szCs w:val="21"/>
              </w:rPr>
            </w:pPr>
          </w:p>
        </w:tc>
        <w:tc>
          <w:tcPr>
            <w:tcW w:w="214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学    历</w:t>
            </w:r>
          </w:p>
        </w:tc>
        <w:tc>
          <w:tcPr>
            <w:tcW w:w="2100" w:type="dxa"/>
            <w:vAlign w:val="center"/>
          </w:tcPr>
          <w:p>
            <w:pPr>
              <w:spacing w:line="360" w:lineRule="auto"/>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8210" w:type="dxa"/>
            <w:gridSpan w:val="6"/>
          </w:tcPr>
          <w:p>
            <w:pPr>
              <w:spacing w:line="360" w:lineRule="auto"/>
              <w:rPr>
                <w:rFonts w:ascii="宋体" w:hAnsi="宋体" w:cs="宋体"/>
                <w:color w:val="000000"/>
                <w:szCs w:val="21"/>
              </w:rPr>
            </w:pPr>
            <w:r>
              <w:rPr>
                <w:rFonts w:hint="eastAsia" w:ascii="宋体" w:hAnsi="宋体" w:cs="宋体"/>
                <w:color w:val="000000"/>
                <w:szCs w:val="21"/>
              </w:rPr>
              <w:t>备注:</w:t>
            </w:r>
          </w:p>
        </w:tc>
      </w:tr>
    </w:tbl>
    <w:p>
      <w:pPr>
        <w:spacing w:line="360" w:lineRule="auto"/>
        <w:rPr>
          <w:rFonts w:ascii="宋体" w:hAnsi="宋体" w:cs="宋体"/>
          <w:b/>
          <w:color w:val="000000"/>
          <w:szCs w:val="21"/>
        </w:rPr>
      </w:pPr>
      <w:r>
        <w:rPr>
          <w:rFonts w:hint="eastAsia" w:ascii="宋体" w:hAnsi="宋体" w:cs="宋体"/>
          <w:color w:val="000000"/>
          <w:szCs w:val="21"/>
        </w:rPr>
        <w:t xml:space="preserve">  </w:t>
      </w:r>
      <w:r>
        <w:rPr>
          <w:rFonts w:hint="eastAsia" w:ascii="宋体" w:hAnsi="宋体" w:cs="宋体"/>
          <w:b/>
          <w:color w:val="000000"/>
          <w:szCs w:val="21"/>
        </w:rPr>
        <w:t>兹证明上述声明是真实、正确的，并提供了全部能提供的资料和数据，我们同意遵照贵方要求出示有关证明文件。</w:t>
      </w:r>
    </w:p>
    <w:p>
      <w:pPr>
        <w:spacing w:line="360" w:lineRule="auto"/>
        <w:rPr>
          <w:rFonts w:ascii="宋体" w:hAnsi="宋体" w:cs="宋体"/>
          <w:b/>
          <w:color w:val="000000"/>
        </w:rPr>
      </w:pPr>
    </w:p>
    <w:p>
      <w:pPr>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 xml:space="preserve">法定代表人或授权代表（签名或印章）：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napToGrid w:val="0"/>
        <w:spacing w:line="480" w:lineRule="exact"/>
        <w:ind w:firstLine="5670" w:firstLineChars="2700"/>
        <w:jc w:val="left"/>
        <w:rPr>
          <w:rFonts w:ascii="宋体" w:hAnsi="宋体" w:cs="宋体"/>
          <w:b/>
          <w:color w:val="000000"/>
          <w:szCs w:val="21"/>
        </w:rPr>
      </w:pPr>
      <w:r>
        <w:rPr>
          <w:rFonts w:hint="eastAsia" w:ascii="宋体" w:hAnsi="宋体" w:cs="宋体"/>
          <w:color w:val="000000"/>
        </w:rPr>
        <w:t xml:space="preserve">日  期： </w:t>
      </w:r>
      <w:r>
        <w:rPr>
          <w:rFonts w:ascii="宋体" w:hAnsi="宋体" w:cs="宋体"/>
          <w:b/>
          <w:kern w:val="0"/>
          <w:szCs w:val="21"/>
        </w:rPr>
        <w:br w:type="page"/>
      </w:r>
      <w:r>
        <w:rPr>
          <w:rFonts w:hint="eastAsia" w:ascii="宋体" w:hAnsi="宋体" w:cs="宋体"/>
          <w:b/>
          <w:kern w:val="0"/>
          <w:szCs w:val="21"/>
        </w:rPr>
        <w:t>（9</w:t>
      </w:r>
      <w:r>
        <w:rPr>
          <w:rFonts w:hint="eastAsia" w:ascii="宋体" w:hAnsi="宋体" w:cs="宋体"/>
          <w:b/>
          <w:color w:val="000000"/>
          <w:szCs w:val="21"/>
        </w:rPr>
        <w:t>）设备清单一览表</w:t>
      </w:r>
    </w:p>
    <w:p>
      <w:pPr>
        <w:spacing w:line="360" w:lineRule="auto"/>
        <w:jc w:val="center"/>
        <w:rPr>
          <w:rFonts w:ascii="宋体" w:hAnsi="宋体"/>
          <w:b/>
          <w:bCs/>
          <w:sz w:val="24"/>
        </w:rPr>
      </w:pPr>
      <w:r>
        <w:rPr>
          <w:rFonts w:hint="eastAsia" w:ascii="宋体" w:hAnsi="宋体" w:cs="宋体"/>
          <w:b/>
          <w:bCs/>
          <w:sz w:val="24"/>
        </w:rPr>
        <w:t>设备清单一览表</w:t>
      </w:r>
    </w:p>
    <w:p>
      <w:pPr>
        <w:ind w:firstLine="420" w:firstLineChars="200"/>
        <w:rPr>
          <w:rFonts w:ascii="宋体" w:hAnsi="宋体" w:cs="宋体"/>
          <w:color w:val="000000"/>
        </w:rPr>
      </w:pPr>
      <w:r>
        <w:rPr>
          <w:rFonts w:hint="eastAsia" w:ascii="宋体" w:hAnsi="宋体" w:cs="宋体"/>
          <w:color w:val="000000"/>
        </w:rPr>
        <w:t>采购项目：</w:t>
      </w:r>
    </w:p>
    <w:p>
      <w:pPr>
        <w:ind w:firstLine="420" w:firstLineChars="200"/>
        <w:rPr>
          <w:rFonts w:ascii="宋体" w:hAnsi="宋体" w:cs="宋体"/>
          <w:color w:val="000000"/>
        </w:rPr>
      </w:pPr>
      <w:r>
        <w:rPr>
          <w:rFonts w:hint="eastAsia" w:ascii="宋体" w:hAnsi="宋体" w:cs="宋体"/>
          <w:color w:val="000000"/>
        </w:rPr>
        <w:t>项目编号：</w:t>
      </w:r>
    </w:p>
    <w:p>
      <w:pPr>
        <w:ind w:firstLine="420" w:firstLineChars="200"/>
        <w:rPr>
          <w:rFonts w:eastAsia="华文细黑"/>
          <w:w w:val="80"/>
        </w:rPr>
      </w:pPr>
      <w:r>
        <w:rPr>
          <w:rFonts w:hint="eastAsia" w:ascii="宋体" w:hAnsi="宋体" w:cs="宋体"/>
          <w:color w:val="000000"/>
        </w:rPr>
        <w:t>子包号：</w:t>
      </w:r>
    </w:p>
    <w:tbl>
      <w:tblPr>
        <w:tblStyle w:val="53"/>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96"/>
        <w:gridCol w:w="1431"/>
        <w:gridCol w:w="1086"/>
        <w:gridCol w:w="1450"/>
        <w:gridCol w:w="820"/>
        <w:gridCol w:w="1086"/>
        <w:gridCol w:w="18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1" w:hRule="atLeast"/>
          <w:jc w:val="center"/>
        </w:trPr>
        <w:tc>
          <w:tcPr>
            <w:tcW w:w="7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cs="宋体"/>
              </w:rPr>
              <w:t>序号</w:t>
            </w:r>
          </w:p>
        </w:tc>
        <w:tc>
          <w:tcPr>
            <w:tcW w:w="143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cs="宋体"/>
              </w:rPr>
              <w:t>货物名称</w:t>
            </w:r>
          </w:p>
        </w:tc>
        <w:tc>
          <w:tcPr>
            <w:tcW w:w="108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cs="宋体"/>
              </w:rPr>
              <w:t>品牌</w:t>
            </w:r>
          </w:p>
        </w:tc>
        <w:tc>
          <w:tcPr>
            <w:tcW w:w="145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cs="宋体"/>
              </w:rPr>
              <w:t>规格型号</w:t>
            </w:r>
          </w:p>
        </w:tc>
        <w:tc>
          <w:tcPr>
            <w:tcW w:w="82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cs="宋体"/>
              </w:rPr>
              <w:t>产地</w:t>
            </w:r>
          </w:p>
        </w:tc>
        <w:tc>
          <w:tcPr>
            <w:tcW w:w="108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cs="宋体"/>
              </w:rPr>
              <w:t>备注</w:t>
            </w:r>
          </w:p>
        </w:tc>
        <w:tc>
          <w:tcPr>
            <w:tcW w:w="18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cs="宋体"/>
              </w:rPr>
              <w:t>制造商的规模（大、中、小、微企业）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79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3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r>
              <w:rPr>
                <w:rFonts w:hint="eastAsia" w:ascii="宋体" w:hAnsi="宋体" w:cs="宋体"/>
                <w:spacing w:val="20"/>
              </w:rPr>
              <w:t>……</w:t>
            </w: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4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82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85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bl>
    <w:p>
      <w:pPr>
        <w:tabs>
          <w:tab w:val="left" w:pos="1418"/>
        </w:tabs>
        <w:snapToGrid w:val="0"/>
        <w:spacing w:line="400" w:lineRule="exact"/>
        <w:ind w:left="851"/>
        <w:jc w:val="center"/>
        <w:rPr>
          <w:rFonts w:ascii="宋体" w:hAnsi="宋体"/>
          <w:spacing w:val="20"/>
          <w:szCs w:val="21"/>
          <w:u w:val="single"/>
        </w:rPr>
      </w:pPr>
    </w:p>
    <w:p>
      <w:pPr>
        <w:pStyle w:val="44"/>
        <w:widowControl w:val="0"/>
        <w:snapToGrid w:val="0"/>
        <w:spacing w:before="0" w:beforeAutospacing="0" w:after="0" w:afterAutospacing="0" w:line="360" w:lineRule="auto"/>
        <w:ind w:firstLine="301"/>
        <w:jc w:val="both"/>
        <w:rPr>
          <w:sz w:val="21"/>
          <w:szCs w:val="21"/>
        </w:rPr>
      </w:pPr>
      <w:r>
        <w:rPr>
          <w:rFonts w:hint="eastAsia"/>
          <w:spacing w:val="-4"/>
          <w:kern w:val="2"/>
          <w:sz w:val="21"/>
          <w:szCs w:val="21"/>
        </w:rPr>
        <w:t>供应商（盖章）：</w:t>
      </w:r>
    </w:p>
    <w:p>
      <w:pPr>
        <w:pStyle w:val="44"/>
        <w:widowControl w:val="0"/>
        <w:snapToGrid w:val="0"/>
        <w:spacing w:before="0" w:beforeAutospacing="0" w:after="0" w:afterAutospacing="0" w:line="360" w:lineRule="auto"/>
        <w:ind w:firstLine="301"/>
        <w:jc w:val="both"/>
        <w:rPr>
          <w:sz w:val="21"/>
          <w:szCs w:val="21"/>
        </w:rPr>
      </w:pPr>
      <w:r>
        <w:rPr>
          <w:rFonts w:hint="eastAsia"/>
          <w:spacing w:val="-4"/>
          <w:kern w:val="2"/>
          <w:sz w:val="21"/>
          <w:szCs w:val="21"/>
        </w:rPr>
        <w:t>法定代表或其授权代表（签名或印章）：</w:t>
      </w:r>
      <w:r>
        <w:rPr>
          <w:rFonts w:hint="eastAsia"/>
          <w:sz w:val="21"/>
          <w:szCs w:val="21"/>
        </w:rPr>
        <w:t xml:space="preserve"> </w:t>
      </w:r>
    </w:p>
    <w:p>
      <w:pPr>
        <w:widowControl/>
        <w:spacing w:line="360" w:lineRule="auto"/>
        <w:jc w:val="left"/>
        <w:rPr>
          <w:rFonts w:ascii="宋体" w:hAnsi="宋体"/>
          <w:szCs w:val="21"/>
        </w:rPr>
      </w:pPr>
      <w:r>
        <w:rPr>
          <w:rFonts w:hint="eastAsia" w:ascii="宋体" w:hAnsi="宋体" w:cs="宋体"/>
        </w:rPr>
        <w:t xml:space="preserve">   日     期：</w:t>
      </w:r>
    </w:p>
    <w:p>
      <w:pPr>
        <w:snapToGrid w:val="0"/>
        <w:spacing w:line="480" w:lineRule="exact"/>
        <w:jc w:val="left"/>
        <w:rPr>
          <w:rFonts w:ascii="宋体" w:hAnsi="宋体" w:cs="宋体"/>
          <w:szCs w:val="21"/>
        </w:rPr>
      </w:pPr>
      <w:r>
        <w:rPr>
          <w:rFonts w:ascii="宋体" w:hAnsi="宋体" w:cs="宋体"/>
          <w:b/>
          <w:color w:val="000000"/>
          <w:szCs w:val="21"/>
        </w:rPr>
        <w:br w:type="page"/>
      </w:r>
      <w:r>
        <w:rPr>
          <w:rFonts w:hint="eastAsia" w:ascii="宋体" w:hAnsi="宋体" w:cs="宋体"/>
          <w:b/>
          <w:color w:val="000000"/>
          <w:szCs w:val="21"/>
        </w:rPr>
        <w:t>（10）本项目拟投入人员配备汇总表格式</w:t>
      </w:r>
    </w:p>
    <w:p>
      <w:pPr>
        <w:widowControl/>
        <w:snapToGrid w:val="0"/>
        <w:spacing w:line="276" w:lineRule="auto"/>
        <w:jc w:val="center"/>
        <w:rPr>
          <w:rFonts w:ascii="宋体" w:hAnsi="宋体" w:cs="宋体"/>
          <w:b/>
          <w:kern w:val="0"/>
          <w:sz w:val="24"/>
          <w:szCs w:val="22"/>
        </w:rPr>
      </w:pPr>
      <w:r>
        <w:rPr>
          <w:rFonts w:hint="eastAsia" w:ascii="宋体" w:hAnsi="宋体" w:cs="宋体"/>
          <w:b/>
          <w:kern w:val="0"/>
          <w:sz w:val="24"/>
          <w:szCs w:val="22"/>
          <w:lang w:bidi="ar"/>
        </w:rPr>
        <w:t>本项目拟投入人员配备汇总表</w:t>
      </w: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eastAsia="华文细黑"/>
          <w:w w:val="80"/>
        </w:rPr>
      </w:pPr>
      <w:r>
        <w:rPr>
          <w:rFonts w:hint="eastAsia" w:ascii="宋体" w:hAnsi="宋体" w:cs="宋体"/>
          <w:color w:val="000000"/>
        </w:rPr>
        <w:t>子包号：</w:t>
      </w:r>
    </w:p>
    <w:tbl>
      <w:tblPr>
        <w:tblStyle w:val="53"/>
        <w:tblW w:w="9640" w:type="dxa"/>
        <w:tblInd w:w="28" w:type="dxa"/>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930"/>
        <w:gridCol w:w="1275"/>
        <w:gridCol w:w="690"/>
        <w:gridCol w:w="1440"/>
        <w:gridCol w:w="1305"/>
        <w:gridCol w:w="1500"/>
        <w:gridCol w:w="1335"/>
        <w:gridCol w:w="1165"/>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c>
          <w:tcPr>
            <w:tcW w:w="930" w:type="dxa"/>
            <w:tcBorders>
              <w:top w:val="single" w:color="auto" w:sz="4" w:space="0"/>
              <w:left w:val="single" w:color="auto" w:sz="4" w:space="0"/>
              <w:bottom w:val="single" w:color="auto" w:sz="4" w:space="0"/>
              <w:right w:val="single" w:color="auto" w:sz="2" w:space="0"/>
            </w:tcBorders>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职务</w:t>
            </w:r>
          </w:p>
        </w:tc>
        <w:tc>
          <w:tcPr>
            <w:tcW w:w="1275" w:type="dxa"/>
            <w:tcBorders>
              <w:top w:val="single" w:color="auto" w:sz="4" w:space="0"/>
              <w:left w:val="single" w:color="auto" w:sz="2" w:space="0"/>
              <w:bottom w:val="single" w:color="auto" w:sz="4" w:space="0"/>
              <w:right w:val="single" w:color="auto" w:sz="2" w:space="0"/>
            </w:tcBorders>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姓名</w:t>
            </w:r>
          </w:p>
        </w:tc>
        <w:tc>
          <w:tcPr>
            <w:tcW w:w="690" w:type="dxa"/>
            <w:tcBorders>
              <w:top w:val="single" w:color="auto" w:sz="4" w:space="0"/>
              <w:left w:val="single" w:color="auto" w:sz="2" w:space="0"/>
              <w:bottom w:val="single" w:color="auto" w:sz="4" w:space="0"/>
              <w:right w:val="single" w:color="auto" w:sz="2" w:space="0"/>
            </w:tcBorders>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性别</w:t>
            </w:r>
          </w:p>
        </w:tc>
        <w:tc>
          <w:tcPr>
            <w:tcW w:w="1440" w:type="dxa"/>
            <w:tcBorders>
              <w:top w:val="single" w:color="auto" w:sz="4" w:space="0"/>
              <w:left w:val="single" w:color="auto" w:sz="2" w:space="0"/>
              <w:bottom w:val="single" w:color="auto" w:sz="4" w:space="0"/>
              <w:right w:val="single" w:color="auto" w:sz="2" w:space="0"/>
            </w:tcBorders>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职称</w:t>
            </w:r>
          </w:p>
        </w:tc>
        <w:tc>
          <w:tcPr>
            <w:tcW w:w="1305" w:type="dxa"/>
            <w:tcBorders>
              <w:top w:val="single" w:color="auto" w:sz="4" w:space="0"/>
              <w:left w:val="single" w:color="auto" w:sz="2" w:space="0"/>
              <w:bottom w:val="single" w:color="auto" w:sz="4" w:space="0"/>
              <w:right w:val="single" w:color="auto" w:sz="2" w:space="0"/>
            </w:tcBorders>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专业</w:t>
            </w:r>
          </w:p>
        </w:tc>
        <w:tc>
          <w:tcPr>
            <w:tcW w:w="1500" w:type="dxa"/>
            <w:tcBorders>
              <w:top w:val="single" w:color="auto" w:sz="4" w:space="0"/>
              <w:left w:val="single" w:color="auto" w:sz="2" w:space="0"/>
              <w:bottom w:val="single" w:color="auto" w:sz="4" w:space="0"/>
              <w:right w:val="single" w:color="auto" w:sz="2" w:space="0"/>
            </w:tcBorders>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联系电话</w:t>
            </w:r>
          </w:p>
        </w:tc>
        <w:tc>
          <w:tcPr>
            <w:tcW w:w="1335" w:type="dxa"/>
            <w:tcBorders>
              <w:top w:val="single" w:color="auto" w:sz="4" w:space="0"/>
              <w:left w:val="single" w:color="auto" w:sz="2" w:space="0"/>
              <w:bottom w:val="single" w:color="auto" w:sz="4" w:space="0"/>
              <w:right w:val="single" w:color="auto" w:sz="2" w:space="0"/>
            </w:tcBorders>
            <w:tcMar>
              <w:left w:w="28" w:type="dxa"/>
              <w:right w:w="28" w:type="dxa"/>
            </w:tcMar>
            <w:vAlign w:val="center"/>
          </w:tcPr>
          <w:p>
            <w:pPr>
              <w:ind w:left="-68" w:right="-47"/>
              <w:jc w:val="center"/>
              <w:rPr>
                <w:rFonts w:eastAsia="华文细黑"/>
                <w:w w:val="80"/>
                <w:szCs w:val="21"/>
              </w:rPr>
            </w:pPr>
            <w:r>
              <w:rPr>
                <w:rFonts w:hint="eastAsia" w:eastAsia="华文细黑" w:cs="华文细黑"/>
                <w:w w:val="80"/>
                <w:szCs w:val="21"/>
                <w:lang w:bidi="ar"/>
              </w:rPr>
              <w:t>从事类似</w:t>
            </w:r>
          </w:p>
          <w:p>
            <w:pPr>
              <w:ind w:left="-68" w:right="-47"/>
              <w:jc w:val="center"/>
              <w:rPr>
                <w:rFonts w:eastAsia="华文细黑"/>
                <w:w w:val="80"/>
                <w:szCs w:val="21"/>
              </w:rPr>
            </w:pPr>
            <w:r>
              <w:rPr>
                <w:rFonts w:hint="eastAsia" w:eastAsia="华文细黑" w:cs="华文细黑"/>
                <w:w w:val="80"/>
                <w:szCs w:val="21"/>
                <w:lang w:bidi="ar"/>
              </w:rPr>
              <w:t>工作时间</w:t>
            </w:r>
          </w:p>
        </w:tc>
        <w:tc>
          <w:tcPr>
            <w:tcW w:w="1165" w:type="dxa"/>
            <w:tcBorders>
              <w:top w:val="single" w:color="auto" w:sz="4" w:space="0"/>
              <w:left w:val="single" w:color="auto" w:sz="2" w:space="0"/>
              <w:bottom w:val="single" w:color="auto" w:sz="4" w:space="0"/>
              <w:right w:val="single" w:color="auto" w:sz="4" w:space="0"/>
            </w:tcBorders>
            <w:tcMar>
              <w:left w:w="28" w:type="dxa"/>
              <w:right w:w="28" w:type="dxa"/>
            </w:tcMar>
            <w:vAlign w:val="center"/>
          </w:tcPr>
          <w:p>
            <w:pPr>
              <w:jc w:val="center"/>
              <w:rPr>
                <w:rFonts w:eastAsia="华文细黑"/>
                <w:w w:val="80"/>
                <w:szCs w:val="21"/>
              </w:rPr>
            </w:pPr>
            <w:r>
              <w:rPr>
                <w:rFonts w:hint="eastAsia" w:eastAsia="华文细黑" w:cs="华文细黑"/>
                <w:w w:val="8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4" w:space="0"/>
              <w:left w:val="single" w:color="auto" w:sz="4" w:space="0"/>
              <w:bottom w:val="single" w:color="auto" w:sz="2" w:space="0"/>
              <w:right w:val="single" w:color="auto" w:sz="2" w:space="0"/>
            </w:tcBorders>
            <w:tcMar>
              <w:left w:w="28" w:type="dxa"/>
              <w:right w:w="28" w:type="dxa"/>
            </w:tcMar>
            <w:vAlign w:val="center"/>
          </w:tcPr>
          <w:p>
            <w:pPr>
              <w:jc w:val="center"/>
              <w:rPr>
                <w:rFonts w:eastAsia="华文细黑" w:cs="华文细黑"/>
                <w:w w:val="80"/>
                <w:szCs w:val="21"/>
                <w:lang w:bidi="ar"/>
              </w:rPr>
            </w:pPr>
            <w:r>
              <w:rPr>
                <w:rFonts w:hint="eastAsia" w:eastAsia="华文细黑" w:cs="华文细黑"/>
                <w:w w:val="80"/>
                <w:szCs w:val="21"/>
                <w:lang w:bidi="ar"/>
              </w:rPr>
              <w:t>项目经理</w:t>
            </w:r>
          </w:p>
        </w:tc>
        <w:tc>
          <w:tcPr>
            <w:tcW w:w="1275" w:type="dxa"/>
            <w:tcBorders>
              <w:top w:val="single" w:color="auto" w:sz="4"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4"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4"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4"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4"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4"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4" w:space="0"/>
              <w:left w:val="single" w:color="auto" w:sz="2" w:space="0"/>
              <w:bottom w:val="single" w:color="auto" w:sz="2" w:space="0"/>
              <w:right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eastAsia="华文细黑" w:cs="华文细黑"/>
                <w:w w:val="80"/>
                <w:szCs w:val="21"/>
                <w:lang w:bidi="ar"/>
              </w:rPr>
            </w:pPr>
            <w:r>
              <w:rPr>
                <w:rFonts w:hint="eastAsia" w:eastAsia="华文细黑" w:cs="华文细黑"/>
                <w:w w:val="80"/>
                <w:szCs w:val="21"/>
                <w:lang w:bidi="ar"/>
              </w:rPr>
              <w:t>技术负责人</w:t>
            </w: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eastAsia="仿宋_GB2312"/>
                <w:w w:val="80"/>
              </w:rPr>
            </w:pPr>
            <w:r>
              <w:rPr>
                <w:rFonts w:hint="eastAsia" w:eastAsia="仿宋_GB2312"/>
                <w:w w:val="80"/>
              </w:rPr>
              <w:t>.............</w:t>
            </w: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2"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2" w:space="0"/>
              <w:right w:val="single" w:color="auto" w:sz="4" w:space="0"/>
            </w:tcBorders>
            <w:tcMar>
              <w:left w:w="28" w:type="dxa"/>
              <w:right w:w="28" w:type="dxa"/>
            </w:tcMar>
            <w:vAlign w:val="center"/>
          </w:tcPr>
          <w:p>
            <w:pPr>
              <w:jc w:val="center"/>
              <w:rPr>
                <w:rFonts w:eastAsia="仿宋_GB2312"/>
                <w:w w:val="80"/>
              </w:rPr>
            </w:pP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Ex>
        <w:trPr>
          <w:trHeight w:val="645" w:hRule="atLeast"/>
        </w:trPr>
        <w:tc>
          <w:tcPr>
            <w:tcW w:w="930" w:type="dxa"/>
            <w:tcBorders>
              <w:top w:val="single" w:color="auto" w:sz="2" w:space="0"/>
              <w:left w:val="single" w:color="auto" w:sz="4" w:space="0"/>
              <w:bottom w:val="single" w:color="auto" w:sz="4" w:space="0"/>
              <w:right w:val="single" w:color="auto" w:sz="2" w:space="0"/>
            </w:tcBorders>
            <w:tcMar>
              <w:left w:w="28" w:type="dxa"/>
              <w:right w:w="28" w:type="dxa"/>
            </w:tcMar>
            <w:vAlign w:val="center"/>
          </w:tcPr>
          <w:p>
            <w:pPr>
              <w:jc w:val="center"/>
              <w:rPr>
                <w:rFonts w:eastAsia="仿宋_GB2312"/>
                <w:w w:val="80"/>
              </w:rPr>
            </w:pPr>
          </w:p>
        </w:tc>
        <w:tc>
          <w:tcPr>
            <w:tcW w:w="1275" w:type="dxa"/>
            <w:tcBorders>
              <w:top w:val="single" w:color="auto" w:sz="2" w:space="0"/>
              <w:left w:val="single" w:color="auto" w:sz="2" w:space="0"/>
              <w:bottom w:val="single" w:color="auto" w:sz="4" w:space="0"/>
              <w:right w:val="single" w:color="auto" w:sz="2" w:space="0"/>
            </w:tcBorders>
            <w:tcMar>
              <w:left w:w="28" w:type="dxa"/>
              <w:right w:w="28" w:type="dxa"/>
            </w:tcMar>
            <w:vAlign w:val="center"/>
          </w:tcPr>
          <w:p>
            <w:pPr>
              <w:jc w:val="center"/>
              <w:rPr>
                <w:rFonts w:eastAsia="仿宋_GB2312"/>
                <w:w w:val="80"/>
              </w:rPr>
            </w:pPr>
          </w:p>
        </w:tc>
        <w:tc>
          <w:tcPr>
            <w:tcW w:w="690" w:type="dxa"/>
            <w:tcBorders>
              <w:top w:val="single" w:color="auto" w:sz="2" w:space="0"/>
              <w:left w:val="single" w:color="auto" w:sz="2" w:space="0"/>
              <w:bottom w:val="single" w:color="auto" w:sz="4" w:space="0"/>
              <w:right w:val="single" w:color="auto" w:sz="2" w:space="0"/>
            </w:tcBorders>
            <w:tcMar>
              <w:left w:w="28" w:type="dxa"/>
              <w:right w:w="28" w:type="dxa"/>
            </w:tcMar>
            <w:vAlign w:val="center"/>
          </w:tcPr>
          <w:p>
            <w:pPr>
              <w:jc w:val="center"/>
              <w:rPr>
                <w:rFonts w:eastAsia="仿宋_GB2312"/>
                <w:w w:val="80"/>
              </w:rPr>
            </w:pPr>
          </w:p>
        </w:tc>
        <w:tc>
          <w:tcPr>
            <w:tcW w:w="1440" w:type="dxa"/>
            <w:tcBorders>
              <w:top w:val="single" w:color="auto" w:sz="2" w:space="0"/>
              <w:left w:val="single" w:color="auto" w:sz="2" w:space="0"/>
              <w:bottom w:val="single" w:color="auto" w:sz="4" w:space="0"/>
              <w:right w:val="single" w:color="auto" w:sz="2" w:space="0"/>
            </w:tcBorders>
            <w:tcMar>
              <w:left w:w="28" w:type="dxa"/>
              <w:right w:w="28" w:type="dxa"/>
            </w:tcMar>
            <w:vAlign w:val="center"/>
          </w:tcPr>
          <w:p>
            <w:pPr>
              <w:jc w:val="center"/>
              <w:rPr>
                <w:rFonts w:eastAsia="仿宋_GB2312"/>
                <w:w w:val="80"/>
              </w:rPr>
            </w:pPr>
          </w:p>
        </w:tc>
        <w:tc>
          <w:tcPr>
            <w:tcW w:w="1305" w:type="dxa"/>
            <w:tcBorders>
              <w:top w:val="single" w:color="auto" w:sz="2" w:space="0"/>
              <w:left w:val="single" w:color="auto" w:sz="2" w:space="0"/>
              <w:bottom w:val="single" w:color="auto" w:sz="4" w:space="0"/>
              <w:right w:val="single" w:color="auto" w:sz="2" w:space="0"/>
            </w:tcBorders>
            <w:tcMar>
              <w:left w:w="28" w:type="dxa"/>
              <w:right w:w="28" w:type="dxa"/>
            </w:tcMar>
            <w:vAlign w:val="center"/>
          </w:tcPr>
          <w:p>
            <w:pPr>
              <w:jc w:val="center"/>
              <w:rPr>
                <w:rFonts w:eastAsia="仿宋_GB2312"/>
                <w:w w:val="80"/>
              </w:rPr>
            </w:pPr>
          </w:p>
        </w:tc>
        <w:tc>
          <w:tcPr>
            <w:tcW w:w="1500" w:type="dxa"/>
            <w:tcBorders>
              <w:top w:val="single" w:color="auto" w:sz="2" w:space="0"/>
              <w:left w:val="single" w:color="auto" w:sz="2" w:space="0"/>
              <w:bottom w:val="single" w:color="auto" w:sz="4" w:space="0"/>
              <w:right w:val="single" w:color="auto" w:sz="2" w:space="0"/>
            </w:tcBorders>
            <w:tcMar>
              <w:left w:w="28" w:type="dxa"/>
              <w:right w:w="28" w:type="dxa"/>
            </w:tcMar>
            <w:vAlign w:val="center"/>
          </w:tcPr>
          <w:p>
            <w:pPr>
              <w:jc w:val="center"/>
              <w:rPr>
                <w:rFonts w:eastAsia="仿宋_GB2312"/>
                <w:w w:val="80"/>
              </w:rPr>
            </w:pPr>
          </w:p>
        </w:tc>
        <w:tc>
          <w:tcPr>
            <w:tcW w:w="1335" w:type="dxa"/>
            <w:tcBorders>
              <w:top w:val="single" w:color="auto" w:sz="2" w:space="0"/>
              <w:left w:val="single" w:color="auto" w:sz="2" w:space="0"/>
              <w:bottom w:val="single" w:color="auto" w:sz="4" w:space="0"/>
              <w:right w:val="single" w:color="auto" w:sz="2" w:space="0"/>
            </w:tcBorders>
            <w:tcMar>
              <w:left w:w="28" w:type="dxa"/>
              <w:right w:w="28" w:type="dxa"/>
            </w:tcMar>
            <w:vAlign w:val="center"/>
          </w:tcPr>
          <w:p>
            <w:pPr>
              <w:jc w:val="center"/>
              <w:rPr>
                <w:rFonts w:eastAsia="仿宋_GB2312"/>
                <w:w w:val="80"/>
              </w:rPr>
            </w:pPr>
          </w:p>
        </w:tc>
        <w:tc>
          <w:tcPr>
            <w:tcW w:w="1165" w:type="dxa"/>
            <w:tcBorders>
              <w:top w:val="single" w:color="auto" w:sz="2" w:space="0"/>
              <w:left w:val="single" w:color="auto" w:sz="2" w:space="0"/>
              <w:bottom w:val="single" w:color="auto" w:sz="4" w:space="0"/>
              <w:right w:val="single" w:color="auto" w:sz="4" w:space="0"/>
            </w:tcBorders>
            <w:tcMar>
              <w:left w:w="28" w:type="dxa"/>
              <w:right w:w="28" w:type="dxa"/>
            </w:tcMar>
            <w:vAlign w:val="center"/>
          </w:tcPr>
          <w:p>
            <w:pPr>
              <w:jc w:val="center"/>
              <w:rPr>
                <w:rFonts w:eastAsia="仿宋_GB2312"/>
                <w:w w:val="80"/>
              </w:rPr>
            </w:pPr>
          </w:p>
        </w:tc>
      </w:tr>
    </w:tbl>
    <w:p>
      <w:pPr/>
    </w:p>
    <w:p>
      <w:pPr>
        <w:rPr>
          <w:rFonts w:ascii="宋体" w:hAnsi="宋体" w:cs="宋体"/>
          <w:color w:val="000000"/>
        </w:rPr>
      </w:pPr>
    </w:p>
    <w:p>
      <w:pPr>
        <w:spacing w:line="360" w:lineRule="auto"/>
        <w:ind w:firstLine="4095" w:firstLineChars="1950"/>
        <w:rPr>
          <w:rFonts w:ascii="宋体" w:hAnsi="宋体" w:cs="宋体"/>
          <w:color w:val="000000"/>
        </w:rPr>
      </w:pPr>
      <w:r>
        <w:rPr>
          <w:rFonts w:hint="eastAsia" w:ascii="宋体" w:hAnsi="宋体" w:cs="宋体"/>
          <w:color w:val="000000"/>
        </w:rPr>
        <w:t xml:space="preserve">法定代表人或授权代表（签名或印章）：        </w:t>
      </w:r>
    </w:p>
    <w:p>
      <w:pPr>
        <w:spacing w:line="360" w:lineRule="auto"/>
        <w:ind w:firstLine="5460" w:firstLineChars="2600"/>
        <w:rPr>
          <w:rFonts w:ascii="宋体" w:hAnsi="宋体" w:cs="宋体"/>
          <w:color w:val="000000"/>
        </w:rPr>
      </w:pPr>
      <w:r>
        <w:rPr>
          <w:rFonts w:hint="eastAsia" w:ascii="宋体" w:hAnsi="宋体" w:cs="宋体"/>
          <w:color w:val="000000"/>
        </w:rPr>
        <w:t xml:space="preserve">供应商盖章：         </w:t>
      </w:r>
    </w:p>
    <w:p>
      <w:pPr>
        <w:snapToGrid w:val="0"/>
        <w:ind w:firstLine="5670" w:firstLineChars="2700"/>
        <w:rPr>
          <w:rFonts w:ascii="宋体" w:hAnsi="宋体" w:cs="宋体"/>
          <w:b/>
          <w:szCs w:val="21"/>
        </w:rPr>
      </w:pPr>
      <w:r>
        <w:rPr>
          <w:rFonts w:hint="eastAsia" w:ascii="宋体" w:hAnsi="宋体" w:cs="宋体"/>
          <w:color w:val="000000"/>
        </w:rPr>
        <w:t xml:space="preserve">日  期： </w:t>
      </w:r>
      <w:r>
        <w:rPr>
          <w:rFonts w:ascii="宋体" w:hAnsi="宋体" w:cs="宋体"/>
          <w:b/>
          <w:kern w:val="0"/>
          <w:szCs w:val="21"/>
        </w:rPr>
        <w:br w:type="page"/>
      </w:r>
      <w:r>
        <w:rPr>
          <w:rFonts w:hint="eastAsia" w:ascii="宋体" w:hAnsi="宋体" w:cs="宋体"/>
          <w:b/>
          <w:kern w:val="0"/>
          <w:szCs w:val="21"/>
        </w:rPr>
        <w:t>（11）</w:t>
      </w:r>
      <w:r>
        <w:rPr>
          <w:rFonts w:hint="eastAsia" w:ascii="宋体" w:hAnsi="宋体" w:cs="宋体"/>
          <w:b/>
          <w:szCs w:val="21"/>
        </w:rPr>
        <w:t>同类业绩情况一览表格式</w:t>
      </w:r>
    </w:p>
    <w:p>
      <w:pPr>
        <w:jc w:val="center"/>
        <w:rPr>
          <w:rFonts w:ascii="宋体" w:hAnsi="宋体" w:cs="宋体"/>
          <w:b/>
          <w:szCs w:val="21"/>
        </w:rPr>
      </w:pPr>
    </w:p>
    <w:p>
      <w:pPr>
        <w:spacing w:line="360" w:lineRule="auto"/>
        <w:ind w:right="25" w:rightChars="12"/>
        <w:jc w:val="center"/>
        <w:rPr>
          <w:rFonts w:ascii="宋体" w:hAnsi="宋体" w:cs="宋体"/>
          <w:b/>
          <w:sz w:val="28"/>
          <w:szCs w:val="28"/>
          <w:lang w:val="zh-CN" w:bidi="ar"/>
        </w:rPr>
      </w:pPr>
      <w:r>
        <w:rPr>
          <w:rFonts w:hint="eastAsia" w:ascii="宋体" w:hAnsi="宋体" w:cs="宋体"/>
          <w:b/>
          <w:sz w:val="28"/>
          <w:szCs w:val="28"/>
          <w:lang w:bidi="ar"/>
        </w:rPr>
        <w:t>同类业绩情况一览表</w:t>
      </w:r>
    </w:p>
    <w:p>
      <w:pPr>
        <w:rPr>
          <w:rFonts w:ascii="宋体" w:hAnsi="宋体" w:cs="宋体"/>
          <w:color w:val="000000"/>
        </w:rPr>
      </w:pPr>
      <w:r>
        <w:rPr>
          <w:rFonts w:hint="eastAsia" w:ascii="宋体" w:hAnsi="宋体" w:cs="宋体"/>
          <w:color w:val="000000"/>
        </w:rPr>
        <w:t>采购项目：</w:t>
      </w:r>
    </w:p>
    <w:p>
      <w:pPr>
        <w:rPr>
          <w:rFonts w:ascii="宋体" w:hAnsi="宋体" w:cs="宋体"/>
          <w:color w:val="000000"/>
        </w:rPr>
      </w:pPr>
      <w:r>
        <w:rPr>
          <w:rFonts w:hint="eastAsia" w:ascii="宋体" w:hAnsi="宋体" w:cs="宋体"/>
          <w:color w:val="000000"/>
        </w:rPr>
        <w:t>项目编号：</w:t>
      </w:r>
    </w:p>
    <w:p>
      <w:pPr>
        <w:rPr>
          <w:rFonts w:hAnsi="宋体" w:cs="宋体"/>
          <w:bCs/>
          <w:u w:val="single"/>
        </w:rPr>
      </w:pPr>
      <w:r>
        <w:rPr>
          <w:rFonts w:hint="eastAsia" w:ascii="宋体" w:hAnsi="宋体" w:cs="宋体"/>
          <w:color w:val="000000"/>
        </w:rPr>
        <w:t>子包号：</w:t>
      </w:r>
    </w:p>
    <w:tbl>
      <w:tblPr>
        <w:tblStyle w:val="53"/>
        <w:tblW w:w="9060" w:type="dxa"/>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86" w:hRule="atLeast"/>
        </w:trPr>
        <w:tc>
          <w:tcPr>
            <w:tcW w:w="787" w:type="dxa"/>
            <w:vAlign w:val="center"/>
          </w:tcPr>
          <w:p>
            <w:pPr>
              <w:spacing w:line="400" w:lineRule="exact"/>
              <w:ind w:right="23" w:rightChars="11"/>
              <w:jc w:val="center"/>
              <w:rPr>
                <w:rFonts w:hAnsi="宋体" w:cs="宋体"/>
              </w:rPr>
            </w:pPr>
            <w:r>
              <w:rPr>
                <w:rFonts w:hint="eastAsia" w:hAnsi="宋体" w:cs="宋体"/>
              </w:rPr>
              <w:t>序号</w:t>
            </w:r>
          </w:p>
        </w:tc>
        <w:tc>
          <w:tcPr>
            <w:tcW w:w="1246" w:type="dxa"/>
            <w:vAlign w:val="center"/>
          </w:tcPr>
          <w:p>
            <w:pPr>
              <w:spacing w:line="400" w:lineRule="exact"/>
              <w:ind w:right="23" w:rightChars="11"/>
              <w:jc w:val="center"/>
              <w:rPr>
                <w:rFonts w:hAnsi="宋体" w:cs="宋体"/>
              </w:rPr>
            </w:pPr>
            <w:r>
              <w:rPr>
                <w:rFonts w:hint="eastAsia" w:hAnsi="宋体" w:cs="宋体"/>
              </w:rPr>
              <w:t>业主单位</w:t>
            </w:r>
          </w:p>
        </w:tc>
        <w:tc>
          <w:tcPr>
            <w:tcW w:w="1607" w:type="dxa"/>
            <w:vAlign w:val="center"/>
          </w:tcPr>
          <w:p>
            <w:pPr>
              <w:spacing w:line="400" w:lineRule="exact"/>
              <w:ind w:right="23" w:rightChars="11"/>
              <w:jc w:val="center"/>
              <w:rPr>
                <w:rFonts w:hAnsi="宋体" w:cs="宋体"/>
              </w:rPr>
            </w:pPr>
            <w:r>
              <w:rPr>
                <w:rFonts w:hint="eastAsia" w:hAnsi="宋体" w:cs="宋体"/>
              </w:rPr>
              <w:t>项目名称</w:t>
            </w:r>
          </w:p>
        </w:tc>
        <w:tc>
          <w:tcPr>
            <w:tcW w:w="1291" w:type="dxa"/>
            <w:vAlign w:val="center"/>
          </w:tcPr>
          <w:p>
            <w:pPr>
              <w:spacing w:line="400" w:lineRule="exact"/>
              <w:ind w:right="23" w:rightChars="11"/>
              <w:jc w:val="center"/>
              <w:rPr>
                <w:rFonts w:hAnsi="宋体" w:cs="宋体"/>
              </w:rPr>
            </w:pPr>
            <w:r>
              <w:rPr>
                <w:rFonts w:hint="eastAsia" w:hAnsi="宋体" w:cs="宋体"/>
              </w:rPr>
              <w:t>供货地点</w:t>
            </w:r>
          </w:p>
        </w:tc>
        <w:tc>
          <w:tcPr>
            <w:tcW w:w="1216" w:type="dxa"/>
            <w:vAlign w:val="center"/>
          </w:tcPr>
          <w:p>
            <w:pPr>
              <w:spacing w:line="400" w:lineRule="exact"/>
              <w:ind w:right="23" w:rightChars="11"/>
              <w:jc w:val="center"/>
              <w:rPr>
                <w:rFonts w:hAnsi="宋体" w:cs="宋体"/>
              </w:rPr>
            </w:pPr>
            <w:r>
              <w:rPr>
                <w:rFonts w:hint="eastAsia" w:hAnsi="宋体" w:cs="宋体"/>
              </w:rPr>
              <w:t>交货期</w:t>
            </w:r>
          </w:p>
        </w:tc>
        <w:tc>
          <w:tcPr>
            <w:tcW w:w="1216" w:type="dxa"/>
            <w:vAlign w:val="center"/>
          </w:tcPr>
          <w:p>
            <w:pPr>
              <w:spacing w:line="400" w:lineRule="exact"/>
              <w:ind w:right="23" w:rightChars="11"/>
              <w:jc w:val="center"/>
              <w:rPr>
                <w:rFonts w:hAnsi="宋体" w:cs="宋体"/>
              </w:rPr>
            </w:pPr>
            <w:r>
              <w:rPr>
                <w:rFonts w:hint="eastAsia" w:hAnsi="宋体" w:cs="宋体"/>
              </w:rPr>
              <w:t>合同价格（元）</w:t>
            </w:r>
          </w:p>
        </w:tc>
        <w:tc>
          <w:tcPr>
            <w:tcW w:w="1697" w:type="dxa"/>
            <w:vAlign w:val="center"/>
          </w:tcPr>
          <w:p>
            <w:pPr>
              <w:spacing w:line="400" w:lineRule="exact"/>
              <w:ind w:right="23" w:rightChars="11"/>
              <w:jc w:val="center"/>
              <w:rPr>
                <w:rFonts w:hAnsi="宋体" w:cs="宋体"/>
              </w:rPr>
            </w:pPr>
            <w:r>
              <w:rPr>
                <w:rFonts w:hint="eastAsia" w:hAnsi="宋体" w:cs="宋体"/>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hAnsi="宋体" w:cs="宋体"/>
              </w:rPr>
            </w:pPr>
            <w:r>
              <w:rPr>
                <w:rFonts w:hint="eastAsia" w:hAnsi="宋体" w:cs="宋体"/>
              </w:rPr>
              <w:t>1</w:t>
            </w:r>
          </w:p>
        </w:tc>
        <w:tc>
          <w:tcPr>
            <w:tcW w:w="1246" w:type="dxa"/>
          </w:tcPr>
          <w:p>
            <w:pPr>
              <w:spacing w:line="400" w:lineRule="exact"/>
              <w:ind w:right="25" w:rightChars="12"/>
              <w:jc w:val="center"/>
              <w:rPr>
                <w:rFonts w:hAnsi="宋体" w:cs="宋体"/>
                <w:b/>
              </w:rPr>
            </w:pPr>
          </w:p>
        </w:tc>
        <w:tc>
          <w:tcPr>
            <w:tcW w:w="1607" w:type="dxa"/>
          </w:tcPr>
          <w:p>
            <w:pPr>
              <w:spacing w:line="400" w:lineRule="exact"/>
              <w:ind w:right="25" w:rightChars="12"/>
              <w:jc w:val="center"/>
              <w:rPr>
                <w:rFonts w:hAnsi="宋体" w:cs="宋体"/>
                <w:b/>
              </w:rPr>
            </w:pPr>
          </w:p>
        </w:tc>
        <w:tc>
          <w:tcPr>
            <w:tcW w:w="1291" w:type="dxa"/>
          </w:tcPr>
          <w:p>
            <w:pPr>
              <w:spacing w:line="400" w:lineRule="exact"/>
              <w:ind w:right="25" w:rightChars="12"/>
              <w:jc w:val="center"/>
              <w:rPr>
                <w:rFonts w:hAnsi="宋体" w:cs="宋体"/>
                <w:b/>
              </w:rPr>
            </w:pPr>
          </w:p>
        </w:tc>
        <w:tc>
          <w:tcPr>
            <w:tcW w:w="1216" w:type="dxa"/>
          </w:tcPr>
          <w:p>
            <w:pPr>
              <w:spacing w:line="400" w:lineRule="exact"/>
              <w:ind w:right="25" w:rightChars="12"/>
              <w:jc w:val="center"/>
              <w:rPr>
                <w:rFonts w:hAnsi="宋体" w:cs="宋体"/>
                <w:b/>
              </w:rPr>
            </w:pPr>
          </w:p>
        </w:tc>
        <w:tc>
          <w:tcPr>
            <w:tcW w:w="1216" w:type="dxa"/>
          </w:tcPr>
          <w:p>
            <w:pPr>
              <w:spacing w:line="400" w:lineRule="exact"/>
              <w:ind w:right="25" w:rightChars="12"/>
              <w:jc w:val="center"/>
              <w:rPr>
                <w:rFonts w:hAnsi="宋体" w:cs="宋体"/>
                <w:b/>
              </w:rPr>
            </w:pPr>
          </w:p>
        </w:tc>
        <w:tc>
          <w:tcPr>
            <w:tcW w:w="1697" w:type="dxa"/>
          </w:tcPr>
          <w:p>
            <w:pPr>
              <w:spacing w:line="400" w:lineRule="exact"/>
              <w:ind w:right="25" w:rightChars="12"/>
              <w:jc w:val="center"/>
              <w:rPr>
                <w:rFonts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hAnsi="宋体" w:cs="宋体"/>
              </w:rPr>
            </w:pPr>
            <w:r>
              <w:rPr>
                <w:rFonts w:hint="eastAsia" w:hAnsi="宋体" w:cs="宋体"/>
              </w:rPr>
              <w:t>2</w:t>
            </w:r>
          </w:p>
        </w:tc>
        <w:tc>
          <w:tcPr>
            <w:tcW w:w="1246" w:type="dxa"/>
          </w:tcPr>
          <w:p>
            <w:pPr>
              <w:spacing w:line="400" w:lineRule="exact"/>
              <w:ind w:right="25" w:rightChars="12"/>
              <w:jc w:val="center"/>
              <w:rPr>
                <w:rFonts w:hAnsi="宋体" w:cs="宋体"/>
                <w:b/>
              </w:rPr>
            </w:pPr>
          </w:p>
        </w:tc>
        <w:tc>
          <w:tcPr>
            <w:tcW w:w="1607" w:type="dxa"/>
          </w:tcPr>
          <w:p>
            <w:pPr>
              <w:spacing w:line="400" w:lineRule="exact"/>
              <w:ind w:right="25" w:rightChars="12"/>
              <w:jc w:val="center"/>
              <w:rPr>
                <w:rFonts w:hAnsi="宋体" w:cs="宋体"/>
                <w:b/>
              </w:rPr>
            </w:pPr>
          </w:p>
        </w:tc>
        <w:tc>
          <w:tcPr>
            <w:tcW w:w="1291" w:type="dxa"/>
          </w:tcPr>
          <w:p>
            <w:pPr>
              <w:spacing w:line="400" w:lineRule="exact"/>
              <w:ind w:right="25" w:rightChars="12"/>
              <w:jc w:val="center"/>
              <w:rPr>
                <w:rFonts w:hAnsi="宋体" w:cs="宋体"/>
                <w:b/>
              </w:rPr>
            </w:pPr>
          </w:p>
        </w:tc>
        <w:tc>
          <w:tcPr>
            <w:tcW w:w="1216" w:type="dxa"/>
          </w:tcPr>
          <w:p>
            <w:pPr>
              <w:spacing w:line="400" w:lineRule="exact"/>
              <w:ind w:right="25" w:rightChars="12"/>
              <w:jc w:val="center"/>
              <w:rPr>
                <w:rFonts w:hAnsi="宋体" w:cs="宋体"/>
                <w:b/>
              </w:rPr>
            </w:pPr>
          </w:p>
        </w:tc>
        <w:tc>
          <w:tcPr>
            <w:tcW w:w="1216" w:type="dxa"/>
          </w:tcPr>
          <w:p>
            <w:pPr>
              <w:spacing w:line="400" w:lineRule="exact"/>
              <w:ind w:right="25" w:rightChars="12"/>
              <w:jc w:val="center"/>
              <w:rPr>
                <w:rFonts w:hAnsi="宋体" w:cs="宋体"/>
                <w:b/>
              </w:rPr>
            </w:pPr>
          </w:p>
        </w:tc>
        <w:tc>
          <w:tcPr>
            <w:tcW w:w="1697" w:type="dxa"/>
          </w:tcPr>
          <w:p>
            <w:pPr>
              <w:spacing w:line="400" w:lineRule="exact"/>
              <w:ind w:right="25" w:rightChars="12"/>
              <w:jc w:val="center"/>
              <w:rPr>
                <w:rFonts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hAnsi="宋体" w:cs="宋体"/>
              </w:rPr>
            </w:pPr>
            <w:r>
              <w:rPr>
                <w:rFonts w:hint="eastAsia" w:hAnsi="宋体" w:cs="宋体"/>
              </w:rPr>
              <w:t>3</w:t>
            </w:r>
          </w:p>
        </w:tc>
        <w:tc>
          <w:tcPr>
            <w:tcW w:w="1246" w:type="dxa"/>
          </w:tcPr>
          <w:p>
            <w:pPr>
              <w:spacing w:line="400" w:lineRule="exact"/>
              <w:ind w:right="25" w:rightChars="12"/>
              <w:jc w:val="center"/>
              <w:rPr>
                <w:rFonts w:hAnsi="宋体" w:cs="宋体"/>
                <w:b/>
              </w:rPr>
            </w:pPr>
          </w:p>
        </w:tc>
        <w:tc>
          <w:tcPr>
            <w:tcW w:w="1607" w:type="dxa"/>
          </w:tcPr>
          <w:p>
            <w:pPr>
              <w:spacing w:line="400" w:lineRule="exact"/>
              <w:ind w:right="25" w:rightChars="12"/>
              <w:jc w:val="center"/>
              <w:rPr>
                <w:rFonts w:hAnsi="宋体" w:cs="宋体"/>
                <w:b/>
              </w:rPr>
            </w:pPr>
          </w:p>
        </w:tc>
        <w:tc>
          <w:tcPr>
            <w:tcW w:w="1291" w:type="dxa"/>
          </w:tcPr>
          <w:p>
            <w:pPr>
              <w:spacing w:line="400" w:lineRule="exact"/>
              <w:ind w:right="25" w:rightChars="12"/>
              <w:jc w:val="center"/>
              <w:rPr>
                <w:rFonts w:hAnsi="宋体" w:cs="宋体"/>
                <w:b/>
              </w:rPr>
            </w:pPr>
          </w:p>
        </w:tc>
        <w:tc>
          <w:tcPr>
            <w:tcW w:w="1216" w:type="dxa"/>
          </w:tcPr>
          <w:p>
            <w:pPr>
              <w:spacing w:line="400" w:lineRule="exact"/>
              <w:ind w:right="25" w:rightChars="12"/>
              <w:jc w:val="center"/>
              <w:rPr>
                <w:rFonts w:hAnsi="宋体" w:cs="宋体"/>
                <w:b/>
              </w:rPr>
            </w:pPr>
          </w:p>
        </w:tc>
        <w:tc>
          <w:tcPr>
            <w:tcW w:w="1216" w:type="dxa"/>
          </w:tcPr>
          <w:p>
            <w:pPr>
              <w:spacing w:line="400" w:lineRule="exact"/>
              <w:ind w:right="25" w:rightChars="12"/>
              <w:jc w:val="center"/>
              <w:rPr>
                <w:rFonts w:hAnsi="宋体" w:cs="宋体"/>
                <w:b/>
              </w:rPr>
            </w:pPr>
          </w:p>
        </w:tc>
        <w:tc>
          <w:tcPr>
            <w:tcW w:w="1697" w:type="dxa"/>
          </w:tcPr>
          <w:p>
            <w:pPr>
              <w:spacing w:line="400" w:lineRule="exact"/>
              <w:ind w:right="25" w:rightChars="12"/>
              <w:jc w:val="center"/>
              <w:rPr>
                <w:rFonts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hAnsi="宋体" w:cs="宋体"/>
              </w:rPr>
            </w:pPr>
            <w:r>
              <w:rPr>
                <w:rFonts w:hint="eastAsia" w:hAnsi="宋体" w:cs="宋体"/>
              </w:rPr>
              <w:t>…</w:t>
            </w:r>
          </w:p>
        </w:tc>
        <w:tc>
          <w:tcPr>
            <w:tcW w:w="1246" w:type="dxa"/>
          </w:tcPr>
          <w:p>
            <w:pPr>
              <w:spacing w:line="400" w:lineRule="exact"/>
              <w:ind w:right="25" w:rightChars="12"/>
              <w:jc w:val="center"/>
              <w:rPr>
                <w:rFonts w:hAnsi="宋体" w:cs="宋体"/>
                <w:b/>
              </w:rPr>
            </w:pPr>
          </w:p>
        </w:tc>
        <w:tc>
          <w:tcPr>
            <w:tcW w:w="1607" w:type="dxa"/>
          </w:tcPr>
          <w:p>
            <w:pPr>
              <w:spacing w:line="400" w:lineRule="exact"/>
              <w:ind w:right="25" w:rightChars="12"/>
              <w:jc w:val="center"/>
              <w:rPr>
                <w:rFonts w:hAnsi="宋体" w:cs="宋体"/>
                <w:b/>
              </w:rPr>
            </w:pPr>
          </w:p>
        </w:tc>
        <w:tc>
          <w:tcPr>
            <w:tcW w:w="1291" w:type="dxa"/>
          </w:tcPr>
          <w:p>
            <w:pPr>
              <w:spacing w:line="400" w:lineRule="exact"/>
              <w:ind w:right="25" w:rightChars="12"/>
              <w:jc w:val="center"/>
              <w:rPr>
                <w:rFonts w:hAnsi="宋体" w:cs="宋体"/>
                <w:b/>
              </w:rPr>
            </w:pPr>
          </w:p>
        </w:tc>
        <w:tc>
          <w:tcPr>
            <w:tcW w:w="1216" w:type="dxa"/>
          </w:tcPr>
          <w:p>
            <w:pPr>
              <w:spacing w:line="400" w:lineRule="exact"/>
              <w:ind w:right="25" w:rightChars="12"/>
              <w:jc w:val="center"/>
              <w:rPr>
                <w:rFonts w:hAnsi="宋体" w:cs="宋体"/>
                <w:b/>
              </w:rPr>
            </w:pPr>
          </w:p>
        </w:tc>
        <w:tc>
          <w:tcPr>
            <w:tcW w:w="1216" w:type="dxa"/>
          </w:tcPr>
          <w:p>
            <w:pPr>
              <w:spacing w:line="400" w:lineRule="exact"/>
              <w:ind w:right="25" w:rightChars="12"/>
              <w:jc w:val="center"/>
              <w:rPr>
                <w:rFonts w:hAnsi="宋体" w:cs="宋体"/>
                <w:b/>
              </w:rPr>
            </w:pPr>
          </w:p>
        </w:tc>
        <w:tc>
          <w:tcPr>
            <w:tcW w:w="1697" w:type="dxa"/>
          </w:tcPr>
          <w:p>
            <w:pPr>
              <w:spacing w:line="400" w:lineRule="exact"/>
              <w:ind w:right="25" w:rightChars="12"/>
              <w:jc w:val="center"/>
              <w:rPr>
                <w:rFonts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787" w:type="dxa"/>
            <w:vAlign w:val="center"/>
          </w:tcPr>
          <w:p>
            <w:pPr>
              <w:spacing w:line="400" w:lineRule="exact"/>
              <w:ind w:right="25" w:rightChars="12"/>
              <w:jc w:val="center"/>
              <w:rPr>
                <w:rFonts w:hAnsi="宋体" w:cs="宋体"/>
              </w:rPr>
            </w:pPr>
          </w:p>
        </w:tc>
        <w:tc>
          <w:tcPr>
            <w:tcW w:w="1246" w:type="dxa"/>
          </w:tcPr>
          <w:p>
            <w:pPr>
              <w:spacing w:line="400" w:lineRule="exact"/>
              <w:ind w:right="25" w:rightChars="12"/>
              <w:jc w:val="center"/>
              <w:rPr>
                <w:rFonts w:hAnsi="宋体" w:cs="宋体"/>
                <w:b/>
              </w:rPr>
            </w:pPr>
          </w:p>
        </w:tc>
        <w:tc>
          <w:tcPr>
            <w:tcW w:w="1607" w:type="dxa"/>
          </w:tcPr>
          <w:p>
            <w:pPr>
              <w:spacing w:line="400" w:lineRule="exact"/>
              <w:ind w:right="25" w:rightChars="12"/>
              <w:jc w:val="center"/>
              <w:rPr>
                <w:rFonts w:hAnsi="宋体" w:cs="宋体"/>
                <w:b/>
              </w:rPr>
            </w:pPr>
          </w:p>
        </w:tc>
        <w:tc>
          <w:tcPr>
            <w:tcW w:w="1291" w:type="dxa"/>
          </w:tcPr>
          <w:p>
            <w:pPr>
              <w:spacing w:line="400" w:lineRule="exact"/>
              <w:ind w:right="25" w:rightChars="12"/>
              <w:jc w:val="center"/>
              <w:rPr>
                <w:rFonts w:hAnsi="宋体" w:cs="宋体"/>
                <w:b/>
              </w:rPr>
            </w:pPr>
          </w:p>
        </w:tc>
        <w:tc>
          <w:tcPr>
            <w:tcW w:w="1216" w:type="dxa"/>
          </w:tcPr>
          <w:p>
            <w:pPr>
              <w:spacing w:line="400" w:lineRule="exact"/>
              <w:ind w:right="25" w:rightChars="12"/>
              <w:jc w:val="center"/>
              <w:rPr>
                <w:rFonts w:hAnsi="宋体" w:cs="宋体"/>
                <w:b/>
              </w:rPr>
            </w:pPr>
          </w:p>
        </w:tc>
        <w:tc>
          <w:tcPr>
            <w:tcW w:w="1216" w:type="dxa"/>
          </w:tcPr>
          <w:p>
            <w:pPr>
              <w:spacing w:line="400" w:lineRule="exact"/>
              <w:ind w:right="25" w:rightChars="12"/>
              <w:jc w:val="center"/>
              <w:rPr>
                <w:rFonts w:hAnsi="宋体" w:cs="宋体"/>
                <w:b/>
              </w:rPr>
            </w:pPr>
          </w:p>
        </w:tc>
        <w:tc>
          <w:tcPr>
            <w:tcW w:w="1697" w:type="dxa"/>
          </w:tcPr>
          <w:p>
            <w:pPr>
              <w:spacing w:line="400" w:lineRule="exact"/>
              <w:ind w:right="25" w:rightChars="12"/>
              <w:jc w:val="center"/>
              <w:rPr>
                <w:rFonts w:hAnsi="宋体" w:cs="宋体"/>
                <w:b/>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787" w:type="dxa"/>
            <w:vAlign w:val="center"/>
          </w:tcPr>
          <w:p>
            <w:pPr>
              <w:spacing w:line="400" w:lineRule="exact"/>
              <w:ind w:right="25" w:rightChars="12"/>
              <w:jc w:val="center"/>
              <w:rPr>
                <w:rFonts w:hAnsi="宋体" w:cs="宋体"/>
              </w:rPr>
            </w:pPr>
          </w:p>
        </w:tc>
        <w:tc>
          <w:tcPr>
            <w:tcW w:w="1246" w:type="dxa"/>
          </w:tcPr>
          <w:p>
            <w:pPr>
              <w:spacing w:line="400" w:lineRule="exact"/>
              <w:ind w:right="25" w:rightChars="12"/>
              <w:jc w:val="center"/>
              <w:rPr>
                <w:rFonts w:hAnsi="宋体" w:cs="宋体"/>
                <w:b/>
              </w:rPr>
            </w:pPr>
          </w:p>
        </w:tc>
        <w:tc>
          <w:tcPr>
            <w:tcW w:w="1607" w:type="dxa"/>
          </w:tcPr>
          <w:p>
            <w:pPr>
              <w:spacing w:line="400" w:lineRule="exact"/>
              <w:ind w:right="25" w:rightChars="12"/>
              <w:jc w:val="center"/>
              <w:rPr>
                <w:rFonts w:hAnsi="宋体" w:cs="宋体"/>
                <w:b/>
              </w:rPr>
            </w:pPr>
          </w:p>
        </w:tc>
        <w:tc>
          <w:tcPr>
            <w:tcW w:w="1291" w:type="dxa"/>
          </w:tcPr>
          <w:p>
            <w:pPr>
              <w:spacing w:line="400" w:lineRule="exact"/>
              <w:ind w:right="25" w:rightChars="12"/>
              <w:jc w:val="center"/>
              <w:rPr>
                <w:rFonts w:hAnsi="宋体" w:cs="宋体"/>
                <w:b/>
              </w:rPr>
            </w:pPr>
          </w:p>
        </w:tc>
        <w:tc>
          <w:tcPr>
            <w:tcW w:w="1216" w:type="dxa"/>
          </w:tcPr>
          <w:p>
            <w:pPr>
              <w:spacing w:line="400" w:lineRule="exact"/>
              <w:ind w:right="25" w:rightChars="12"/>
              <w:jc w:val="center"/>
              <w:rPr>
                <w:rFonts w:hAnsi="宋体" w:cs="宋体"/>
                <w:b/>
              </w:rPr>
            </w:pPr>
          </w:p>
        </w:tc>
        <w:tc>
          <w:tcPr>
            <w:tcW w:w="1216" w:type="dxa"/>
          </w:tcPr>
          <w:p>
            <w:pPr>
              <w:spacing w:line="400" w:lineRule="exact"/>
              <w:ind w:right="25" w:rightChars="12"/>
              <w:jc w:val="center"/>
              <w:rPr>
                <w:rFonts w:hAnsi="宋体" w:cs="宋体"/>
                <w:b/>
              </w:rPr>
            </w:pPr>
          </w:p>
        </w:tc>
        <w:tc>
          <w:tcPr>
            <w:tcW w:w="1697" w:type="dxa"/>
          </w:tcPr>
          <w:p>
            <w:pPr>
              <w:spacing w:line="400" w:lineRule="exact"/>
              <w:ind w:right="25" w:rightChars="12"/>
              <w:jc w:val="center"/>
              <w:rPr>
                <w:rFonts w:hAnsi="宋体" w:cs="宋体"/>
                <w:b/>
              </w:rPr>
            </w:pPr>
          </w:p>
        </w:tc>
      </w:tr>
    </w:tbl>
    <w:p>
      <w:pPr>
        <w:widowControl/>
        <w:jc w:val="left"/>
        <w:rPr>
          <w:rFonts w:ascii="宋体" w:hAnsi="宋体" w:cs="宋体"/>
          <w:b/>
          <w:kern w:val="0"/>
          <w:sz w:val="24"/>
          <w:szCs w:val="22"/>
        </w:rPr>
      </w:pPr>
    </w:p>
    <w:p>
      <w:pPr>
        <w:widowControl/>
        <w:jc w:val="left"/>
        <w:rPr>
          <w:rFonts w:ascii="宋体" w:hAnsi="宋体" w:cs="宋体"/>
          <w:b/>
          <w:szCs w:val="21"/>
        </w:rPr>
      </w:pPr>
      <w:r>
        <w:rPr>
          <w:rFonts w:ascii="宋体" w:hAnsi="宋体" w:cs="宋体"/>
          <w:b/>
          <w:kern w:val="0"/>
          <w:sz w:val="24"/>
          <w:szCs w:val="22"/>
        </w:rPr>
        <w:br w:type="page"/>
      </w:r>
    </w:p>
    <w:p>
      <w:pPr>
        <w:spacing w:line="360" w:lineRule="auto"/>
        <w:jc w:val="left"/>
        <w:rPr>
          <w:rFonts w:ascii="宋体" w:hAnsi="宋体" w:cs="宋体"/>
          <w:b/>
          <w:szCs w:val="21"/>
        </w:rPr>
      </w:pPr>
      <w:r>
        <w:rPr>
          <w:rFonts w:hint="eastAsia" w:ascii="宋体" w:hAnsi="宋体" w:cs="宋体"/>
          <w:b/>
          <w:szCs w:val="21"/>
        </w:rPr>
        <w:t>（12）技术部分：针对本项目第二章采购需求和第四章评分标准中的条款拟定各种方案，格式自拟；</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（13）第四章评标办法及评分标准中需提供的其他相关证书及合同复印件、中标通知书等并加盖公章；</w:t>
      </w: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p>
    <w:p>
      <w:pPr>
        <w:spacing w:line="360" w:lineRule="auto"/>
        <w:jc w:val="left"/>
        <w:rPr>
          <w:rFonts w:ascii="宋体" w:hAnsi="宋体" w:cs="宋体"/>
          <w:b/>
          <w:szCs w:val="21"/>
        </w:rPr>
      </w:pPr>
      <w:r>
        <w:rPr>
          <w:rFonts w:hint="eastAsia" w:ascii="宋体" w:hAnsi="宋体" w:cs="宋体"/>
          <w:b/>
          <w:szCs w:val="21"/>
        </w:rPr>
        <w:t>（14）供应商认为有需要提供的其它有关证明资料。</w:t>
      </w:r>
    </w:p>
    <w:p>
      <w:pPr>
        <w:spacing w:line="360" w:lineRule="auto"/>
        <w:jc w:val="left"/>
        <w:rPr>
          <w:rFonts w:ascii="宋体" w:hAnsi="宋体" w:cs="宋体"/>
          <w:b/>
          <w:szCs w:val="21"/>
        </w:rPr>
      </w:pPr>
    </w:p>
    <w:p>
      <w:pPr>
        <w:spacing w:line="360" w:lineRule="auto"/>
        <w:jc w:val="center"/>
        <w:rPr>
          <w:rFonts w:ascii="宋体" w:hAnsi="宋体" w:cs="宋体"/>
          <w:b/>
          <w:szCs w:val="21"/>
        </w:rPr>
      </w:pPr>
    </w:p>
    <w:p>
      <w:pPr>
        <w:widowControl/>
        <w:jc w:val="left"/>
        <w:rPr>
          <w:rFonts w:ascii="宋体" w:hAnsi="宋体" w:cs="宋体"/>
          <w:b/>
          <w:szCs w:val="21"/>
        </w:rPr>
      </w:pPr>
      <w:r>
        <w:rPr>
          <w:rFonts w:ascii="宋体" w:hAnsi="宋体" w:cs="宋体"/>
          <w:b/>
          <w:szCs w:val="21"/>
        </w:rPr>
        <w:br w:type="page"/>
      </w:r>
    </w:p>
    <w:p>
      <w:pPr>
        <w:widowControl/>
        <w:spacing w:line="276" w:lineRule="auto"/>
        <w:jc w:val="left"/>
        <w:rPr>
          <w:rFonts w:ascii="宋体" w:hAnsi="宋体" w:cs="宋体"/>
        </w:rPr>
      </w:pPr>
      <w:r>
        <w:rPr>
          <w:rFonts w:hint="eastAsia" w:ascii="宋体" w:hAnsi="宋体" w:cs="宋体"/>
          <w:kern w:val="0"/>
          <w:sz w:val="22"/>
          <w:szCs w:val="22"/>
        </w:rPr>
        <w:t>一、报价文件的外包装封面格式：</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报价文件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rPr>
          <w:rFonts w:hAnsi="宋体" w:cs="宋体"/>
          <w:bCs/>
          <w:u w:val="single"/>
        </w:rPr>
      </w:pPr>
      <w:r>
        <w:rPr>
          <w:rFonts w:hint="eastAsia" w:ascii="宋体" w:hAnsi="宋体" w:cs="宋体"/>
          <w:color w:val="000000"/>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snapToGrid w:val="0"/>
        <w:spacing w:before="50" w:after="50"/>
        <w:ind w:firstLine="932" w:firstLineChars="444"/>
        <w:jc w:val="center"/>
        <w:rPr>
          <w:rFonts w:ascii="宋体" w:hAnsi="宋体"/>
          <w:bCs/>
          <w:szCs w:val="21"/>
        </w:rPr>
      </w:pPr>
      <w:r>
        <w:rPr>
          <w:rFonts w:hint="eastAsia" w:ascii="宋体" w:hAnsi="宋体"/>
          <w:szCs w:val="20"/>
        </w:rPr>
        <w:t>开标时启封</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 xml:space="preserve">                                                    （供应商公章）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pacing w:line="276" w:lineRule="auto"/>
        <w:jc w:val="left"/>
        <w:rPr>
          <w:rFonts w:ascii="宋体" w:hAnsi="宋体" w:cs="宋体"/>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kern w:val="0"/>
          <w:sz w:val="22"/>
          <w:szCs w:val="22"/>
        </w:rPr>
      </w:pPr>
    </w:p>
    <w:p>
      <w:pPr>
        <w:widowControl/>
        <w:spacing w:line="276" w:lineRule="auto"/>
        <w:jc w:val="left"/>
        <w:rPr>
          <w:rFonts w:ascii="宋体" w:hAnsi="宋体" w:cs="宋体"/>
        </w:rPr>
      </w:pPr>
      <w:r>
        <w:rPr>
          <w:rFonts w:hint="eastAsia" w:ascii="宋体" w:hAnsi="宋体" w:cs="宋体"/>
          <w:kern w:val="0"/>
          <w:sz w:val="22"/>
          <w:szCs w:val="22"/>
        </w:rPr>
        <w:t xml:space="preserve">二、报价文件封面格式： </w:t>
      </w:r>
    </w:p>
    <w:p>
      <w:pPr>
        <w:widowControl/>
        <w:spacing w:line="276" w:lineRule="auto"/>
        <w:jc w:val="left"/>
        <w:rPr>
          <w:rFonts w:ascii="宋体" w:hAnsi="宋体" w:cs="宋体"/>
        </w:rPr>
      </w:pPr>
      <w:r>
        <w:rPr>
          <w:rFonts w:hint="eastAsia" w:ascii="宋体" w:hAnsi="宋体" w:cs="宋体"/>
          <w:kern w:val="0"/>
          <w:sz w:val="22"/>
          <w:szCs w:val="22"/>
        </w:rPr>
        <w:t xml:space="preserve">                                                        正本/或副本</w:t>
      </w:r>
    </w:p>
    <w:p>
      <w:pPr>
        <w:widowControl/>
        <w:spacing w:line="276" w:lineRule="auto"/>
        <w:jc w:val="left"/>
        <w:rPr>
          <w:rFonts w:ascii="宋体" w:hAnsi="宋体" w:cs="宋体"/>
        </w:rPr>
      </w:pPr>
    </w:p>
    <w:p>
      <w:pPr>
        <w:widowControl/>
        <w:spacing w:line="276" w:lineRule="auto"/>
        <w:jc w:val="center"/>
        <w:rPr>
          <w:rFonts w:ascii="宋体" w:hAnsi="宋体" w:cs="宋体"/>
          <w:sz w:val="44"/>
          <w:szCs w:val="44"/>
        </w:rPr>
      </w:pPr>
      <w:r>
        <w:rPr>
          <w:rFonts w:hint="eastAsia" w:ascii="宋体" w:hAnsi="宋体" w:cs="宋体"/>
          <w:kern w:val="0"/>
          <w:sz w:val="44"/>
          <w:szCs w:val="44"/>
        </w:rPr>
        <w:t>报价文件</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项目名称：                        项目</w:t>
      </w:r>
    </w:p>
    <w:p>
      <w:pPr>
        <w:widowControl/>
        <w:spacing w:line="276" w:lineRule="auto"/>
        <w:jc w:val="left"/>
        <w:rPr>
          <w:rFonts w:ascii="宋体" w:hAnsi="宋体" w:cs="宋体"/>
        </w:rPr>
      </w:pPr>
      <w:r>
        <w:rPr>
          <w:rFonts w:hint="eastAsia" w:ascii="宋体" w:hAnsi="宋体" w:cs="宋体"/>
          <w:kern w:val="0"/>
          <w:sz w:val="22"/>
          <w:szCs w:val="22"/>
        </w:rPr>
        <w:t xml:space="preserve">项目编号： </w:t>
      </w:r>
    </w:p>
    <w:p>
      <w:pPr>
        <w:rPr>
          <w:rFonts w:hAnsi="宋体" w:cs="宋体"/>
          <w:bCs/>
          <w:u w:val="single"/>
        </w:rPr>
      </w:pPr>
      <w:r>
        <w:rPr>
          <w:rFonts w:hint="eastAsia" w:ascii="宋体" w:hAnsi="宋体" w:cs="宋体"/>
          <w:color w:val="000000"/>
        </w:rPr>
        <w:t>子包号：</w:t>
      </w:r>
    </w:p>
    <w:p>
      <w:pPr>
        <w:widowControl/>
        <w:spacing w:line="276" w:lineRule="auto"/>
        <w:jc w:val="left"/>
        <w:rPr>
          <w:rFonts w:ascii="宋体" w:hAnsi="宋体" w:cs="宋体"/>
        </w:rPr>
      </w:pPr>
    </w:p>
    <w:p>
      <w:pPr>
        <w:widowControl/>
        <w:spacing w:line="276" w:lineRule="auto"/>
        <w:jc w:val="left"/>
        <w:rPr>
          <w:rFonts w:ascii="宋体" w:hAnsi="宋体" w:cs="宋体"/>
        </w:rPr>
      </w:pPr>
      <w:r>
        <w:rPr>
          <w:rFonts w:hint="eastAsia" w:ascii="宋体" w:hAnsi="宋体" w:cs="宋体"/>
          <w:kern w:val="0"/>
          <w:sz w:val="22"/>
          <w:szCs w:val="22"/>
        </w:rPr>
        <w:t>供应商名称：</w:t>
      </w:r>
    </w:p>
    <w:p>
      <w:pPr>
        <w:widowControl/>
        <w:spacing w:line="276" w:lineRule="auto"/>
        <w:jc w:val="left"/>
        <w:rPr>
          <w:rFonts w:ascii="宋体" w:hAnsi="宋体" w:cs="宋体"/>
        </w:rPr>
      </w:pPr>
      <w:r>
        <w:rPr>
          <w:rFonts w:hint="eastAsia" w:ascii="宋体" w:hAnsi="宋体" w:cs="宋体"/>
          <w:kern w:val="0"/>
          <w:sz w:val="22"/>
          <w:szCs w:val="22"/>
        </w:rPr>
        <w:t>供应商地址：</w:t>
      </w:r>
    </w:p>
    <w:p>
      <w:pPr>
        <w:widowControl/>
        <w:spacing w:line="276" w:lineRule="auto"/>
        <w:jc w:val="left"/>
        <w:rPr>
          <w:rFonts w:ascii="宋体" w:hAnsi="宋体" w:cs="宋体"/>
        </w:rPr>
      </w:pPr>
    </w:p>
    <w:p>
      <w:pPr>
        <w:widowControl/>
        <w:spacing w:line="276" w:lineRule="auto"/>
        <w:ind w:firstLine="5610" w:firstLineChars="2550"/>
        <w:jc w:val="left"/>
        <w:rPr>
          <w:rFonts w:ascii="宋体" w:hAnsi="宋体" w:cs="宋体"/>
        </w:rPr>
      </w:pPr>
      <w:r>
        <w:rPr>
          <w:rFonts w:hint="eastAsia" w:ascii="宋体" w:hAnsi="宋体" w:cs="宋体"/>
          <w:kern w:val="0"/>
          <w:sz w:val="22"/>
          <w:szCs w:val="22"/>
        </w:rPr>
        <w:t>（供应商公章）</w:t>
      </w:r>
    </w:p>
    <w:p>
      <w:pPr>
        <w:widowControl/>
        <w:spacing w:line="276" w:lineRule="auto"/>
        <w:jc w:val="left"/>
        <w:rPr>
          <w:rFonts w:ascii="宋体" w:hAnsi="宋体" w:cs="宋体"/>
        </w:rPr>
      </w:pPr>
      <w:r>
        <w:rPr>
          <w:rFonts w:hint="eastAsia" w:ascii="宋体" w:hAnsi="宋体" w:cs="宋体"/>
          <w:kern w:val="0"/>
          <w:sz w:val="22"/>
          <w:szCs w:val="22"/>
        </w:rPr>
        <w:t xml:space="preserve">                                                       年  月  日</w:t>
      </w: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widowControl/>
        <w:snapToGrid w:val="0"/>
        <w:spacing w:line="276" w:lineRule="auto"/>
        <w:jc w:val="center"/>
        <w:rPr>
          <w:rFonts w:ascii="宋体" w:hAnsi="宋体" w:cs="宋体"/>
          <w:szCs w:val="21"/>
        </w:rPr>
      </w:pPr>
    </w:p>
    <w:p>
      <w:pPr>
        <w:snapToGrid w:val="0"/>
        <w:spacing w:line="360" w:lineRule="auto"/>
        <w:jc w:val="left"/>
        <w:rPr>
          <w:rFonts w:ascii="宋体" w:hAnsi="宋体" w:cs="宋体"/>
          <w:b/>
          <w:sz w:val="24"/>
        </w:rPr>
      </w:pPr>
    </w:p>
    <w:p>
      <w:pPr>
        <w:snapToGrid w:val="0"/>
        <w:spacing w:line="360" w:lineRule="auto"/>
        <w:jc w:val="left"/>
        <w:rPr>
          <w:rFonts w:ascii="宋体" w:hAnsi="宋体" w:cs="宋体"/>
          <w:b/>
          <w:sz w:val="24"/>
        </w:rPr>
      </w:pPr>
    </w:p>
    <w:p>
      <w:pPr>
        <w:snapToGrid w:val="0"/>
        <w:spacing w:line="360" w:lineRule="auto"/>
        <w:jc w:val="left"/>
        <w:rPr>
          <w:rFonts w:ascii="宋体" w:hAnsi="宋体" w:cs="宋体"/>
          <w:b/>
          <w:sz w:val="24"/>
        </w:rPr>
      </w:pPr>
      <w:r>
        <w:rPr>
          <w:rFonts w:hint="eastAsia" w:ascii="宋体" w:hAnsi="宋体" w:cs="宋体"/>
          <w:b/>
          <w:sz w:val="24"/>
        </w:rPr>
        <w:t>报价文件内容包括：</w:t>
      </w:r>
    </w:p>
    <w:p>
      <w:pPr>
        <w:snapToGrid w:val="0"/>
        <w:spacing w:line="360" w:lineRule="auto"/>
        <w:jc w:val="left"/>
        <w:rPr>
          <w:rFonts w:ascii="宋体" w:hAnsi="宋体" w:cs="宋体"/>
          <w:szCs w:val="21"/>
        </w:rPr>
      </w:pPr>
      <w:r>
        <w:rPr>
          <w:rFonts w:hint="eastAsia" w:ascii="宋体" w:hAnsi="宋体" w:cs="宋体"/>
          <w:szCs w:val="21"/>
        </w:rPr>
        <w:t>1）开标一览表（格式见附件）；</w:t>
      </w:r>
    </w:p>
    <w:p>
      <w:pPr>
        <w:snapToGrid w:val="0"/>
        <w:spacing w:line="360" w:lineRule="auto"/>
        <w:jc w:val="left"/>
        <w:rPr>
          <w:rFonts w:ascii="宋体" w:hAnsi="宋体" w:cs="宋体"/>
          <w:szCs w:val="21"/>
        </w:rPr>
      </w:pPr>
      <w:r>
        <w:rPr>
          <w:rFonts w:hint="eastAsia" w:ascii="宋体" w:hAnsi="宋体" w:cs="宋体"/>
          <w:szCs w:val="21"/>
        </w:rPr>
        <w:t>2）投标分项报价表格式（格式见附件）；</w:t>
      </w:r>
    </w:p>
    <w:p>
      <w:pPr>
        <w:snapToGrid w:val="0"/>
        <w:spacing w:line="360" w:lineRule="auto"/>
        <w:jc w:val="left"/>
        <w:rPr>
          <w:rFonts w:ascii="宋体" w:hAnsi="宋体" w:cs="宋体"/>
          <w:szCs w:val="21"/>
        </w:rPr>
      </w:pPr>
      <w:r>
        <w:rPr>
          <w:rFonts w:hint="eastAsia" w:ascii="宋体" w:hAnsi="宋体" w:cs="宋体"/>
          <w:szCs w:val="21"/>
        </w:rPr>
        <w:t>3）中小企业声明函（如有）(格式见附件)；</w:t>
      </w:r>
    </w:p>
    <w:p>
      <w:pPr>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color w:val="000000"/>
        </w:rPr>
        <w:t>残疾人福利性单位声明函（非残疾人福利性单位无需提供本函)（格式见附件）；</w:t>
      </w:r>
    </w:p>
    <w:p>
      <w:pPr>
        <w:snapToGrid w:val="0"/>
        <w:spacing w:line="360" w:lineRule="auto"/>
        <w:jc w:val="left"/>
        <w:rPr>
          <w:rFonts w:ascii="宋体" w:hAnsi="宋体" w:cs="宋体"/>
          <w:szCs w:val="21"/>
        </w:rPr>
      </w:pPr>
      <w:r>
        <w:rPr>
          <w:rFonts w:hint="eastAsia" w:ascii="宋体" w:hAnsi="宋体" w:cs="宋体"/>
          <w:szCs w:val="21"/>
        </w:rPr>
        <w:t>5）供应商针对报价需要说明的其他文件和说明</w:t>
      </w:r>
      <w:r>
        <w:rPr>
          <w:rFonts w:hint="eastAsia" w:ascii="宋体" w:hAnsi="宋体" w:cs="宋体"/>
          <w:color w:val="000000"/>
        </w:rPr>
        <w:t>（格式自拟）</w:t>
      </w:r>
      <w:r>
        <w:rPr>
          <w:rFonts w:hint="eastAsia" w:ascii="宋体" w:hAnsi="宋体" w:cs="宋体"/>
          <w:szCs w:val="21"/>
        </w:rPr>
        <w:t>；</w:t>
      </w:r>
    </w:p>
    <w:p>
      <w:pPr>
        <w:snapToGrid w:val="0"/>
        <w:spacing w:line="360" w:lineRule="auto"/>
        <w:ind w:firstLine="630" w:firstLineChars="300"/>
        <w:jc w:val="left"/>
        <w:rPr>
          <w:rFonts w:ascii="宋体" w:hAnsi="宋体" w:cs="宋体"/>
        </w:rPr>
      </w:pPr>
    </w:p>
    <w:p>
      <w:pPr>
        <w:snapToGrid w:val="0"/>
        <w:spacing w:line="360" w:lineRule="auto"/>
        <w:ind w:firstLine="420" w:firstLineChars="200"/>
        <w:jc w:val="left"/>
        <w:rPr>
          <w:rFonts w:ascii="宋体" w:hAnsi="宋体" w:cs="宋体"/>
          <w:szCs w:val="21"/>
        </w:rPr>
      </w:pPr>
    </w:p>
    <w:p>
      <w:pPr>
        <w:widowControl/>
        <w:spacing w:line="276" w:lineRule="auto"/>
        <w:jc w:val="left"/>
        <w:rPr>
          <w:rFonts w:ascii="宋体" w:hAnsi="宋体" w:cs="宋体"/>
          <w:sz w:val="32"/>
          <w:szCs w:val="20"/>
        </w:rPr>
      </w:pPr>
    </w:p>
    <w:p>
      <w:pPr>
        <w:snapToGrid w:val="0"/>
        <w:spacing w:before="120" w:beforeLines="50" w:after="50"/>
        <w:rPr>
          <w:rFonts w:ascii="宋体" w:hAnsi="宋体" w:cs="宋体"/>
          <w:b/>
          <w:kern w:val="0"/>
          <w:szCs w:val="21"/>
        </w:rPr>
      </w:pPr>
      <w:r>
        <w:rPr>
          <w:rFonts w:ascii="宋体" w:hAnsi="宋体" w:cs="宋体"/>
          <w:b/>
          <w:kern w:val="0"/>
          <w:szCs w:val="21"/>
        </w:rPr>
        <w:br w:type="page"/>
      </w:r>
      <w:r>
        <w:rPr>
          <w:rFonts w:hint="eastAsia" w:ascii="宋体" w:hAnsi="宋体" w:cs="宋体"/>
          <w:b/>
          <w:kern w:val="0"/>
          <w:szCs w:val="21"/>
        </w:rPr>
        <w:t>(1)开标一览表格式</w:t>
      </w:r>
    </w:p>
    <w:p>
      <w:pPr>
        <w:snapToGrid w:val="0"/>
        <w:spacing w:before="50" w:after="50" w:line="360" w:lineRule="auto"/>
        <w:jc w:val="center"/>
        <w:rPr>
          <w:rFonts w:ascii="宋体" w:hAnsi="宋体" w:cs="宋体"/>
          <w:b/>
          <w:sz w:val="30"/>
          <w:szCs w:val="20"/>
        </w:rPr>
      </w:pPr>
      <w:r>
        <w:rPr>
          <w:rFonts w:hint="eastAsia" w:ascii="宋体" w:hAnsi="宋体" w:cs="宋体"/>
          <w:b/>
          <w:sz w:val="30"/>
        </w:rPr>
        <w:t xml:space="preserve"> 开标一览表</w:t>
      </w:r>
    </w:p>
    <w:p>
      <w:pPr>
        <w:ind w:firstLine="420" w:firstLineChars="200"/>
        <w:rPr>
          <w:rFonts w:ascii="宋体" w:hAnsi="宋体" w:cs="宋体"/>
          <w:color w:val="000000"/>
        </w:rPr>
      </w:pPr>
      <w:r>
        <w:rPr>
          <w:rFonts w:hint="eastAsia" w:ascii="宋体" w:hAnsi="宋体" w:cs="宋体"/>
          <w:color w:val="000000"/>
        </w:rPr>
        <w:t>采购项目：</w:t>
      </w:r>
    </w:p>
    <w:p>
      <w:pPr>
        <w:ind w:firstLine="420" w:firstLineChars="200"/>
        <w:rPr>
          <w:rFonts w:ascii="宋体" w:hAnsi="宋体" w:cs="宋体"/>
          <w:color w:val="000000"/>
        </w:rPr>
      </w:pPr>
      <w:r>
        <w:rPr>
          <w:rFonts w:hint="eastAsia" w:ascii="宋体" w:hAnsi="宋体" w:cs="宋体"/>
          <w:color w:val="000000"/>
        </w:rPr>
        <w:t>项目编号：</w:t>
      </w:r>
    </w:p>
    <w:p>
      <w:pPr>
        <w:ind w:firstLine="420" w:firstLineChars="200"/>
        <w:rPr>
          <w:rFonts w:ascii="宋体" w:hAnsi="宋体" w:cs="宋体"/>
          <w:szCs w:val="21"/>
        </w:rPr>
      </w:pPr>
      <w:r>
        <w:rPr>
          <w:rFonts w:hint="eastAsia" w:ascii="宋体" w:hAnsi="宋体" w:cs="宋体"/>
          <w:color w:val="000000"/>
        </w:rPr>
        <w:t>子包号：</w:t>
      </w:r>
      <w:r>
        <w:rPr>
          <w:rFonts w:hint="eastAsia" w:ascii="宋体" w:hAnsi="宋体" w:cs="宋体"/>
          <w:szCs w:val="21"/>
        </w:rPr>
        <w:t xml:space="preserve">                        单位：人民币（元）</w:t>
      </w:r>
    </w:p>
    <w:tbl>
      <w:tblPr>
        <w:tblStyle w:val="53"/>
        <w:tblW w:w="8860" w:type="dxa"/>
        <w:jc w:val="center"/>
        <w:tblInd w:w="0" w:type="dxa"/>
        <w:tblLayout w:type="fixed"/>
        <w:tblCellMar>
          <w:top w:w="0" w:type="dxa"/>
          <w:left w:w="108" w:type="dxa"/>
          <w:bottom w:w="0" w:type="dxa"/>
          <w:right w:w="108" w:type="dxa"/>
        </w:tblCellMar>
      </w:tblPr>
      <w:tblGrid>
        <w:gridCol w:w="820"/>
        <w:gridCol w:w="2619"/>
        <w:gridCol w:w="2835"/>
        <w:gridCol w:w="2586"/>
      </w:tblGrid>
      <w:tr>
        <w:tblPrEx>
          <w:tblLayout w:type="fixed"/>
          <w:tblCellMar>
            <w:top w:w="0" w:type="dxa"/>
            <w:left w:w="108" w:type="dxa"/>
            <w:bottom w:w="0" w:type="dxa"/>
            <w:right w:w="108" w:type="dxa"/>
          </w:tblCellMar>
        </w:tblPrEx>
        <w:trPr>
          <w:trHeight w:val="709"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261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b/>
                <w:szCs w:val="21"/>
              </w:rPr>
              <w:t>项目内容</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投标报价</w:t>
            </w:r>
          </w:p>
        </w:tc>
        <w:tc>
          <w:tcPr>
            <w:tcW w:w="2586"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Layout w:type="fixed"/>
          <w:tblCellMar>
            <w:top w:w="0" w:type="dxa"/>
            <w:left w:w="108" w:type="dxa"/>
            <w:bottom w:w="0" w:type="dxa"/>
            <w:right w:w="108" w:type="dxa"/>
          </w:tblCellMar>
        </w:tblPrEx>
        <w:trPr>
          <w:trHeight w:val="472"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sz w:val="18"/>
                <w:szCs w:val="18"/>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r>
              <w:rPr>
                <w:rFonts w:hint="eastAsia" w:ascii="宋体" w:hAnsi="宋体" w:cs="宋体"/>
                <w:szCs w:val="21"/>
              </w:rPr>
              <w:t xml:space="preserve">              </w:t>
            </w: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Layout w:type="fixed"/>
          <w:tblCellMar>
            <w:top w:w="0" w:type="dxa"/>
            <w:left w:w="108" w:type="dxa"/>
            <w:bottom w:w="0" w:type="dxa"/>
            <w:right w:w="108" w:type="dxa"/>
          </w:tblCellMar>
        </w:tblPrEx>
        <w:trPr>
          <w:trHeight w:val="45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kern w:val="0"/>
                <w:sz w:val="18"/>
                <w:szCs w:val="18"/>
                <w:lang w:bidi="ar"/>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Layout w:type="fixed"/>
          <w:tblCellMar>
            <w:top w:w="0" w:type="dxa"/>
            <w:left w:w="108" w:type="dxa"/>
            <w:bottom w:w="0" w:type="dxa"/>
            <w:right w:w="108" w:type="dxa"/>
          </w:tblCellMar>
        </w:tblPrEx>
        <w:trPr>
          <w:trHeight w:val="45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kern w:val="0"/>
                <w:sz w:val="18"/>
                <w:szCs w:val="18"/>
                <w:lang w:bidi="ar"/>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Layout w:type="fixed"/>
          <w:tblCellMar>
            <w:top w:w="0" w:type="dxa"/>
            <w:left w:w="108" w:type="dxa"/>
            <w:bottom w:w="0" w:type="dxa"/>
            <w:right w:w="108" w:type="dxa"/>
          </w:tblCellMar>
        </w:tblPrEx>
        <w:trPr>
          <w:trHeight w:val="457"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p>
        </w:tc>
        <w:tc>
          <w:tcPr>
            <w:tcW w:w="2619" w:type="dxa"/>
            <w:tcBorders>
              <w:top w:val="single" w:color="auto" w:sz="4" w:space="0"/>
              <w:left w:val="nil"/>
              <w:bottom w:val="single" w:color="auto" w:sz="4" w:space="0"/>
              <w:right w:val="single" w:color="auto" w:sz="4" w:space="0"/>
            </w:tcBorders>
            <w:vAlign w:val="center"/>
          </w:tcPr>
          <w:p>
            <w:pPr>
              <w:jc w:val="left"/>
              <w:rPr>
                <w:rFonts w:ascii="宋体" w:hAnsi="宋体" w:cs="宋体"/>
                <w:b/>
                <w:color w:val="000000"/>
                <w:kern w:val="0"/>
                <w:sz w:val="18"/>
                <w:szCs w:val="18"/>
                <w:lang w:bidi="ar"/>
              </w:rPr>
            </w:pPr>
          </w:p>
        </w:tc>
        <w:tc>
          <w:tcPr>
            <w:tcW w:w="283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c>
          <w:tcPr>
            <w:tcW w:w="258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宋体"/>
                <w:szCs w:val="21"/>
              </w:rPr>
            </w:pPr>
          </w:p>
        </w:tc>
      </w:tr>
      <w:tr>
        <w:tblPrEx>
          <w:tblLayout w:type="fixed"/>
          <w:tblCellMar>
            <w:top w:w="0" w:type="dxa"/>
            <w:left w:w="108" w:type="dxa"/>
            <w:bottom w:w="0" w:type="dxa"/>
            <w:right w:w="108" w:type="dxa"/>
          </w:tblCellMar>
        </w:tblPrEx>
        <w:trPr>
          <w:trHeight w:val="1722" w:hRule="atLeast"/>
          <w:jc w:val="center"/>
        </w:trPr>
        <w:tc>
          <w:tcPr>
            <w:tcW w:w="82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Cs w:val="21"/>
              </w:rPr>
            </w:pPr>
            <w:r>
              <w:rPr>
                <w:rFonts w:hint="eastAsia" w:ascii="宋体" w:hAnsi="宋体" w:cs="宋体"/>
                <w:szCs w:val="21"/>
              </w:rPr>
              <w:t>投标声明</w:t>
            </w:r>
          </w:p>
        </w:tc>
        <w:tc>
          <w:tcPr>
            <w:tcW w:w="8040" w:type="dxa"/>
            <w:gridSpan w:val="3"/>
            <w:tcBorders>
              <w:top w:val="single" w:color="auto" w:sz="4" w:space="0"/>
              <w:left w:val="nil"/>
              <w:bottom w:val="single" w:color="auto" w:sz="4" w:space="0"/>
              <w:right w:val="single" w:color="auto" w:sz="4" w:space="0"/>
            </w:tcBorders>
            <w:vAlign w:val="center"/>
          </w:tcPr>
          <w:p>
            <w:pPr>
              <w:widowControl/>
              <w:spacing w:line="300" w:lineRule="exact"/>
              <w:rPr>
                <w:rFonts w:ascii="宋体" w:hAnsi="宋体" w:cs="宋体"/>
                <w:szCs w:val="21"/>
              </w:rPr>
            </w:pPr>
          </w:p>
        </w:tc>
      </w:tr>
    </w:tbl>
    <w:p>
      <w:pPr>
        <w:snapToGrid w:val="0"/>
        <w:spacing w:before="50" w:after="50" w:line="360" w:lineRule="auto"/>
        <w:ind w:left="420" w:leftChars="200" w:firstLine="315" w:firstLineChars="150"/>
        <w:jc w:val="left"/>
        <w:rPr>
          <w:rFonts w:ascii="宋体" w:hAnsi="宋体" w:cs="宋体"/>
          <w:szCs w:val="21"/>
        </w:rPr>
      </w:pPr>
      <w:r>
        <w:rPr>
          <w:rFonts w:hint="eastAsia" w:ascii="宋体" w:hAnsi="宋体" w:cs="宋体"/>
          <w:szCs w:val="21"/>
        </w:rPr>
        <w:t>注: 1、报价一经涂改，应在涂改处加盖单位公章或者由法定代表人或授权委托人签字或盖章，否则其投标作无效标处理。</w:t>
      </w:r>
    </w:p>
    <w:p>
      <w:pPr>
        <w:snapToGrid w:val="0"/>
        <w:spacing w:before="50" w:after="50" w:line="360" w:lineRule="auto"/>
        <w:ind w:left="420" w:leftChars="200" w:firstLine="420" w:firstLineChars="200"/>
        <w:jc w:val="left"/>
        <w:rPr>
          <w:rFonts w:ascii="宋体" w:hAnsi="宋体" w:cs="宋体"/>
          <w:szCs w:val="21"/>
        </w:rPr>
      </w:pPr>
    </w:p>
    <w:p>
      <w:pPr>
        <w:snapToGrid w:val="0"/>
        <w:spacing w:before="50" w:after="50" w:line="360" w:lineRule="auto"/>
        <w:ind w:left="420" w:leftChars="200" w:firstLine="420" w:firstLineChars="200"/>
        <w:jc w:val="left"/>
        <w:rPr>
          <w:rFonts w:ascii="宋体" w:hAnsi="宋体" w:cs="宋体"/>
          <w:szCs w:val="21"/>
        </w:rPr>
      </w:pP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法定代表人或授权代表</w:t>
      </w:r>
      <w:r>
        <w:rPr>
          <w:rFonts w:hint="eastAsia" w:ascii="宋体" w:hAnsi="宋体" w:cs="宋体"/>
          <w:color w:val="000000"/>
        </w:rPr>
        <w:t>（签名或印章）</w:t>
      </w:r>
      <w:r>
        <w:rPr>
          <w:rFonts w:hint="eastAsia" w:ascii="宋体" w:hAnsi="宋体" w:cs="宋体"/>
          <w:szCs w:val="21"/>
        </w:rPr>
        <w:t xml:space="preserve">：                    </w:t>
      </w: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供应商名称（盖章）：                               日期：    年   月   日</w:t>
      </w:r>
    </w:p>
    <w:p>
      <w:pPr>
        <w:snapToGrid w:val="0"/>
        <w:spacing w:before="120" w:beforeLines="50" w:after="50"/>
        <w:rPr>
          <w:rFonts w:ascii="宋体" w:hAnsi="宋体" w:cs="宋体"/>
          <w:szCs w:val="21"/>
        </w:rPr>
      </w:pPr>
    </w:p>
    <w:p>
      <w:pPr>
        <w:snapToGrid w:val="0"/>
        <w:spacing w:before="120" w:beforeLines="50" w:after="50"/>
        <w:rPr>
          <w:rFonts w:ascii="宋体" w:hAnsi="宋体" w:cs="宋体"/>
          <w:b/>
          <w:kern w:val="0"/>
          <w:szCs w:val="21"/>
        </w:rPr>
      </w:pPr>
      <w:r>
        <w:rPr>
          <w:rFonts w:ascii="宋体" w:hAnsi="宋体" w:cs="宋体"/>
          <w:b/>
          <w:kern w:val="0"/>
          <w:szCs w:val="21"/>
        </w:rPr>
        <w:br w:type="page"/>
      </w:r>
      <w:r>
        <w:rPr>
          <w:rFonts w:hint="eastAsia" w:ascii="宋体" w:hAnsi="宋体" w:cs="宋体"/>
          <w:b/>
          <w:kern w:val="0"/>
          <w:szCs w:val="21"/>
        </w:rPr>
        <w:t>(2) 投标分项报价表格式</w:t>
      </w:r>
    </w:p>
    <w:p>
      <w:pPr>
        <w:snapToGrid w:val="0"/>
        <w:spacing w:before="50" w:after="50" w:line="400" w:lineRule="exact"/>
        <w:jc w:val="center"/>
        <w:rPr>
          <w:rFonts w:ascii="宋体" w:hAnsi="宋体" w:cs="宋体"/>
          <w:b/>
          <w:sz w:val="30"/>
        </w:rPr>
      </w:pPr>
      <w:r>
        <w:rPr>
          <w:rFonts w:hint="eastAsia" w:ascii="宋体" w:hAnsi="宋体" w:cs="宋体"/>
          <w:b/>
          <w:sz w:val="30"/>
        </w:rPr>
        <w:t>投标分项报价表</w:t>
      </w:r>
    </w:p>
    <w:p>
      <w:pPr>
        <w:ind w:firstLine="420" w:firstLineChars="200"/>
        <w:rPr>
          <w:rFonts w:ascii="宋体" w:hAnsi="宋体" w:cs="宋体"/>
          <w:color w:val="000000"/>
        </w:rPr>
      </w:pPr>
      <w:r>
        <w:rPr>
          <w:rFonts w:hint="eastAsia" w:ascii="宋体" w:hAnsi="宋体" w:cs="宋体"/>
          <w:color w:val="000000"/>
        </w:rPr>
        <w:t>采购项目：</w:t>
      </w:r>
    </w:p>
    <w:p>
      <w:pPr>
        <w:ind w:firstLine="420" w:firstLineChars="200"/>
        <w:rPr>
          <w:rFonts w:ascii="宋体" w:hAnsi="宋体" w:cs="宋体"/>
          <w:color w:val="000000"/>
        </w:rPr>
      </w:pPr>
      <w:r>
        <w:rPr>
          <w:rFonts w:hint="eastAsia" w:ascii="宋体" w:hAnsi="宋体" w:cs="宋体"/>
          <w:color w:val="000000"/>
        </w:rPr>
        <w:t>项目编号：</w:t>
      </w:r>
    </w:p>
    <w:p>
      <w:pPr>
        <w:ind w:firstLine="420" w:firstLineChars="200"/>
        <w:rPr>
          <w:rFonts w:ascii="宋体" w:hAnsi="宋体" w:cs="宋体"/>
          <w:b/>
          <w:sz w:val="30"/>
        </w:rPr>
      </w:pPr>
      <w:r>
        <w:rPr>
          <w:rFonts w:hint="eastAsia" w:ascii="宋体" w:hAnsi="宋体" w:cs="宋体"/>
          <w:color w:val="000000"/>
        </w:rPr>
        <w:t>子包号：</w:t>
      </w:r>
      <w:r>
        <w:rPr>
          <w:rFonts w:hint="eastAsia" w:ascii="宋体" w:hAnsi="宋体" w:cs="宋体"/>
          <w:szCs w:val="21"/>
        </w:rPr>
        <w:t xml:space="preserve">                        单位：人民币（元）</w:t>
      </w:r>
    </w:p>
    <w:tbl>
      <w:tblPr>
        <w:tblStyle w:val="53"/>
        <w:tblW w:w="915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9"/>
        <w:gridCol w:w="1286"/>
        <w:gridCol w:w="1041"/>
        <w:gridCol w:w="1389"/>
        <w:gridCol w:w="1284"/>
        <w:gridCol w:w="787"/>
        <w:gridCol w:w="1041"/>
        <w:gridCol w:w="17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1" w:hRule="atLeast"/>
          <w:jc w:val="center"/>
        </w:trPr>
        <w:tc>
          <w:tcPr>
            <w:tcW w:w="53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序号</w:t>
            </w:r>
          </w:p>
        </w:tc>
        <w:tc>
          <w:tcPr>
            <w:tcW w:w="128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货物名称</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pPr>
            <w:r>
              <w:t>品牌</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规格型号</w:t>
            </w:r>
          </w:p>
        </w:tc>
        <w:tc>
          <w:tcPr>
            <w:tcW w:w="12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单位及数量</w:t>
            </w:r>
          </w:p>
        </w:tc>
        <w:tc>
          <w:tcPr>
            <w:tcW w:w="787"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单价</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合计</w:t>
            </w:r>
          </w:p>
        </w:tc>
        <w:tc>
          <w:tcPr>
            <w:tcW w:w="17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rPr>
              <w:t>制造商的规模（大、中、小、微企业）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5"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0"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53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r>
              <w:rPr>
                <w:rFonts w:ascii="宋体" w:hAnsi="宋体"/>
                <w:spacing w:val="20"/>
                <w:szCs w:val="21"/>
              </w:rPr>
              <w:t>……</w:t>
            </w: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38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2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787"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04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c>
          <w:tcPr>
            <w:tcW w:w="1784"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78" w:hRule="atLeast"/>
          <w:jc w:val="center"/>
        </w:trPr>
        <w:tc>
          <w:tcPr>
            <w:tcW w:w="9151" w:type="dxa"/>
            <w:gridSpan w:val="8"/>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rPr>
                <w:rFonts w:ascii="宋体" w:hAnsi="宋体"/>
                <w:spacing w:val="20"/>
                <w:szCs w:val="21"/>
              </w:rPr>
            </w:pPr>
            <w:r>
              <w:rPr>
                <w:rFonts w:hint="eastAsia" w:ascii="宋体" w:hAnsi="宋体"/>
                <w:szCs w:val="21"/>
              </w:rPr>
              <w:t>投标总价金额大写：                                       小写￥</w:t>
            </w:r>
          </w:p>
        </w:tc>
      </w:tr>
    </w:tbl>
    <w:p>
      <w:pPr>
        <w:snapToGrid w:val="0"/>
        <w:spacing w:before="50" w:after="50" w:line="400" w:lineRule="exact"/>
        <w:ind w:left="-23" w:leftChars="-11" w:right="-817" w:rightChars="-389" w:firstLine="315" w:firstLineChars="150"/>
        <w:jc w:val="left"/>
        <w:rPr>
          <w:rFonts w:ascii="宋体" w:hAnsi="宋体" w:cs="宋体"/>
          <w:szCs w:val="21"/>
        </w:rPr>
      </w:pP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法定代表人或授权代表</w:t>
      </w:r>
      <w:r>
        <w:rPr>
          <w:rFonts w:hint="eastAsia" w:ascii="宋体" w:hAnsi="宋体" w:cs="宋体"/>
          <w:color w:val="000000"/>
        </w:rPr>
        <w:t>（签名或印章）</w:t>
      </w:r>
      <w:r>
        <w:rPr>
          <w:rFonts w:hint="eastAsia" w:ascii="宋体" w:hAnsi="宋体" w:cs="宋体"/>
          <w:szCs w:val="21"/>
        </w:rPr>
        <w:t xml:space="preserve">：                    </w:t>
      </w:r>
    </w:p>
    <w:p>
      <w:pPr>
        <w:snapToGrid w:val="0"/>
        <w:spacing w:before="50" w:after="50" w:line="360" w:lineRule="auto"/>
        <w:ind w:left="-23" w:leftChars="-11" w:right="-817" w:rightChars="-389" w:firstLine="315" w:firstLineChars="150"/>
        <w:jc w:val="left"/>
        <w:rPr>
          <w:rFonts w:ascii="宋体" w:hAnsi="宋体" w:cs="宋体"/>
          <w:szCs w:val="21"/>
        </w:rPr>
      </w:pPr>
      <w:r>
        <w:rPr>
          <w:rFonts w:hint="eastAsia" w:ascii="宋体" w:hAnsi="宋体" w:cs="宋体"/>
          <w:szCs w:val="21"/>
        </w:rPr>
        <w:t>供应商名称（盖章）：                               日期：    年   月   日</w:t>
      </w:r>
    </w:p>
    <w:p>
      <w:pPr>
        <w:snapToGrid w:val="0"/>
        <w:rPr>
          <w:rFonts w:ascii="宋体" w:hAnsi="宋体" w:cs="宋体"/>
          <w:b/>
          <w:bCs/>
          <w:color w:val="000000"/>
          <w:szCs w:val="21"/>
        </w:rPr>
      </w:pPr>
      <w:r>
        <w:rPr>
          <w:rFonts w:hint="eastAsia" w:ascii="宋体" w:hAnsi="宋体" w:cs="宋体"/>
          <w:b/>
          <w:bCs/>
          <w:color w:val="000000"/>
        </w:rPr>
        <w:t>（3）中小企业声明函格式</w:t>
      </w:r>
    </w:p>
    <w:p>
      <w:pPr>
        <w:spacing w:line="360" w:lineRule="auto"/>
        <w:jc w:val="center"/>
        <w:outlineLvl w:val="1"/>
        <w:rPr>
          <w:rFonts w:ascii="宋体" w:hAnsi="宋体" w:cs="宋体"/>
          <w:b/>
          <w:color w:val="000000"/>
          <w:sz w:val="28"/>
          <w:szCs w:val="28"/>
        </w:rPr>
      </w:pPr>
      <w:bookmarkStart w:id="29" w:name="_Toc25084"/>
      <w:r>
        <w:rPr>
          <w:rFonts w:hint="eastAsia" w:ascii="宋体" w:hAnsi="宋体" w:cs="宋体"/>
          <w:b/>
          <w:color w:val="000000"/>
          <w:sz w:val="32"/>
          <w:szCs w:val="32"/>
        </w:rPr>
        <w:t>中小企业声明函</w:t>
      </w:r>
      <w:bookmarkEnd w:id="29"/>
    </w:p>
    <w:p>
      <w:pPr>
        <w:spacing w:line="360" w:lineRule="auto"/>
        <w:ind w:firstLine="420" w:firstLineChars="200"/>
        <w:rPr>
          <w:rFonts w:ascii="宋体" w:hAnsi="宋体" w:cs="宋体"/>
          <w:color w:val="000000"/>
          <w:szCs w:val="21"/>
        </w:rPr>
      </w:pPr>
      <w:r>
        <w:rPr>
          <w:rFonts w:hint="eastAsia" w:ascii="宋体" w:hAnsi="宋体" w:cs="宋体"/>
          <w:color w:val="000000"/>
          <w:szCs w:val="21"/>
        </w:rPr>
        <w:t>根据财政部《政府采购促进中小企业发展暂行办法》（财库[2011]181号）和宁波市财政局《关于政府采购促进中小企业发展若干问题的通知》（甬采购办[2012]1427号）的规定，本单位郑重声明：</w:t>
      </w:r>
    </w:p>
    <w:p>
      <w:pPr>
        <w:numPr>
          <w:ilvl w:val="0"/>
          <w:numId w:val="11"/>
        </w:numPr>
        <w:spacing w:line="360" w:lineRule="auto"/>
        <w:ind w:firstLine="420" w:firstLineChars="200"/>
        <w:rPr>
          <w:rFonts w:ascii="宋体" w:hAnsi="宋体" w:cs="宋体"/>
          <w:color w:val="000000"/>
          <w:szCs w:val="21"/>
        </w:rPr>
      </w:pPr>
      <w:r>
        <w:rPr>
          <w:rFonts w:hint="eastAsia" w:ascii="宋体" w:hAnsi="宋体" w:cs="宋体"/>
          <w:color w:val="000000"/>
          <w:szCs w:val="21"/>
        </w:rPr>
        <w:t>依据工业和信息化部、国家统计局、国家发展和改革委员会、财政部《关于印发中小企业划型标准规定的通知》（工信部联企业[2011]300号）规定的划分标准，本单位为______（大型、中型、小型、微型、不划型）企业，其中所属行业为_____________、上年末从业人员____人、上年营业收入____万元、上年资产总额____万元。</w:t>
      </w:r>
    </w:p>
    <w:p>
      <w:pPr>
        <w:numPr>
          <w:ilvl w:val="0"/>
          <w:numId w:val="11"/>
        </w:numPr>
        <w:spacing w:line="360" w:lineRule="auto"/>
        <w:ind w:firstLine="420" w:firstLineChars="200"/>
        <w:rPr>
          <w:rFonts w:ascii="宋体" w:hAnsi="宋体" w:cs="宋体"/>
          <w:color w:val="000000"/>
          <w:szCs w:val="21"/>
        </w:rPr>
      </w:pPr>
      <w:r>
        <w:rPr>
          <w:rFonts w:hint="eastAsia" w:ascii="宋体" w:hAnsi="宋体" w:cs="宋体"/>
          <w:color w:val="000000"/>
          <w:szCs w:val="21"/>
        </w:rPr>
        <w:t>本单位参加______项目（采购编号______标段/包______）采购活动，项目的市场价格为_____万元，本次投标价格为_____万元，其中由本单位承担工程金额为_____万元，由本单位提供服务金额为_____万元，提供本单位制造的货物金额为_____万元，或者提供其他大型企业制造的货物金额为_____万元、其他中型企业制造的货物金额为_____万元、其他小型企业制造的货物金额为_____万元、其他微型企业制造的货物金额为_____万元。原产地为中国境内货物金额为_____万元、原产地为宁波货物金额为_____万元，列入国家节能产品清单货物金额为_____万元，列入国家环境标志产品清单货物金额为_____万元。</w:t>
      </w:r>
    </w:p>
    <w:p>
      <w:pPr>
        <w:numPr>
          <w:ilvl w:val="0"/>
          <w:numId w:val="11"/>
        </w:numPr>
        <w:spacing w:line="360" w:lineRule="auto"/>
        <w:ind w:firstLine="420" w:firstLineChars="200"/>
        <w:rPr>
          <w:rFonts w:ascii="宋体" w:hAnsi="宋体" w:cs="宋体"/>
          <w:color w:val="000000"/>
          <w:szCs w:val="21"/>
        </w:rPr>
      </w:pPr>
      <w:r>
        <w:rPr>
          <w:rFonts w:hint="eastAsia" w:ascii="宋体" w:hAnsi="宋体" w:cs="宋体"/>
          <w:color w:val="000000"/>
          <w:szCs w:val="21"/>
        </w:rPr>
        <w:t>本单位对上述声明的真实性负责。如有虚假，将依法承担相应责任。</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t>供应商名称（盖章）：</w:t>
      </w:r>
    </w:p>
    <w:p>
      <w:pPr>
        <w:spacing w:line="360" w:lineRule="auto"/>
        <w:rPr>
          <w:rFonts w:ascii="宋体" w:hAnsi="宋体" w:cs="宋体"/>
          <w:color w:val="000000"/>
          <w:szCs w:val="21"/>
        </w:rPr>
      </w:pPr>
      <w:r>
        <w:rPr>
          <w:rFonts w:hint="eastAsia" w:ascii="宋体" w:hAnsi="宋体" w:cs="宋体"/>
          <w:color w:val="000000"/>
          <w:szCs w:val="21"/>
        </w:rPr>
        <w:t>日期：</w:t>
      </w:r>
    </w:p>
    <w:p>
      <w:pPr>
        <w:spacing w:line="360" w:lineRule="auto"/>
        <w:rPr>
          <w:rFonts w:ascii="宋体" w:hAnsi="宋体" w:cs="宋体"/>
          <w:color w:val="000000"/>
          <w:szCs w:val="21"/>
        </w:rPr>
      </w:pPr>
    </w:p>
    <w:p>
      <w:pPr>
        <w:spacing w:line="360" w:lineRule="auto"/>
        <w:rPr>
          <w:rFonts w:ascii="宋体" w:hAnsi="宋体" w:cs="宋体"/>
          <w:color w:val="000000"/>
          <w:szCs w:val="21"/>
        </w:rPr>
      </w:pPr>
      <w:r>
        <w:rPr>
          <w:rFonts w:hint="eastAsia" w:ascii="宋体" w:hAnsi="宋体" w:cs="宋体"/>
          <w:color w:val="000000"/>
          <w:szCs w:val="21"/>
        </w:rPr>
        <w:br w:type="page"/>
      </w:r>
    </w:p>
    <w:p>
      <w:pPr>
        <w:spacing w:line="360" w:lineRule="auto"/>
        <w:rPr>
          <w:rFonts w:ascii="宋体" w:hAnsi="宋体" w:cs="宋体"/>
          <w:color w:val="000000"/>
          <w:szCs w:val="21"/>
        </w:rPr>
      </w:pPr>
      <w:r>
        <w:rPr>
          <w:rFonts w:hint="eastAsia" w:ascii="宋体" w:hAnsi="宋体" w:cs="宋体"/>
          <w:color w:val="000000"/>
          <w:szCs w:val="21"/>
        </w:rPr>
        <w:t>填写说明：</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根据工信部联企业[2011]300号文件，企业行业分为：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一般研发、生产、加工型企业填写工业，销售、贸易型企业填写批发业，具体行业划分依据国家统计局网站公布的《国民经济行业分类》标准规定。</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第1条宁波政府采购网（www.nbzfcg.cn）注册的企业供应商须根据上年财务报表等，登录进入网上供应商平台中“供应商账户管理”-“单位信息”模块，对照前款说明，可选择“所属行业”，如实填写修改上年末从业人员____人、上年营业收入____万元、上年资产总额____万元等数据，新成立企业暂以当前实际数据填报，重新点击会自动显示修改后企业划型信息，事业社团其他类型供应商不划型。</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3、第2条有多个标包的，须按每个标包分别填写，无此分类货物金额的应填“零”。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4、联合体投标的，由联合体双办方提供本表。</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5、资格入围式项目（一个标包由多家中标入围）：采购单位公布项目预算的，第2条有关金额按市场预估总价、投标预估总价除以入围数量填写；未公布预算的或入围数量的，供应商无需填写。</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6、投标价格为费率的项目、中标价格按单价执行的项目：采购单位公布项目预算的，第2条有关金额按市场预估总价、投标预估总价填写；未公布预算的，供应商无需填写。</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jc w:val="left"/>
        <w:rPr>
          <w:rFonts w:ascii="宋体" w:hAnsi="宋体" w:cs="宋体"/>
          <w:b/>
          <w:bCs/>
          <w:color w:val="000000"/>
        </w:rPr>
      </w:pPr>
      <w:r>
        <w:rPr>
          <w:rFonts w:ascii="宋体" w:hAnsi="宋体" w:cs="宋体"/>
          <w:b/>
          <w:bCs/>
          <w:color w:val="000000"/>
          <w:szCs w:val="21"/>
        </w:rPr>
        <w:br w:type="page"/>
      </w:r>
      <w:r>
        <w:rPr>
          <w:rFonts w:hint="eastAsia" w:ascii="宋体" w:hAnsi="宋体" w:cs="宋体"/>
          <w:b/>
          <w:bCs/>
          <w:color w:val="000000"/>
          <w:szCs w:val="21"/>
        </w:rPr>
        <w:t>（4）</w:t>
      </w:r>
      <w:r>
        <w:rPr>
          <w:rFonts w:hint="eastAsia" w:ascii="宋体" w:hAnsi="宋体"/>
          <w:b/>
          <w:bCs/>
          <w:color w:val="000000"/>
          <w:szCs w:val="21"/>
        </w:rPr>
        <w:t>残疾人福利性单位声明函格式（非残疾人福利性单位无需提供本函)</w:t>
      </w:r>
    </w:p>
    <w:p>
      <w:pPr>
        <w:spacing w:line="360" w:lineRule="auto"/>
        <w:jc w:val="center"/>
        <w:rPr>
          <w:rFonts w:ascii="宋体" w:hAnsi="宋体" w:cs="宋体"/>
          <w:b/>
          <w:color w:val="000000"/>
          <w:spacing w:val="6"/>
          <w:szCs w:val="21"/>
        </w:rPr>
      </w:pPr>
    </w:p>
    <w:p>
      <w:pPr>
        <w:spacing w:line="360" w:lineRule="auto"/>
        <w:jc w:val="center"/>
        <w:rPr>
          <w:rFonts w:ascii="宋体" w:hAnsi="宋体" w:cs="宋体"/>
          <w:b/>
          <w:color w:val="000000"/>
          <w:spacing w:val="6"/>
          <w:szCs w:val="21"/>
        </w:rPr>
      </w:pPr>
      <w:r>
        <w:rPr>
          <w:rFonts w:hint="eastAsia" w:ascii="宋体" w:hAnsi="宋体" w:cs="宋体"/>
          <w:b/>
          <w:color w:val="000000"/>
          <w:spacing w:val="6"/>
          <w:szCs w:val="21"/>
        </w:rPr>
        <w:t>残疾人福利性单位声明函</w:t>
      </w:r>
    </w:p>
    <w:p>
      <w:pPr>
        <w:spacing w:line="360" w:lineRule="auto"/>
        <w:rPr>
          <w:rFonts w:ascii="宋体" w:hAnsi="宋体" w:cs="宋体"/>
          <w:b/>
          <w:color w:val="000000"/>
          <w:spacing w:val="6"/>
          <w:szCs w:val="21"/>
        </w:rPr>
      </w:pPr>
    </w:p>
    <w:p>
      <w:pPr>
        <w:spacing w:line="360" w:lineRule="auto"/>
        <w:ind w:firstLine="444" w:firstLineChars="200"/>
        <w:rPr>
          <w:rFonts w:ascii="宋体" w:hAnsi="宋体" w:cs="宋体"/>
          <w:color w:val="000000"/>
          <w:spacing w:val="6"/>
          <w:szCs w:val="21"/>
        </w:rPr>
      </w:pPr>
      <w:r>
        <w:rPr>
          <w:rFonts w:hint="eastAsia" w:ascii="宋体" w:hAnsi="宋体" w:cs="宋体"/>
          <w:color w:val="000000"/>
          <w:spacing w:val="6"/>
          <w:szCs w:val="21"/>
        </w:rPr>
        <w:t>本单位郑重声明，根据《财政部 民政部 中国残疾人联合会关于促进残疾人就业政府采购政策的通知》（财库</w:t>
      </w:r>
      <w:r>
        <w:rPr>
          <w:rFonts w:hint="eastAsia" w:ascii="宋体" w:hAnsi="宋体" w:cs="宋体"/>
          <w:color w:val="000000"/>
          <w:szCs w:val="21"/>
        </w:rPr>
        <w:t>〔2017〕 141</w:t>
      </w:r>
      <w:r>
        <w:rPr>
          <w:rFonts w:hint="eastAsia" w:ascii="宋体" w:hAnsi="宋体" w:cs="宋体"/>
          <w:color w:val="000000"/>
          <w:spacing w:val="6"/>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ascii="宋体" w:hAnsi="宋体" w:cs="宋体"/>
          <w:color w:val="000000"/>
          <w:spacing w:val="6"/>
          <w:szCs w:val="21"/>
        </w:rPr>
      </w:pPr>
      <w:r>
        <w:rPr>
          <w:rFonts w:hint="eastAsia" w:ascii="宋体" w:hAnsi="宋体" w:cs="宋体"/>
          <w:color w:val="000000"/>
          <w:spacing w:val="6"/>
          <w:szCs w:val="21"/>
        </w:rPr>
        <w:t>本单位对上述声明的真实性负责。如有虚假，将依法承担相应责任。</w:t>
      </w:r>
    </w:p>
    <w:p>
      <w:pPr>
        <w:spacing w:line="360" w:lineRule="auto"/>
        <w:ind w:firstLine="444" w:firstLineChars="200"/>
        <w:rPr>
          <w:rFonts w:ascii="宋体" w:hAnsi="宋体" w:cs="宋体"/>
          <w:color w:val="000000"/>
          <w:spacing w:val="6"/>
          <w:szCs w:val="21"/>
        </w:rPr>
      </w:pPr>
    </w:p>
    <w:p>
      <w:pPr>
        <w:spacing w:line="360" w:lineRule="auto"/>
        <w:ind w:firstLine="444" w:firstLineChars="200"/>
        <w:rPr>
          <w:rFonts w:ascii="宋体" w:hAnsi="宋体" w:cs="宋体"/>
          <w:color w:val="000000"/>
          <w:spacing w:val="6"/>
          <w:szCs w:val="21"/>
        </w:rPr>
      </w:pPr>
    </w:p>
    <w:p>
      <w:pPr>
        <w:tabs>
          <w:tab w:val="left" w:pos="4860"/>
        </w:tabs>
        <w:spacing w:line="360" w:lineRule="auto"/>
        <w:ind w:firstLine="444" w:firstLineChars="200"/>
        <w:jc w:val="center"/>
        <w:rPr>
          <w:rFonts w:ascii="宋体" w:hAnsi="宋体" w:cs="宋体"/>
          <w:color w:val="000000"/>
          <w:spacing w:val="6"/>
          <w:szCs w:val="21"/>
        </w:rPr>
      </w:pPr>
      <w:r>
        <w:rPr>
          <w:rFonts w:hint="eastAsia" w:ascii="宋体" w:hAnsi="宋体" w:cs="宋体"/>
          <w:color w:val="000000"/>
          <w:spacing w:val="6"/>
          <w:szCs w:val="21"/>
        </w:rPr>
        <w:t xml:space="preserve">               单位名称（盖章）：</w:t>
      </w:r>
    </w:p>
    <w:p>
      <w:pPr>
        <w:tabs>
          <w:tab w:val="left" w:pos="4860"/>
        </w:tabs>
        <w:spacing w:line="360" w:lineRule="auto"/>
        <w:ind w:firstLine="444" w:firstLineChars="200"/>
        <w:jc w:val="center"/>
      </w:pPr>
      <w:r>
        <w:rPr>
          <w:rFonts w:hint="eastAsia" w:ascii="宋体" w:hAnsi="宋体" w:cs="宋体"/>
          <w:color w:val="000000"/>
          <w:spacing w:val="6"/>
          <w:szCs w:val="21"/>
        </w:rPr>
        <w:t xml:space="preserve">       日  期：</w:t>
      </w:r>
    </w:p>
    <w:p>
      <w:pPr>
        <w:tabs>
          <w:tab w:val="left" w:pos="4860"/>
        </w:tabs>
        <w:spacing w:line="360" w:lineRule="auto"/>
        <w:ind w:firstLine="420" w:firstLineChars="200"/>
        <w:jc w:val="center"/>
      </w:pPr>
    </w:p>
    <w:p>
      <w:pPr>
        <w:tabs>
          <w:tab w:val="left" w:pos="4860"/>
        </w:tabs>
        <w:spacing w:line="360" w:lineRule="auto"/>
        <w:rPr>
          <w:rFonts w:ascii="宋体" w:hAnsi="宋体" w:cs="宋体"/>
          <w:spacing w:val="6"/>
          <w:szCs w:val="21"/>
        </w:rPr>
      </w:pPr>
      <w:r>
        <w:rPr>
          <w:rFonts w:hint="eastAsia" w:ascii="宋体" w:hAnsi="宋体" w:cs="宋体"/>
          <w:spacing w:val="6"/>
          <w:szCs w:val="21"/>
        </w:rPr>
        <w:t>注：1、如供应商为非残疾人福利性单位的可不提供本声明函。</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2、享受政府采购支持政策的残疾人福利性单位应当同时满足以下条件：</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（1）安置的残疾人占本单位在职职工人数的比例不低于25%（含25%），并且安置的残疾人人数不少于10人（含10人）；</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（2）依法与安置的每位残疾人签订了一年以上（含一年）的劳动合同或服务协议；</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ascii="宋体" w:hAnsi="宋体" w:cs="宋体"/>
          <w:spacing w:val="6"/>
          <w:szCs w:val="21"/>
        </w:rPr>
      </w:pPr>
      <w:r>
        <w:rPr>
          <w:rFonts w:hint="eastAsia" w:ascii="宋体" w:hAnsi="宋体" w:cs="宋体"/>
          <w:spacing w:val="6"/>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ascii="宋体" w:hAnsi="宋体" w:cs="宋体"/>
          <w:b/>
          <w:bCs/>
          <w:color w:val="000000"/>
          <w:szCs w:val="21"/>
        </w:rPr>
      </w:pPr>
    </w:p>
    <w:p>
      <w:pPr>
        <w:spacing w:line="360" w:lineRule="auto"/>
        <w:rPr>
          <w:rFonts w:ascii="宋体" w:hAnsi="宋体" w:cs="宋体"/>
          <w:b/>
          <w:bCs/>
          <w:color w:val="000000"/>
          <w:szCs w:val="21"/>
        </w:rPr>
      </w:pPr>
      <w:r>
        <w:rPr>
          <w:rFonts w:ascii="宋体" w:hAnsi="宋体" w:cs="宋体"/>
          <w:b/>
          <w:bCs/>
          <w:color w:val="000000"/>
          <w:szCs w:val="21"/>
        </w:rPr>
        <w:br w:type="page"/>
      </w:r>
      <w:r>
        <w:rPr>
          <w:rFonts w:hint="eastAsia" w:ascii="宋体" w:hAnsi="宋体" w:cs="宋体"/>
          <w:b/>
          <w:bCs/>
          <w:color w:val="000000"/>
          <w:szCs w:val="21"/>
        </w:rPr>
        <w:t>（5）供应商针对报价需要说明的其他文件和说明（格式自拟）。</w:t>
      </w: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ind w:firstLine="420" w:firstLineChars="200"/>
        <w:rPr>
          <w:rFonts w:ascii="宋体" w:hAnsi="宋体" w:cs="宋体"/>
          <w:color w:val="000000"/>
          <w:szCs w:val="21"/>
        </w:rPr>
      </w:pPr>
    </w:p>
    <w:p>
      <w:pPr>
        <w:spacing w:line="360" w:lineRule="auto"/>
        <w:rPr>
          <w:rFonts w:ascii="宋体" w:hAnsi="宋体" w:cs="宋体"/>
          <w:color w:val="000000"/>
        </w:rPr>
      </w:pPr>
    </w:p>
    <w:p>
      <w:pPr>
        <w:spacing w:line="360" w:lineRule="auto"/>
        <w:rPr>
          <w:rFonts w:ascii="宋体" w:hAnsi="宋体" w:cs="宋体"/>
          <w:color w:val="000000"/>
        </w:rPr>
      </w:pPr>
    </w:p>
    <w:p>
      <w:pPr>
        <w:spacing w:line="360" w:lineRule="auto"/>
        <w:ind w:firstLine="420" w:firstLineChars="200"/>
        <w:rPr>
          <w:rFonts w:ascii="宋体" w:hAnsi="宋体" w:cs="宋体"/>
          <w:color w:val="000000"/>
          <w:szCs w:val="21"/>
        </w:rPr>
      </w:pPr>
    </w:p>
    <w:p>
      <w:pPr>
        <w:spacing w:line="360" w:lineRule="auto"/>
        <w:rPr>
          <w:rFonts w:ascii="宋体" w:hAnsi="宋体" w:cs="宋体"/>
          <w:color w:val="000000"/>
        </w:rPr>
      </w:pPr>
    </w:p>
    <w:p>
      <w:pPr>
        <w:spacing w:line="360" w:lineRule="auto"/>
        <w:rPr>
          <w:rFonts w:ascii="宋体" w:hAnsi="宋体" w:cs="宋体"/>
          <w:color w:val="000000"/>
        </w:rPr>
      </w:pPr>
    </w:p>
    <w:sectPr>
      <w:footerReference r:id="rId10" w:type="first"/>
      <w:footerReference r:id="rId9" w:type="default"/>
      <w:pgSz w:w="11906" w:h="16838"/>
      <w:pgMar w:top="1474" w:right="1134" w:bottom="1247"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Calibri Light">
    <w:panose1 w:val="020F0302020204030204"/>
    <w:charset w:val="00"/>
    <w:family w:val="decorative"/>
    <w:pitch w:val="default"/>
    <w:sig w:usb0="E4002EFF" w:usb1="C000247B" w:usb2="00000009" w:usb3="00000000" w:csb0="200001FF" w:csb1="00000000"/>
  </w:font>
  <w:font w:name="Futura Bk">
    <w:altName w:val="Corbel"/>
    <w:panose1 w:val="00000000000000000000"/>
    <w:charset w:val="00"/>
    <w:family w:val="decorative"/>
    <w:pitch w:val="default"/>
    <w:sig w:usb0="00000000" w:usb1="00000000" w:usb2="00000000" w:usb3="00000000" w:csb0="0000009F" w:csb1="00000000"/>
  </w:font>
  <w:font w:name="微软雅黑">
    <w:panose1 w:val="020B0503020204020204"/>
    <w:charset w:val="86"/>
    <w:family w:val="decorative"/>
    <w:pitch w:val="default"/>
    <w:sig w:usb0="80000287" w:usb1="2ACF3C50" w:usb2="00000016" w:usb3="00000000" w:csb0="0004001F" w:csb1="00000000"/>
  </w:font>
  <w:font w:name="隶书">
    <w:altName w:val="微软雅黑"/>
    <w:panose1 w:val="02010509060101010101"/>
    <w:charset w:val="86"/>
    <w:family w:val="swiss"/>
    <w:pitch w:val="default"/>
    <w:sig w:usb0="00000000" w:usb1="00000000" w:usb2="00000010" w:usb3="00000000" w:csb0="00040000" w:csb1="00000000"/>
  </w:font>
  <w:font w:name="H Yg 2gj">
    <w:altName w:val="宋体"/>
    <w:panose1 w:val="00000000000000000000"/>
    <w:charset w:val="86"/>
    <w:family w:val="decorative"/>
    <w:pitch w:val="default"/>
    <w:sig w:usb0="00000000" w:usb1="00000000" w:usb2="00000010" w:usb3="00000000" w:csb0="00040000" w:csb1="00000000"/>
  </w:font>
  <w:font w:name="汉仪粗黑简">
    <w:altName w:val="黑体"/>
    <w:panose1 w:val="00000000000000000000"/>
    <w:charset w:val="86"/>
    <w:family w:val="decorative"/>
    <w:pitch w:val="default"/>
    <w:sig w:usb0="00000000" w:usb1="00000000" w:usb2="00000010" w:usb3="00000000" w:csb0="00040000" w:csb1="00000000"/>
  </w:font>
  <w:font w:name="Tahoma">
    <w:panose1 w:val="020B0604030504040204"/>
    <w:charset w:val="00"/>
    <w:family w:val="decorative"/>
    <w:pitch w:val="default"/>
    <w:sig w:usb0="E1002EFF" w:usb1="C000605B" w:usb2="00000029" w:usb3="00000000" w:csb0="200101FF" w:csb1="20280000"/>
  </w:font>
  <w:font w:name="HP Simplified Hans Light">
    <w:altName w:val="宋体"/>
    <w:panose1 w:val="00000000000000000000"/>
    <w:charset w:val="86"/>
    <w:family w:val="decorative"/>
    <w:pitch w:val="default"/>
    <w:sig w:usb0="00000000" w:usb1="00000000" w:usb2="00000010" w:usb3="00000000" w:csb0="00040000" w:csb1="00000000"/>
  </w:font>
  <w:font w:name="HP Simplified Light">
    <w:altName w:val="Arial"/>
    <w:panose1 w:val="00000000000000000000"/>
    <w:charset w:val="00"/>
    <w:family w:val="decorative"/>
    <w:pitch w:val="default"/>
    <w:sig w:usb0="00000000" w:usb1="00000000" w:usb2="00000000" w:usb3="00000000" w:csb0="00000093" w:csb1="00000000"/>
  </w:font>
  <w:font w:name="Helvetica">
    <w:panose1 w:val="020B0504020202030204"/>
    <w:charset w:val="00"/>
    <w:family w:val="decorative"/>
    <w:pitch w:val="default"/>
    <w:sig w:usb0="00000007" w:usb1="00000000" w:usb2="00000000" w:usb3="00000000" w:csb0="00000093" w:csb1="00000000"/>
  </w:font>
  <w:font w:name="华文细黑">
    <w:altName w:val="微软雅黑"/>
    <w:panose1 w:val="02010600040101010101"/>
    <w:charset w:val="86"/>
    <w:family w:val="auto"/>
    <w:pitch w:val="default"/>
    <w:sig w:usb0="00000000" w:usb1="00000000" w:usb2="00000010" w:usb3="00000000" w:csb0="0004009F" w:csb1="00000000"/>
  </w:font>
  <w:font w:name="Corbel">
    <w:panose1 w:val="020B0503020204020204"/>
    <w:charset w:val="00"/>
    <w:family w:val="auto"/>
    <w:pitch w:val="default"/>
    <w:sig w:usb0="A00002EF" w:usb1="4000A44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 PAGE   \* MERGEFORMAT </w:instrText>
    </w:r>
    <w:r>
      <w:fldChar w:fldCharType="separate"/>
    </w:r>
    <w:r>
      <w:rPr>
        <w:lang w:val="zh-CN"/>
      </w:rPr>
      <w:t>24</w:t>
    </w:r>
    <w:r>
      <w:rPr>
        <w:lang w:val="zh-CN"/>
      </w:rPr>
      <w:fldChar w:fldCharType="end"/>
    </w:r>
  </w:p>
  <w:p>
    <w:pPr>
      <w:pStyle w:val="32"/>
      <w:ind w:right="7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rPr>
        <w:rStyle w:val="48"/>
      </w:rPr>
    </w:pPr>
    <w:r>
      <w:fldChar w:fldCharType="begin"/>
    </w:r>
    <w:r>
      <w:rPr>
        <w:rStyle w:val="48"/>
      </w:rPr>
      <w:instrText xml:space="preserve">PAGE  </w:instrText>
    </w:r>
    <w:r>
      <w:fldChar w:fldCharType="separate"/>
    </w:r>
    <w:r>
      <w:rPr>
        <w:rStyle w:val="48"/>
      </w:rPr>
      <w:t>24</w:t>
    </w:r>
    <w:r>
      <w:fldChar w:fldCharType="end"/>
    </w:r>
  </w:p>
  <w:p>
    <w:pPr>
      <w:pStyle w:val="3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framePr w:wrap="around" w:vAnchor="text" w:hAnchor="margin" w:xAlign="center" w:y="1"/>
      <w:ind w:right="630"/>
      <w:rPr>
        <w:rStyle w:val="48"/>
      </w:rPr>
    </w:pPr>
  </w:p>
  <w:p>
    <w:pPr>
      <w:pStyle w:val="32"/>
      <w:ind w:right="720"/>
      <w:jc w:val="center"/>
    </w:pPr>
    <w:r>
      <w:fldChar w:fldCharType="begin"/>
    </w:r>
    <w:r>
      <w:rPr>
        <w:rStyle w:val="48"/>
      </w:rPr>
      <w:instrText xml:space="preserve"> PAGE </w:instrText>
    </w:r>
    <w:r>
      <w:fldChar w:fldCharType="separate"/>
    </w:r>
    <w:r>
      <w:rPr>
        <w:rStyle w:val="48"/>
      </w:rPr>
      <w:t>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rPr>
        <w:rStyle w:val="48"/>
      </w:rPr>
      <w:instrText xml:space="preserve"> PAGE </w:instrText>
    </w:r>
    <w:r>
      <w:fldChar w:fldCharType="separate"/>
    </w:r>
    <w:r>
      <w:rPr>
        <w:rStyle w:val="48"/>
      </w:rP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852534060">
    <w:nsid w:val="6E6B6D2C"/>
    <w:multiLevelType w:val="singleLevel"/>
    <w:tmpl w:val="6E6B6D2C"/>
    <w:lvl w:ilvl="0" w:tentative="1">
      <w:start w:val="2"/>
      <w:numFmt w:val="chineseCounting"/>
      <w:suff w:val="space"/>
      <w:lvlText w:val="第%1章"/>
      <w:lvlJc w:val="left"/>
      <w:rPr>
        <w:rFonts w:hint="eastAsia"/>
      </w:rPr>
    </w:lvl>
  </w:abstractNum>
  <w:abstractNum w:abstractNumId="789781508">
    <w:nsid w:val="2F131C04"/>
    <w:multiLevelType w:val="multilevel"/>
    <w:tmpl w:val="2F131C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98474928">
    <w:nsid w:val="5950E9B0"/>
    <w:multiLevelType w:val="singleLevel"/>
    <w:tmpl w:val="5950E9B0"/>
    <w:lvl w:ilvl="0" w:tentative="1">
      <w:start w:val="2"/>
      <w:numFmt w:val="decimal"/>
      <w:suff w:val="nothing"/>
      <w:lvlText w:val="%1、"/>
      <w:lvlJc w:val="left"/>
    </w:lvl>
  </w:abstractNum>
  <w:abstractNum w:abstractNumId="20">
    <w:nsid w:val="00000014"/>
    <w:multiLevelType w:val="singleLevel"/>
    <w:tmpl w:val="00000014"/>
    <w:lvl w:ilvl="0" w:tentative="1">
      <w:start w:val="5"/>
      <w:numFmt w:val="chineseCounting"/>
      <w:suff w:val="nothing"/>
      <w:lvlText w:val="%1、"/>
      <w:lvlJc w:val="left"/>
    </w:lvl>
  </w:abstractNum>
  <w:abstractNum w:abstractNumId="32">
    <w:nsid w:val="00000020"/>
    <w:multiLevelType w:val="singleLevel"/>
    <w:tmpl w:val="00000020"/>
    <w:lvl w:ilvl="0" w:tentative="1">
      <w:start w:val="1"/>
      <w:numFmt w:val="chineseCounting"/>
      <w:suff w:val="nothing"/>
      <w:lvlText w:val="（%1）"/>
      <w:lvlJc w:val="left"/>
    </w:lvl>
  </w:abstractNum>
  <w:abstractNum w:abstractNumId="11">
    <w:nsid w:val="0000000B"/>
    <w:multiLevelType w:val="singleLevel"/>
    <w:tmpl w:val="0000000B"/>
    <w:lvl w:ilvl="0" w:tentative="1">
      <w:start w:val="1"/>
      <w:numFmt w:val="upperLetter"/>
      <w:suff w:val="nothing"/>
      <w:lvlText w:val="%1、"/>
      <w:lvlJc w:val="left"/>
    </w:lvl>
  </w:abstractNum>
  <w:abstractNum w:abstractNumId="701571276">
    <w:nsid w:val="29D120CC"/>
    <w:multiLevelType w:val="singleLevel"/>
    <w:tmpl w:val="29D120CC"/>
    <w:lvl w:ilvl="0" w:tentative="1">
      <w:start w:val="1"/>
      <w:numFmt w:val="decimal"/>
      <w:suff w:val="nothing"/>
      <w:lvlText w:val="（%1）"/>
      <w:lvlJc w:val="left"/>
    </w:lvl>
  </w:abstractNum>
  <w:abstractNum w:abstractNumId="1478448858">
    <w:nsid w:val="581F56DA"/>
    <w:multiLevelType w:val="multilevel"/>
    <w:tmpl w:val="581F56DA"/>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90465770">
    <w:nsid w:val="6AB856EA"/>
    <w:multiLevelType w:val="multilevel"/>
    <w:tmpl w:val="6AB856EA"/>
    <w:lvl w:ilvl="0" w:tentative="1">
      <w:start w:val="1"/>
      <w:numFmt w:val="decimal"/>
      <w:lvlText w:val="%1、"/>
      <w:lvlJc w:val="left"/>
      <w:pPr>
        <w:ind w:left="570" w:hanging="360"/>
      </w:pPr>
      <w:rPr>
        <w:rFonts w:hint="default"/>
      </w:rPr>
    </w:lvl>
    <w:lvl w:ilvl="1" w:tentative="1">
      <w:start w:val="1"/>
      <w:numFmt w:val="lowerLetter"/>
      <w:lvlText w:val="%2)"/>
      <w:lvlJc w:val="left"/>
      <w:pPr>
        <w:ind w:left="1050" w:hanging="420"/>
      </w:pPr>
    </w:lvl>
    <w:lvl w:ilvl="2" w:tentative="1">
      <w:start w:val="1"/>
      <w:numFmt w:val="lowerRoman"/>
      <w:lvlText w:val="%3."/>
      <w:lvlJc w:val="right"/>
      <w:pPr>
        <w:ind w:left="1470" w:hanging="420"/>
      </w:pPr>
    </w:lvl>
    <w:lvl w:ilvl="3" w:tentative="1">
      <w:start w:val="1"/>
      <w:numFmt w:val="decimal"/>
      <w:lvlText w:val="%4."/>
      <w:lvlJc w:val="left"/>
      <w:pPr>
        <w:ind w:left="1890" w:hanging="420"/>
      </w:pPr>
    </w:lvl>
    <w:lvl w:ilvl="4" w:tentative="1">
      <w:start w:val="1"/>
      <w:numFmt w:val="lowerLetter"/>
      <w:lvlText w:val="%5)"/>
      <w:lvlJc w:val="left"/>
      <w:pPr>
        <w:ind w:left="2310" w:hanging="420"/>
      </w:pPr>
    </w:lvl>
    <w:lvl w:ilvl="5" w:tentative="1">
      <w:start w:val="1"/>
      <w:numFmt w:val="lowerRoman"/>
      <w:lvlText w:val="%6."/>
      <w:lvlJc w:val="right"/>
      <w:pPr>
        <w:ind w:left="2730" w:hanging="420"/>
      </w:pPr>
    </w:lvl>
    <w:lvl w:ilvl="6" w:tentative="1">
      <w:start w:val="1"/>
      <w:numFmt w:val="decimal"/>
      <w:lvlText w:val="%7."/>
      <w:lvlJc w:val="left"/>
      <w:pPr>
        <w:ind w:left="3150" w:hanging="420"/>
      </w:pPr>
    </w:lvl>
    <w:lvl w:ilvl="7" w:tentative="1">
      <w:start w:val="1"/>
      <w:numFmt w:val="lowerLetter"/>
      <w:lvlText w:val="%8)"/>
      <w:lvlJc w:val="left"/>
      <w:pPr>
        <w:ind w:left="3570" w:hanging="420"/>
      </w:pPr>
    </w:lvl>
    <w:lvl w:ilvl="8" w:tentative="1">
      <w:start w:val="1"/>
      <w:numFmt w:val="lowerRoman"/>
      <w:lvlText w:val="%9."/>
      <w:lvlJc w:val="right"/>
      <w:pPr>
        <w:ind w:left="3990" w:hanging="420"/>
      </w:pPr>
    </w:lvl>
  </w:abstractNum>
  <w:abstractNum w:abstractNumId="14">
    <w:nsid w:val="0000000E"/>
    <w:multiLevelType w:val="singleLevel"/>
    <w:tmpl w:val="0000000E"/>
    <w:lvl w:ilvl="0" w:tentative="1">
      <w:start w:val="1"/>
      <w:numFmt w:val="decimal"/>
      <w:suff w:val="nothing"/>
      <w:lvlText w:val="%1."/>
      <w:lvlJc w:val="left"/>
    </w:lvl>
  </w:abstractNum>
  <w:abstractNum w:abstractNumId="2174910952">
    <w:nsid w:val="81A281E8"/>
    <w:multiLevelType w:val="singleLevel"/>
    <w:tmpl w:val="81A281E8"/>
    <w:lvl w:ilvl="0" w:tentative="1">
      <w:start w:val="1"/>
      <w:numFmt w:val="decimal"/>
      <w:suff w:val="nothing"/>
      <w:lvlText w:val="（%1）"/>
      <w:lvlJc w:val="left"/>
    </w:lvl>
  </w:abstractNum>
  <w:num w:numId="1">
    <w:abstractNumId w:val="1852534060"/>
  </w:num>
  <w:num w:numId="2">
    <w:abstractNumId w:val="789781508"/>
  </w:num>
  <w:num w:numId="3">
    <w:abstractNumId w:val="1478448858"/>
  </w:num>
  <w:num w:numId="4">
    <w:abstractNumId w:val="701571276"/>
  </w:num>
  <w:num w:numId="5">
    <w:abstractNumId w:val="1498474928"/>
  </w:num>
  <w:num w:numId="6">
    <w:abstractNumId w:val="20"/>
  </w:num>
  <w:num w:numId="7">
    <w:abstractNumId w:val="32"/>
  </w:num>
  <w:num w:numId="8">
    <w:abstractNumId w:val="11"/>
  </w:num>
  <w:num w:numId="9">
    <w:abstractNumId w:val="1790465770"/>
  </w:num>
  <w:num w:numId="10">
    <w:abstractNumId w:val="2174910952"/>
  </w:num>
  <w:num w:numId="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BCE"/>
    <w:rsid w:val="000030E0"/>
    <w:rsid w:val="00004187"/>
    <w:rsid w:val="000044A3"/>
    <w:rsid w:val="000068CE"/>
    <w:rsid w:val="00007345"/>
    <w:rsid w:val="000105AC"/>
    <w:rsid w:val="000117B1"/>
    <w:rsid w:val="00013480"/>
    <w:rsid w:val="00017867"/>
    <w:rsid w:val="0002135B"/>
    <w:rsid w:val="00021BA0"/>
    <w:rsid w:val="0002702F"/>
    <w:rsid w:val="000276E8"/>
    <w:rsid w:val="00033339"/>
    <w:rsid w:val="000348F5"/>
    <w:rsid w:val="00036937"/>
    <w:rsid w:val="00036E13"/>
    <w:rsid w:val="00036F16"/>
    <w:rsid w:val="00036F39"/>
    <w:rsid w:val="0003734C"/>
    <w:rsid w:val="00037527"/>
    <w:rsid w:val="00046FDF"/>
    <w:rsid w:val="00047585"/>
    <w:rsid w:val="00050594"/>
    <w:rsid w:val="000508B7"/>
    <w:rsid w:val="00050DFB"/>
    <w:rsid w:val="000515A2"/>
    <w:rsid w:val="00052702"/>
    <w:rsid w:val="00052C4E"/>
    <w:rsid w:val="00053CD8"/>
    <w:rsid w:val="00056300"/>
    <w:rsid w:val="0005697D"/>
    <w:rsid w:val="00056B83"/>
    <w:rsid w:val="00057C6B"/>
    <w:rsid w:val="00057F46"/>
    <w:rsid w:val="00060FB3"/>
    <w:rsid w:val="00061318"/>
    <w:rsid w:val="00062F61"/>
    <w:rsid w:val="0006375F"/>
    <w:rsid w:val="00065E34"/>
    <w:rsid w:val="00066A49"/>
    <w:rsid w:val="00067B3F"/>
    <w:rsid w:val="000706D3"/>
    <w:rsid w:val="00070FF3"/>
    <w:rsid w:val="00071108"/>
    <w:rsid w:val="00072172"/>
    <w:rsid w:val="000746B6"/>
    <w:rsid w:val="0007600E"/>
    <w:rsid w:val="00077919"/>
    <w:rsid w:val="00083CFD"/>
    <w:rsid w:val="00084B7E"/>
    <w:rsid w:val="0008670B"/>
    <w:rsid w:val="00091720"/>
    <w:rsid w:val="00091AD0"/>
    <w:rsid w:val="0009315A"/>
    <w:rsid w:val="0009328C"/>
    <w:rsid w:val="000937EC"/>
    <w:rsid w:val="00093A4F"/>
    <w:rsid w:val="0009472C"/>
    <w:rsid w:val="00094828"/>
    <w:rsid w:val="00094DD4"/>
    <w:rsid w:val="00095120"/>
    <w:rsid w:val="0009693D"/>
    <w:rsid w:val="00096E22"/>
    <w:rsid w:val="00097EA2"/>
    <w:rsid w:val="000A02E8"/>
    <w:rsid w:val="000A0C2E"/>
    <w:rsid w:val="000A1821"/>
    <w:rsid w:val="000A1D42"/>
    <w:rsid w:val="000A5AFB"/>
    <w:rsid w:val="000B185E"/>
    <w:rsid w:val="000B56F8"/>
    <w:rsid w:val="000C01DB"/>
    <w:rsid w:val="000C255E"/>
    <w:rsid w:val="000C4DCB"/>
    <w:rsid w:val="000C52FD"/>
    <w:rsid w:val="000C72D1"/>
    <w:rsid w:val="000C7BBD"/>
    <w:rsid w:val="000D1298"/>
    <w:rsid w:val="000D1DF2"/>
    <w:rsid w:val="000D4102"/>
    <w:rsid w:val="000D4893"/>
    <w:rsid w:val="000D6359"/>
    <w:rsid w:val="000D6F34"/>
    <w:rsid w:val="000D78BB"/>
    <w:rsid w:val="000E0E79"/>
    <w:rsid w:val="000E262C"/>
    <w:rsid w:val="000E2A2E"/>
    <w:rsid w:val="000E631C"/>
    <w:rsid w:val="000E6936"/>
    <w:rsid w:val="000E7877"/>
    <w:rsid w:val="000E7D30"/>
    <w:rsid w:val="000E7DE9"/>
    <w:rsid w:val="000F289F"/>
    <w:rsid w:val="000F4EA9"/>
    <w:rsid w:val="000F69B7"/>
    <w:rsid w:val="00101971"/>
    <w:rsid w:val="00102388"/>
    <w:rsid w:val="001048C2"/>
    <w:rsid w:val="00107C3E"/>
    <w:rsid w:val="00110400"/>
    <w:rsid w:val="00110420"/>
    <w:rsid w:val="0011078D"/>
    <w:rsid w:val="00111019"/>
    <w:rsid w:val="00111844"/>
    <w:rsid w:val="00111D99"/>
    <w:rsid w:val="00111DF4"/>
    <w:rsid w:val="00112313"/>
    <w:rsid w:val="00113984"/>
    <w:rsid w:val="00114239"/>
    <w:rsid w:val="00114C44"/>
    <w:rsid w:val="00116D93"/>
    <w:rsid w:val="00116EB9"/>
    <w:rsid w:val="0011757C"/>
    <w:rsid w:val="00122114"/>
    <w:rsid w:val="0012230A"/>
    <w:rsid w:val="001224C0"/>
    <w:rsid w:val="00123C65"/>
    <w:rsid w:val="00123EBA"/>
    <w:rsid w:val="0012540C"/>
    <w:rsid w:val="00125480"/>
    <w:rsid w:val="00126677"/>
    <w:rsid w:val="00127009"/>
    <w:rsid w:val="00127659"/>
    <w:rsid w:val="00130C4F"/>
    <w:rsid w:val="00132AB9"/>
    <w:rsid w:val="00133145"/>
    <w:rsid w:val="0013560C"/>
    <w:rsid w:val="00137215"/>
    <w:rsid w:val="00140848"/>
    <w:rsid w:val="001418D8"/>
    <w:rsid w:val="00142AAD"/>
    <w:rsid w:val="001452D5"/>
    <w:rsid w:val="0014651D"/>
    <w:rsid w:val="00146A83"/>
    <w:rsid w:val="00147444"/>
    <w:rsid w:val="00150E94"/>
    <w:rsid w:val="0015371F"/>
    <w:rsid w:val="00153E0B"/>
    <w:rsid w:val="00155F19"/>
    <w:rsid w:val="00156F41"/>
    <w:rsid w:val="00157486"/>
    <w:rsid w:val="00162843"/>
    <w:rsid w:val="00162FB6"/>
    <w:rsid w:val="00163E75"/>
    <w:rsid w:val="001652D9"/>
    <w:rsid w:val="001665AB"/>
    <w:rsid w:val="00167918"/>
    <w:rsid w:val="00167C02"/>
    <w:rsid w:val="00167F0C"/>
    <w:rsid w:val="00171EF5"/>
    <w:rsid w:val="00173A86"/>
    <w:rsid w:val="00174B91"/>
    <w:rsid w:val="00181C6D"/>
    <w:rsid w:val="001834C6"/>
    <w:rsid w:val="00183C96"/>
    <w:rsid w:val="00183D71"/>
    <w:rsid w:val="00184AC1"/>
    <w:rsid w:val="001850C7"/>
    <w:rsid w:val="0018569B"/>
    <w:rsid w:val="00185732"/>
    <w:rsid w:val="00190E35"/>
    <w:rsid w:val="00191E92"/>
    <w:rsid w:val="00192250"/>
    <w:rsid w:val="00192575"/>
    <w:rsid w:val="00193D71"/>
    <w:rsid w:val="00194B30"/>
    <w:rsid w:val="001A0B05"/>
    <w:rsid w:val="001A137F"/>
    <w:rsid w:val="001A2726"/>
    <w:rsid w:val="001A27FF"/>
    <w:rsid w:val="001A3172"/>
    <w:rsid w:val="001A3C8C"/>
    <w:rsid w:val="001A485D"/>
    <w:rsid w:val="001A5608"/>
    <w:rsid w:val="001A5773"/>
    <w:rsid w:val="001A5D7F"/>
    <w:rsid w:val="001A6932"/>
    <w:rsid w:val="001A6AD9"/>
    <w:rsid w:val="001B17D9"/>
    <w:rsid w:val="001B1B84"/>
    <w:rsid w:val="001B25DB"/>
    <w:rsid w:val="001B394C"/>
    <w:rsid w:val="001B48FF"/>
    <w:rsid w:val="001B66B2"/>
    <w:rsid w:val="001B7238"/>
    <w:rsid w:val="001B7543"/>
    <w:rsid w:val="001C0421"/>
    <w:rsid w:val="001C2679"/>
    <w:rsid w:val="001C26CB"/>
    <w:rsid w:val="001C30E4"/>
    <w:rsid w:val="001C404F"/>
    <w:rsid w:val="001C4878"/>
    <w:rsid w:val="001C5A41"/>
    <w:rsid w:val="001C75E7"/>
    <w:rsid w:val="001D1046"/>
    <w:rsid w:val="001D3176"/>
    <w:rsid w:val="001D4B2B"/>
    <w:rsid w:val="001D59CF"/>
    <w:rsid w:val="001D773A"/>
    <w:rsid w:val="001E078B"/>
    <w:rsid w:val="001E0AD3"/>
    <w:rsid w:val="001E337F"/>
    <w:rsid w:val="001E3781"/>
    <w:rsid w:val="001E5EFE"/>
    <w:rsid w:val="001E7AC5"/>
    <w:rsid w:val="001F0A5D"/>
    <w:rsid w:val="001F1C01"/>
    <w:rsid w:val="001F1D22"/>
    <w:rsid w:val="001F32CC"/>
    <w:rsid w:val="001F3CED"/>
    <w:rsid w:val="001F536B"/>
    <w:rsid w:val="001F7394"/>
    <w:rsid w:val="001F777F"/>
    <w:rsid w:val="0020416E"/>
    <w:rsid w:val="00204F36"/>
    <w:rsid w:val="0021000A"/>
    <w:rsid w:val="00214FDA"/>
    <w:rsid w:val="00215269"/>
    <w:rsid w:val="00217FF1"/>
    <w:rsid w:val="00221CD7"/>
    <w:rsid w:val="002241FB"/>
    <w:rsid w:val="002248BF"/>
    <w:rsid w:val="00226A8E"/>
    <w:rsid w:val="002277BA"/>
    <w:rsid w:val="0023259A"/>
    <w:rsid w:val="00233365"/>
    <w:rsid w:val="00234C59"/>
    <w:rsid w:val="00235AC2"/>
    <w:rsid w:val="00236C04"/>
    <w:rsid w:val="00236D28"/>
    <w:rsid w:val="00241EB6"/>
    <w:rsid w:val="00242268"/>
    <w:rsid w:val="00242BDF"/>
    <w:rsid w:val="00242E45"/>
    <w:rsid w:val="00247D27"/>
    <w:rsid w:val="00251CFD"/>
    <w:rsid w:val="00257310"/>
    <w:rsid w:val="002576BF"/>
    <w:rsid w:val="00260A45"/>
    <w:rsid w:val="00260CC7"/>
    <w:rsid w:val="002648E2"/>
    <w:rsid w:val="0026560D"/>
    <w:rsid w:val="00266D82"/>
    <w:rsid w:val="0026783A"/>
    <w:rsid w:val="00273B0C"/>
    <w:rsid w:val="002740B4"/>
    <w:rsid w:val="002741B7"/>
    <w:rsid w:val="002745BE"/>
    <w:rsid w:val="0027561F"/>
    <w:rsid w:val="00275CC6"/>
    <w:rsid w:val="00276797"/>
    <w:rsid w:val="00276D6E"/>
    <w:rsid w:val="00277C20"/>
    <w:rsid w:val="00277D41"/>
    <w:rsid w:val="00280BB1"/>
    <w:rsid w:val="00280F7F"/>
    <w:rsid w:val="00281AC8"/>
    <w:rsid w:val="00283F87"/>
    <w:rsid w:val="00284B10"/>
    <w:rsid w:val="00284DC4"/>
    <w:rsid w:val="00286B8A"/>
    <w:rsid w:val="00287256"/>
    <w:rsid w:val="0028743E"/>
    <w:rsid w:val="0029109A"/>
    <w:rsid w:val="00291586"/>
    <w:rsid w:val="00292144"/>
    <w:rsid w:val="00292CDA"/>
    <w:rsid w:val="0029395D"/>
    <w:rsid w:val="002962B4"/>
    <w:rsid w:val="0029646B"/>
    <w:rsid w:val="002A076E"/>
    <w:rsid w:val="002A4012"/>
    <w:rsid w:val="002A4F83"/>
    <w:rsid w:val="002B0B7A"/>
    <w:rsid w:val="002B0EE0"/>
    <w:rsid w:val="002B14F2"/>
    <w:rsid w:val="002B3A97"/>
    <w:rsid w:val="002B4380"/>
    <w:rsid w:val="002B44EE"/>
    <w:rsid w:val="002B4D9A"/>
    <w:rsid w:val="002B6CB0"/>
    <w:rsid w:val="002B7077"/>
    <w:rsid w:val="002C0A8C"/>
    <w:rsid w:val="002C13CA"/>
    <w:rsid w:val="002C3838"/>
    <w:rsid w:val="002C389E"/>
    <w:rsid w:val="002C3A98"/>
    <w:rsid w:val="002C4EC9"/>
    <w:rsid w:val="002C6BF2"/>
    <w:rsid w:val="002D03DD"/>
    <w:rsid w:val="002D31EC"/>
    <w:rsid w:val="002D45A4"/>
    <w:rsid w:val="002D4A11"/>
    <w:rsid w:val="002D4C70"/>
    <w:rsid w:val="002E0EA6"/>
    <w:rsid w:val="002E2090"/>
    <w:rsid w:val="002E4FD6"/>
    <w:rsid w:val="002E5B72"/>
    <w:rsid w:val="002E5BDE"/>
    <w:rsid w:val="002E6578"/>
    <w:rsid w:val="002E7A61"/>
    <w:rsid w:val="002F0757"/>
    <w:rsid w:val="002F5912"/>
    <w:rsid w:val="002F65D9"/>
    <w:rsid w:val="002F7AF5"/>
    <w:rsid w:val="002F7D37"/>
    <w:rsid w:val="00305812"/>
    <w:rsid w:val="00306AEE"/>
    <w:rsid w:val="00307A06"/>
    <w:rsid w:val="00310278"/>
    <w:rsid w:val="00311A97"/>
    <w:rsid w:val="0031225B"/>
    <w:rsid w:val="00313339"/>
    <w:rsid w:val="003148D0"/>
    <w:rsid w:val="00315AEE"/>
    <w:rsid w:val="00316461"/>
    <w:rsid w:val="00317C2C"/>
    <w:rsid w:val="003212DE"/>
    <w:rsid w:val="003214A6"/>
    <w:rsid w:val="003223DE"/>
    <w:rsid w:val="0032428E"/>
    <w:rsid w:val="00325D3A"/>
    <w:rsid w:val="00331D8F"/>
    <w:rsid w:val="00331E32"/>
    <w:rsid w:val="00331ED1"/>
    <w:rsid w:val="00332E68"/>
    <w:rsid w:val="00334462"/>
    <w:rsid w:val="00337C69"/>
    <w:rsid w:val="003410F4"/>
    <w:rsid w:val="003413EE"/>
    <w:rsid w:val="00341745"/>
    <w:rsid w:val="00343ED9"/>
    <w:rsid w:val="00346B48"/>
    <w:rsid w:val="00346B87"/>
    <w:rsid w:val="00346F57"/>
    <w:rsid w:val="003476BD"/>
    <w:rsid w:val="00347B03"/>
    <w:rsid w:val="00351BC5"/>
    <w:rsid w:val="00352B56"/>
    <w:rsid w:val="00353564"/>
    <w:rsid w:val="00353DD3"/>
    <w:rsid w:val="00354AA9"/>
    <w:rsid w:val="00356328"/>
    <w:rsid w:val="00357A97"/>
    <w:rsid w:val="003620B0"/>
    <w:rsid w:val="003659D6"/>
    <w:rsid w:val="00373902"/>
    <w:rsid w:val="003758EA"/>
    <w:rsid w:val="00376166"/>
    <w:rsid w:val="00377899"/>
    <w:rsid w:val="00380C8A"/>
    <w:rsid w:val="00385A7A"/>
    <w:rsid w:val="003868F0"/>
    <w:rsid w:val="00386ADC"/>
    <w:rsid w:val="0039040A"/>
    <w:rsid w:val="00390F77"/>
    <w:rsid w:val="00392D87"/>
    <w:rsid w:val="00395839"/>
    <w:rsid w:val="00396B23"/>
    <w:rsid w:val="003A260A"/>
    <w:rsid w:val="003A3058"/>
    <w:rsid w:val="003A3925"/>
    <w:rsid w:val="003A63C6"/>
    <w:rsid w:val="003A7E28"/>
    <w:rsid w:val="003B168C"/>
    <w:rsid w:val="003B40F7"/>
    <w:rsid w:val="003B541E"/>
    <w:rsid w:val="003B792A"/>
    <w:rsid w:val="003C15AA"/>
    <w:rsid w:val="003C6D3E"/>
    <w:rsid w:val="003C7B6F"/>
    <w:rsid w:val="003D2A7F"/>
    <w:rsid w:val="003D6885"/>
    <w:rsid w:val="003E0A44"/>
    <w:rsid w:val="003E1946"/>
    <w:rsid w:val="003E7389"/>
    <w:rsid w:val="003E75C8"/>
    <w:rsid w:val="003F09F6"/>
    <w:rsid w:val="003F19F6"/>
    <w:rsid w:val="003F4F10"/>
    <w:rsid w:val="003F5DC7"/>
    <w:rsid w:val="004029E1"/>
    <w:rsid w:val="00403B91"/>
    <w:rsid w:val="00405966"/>
    <w:rsid w:val="00410CE8"/>
    <w:rsid w:val="00411D54"/>
    <w:rsid w:val="004152E4"/>
    <w:rsid w:val="00422B56"/>
    <w:rsid w:val="00431174"/>
    <w:rsid w:val="00433E24"/>
    <w:rsid w:val="004341DD"/>
    <w:rsid w:val="00434EBF"/>
    <w:rsid w:val="00435B5E"/>
    <w:rsid w:val="00440213"/>
    <w:rsid w:val="0044089D"/>
    <w:rsid w:val="00440CDB"/>
    <w:rsid w:val="00441F1C"/>
    <w:rsid w:val="004420B0"/>
    <w:rsid w:val="00443884"/>
    <w:rsid w:val="00446394"/>
    <w:rsid w:val="00447FF7"/>
    <w:rsid w:val="0045029D"/>
    <w:rsid w:val="00450A1E"/>
    <w:rsid w:val="00450E20"/>
    <w:rsid w:val="004511E6"/>
    <w:rsid w:val="00451A05"/>
    <w:rsid w:val="00451D3E"/>
    <w:rsid w:val="004525DE"/>
    <w:rsid w:val="00452691"/>
    <w:rsid w:val="004554D4"/>
    <w:rsid w:val="00455C1A"/>
    <w:rsid w:val="004574A4"/>
    <w:rsid w:val="00457871"/>
    <w:rsid w:val="00457E19"/>
    <w:rsid w:val="0046147B"/>
    <w:rsid w:val="004620D5"/>
    <w:rsid w:val="00462B11"/>
    <w:rsid w:val="00463C8C"/>
    <w:rsid w:val="00464B09"/>
    <w:rsid w:val="00465018"/>
    <w:rsid w:val="004706B6"/>
    <w:rsid w:val="004743FC"/>
    <w:rsid w:val="0047482F"/>
    <w:rsid w:val="00474906"/>
    <w:rsid w:val="004756B9"/>
    <w:rsid w:val="0047726B"/>
    <w:rsid w:val="004804F9"/>
    <w:rsid w:val="00481036"/>
    <w:rsid w:val="0048232A"/>
    <w:rsid w:val="00482819"/>
    <w:rsid w:val="00482C63"/>
    <w:rsid w:val="00484899"/>
    <w:rsid w:val="00484DD4"/>
    <w:rsid w:val="00485094"/>
    <w:rsid w:val="00490D23"/>
    <w:rsid w:val="00493CDA"/>
    <w:rsid w:val="0049472C"/>
    <w:rsid w:val="004A04C9"/>
    <w:rsid w:val="004A0877"/>
    <w:rsid w:val="004A24FE"/>
    <w:rsid w:val="004A2D92"/>
    <w:rsid w:val="004A40AA"/>
    <w:rsid w:val="004A664F"/>
    <w:rsid w:val="004B22CE"/>
    <w:rsid w:val="004B6077"/>
    <w:rsid w:val="004B6BE3"/>
    <w:rsid w:val="004C1147"/>
    <w:rsid w:val="004C1EBD"/>
    <w:rsid w:val="004C5029"/>
    <w:rsid w:val="004C5474"/>
    <w:rsid w:val="004D0454"/>
    <w:rsid w:val="004D5671"/>
    <w:rsid w:val="004D5C0C"/>
    <w:rsid w:val="004D7F3F"/>
    <w:rsid w:val="004E242F"/>
    <w:rsid w:val="004E33FB"/>
    <w:rsid w:val="004E7902"/>
    <w:rsid w:val="004F024B"/>
    <w:rsid w:val="004F040B"/>
    <w:rsid w:val="004F1964"/>
    <w:rsid w:val="004F2ECA"/>
    <w:rsid w:val="004F4F47"/>
    <w:rsid w:val="004F7B4E"/>
    <w:rsid w:val="0050286C"/>
    <w:rsid w:val="005050E4"/>
    <w:rsid w:val="00505939"/>
    <w:rsid w:val="00506123"/>
    <w:rsid w:val="0051000D"/>
    <w:rsid w:val="00512222"/>
    <w:rsid w:val="005143BF"/>
    <w:rsid w:val="005152AE"/>
    <w:rsid w:val="005163C4"/>
    <w:rsid w:val="00521306"/>
    <w:rsid w:val="00523071"/>
    <w:rsid w:val="005247FD"/>
    <w:rsid w:val="00530DCC"/>
    <w:rsid w:val="00530E37"/>
    <w:rsid w:val="00534384"/>
    <w:rsid w:val="00534ABC"/>
    <w:rsid w:val="005370E2"/>
    <w:rsid w:val="005403AF"/>
    <w:rsid w:val="00540D17"/>
    <w:rsid w:val="005424D2"/>
    <w:rsid w:val="00542991"/>
    <w:rsid w:val="00546D08"/>
    <w:rsid w:val="00550083"/>
    <w:rsid w:val="005518ED"/>
    <w:rsid w:val="0055210D"/>
    <w:rsid w:val="00552B32"/>
    <w:rsid w:val="00555160"/>
    <w:rsid w:val="005563C6"/>
    <w:rsid w:val="0055737C"/>
    <w:rsid w:val="005578A5"/>
    <w:rsid w:val="005608F2"/>
    <w:rsid w:val="0056266C"/>
    <w:rsid w:val="00562E00"/>
    <w:rsid w:val="00562FE0"/>
    <w:rsid w:val="00564984"/>
    <w:rsid w:val="00566E3C"/>
    <w:rsid w:val="005711ED"/>
    <w:rsid w:val="00571B3A"/>
    <w:rsid w:val="00576FF8"/>
    <w:rsid w:val="00582842"/>
    <w:rsid w:val="005841D4"/>
    <w:rsid w:val="0058510A"/>
    <w:rsid w:val="00585D12"/>
    <w:rsid w:val="00586B04"/>
    <w:rsid w:val="00587EE0"/>
    <w:rsid w:val="0059006F"/>
    <w:rsid w:val="00591F57"/>
    <w:rsid w:val="005925D4"/>
    <w:rsid w:val="005A5D74"/>
    <w:rsid w:val="005A7681"/>
    <w:rsid w:val="005B0617"/>
    <w:rsid w:val="005B120F"/>
    <w:rsid w:val="005B170C"/>
    <w:rsid w:val="005B366A"/>
    <w:rsid w:val="005B479F"/>
    <w:rsid w:val="005B58DE"/>
    <w:rsid w:val="005B5CC9"/>
    <w:rsid w:val="005B67C4"/>
    <w:rsid w:val="005C0EB8"/>
    <w:rsid w:val="005C2BCE"/>
    <w:rsid w:val="005C3DB2"/>
    <w:rsid w:val="005C5F75"/>
    <w:rsid w:val="005C5FBA"/>
    <w:rsid w:val="005C63A1"/>
    <w:rsid w:val="005D01D2"/>
    <w:rsid w:val="005D17FC"/>
    <w:rsid w:val="005D1924"/>
    <w:rsid w:val="005D2613"/>
    <w:rsid w:val="005D2A04"/>
    <w:rsid w:val="005D3607"/>
    <w:rsid w:val="005D54BF"/>
    <w:rsid w:val="005D5ADA"/>
    <w:rsid w:val="005D6DCE"/>
    <w:rsid w:val="005E006E"/>
    <w:rsid w:val="005E0AD7"/>
    <w:rsid w:val="005E11A7"/>
    <w:rsid w:val="005E355C"/>
    <w:rsid w:val="005E386A"/>
    <w:rsid w:val="005E4951"/>
    <w:rsid w:val="005E6641"/>
    <w:rsid w:val="005E6EC2"/>
    <w:rsid w:val="005E7345"/>
    <w:rsid w:val="005E7774"/>
    <w:rsid w:val="005F16D2"/>
    <w:rsid w:val="005F264B"/>
    <w:rsid w:val="005F26CE"/>
    <w:rsid w:val="005F3A7F"/>
    <w:rsid w:val="005F4627"/>
    <w:rsid w:val="005F537F"/>
    <w:rsid w:val="005F5396"/>
    <w:rsid w:val="005F5450"/>
    <w:rsid w:val="005F7204"/>
    <w:rsid w:val="005F7E04"/>
    <w:rsid w:val="00600744"/>
    <w:rsid w:val="00601647"/>
    <w:rsid w:val="00602671"/>
    <w:rsid w:val="00605EE3"/>
    <w:rsid w:val="00607AE7"/>
    <w:rsid w:val="006135A1"/>
    <w:rsid w:val="0061557E"/>
    <w:rsid w:val="006160BF"/>
    <w:rsid w:val="006227B9"/>
    <w:rsid w:val="00622B58"/>
    <w:rsid w:val="006245E1"/>
    <w:rsid w:val="00627CD4"/>
    <w:rsid w:val="00630D2D"/>
    <w:rsid w:val="00631C5B"/>
    <w:rsid w:val="00633660"/>
    <w:rsid w:val="00633D3F"/>
    <w:rsid w:val="00634242"/>
    <w:rsid w:val="00634375"/>
    <w:rsid w:val="006355A8"/>
    <w:rsid w:val="006369CF"/>
    <w:rsid w:val="00636D55"/>
    <w:rsid w:val="00637162"/>
    <w:rsid w:val="00637B92"/>
    <w:rsid w:val="00640E41"/>
    <w:rsid w:val="00644BCC"/>
    <w:rsid w:val="006457C0"/>
    <w:rsid w:val="00646659"/>
    <w:rsid w:val="006468F5"/>
    <w:rsid w:val="00646BBE"/>
    <w:rsid w:val="00646F03"/>
    <w:rsid w:val="00650196"/>
    <w:rsid w:val="006517C8"/>
    <w:rsid w:val="00653287"/>
    <w:rsid w:val="00653E73"/>
    <w:rsid w:val="00653F80"/>
    <w:rsid w:val="006541F2"/>
    <w:rsid w:val="00654B38"/>
    <w:rsid w:val="00654E18"/>
    <w:rsid w:val="00655210"/>
    <w:rsid w:val="00655C6A"/>
    <w:rsid w:val="0065774B"/>
    <w:rsid w:val="00660DDA"/>
    <w:rsid w:val="0066251B"/>
    <w:rsid w:val="006627AD"/>
    <w:rsid w:val="00663FF3"/>
    <w:rsid w:val="006643C2"/>
    <w:rsid w:val="0066604A"/>
    <w:rsid w:val="00666A9E"/>
    <w:rsid w:val="00666E50"/>
    <w:rsid w:val="00667D9B"/>
    <w:rsid w:val="00671F6F"/>
    <w:rsid w:val="006726D4"/>
    <w:rsid w:val="00673307"/>
    <w:rsid w:val="006748A5"/>
    <w:rsid w:val="00674EC0"/>
    <w:rsid w:val="0067678D"/>
    <w:rsid w:val="00676E8A"/>
    <w:rsid w:val="00683362"/>
    <w:rsid w:val="0068378D"/>
    <w:rsid w:val="0069091D"/>
    <w:rsid w:val="00692EAC"/>
    <w:rsid w:val="00693AE5"/>
    <w:rsid w:val="00696153"/>
    <w:rsid w:val="00696E7F"/>
    <w:rsid w:val="006A02FD"/>
    <w:rsid w:val="006A102C"/>
    <w:rsid w:val="006A12B6"/>
    <w:rsid w:val="006A367F"/>
    <w:rsid w:val="006A49A9"/>
    <w:rsid w:val="006A5CB7"/>
    <w:rsid w:val="006A6754"/>
    <w:rsid w:val="006A69CF"/>
    <w:rsid w:val="006B08B4"/>
    <w:rsid w:val="006B1B78"/>
    <w:rsid w:val="006B1E7C"/>
    <w:rsid w:val="006B2F71"/>
    <w:rsid w:val="006B422C"/>
    <w:rsid w:val="006B64BF"/>
    <w:rsid w:val="006B6F23"/>
    <w:rsid w:val="006B75EC"/>
    <w:rsid w:val="006B7B91"/>
    <w:rsid w:val="006C1AD9"/>
    <w:rsid w:val="006C24A8"/>
    <w:rsid w:val="006C79B2"/>
    <w:rsid w:val="006D0B0D"/>
    <w:rsid w:val="006D272A"/>
    <w:rsid w:val="006D461E"/>
    <w:rsid w:val="006D4810"/>
    <w:rsid w:val="006D5E0D"/>
    <w:rsid w:val="006D5F85"/>
    <w:rsid w:val="006D6759"/>
    <w:rsid w:val="006D6E63"/>
    <w:rsid w:val="006D70AA"/>
    <w:rsid w:val="006E0D00"/>
    <w:rsid w:val="006E0E91"/>
    <w:rsid w:val="006E3B2B"/>
    <w:rsid w:val="006E4900"/>
    <w:rsid w:val="006E4C65"/>
    <w:rsid w:val="006E6401"/>
    <w:rsid w:val="006E77F3"/>
    <w:rsid w:val="006F03A6"/>
    <w:rsid w:val="006F1F30"/>
    <w:rsid w:val="006F4CC9"/>
    <w:rsid w:val="006F592B"/>
    <w:rsid w:val="007008B9"/>
    <w:rsid w:val="00702C5E"/>
    <w:rsid w:val="00705F44"/>
    <w:rsid w:val="007074CC"/>
    <w:rsid w:val="007076CF"/>
    <w:rsid w:val="00710159"/>
    <w:rsid w:val="00710218"/>
    <w:rsid w:val="00710F6F"/>
    <w:rsid w:val="0071234F"/>
    <w:rsid w:val="00712504"/>
    <w:rsid w:val="00712571"/>
    <w:rsid w:val="007147DB"/>
    <w:rsid w:val="00715AB0"/>
    <w:rsid w:val="00715BB8"/>
    <w:rsid w:val="0071629E"/>
    <w:rsid w:val="00720370"/>
    <w:rsid w:val="00723CF8"/>
    <w:rsid w:val="00731AB3"/>
    <w:rsid w:val="007328BA"/>
    <w:rsid w:val="007335FA"/>
    <w:rsid w:val="00736539"/>
    <w:rsid w:val="007406C9"/>
    <w:rsid w:val="00740AA9"/>
    <w:rsid w:val="007416E6"/>
    <w:rsid w:val="00741DF1"/>
    <w:rsid w:val="0074232C"/>
    <w:rsid w:val="00742611"/>
    <w:rsid w:val="00744F00"/>
    <w:rsid w:val="00745531"/>
    <w:rsid w:val="007522CF"/>
    <w:rsid w:val="007529D3"/>
    <w:rsid w:val="00752DCA"/>
    <w:rsid w:val="00753233"/>
    <w:rsid w:val="00753851"/>
    <w:rsid w:val="00753CE5"/>
    <w:rsid w:val="00754EDA"/>
    <w:rsid w:val="0075775E"/>
    <w:rsid w:val="00760207"/>
    <w:rsid w:val="0076099A"/>
    <w:rsid w:val="0076144C"/>
    <w:rsid w:val="00761AEE"/>
    <w:rsid w:val="00763378"/>
    <w:rsid w:val="0076541F"/>
    <w:rsid w:val="007671D7"/>
    <w:rsid w:val="00770FF2"/>
    <w:rsid w:val="00771886"/>
    <w:rsid w:val="0077339E"/>
    <w:rsid w:val="0077347F"/>
    <w:rsid w:val="007744D9"/>
    <w:rsid w:val="007778BE"/>
    <w:rsid w:val="00777EA9"/>
    <w:rsid w:val="00777F2D"/>
    <w:rsid w:val="0078384B"/>
    <w:rsid w:val="0078548D"/>
    <w:rsid w:val="007864E8"/>
    <w:rsid w:val="00786E43"/>
    <w:rsid w:val="007902F6"/>
    <w:rsid w:val="0079386F"/>
    <w:rsid w:val="007A2CE7"/>
    <w:rsid w:val="007A2E6F"/>
    <w:rsid w:val="007A31EF"/>
    <w:rsid w:val="007A4B93"/>
    <w:rsid w:val="007A53F1"/>
    <w:rsid w:val="007A62F9"/>
    <w:rsid w:val="007A668A"/>
    <w:rsid w:val="007A75E7"/>
    <w:rsid w:val="007B05A4"/>
    <w:rsid w:val="007B1C04"/>
    <w:rsid w:val="007B23C3"/>
    <w:rsid w:val="007B27B5"/>
    <w:rsid w:val="007B2EC8"/>
    <w:rsid w:val="007B5874"/>
    <w:rsid w:val="007B6D7C"/>
    <w:rsid w:val="007B6E67"/>
    <w:rsid w:val="007C0125"/>
    <w:rsid w:val="007C1E8A"/>
    <w:rsid w:val="007C1F5D"/>
    <w:rsid w:val="007C269B"/>
    <w:rsid w:val="007C53B9"/>
    <w:rsid w:val="007C5E3E"/>
    <w:rsid w:val="007C6C89"/>
    <w:rsid w:val="007D24F5"/>
    <w:rsid w:val="007D4190"/>
    <w:rsid w:val="007D4C3D"/>
    <w:rsid w:val="007D554F"/>
    <w:rsid w:val="007D7787"/>
    <w:rsid w:val="007E02E3"/>
    <w:rsid w:val="007E2CB6"/>
    <w:rsid w:val="007E4F22"/>
    <w:rsid w:val="007E5AC1"/>
    <w:rsid w:val="007E5F0F"/>
    <w:rsid w:val="007F05B5"/>
    <w:rsid w:val="007F1930"/>
    <w:rsid w:val="007F2599"/>
    <w:rsid w:val="007F394B"/>
    <w:rsid w:val="007F4B3B"/>
    <w:rsid w:val="00800DE3"/>
    <w:rsid w:val="0080146B"/>
    <w:rsid w:val="008016F3"/>
    <w:rsid w:val="00801862"/>
    <w:rsid w:val="00801CD9"/>
    <w:rsid w:val="0080324E"/>
    <w:rsid w:val="00803F5A"/>
    <w:rsid w:val="00806B9F"/>
    <w:rsid w:val="008073F9"/>
    <w:rsid w:val="00807CF5"/>
    <w:rsid w:val="008136C5"/>
    <w:rsid w:val="00815402"/>
    <w:rsid w:val="0081622C"/>
    <w:rsid w:val="008164AE"/>
    <w:rsid w:val="00817A0F"/>
    <w:rsid w:val="00821466"/>
    <w:rsid w:val="008219AE"/>
    <w:rsid w:val="00821A10"/>
    <w:rsid w:val="00822537"/>
    <w:rsid w:val="00824A53"/>
    <w:rsid w:val="00834A87"/>
    <w:rsid w:val="008350EC"/>
    <w:rsid w:val="008356FA"/>
    <w:rsid w:val="0083582C"/>
    <w:rsid w:val="00836B10"/>
    <w:rsid w:val="00837A42"/>
    <w:rsid w:val="00840DCD"/>
    <w:rsid w:val="00841533"/>
    <w:rsid w:val="008416BD"/>
    <w:rsid w:val="00846D23"/>
    <w:rsid w:val="00850753"/>
    <w:rsid w:val="008528E3"/>
    <w:rsid w:val="00852B75"/>
    <w:rsid w:val="00855103"/>
    <w:rsid w:val="008574B3"/>
    <w:rsid w:val="00857D79"/>
    <w:rsid w:val="00857F9F"/>
    <w:rsid w:val="008603E8"/>
    <w:rsid w:val="00860F28"/>
    <w:rsid w:val="0086224D"/>
    <w:rsid w:val="00865157"/>
    <w:rsid w:val="008652C6"/>
    <w:rsid w:val="00870E31"/>
    <w:rsid w:val="00871040"/>
    <w:rsid w:val="00872164"/>
    <w:rsid w:val="0087270F"/>
    <w:rsid w:val="00872DA0"/>
    <w:rsid w:val="008737DD"/>
    <w:rsid w:val="00873901"/>
    <w:rsid w:val="00874C31"/>
    <w:rsid w:val="00877144"/>
    <w:rsid w:val="008803D0"/>
    <w:rsid w:val="00880D41"/>
    <w:rsid w:val="00884900"/>
    <w:rsid w:val="00885571"/>
    <w:rsid w:val="008858E2"/>
    <w:rsid w:val="00887383"/>
    <w:rsid w:val="00890C49"/>
    <w:rsid w:val="00890FB5"/>
    <w:rsid w:val="00891235"/>
    <w:rsid w:val="008912E5"/>
    <w:rsid w:val="00891638"/>
    <w:rsid w:val="00891C6C"/>
    <w:rsid w:val="0089275B"/>
    <w:rsid w:val="00895B99"/>
    <w:rsid w:val="00895F8C"/>
    <w:rsid w:val="0089670E"/>
    <w:rsid w:val="008A239D"/>
    <w:rsid w:val="008A4E92"/>
    <w:rsid w:val="008A6773"/>
    <w:rsid w:val="008A7CF8"/>
    <w:rsid w:val="008B00C5"/>
    <w:rsid w:val="008B0E9E"/>
    <w:rsid w:val="008B1590"/>
    <w:rsid w:val="008B53DA"/>
    <w:rsid w:val="008B57B9"/>
    <w:rsid w:val="008B6C26"/>
    <w:rsid w:val="008C0136"/>
    <w:rsid w:val="008C36D5"/>
    <w:rsid w:val="008C4004"/>
    <w:rsid w:val="008C5D7F"/>
    <w:rsid w:val="008C5F6C"/>
    <w:rsid w:val="008C75AD"/>
    <w:rsid w:val="008C7694"/>
    <w:rsid w:val="008D0E64"/>
    <w:rsid w:val="008D16B2"/>
    <w:rsid w:val="008D2CBC"/>
    <w:rsid w:val="008D2CDC"/>
    <w:rsid w:val="008D6025"/>
    <w:rsid w:val="008D77EC"/>
    <w:rsid w:val="008D7FBA"/>
    <w:rsid w:val="008E0B8D"/>
    <w:rsid w:val="008E0BF3"/>
    <w:rsid w:val="008E2A54"/>
    <w:rsid w:val="008E3710"/>
    <w:rsid w:val="008E4D56"/>
    <w:rsid w:val="008E7B25"/>
    <w:rsid w:val="008F133C"/>
    <w:rsid w:val="008F2865"/>
    <w:rsid w:val="008F2E1A"/>
    <w:rsid w:val="008F3180"/>
    <w:rsid w:val="008F46EC"/>
    <w:rsid w:val="008F7184"/>
    <w:rsid w:val="00903590"/>
    <w:rsid w:val="009047F9"/>
    <w:rsid w:val="00910B87"/>
    <w:rsid w:val="0091266D"/>
    <w:rsid w:val="009150C3"/>
    <w:rsid w:val="009152B4"/>
    <w:rsid w:val="00915C02"/>
    <w:rsid w:val="00922AE2"/>
    <w:rsid w:val="00923C0E"/>
    <w:rsid w:val="00924816"/>
    <w:rsid w:val="00924CC9"/>
    <w:rsid w:val="00925224"/>
    <w:rsid w:val="00925DEB"/>
    <w:rsid w:val="00930230"/>
    <w:rsid w:val="00931F42"/>
    <w:rsid w:val="0093427B"/>
    <w:rsid w:val="00935ABD"/>
    <w:rsid w:val="0093676A"/>
    <w:rsid w:val="00936A55"/>
    <w:rsid w:val="009406FF"/>
    <w:rsid w:val="00943667"/>
    <w:rsid w:val="00944C7C"/>
    <w:rsid w:val="00944E84"/>
    <w:rsid w:val="00945265"/>
    <w:rsid w:val="00945D61"/>
    <w:rsid w:val="00947BF1"/>
    <w:rsid w:val="00951364"/>
    <w:rsid w:val="00954A6D"/>
    <w:rsid w:val="00954D33"/>
    <w:rsid w:val="0095580B"/>
    <w:rsid w:val="00957BC9"/>
    <w:rsid w:val="00957C2B"/>
    <w:rsid w:val="00960FB4"/>
    <w:rsid w:val="00961DF2"/>
    <w:rsid w:val="00962C6B"/>
    <w:rsid w:val="009638DC"/>
    <w:rsid w:val="00964C01"/>
    <w:rsid w:val="00965E05"/>
    <w:rsid w:val="009674A5"/>
    <w:rsid w:val="00971FE8"/>
    <w:rsid w:val="0097267B"/>
    <w:rsid w:val="00976EBA"/>
    <w:rsid w:val="00977055"/>
    <w:rsid w:val="0097744E"/>
    <w:rsid w:val="0098236C"/>
    <w:rsid w:val="00985409"/>
    <w:rsid w:val="0098656F"/>
    <w:rsid w:val="009866E5"/>
    <w:rsid w:val="009917D5"/>
    <w:rsid w:val="00991E34"/>
    <w:rsid w:val="00992442"/>
    <w:rsid w:val="00992569"/>
    <w:rsid w:val="0099443F"/>
    <w:rsid w:val="00994555"/>
    <w:rsid w:val="009953B2"/>
    <w:rsid w:val="0099546A"/>
    <w:rsid w:val="00996A1C"/>
    <w:rsid w:val="00996F25"/>
    <w:rsid w:val="009979C0"/>
    <w:rsid w:val="009A0515"/>
    <w:rsid w:val="009A1305"/>
    <w:rsid w:val="009A1B1E"/>
    <w:rsid w:val="009A440E"/>
    <w:rsid w:val="009A73A8"/>
    <w:rsid w:val="009B2630"/>
    <w:rsid w:val="009B277B"/>
    <w:rsid w:val="009B2A01"/>
    <w:rsid w:val="009B3894"/>
    <w:rsid w:val="009B45B9"/>
    <w:rsid w:val="009B6DDD"/>
    <w:rsid w:val="009C25BE"/>
    <w:rsid w:val="009C38FE"/>
    <w:rsid w:val="009C3CD7"/>
    <w:rsid w:val="009D0C17"/>
    <w:rsid w:val="009D1437"/>
    <w:rsid w:val="009D27E3"/>
    <w:rsid w:val="009D2AFC"/>
    <w:rsid w:val="009D2E35"/>
    <w:rsid w:val="009D33FC"/>
    <w:rsid w:val="009D34DB"/>
    <w:rsid w:val="009D6086"/>
    <w:rsid w:val="009D68D1"/>
    <w:rsid w:val="009E09AA"/>
    <w:rsid w:val="009E1623"/>
    <w:rsid w:val="009E3A6B"/>
    <w:rsid w:val="009E70FF"/>
    <w:rsid w:val="009E714F"/>
    <w:rsid w:val="009E78C5"/>
    <w:rsid w:val="009F31F5"/>
    <w:rsid w:val="009F434E"/>
    <w:rsid w:val="009F5C9A"/>
    <w:rsid w:val="00A025B4"/>
    <w:rsid w:val="00A02FDA"/>
    <w:rsid w:val="00A03BBE"/>
    <w:rsid w:val="00A0456D"/>
    <w:rsid w:val="00A05923"/>
    <w:rsid w:val="00A10C46"/>
    <w:rsid w:val="00A164CA"/>
    <w:rsid w:val="00A17AF8"/>
    <w:rsid w:val="00A200B3"/>
    <w:rsid w:val="00A24BA3"/>
    <w:rsid w:val="00A27029"/>
    <w:rsid w:val="00A2731B"/>
    <w:rsid w:val="00A32E60"/>
    <w:rsid w:val="00A33CBD"/>
    <w:rsid w:val="00A36685"/>
    <w:rsid w:val="00A40051"/>
    <w:rsid w:val="00A4205B"/>
    <w:rsid w:val="00A45008"/>
    <w:rsid w:val="00A455D9"/>
    <w:rsid w:val="00A4600D"/>
    <w:rsid w:val="00A4709A"/>
    <w:rsid w:val="00A479BB"/>
    <w:rsid w:val="00A47E5C"/>
    <w:rsid w:val="00A5137F"/>
    <w:rsid w:val="00A54210"/>
    <w:rsid w:val="00A57042"/>
    <w:rsid w:val="00A62681"/>
    <w:rsid w:val="00A62EB3"/>
    <w:rsid w:val="00A63BEB"/>
    <w:rsid w:val="00A66A33"/>
    <w:rsid w:val="00A66A40"/>
    <w:rsid w:val="00A66D51"/>
    <w:rsid w:val="00A7063D"/>
    <w:rsid w:val="00A71649"/>
    <w:rsid w:val="00A728C9"/>
    <w:rsid w:val="00A729C4"/>
    <w:rsid w:val="00A72E40"/>
    <w:rsid w:val="00A731FD"/>
    <w:rsid w:val="00A737F9"/>
    <w:rsid w:val="00A741DE"/>
    <w:rsid w:val="00A7499E"/>
    <w:rsid w:val="00A74DF6"/>
    <w:rsid w:val="00A7679A"/>
    <w:rsid w:val="00A767EE"/>
    <w:rsid w:val="00A80C81"/>
    <w:rsid w:val="00A8142B"/>
    <w:rsid w:val="00A82FC8"/>
    <w:rsid w:val="00A841AA"/>
    <w:rsid w:val="00A90414"/>
    <w:rsid w:val="00A90F7F"/>
    <w:rsid w:val="00A93799"/>
    <w:rsid w:val="00A96259"/>
    <w:rsid w:val="00A9705D"/>
    <w:rsid w:val="00AA2A8D"/>
    <w:rsid w:val="00AA3F08"/>
    <w:rsid w:val="00AA4742"/>
    <w:rsid w:val="00AA79B4"/>
    <w:rsid w:val="00AA7AE9"/>
    <w:rsid w:val="00AB245A"/>
    <w:rsid w:val="00AB542E"/>
    <w:rsid w:val="00AB5F48"/>
    <w:rsid w:val="00AC0EB7"/>
    <w:rsid w:val="00AC197E"/>
    <w:rsid w:val="00AC1E18"/>
    <w:rsid w:val="00AC1E2B"/>
    <w:rsid w:val="00AC2E3A"/>
    <w:rsid w:val="00AC2F35"/>
    <w:rsid w:val="00AC3717"/>
    <w:rsid w:val="00AC700D"/>
    <w:rsid w:val="00AC7829"/>
    <w:rsid w:val="00AD4306"/>
    <w:rsid w:val="00AD4B00"/>
    <w:rsid w:val="00AD5C7A"/>
    <w:rsid w:val="00AE0F51"/>
    <w:rsid w:val="00AE1B50"/>
    <w:rsid w:val="00AE1BDE"/>
    <w:rsid w:val="00AE2477"/>
    <w:rsid w:val="00AE4989"/>
    <w:rsid w:val="00AE67B7"/>
    <w:rsid w:val="00AE747A"/>
    <w:rsid w:val="00AE7D46"/>
    <w:rsid w:val="00AF18BF"/>
    <w:rsid w:val="00AF585D"/>
    <w:rsid w:val="00AF7715"/>
    <w:rsid w:val="00B03C9B"/>
    <w:rsid w:val="00B03DF8"/>
    <w:rsid w:val="00B04B4A"/>
    <w:rsid w:val="00B05203"/>
    <w:rsid w:val="00B05A2F"/>
    <w:rsid w:val="00B0777D"/>
    <w:rsid w:val="00B11A6F"/>
    <w:rsid w:val="00B141F9"/>
    <w:rsid w:val="00B15467"/>
    <w:rsid w:val="00B21027"/>
    <w:rsid w:val="00B22601"/>
    <w:rsid w:val="00B237A2"/>
    <w:rsid w:val="00B2410D"/>
    <w:rsid w:val="00B26F1E"/>
    <w:rsid w:val="00B30A30"/>
    <w:rsid w:val="00B30C6D"/>
    <w:rsid w:val="00B31422"/>
    <w:rsid w:val="00B327BB"/>
    <w:rsid w:val="00B34441"/>
    <w:rsid w:val="00B34F02"/>
    <w:rsid w:val="00B35C72"/>
    <w:rsid w:val="00B375AC"/>
    <w:rsid w:val="00B4065B"/>
    <w:rsid w:val="00B478A0"/>
    <w:rsid w:val="00B47A4F"/>
    <w:rsid w:val="00B515B3"/>
    <w:rsid w:val="00B523B4"/>
    <w:rsid w:val="00B546F0"/>
    <w:rsid w:val="00B54AC9"/>
    <w:rsid w:val="00B55FA8"/>
    <w:rsid w:val="00B6006D"/>
    <w:rsid w:val="00B612AE"/>
    <w:rsid w:val="00B63211"/>
    <w:rsid w:val="00B641E6"/>
    <w:rsid w:val="00B653F2"/>
    <w:rsid w:val="00B66D5F"/>
    <w:rsid w:val="00B66EE3"/>
    <w:rsid w:val="00B67082"/>
    <w:rsid w:val="00B67D36"/>
    <w:rsid w:val="00B73A72"/>
    <w:rsid w:val="00B7501E"/>
    <w:rsid w:val="00B75856"/>
    <w:rsid w:val="00B803A1"/>
    <w:rsid w:val="00B80859"/>
    <w:rsid w:val="00B80EB7"/>
    <w:rsid w:val="00B86A88"/>
    <w:rsid w:val="00B902FC"/>
    <w:rsid w:val="00B908CB"/>
    <w:rsid w:val="00B929FF"/>
    <w:rsid w:val="00B95595"/>
    <w:rsid w:val="00BA2F0D"/>
    <w:rsid w:val="00BA475D"/>
    <w:rsid w:val="00BA4D7D"/>
    <w:rsid w:val="00BB05A1"/>
    <w:rsid w:val="00BB0786"/>
    <w:rsid w:val="00BB0C82"/>
    <w:rsid w:val="00BB2024"/>
    <w:rsid w:val="00BB2E9C"/>
    <w:rsid w:val="00BB3769"/>
    <w:rsid w:val="00BB4FE5"/>
    <w:rsid w:val="00BC0198"/>
    <w:rsid w:val="00BC1052"/>
    <w:rsid w:val="00BC3CDB"/>
    <w:rsid w:val="00BD08F4"/>
    <w:rsid w:val="00BD15FC"/>
    <w:rsid w:val="00BD2AD5"/>
    <w:rsid w:val="00BD3A92"/>
    <w:rsid w:val="00BD3F76"/>
    <w:rsid w:val="00BD4575"/>
    <w:rsid w:val="00BD5389"/>
    <w:rsid w:val="00BD7E79"/>
    <w:rsid w:val="00BE0F1B"/>
    <w:rsid w:val="00BE158B"/>
    <w:rsid w:val="00BE4C14"/>
    <w:rsid w:val="00BE6363"/>
    <w:rsid w:val="00BF1F91"/>
    <w:rsid w:val="00BF28E5"/>
    <w:rsid w:val="00BF4427"/>
    <w:rsid w:val="00BF4763"/>
    <w:rsid w:val="00BF4E90"/>
    <w:rsid w:val="00BF6AD1"/>
    <w:rsid w:val="00BF75D6"/>
    <w:rsid w:val="00BF79A0"/>
    <w:rsid w:val="00C002BF"/>
    <w:rsid w:val="00C04561"/>
    <w:rsid w:val="00C06728"/>
    <w:rsid w:val="00C074C1"/>
    <w:rsid w:val="00C100F5"/>
    <w:rsid w:val="00C103C6"/>
    <w:rsid w:val="00C10585"/>
    <w:rsid w:val="00C12DDD"/>
    <w:rsid w:val="00C1525F"/>
    <w:rsid w:val="00C212E3"/>
    <w:rsid w:val="00C235A2"/>
    <w:rsid w:val="00C256D1"/>
    <w:rsid w:val="00C26F0E"/>
    <w:rsid w:val="00C30981"/>
    <w:rsid w:val="00C310DB"/>
    <w:rsid w:val="00C33B7F"/>
    <w:rsid w:val="00C370C8"/>
    <w:rsid w:val="00C372B1"/>
    <w:rsid w:val="00C37A67"/>
    <w:rsid w:val="00C40011"/>
    <w:rsid w:val="00C4239A"/>
    <w:rsid w:val="00C4292D"/>
    <w:rsid w:val="00C4422F"/>
    <w:rsid w:val="00C51EDB"/>
    <w:rsid w:val="00C52E9B"/>
    <w:rsid w:val="00C52F32"/>
    <w:rsid w:val="00C53113"/>
    <w:rsid w:val="00C53230"/>
    <w:rsid w:val="00C5388D"/>
    <w:rsid w:val="00C5460E"/>
    <w:rsid w:val="00C624B8"/>
    <w:rsid w:val="00C62AA0"/>
    <w:rsid w:val="00C64D56"/>
    <w:rsid w:val="00C65B0E"/>
    <w:rsid w:val="00C6675F"/>
    <w:rsid w:val="00C701E9"/>
    <w:rsid w:val="00C70D2D"/>
    <w:rsid w:val="00C74435"/>
    <w:rsid w:val="00C745E8"/>
    <w:rsid w:val="00C747D8"/>
    <w:rsid w:val="00C749FF"/>
    <w:rsid w:val="00C80AF9"/>
    <w:rsid w:val="00C81079"/>
    <w:rsid w:val="00C82FF8"/>
    <w:rsid w:val="00C838AA"/>
    <w:rsid w:val="00C84B59"/>
    <w:rsid w:val="00C85B77"/>
    <w:rsid w:val="00C9045A"/>
    <w:rsid w:val="00C9353C"/>
    <w:rsid w:val="00C94B63"/>
    <w:rsid w:val="00C94C22"/>
    <w:rsid w:val="00C95787"/>
    <w:rsid w:val="00C95A50"/>
    <w:rsid w:val="00C961A8"/>
    <w:rsid w:val="00C968D7"/>
    <w:rsid w:val="00C96D70"/>
    <w:rsid w:val="00C97DAE"/>
    <w:rsid w:val="00CA3BEC"/>
    <w:rsid w:val="00CA550B"/>
    <w:rsid w:val="00CB0874"/>
    <w:rsid w:val="00CB2CF2"/>
    <w:rsid w:val="00CB3242"/>
    <w:rsid w:val="00CB5A43"/>
    <w:rsid w:val="00CB5CDE"/>
    <w:rsid w:val="00CB5DAC"/>
    <w:rsid w:val="00CB6971"/>
    <w:rsid w:val="00CB6CAD"/>
    <w:rsid w:val="00CC1993"/>
    <w:rsid w:val="00CC2F62"/>
    <w:rsid w:val="00CC6062"/>
    <w:rsid w:val="00CC7A2F"/>
    <w:rsid w:val="00CD1216"/>
    <w:rsid w:val="00CD52DE"/>
    <w:rsid w:val="00CD5609"/>
    <w:rsid w:val="00CD59D6"/>
    <w:rsid w:val="00CD77DD"/>
    <w:rsid w:val="00CE0110"/>
    <w:rsid w:val="00CE292C"/>
    <w:rsid w:val="00CE4BE1"/>
    <w:rsid w:val="00CE537B"/>
    <w:rsid w:val="00CE58CF"/>
    <w:rsid w:val="00CE5F6A"/>
    <w:rsid w:val="00CF2825"/>
    <w:rsid w:val="00CF5055"/>
    <w:rsid w:val="00CF67E5"/>
    <w:rsid w:val="00D01543"/>
    <w:rsid w:val="00D051F4"/>
    <w:rsid w:val="00D10375"/>
    <w:rsid w:val="00D10ACB"/>
    <w:rsid w:val="00D11F34"/>
    <w:rsid w:val="00D12575"/>
    <w:rsid w:val="00D152AD"/>
    <w:rsid w:val="00D15A04"/>
    <w:rsid w:val="00D1619A"/>
    <w:rsid w:val="00D162AC"/>
    <w:rsid w:val="00D20245"/>
    <w:rsid w:val="00D21F5A"/>
    <w:rsid w:val="00D236E4"/>
    <w:rsid w:val="00D23FE2"/>
    <w:rsid w:val="00D242C9"/>
    <w:rsid w:val="00D31837"/>
    <w:rsid w:val="00D40591"/>
    <w:rsid w:val="00D41F5D"/>
    <w:rsid w:val="00D43DEB"/>
    <w:rsid w:val="00D4437D"/>
    <w:rsid w:val="00D51635"/>
    <w:rsid w:val="00D55BD8"/>
    <w:rsid w:val="00D5726C"/>
    <w:rsid w:val="00D60F5F"/>
    <w:rsid w:val="00D623A6"/>
    <w:rsid w:val="00D62804"/>
    <w:rsid w:val="00D62877"/>
    <w:rsid w:val="00D62BA8"/>
    <w:rsid w:val="00D62FFF"/>
    <w:rsid w:val="00D64AD4"/>
    <w:rsid w:val="00D705AA"/>
    <w:rsid w:val="00D7141A"/>
    <w:rsid w:val="00D71C83"/>
    <w:rsid w:val="00D71F31"/>
    <w:rsid w:val="00D800DD"/>
    <w:rsid w:val="00D811A1"/>
    <w:rsid w:val="00D826AB"/>
    <w:rsid w:val="00D9206B"/>
    <w:rsid w:val="00D949ED"/>
    <w:rsid w:val="00D94CD6"/>
    <w:rsid w:val="00D96599"/>
    <w:rsid w:val="00D97497"/>
    <w:rsid w:val="00DA0B97"/>
    <w:rsid w:val="00DA3B4F"/>
    <w:rsid w:val="00DA3E22"/>
    <w:rsid w:val="00DB2411"/>
    <w:rsid w:val="00DB54B0"/>
    <w:rsid w:val="00DB596B"/>
    <w:rsid w:val="00DB5B60"/>
    <w:rsid w:val="00DB6382"/>
    <w:rsid w:val="00DB6C5D"/>
    <w:rsid w:val="00DC03C0"/>
    <w:rsid w:val="00DC0485"/>
    <w:rsid w:val="00DC1446"/>
    <w:rsid w:val="00DC2CC6"/>
    <w:rsid w:val="00DC434A"/>
    <w:rsid w:val="00DC6E63"/>
    <w:rsid w:val="00DC759A"/>
    <w:rsid w:val="00DD1054"/>
    <w:rsid w:val="00DD17C3"/>
    <w:rsid w:val="00DD1C63"/>
    <w:rsid w:val="00DD3F7D"/>
    <w:rsid w:val="00DD447B"/>
    <w:rsid w:val="00DD6127"/>
    <w:rsid w:val="00DD6327"/>
    <w:rsid w:val="00DE1250"/>
    <w:rsid w:val="00DE2183"/>
    <w:rsid w:val="00DE4255"/>
    <w:rsid w:val="00DE5043"/>
    <w:rsid w:val="00DE58AD"/>
    <w:rsid w:val="00DE5B8E"/>
    <w:rsid w:val="00DE61A4"/>
    <w:rsid w:val="00DE6818"/>
    <w:rsid w:val="00DE7FAE"/>
    <w:rsid w:val="00DF0474"/>
    <w:rsid w:val="00DF1110"/>
    <w:rsid w:val="00DF5E78"/>
    <w:rsid w:val="00E020A3"/>
    <w:rsid w:val="00E06126"/>
    <w:rsid w:val="00E07512"/>
    <w:rsid w:val="00E12703"/>
    <w:rsid w:val="00E129D6"/>
    <w:rsid w:val="00E132EC"/>
    <w:rsid w:val="00E13E12"/>
    <w:rsid w:val="00E14627"/>
    <w:rsid w:val="00E14C38"/>
    <w:rsid w:val="00E15361"/>
    <w:rsid w:val="00E15485"/>
    <w:rsid w:val="00E16AF4"/>
    <w:rsid w:val="00E16E7F"/>
    <w:rsid w:val="00E17591"/>
    <w:rsid w:val="00E22F05"/>
    <w:rsid w:val="00E23B4F"/>
    <w:rsid w:val="00E23E78"/>
    <w:rsid w:val="00E25636"/>
    <w:rsid w:val="00E265AE"/>
    <w:rsid w:val="00E30787"/>
    <w:rsid w:val="00E31448"/>
    <w:rsid w:val="00E342BC"/>
    <w:rsid w:val="00E344DB"/>
    <w:rsid w:val="00E34AE4"/>
    <w:rsid w:val="00E34FE7"/>
    <w:rsid w:val="00E36233"/>
    <w:rsid w:val="00E367F4"/>
    <w:rsid w:val="00E37F3C"/>
    <w:rsid w:val="00E40B74"/>
    <w:rsid w:val="00E40B8C"/>
    <w:rsid w:val="00E40D77"/>
    <w:rsid w:val="00E40DAC"/>
    <w:rsid w:val="00E4229A"/>
    <w:rsid w:val="00E42FA1"/>
    <w:rsid w:val="00E43B32"/>
    <w:rsid w:val="00E51AB6"/>
    <w:rsid w:val="00E546BB"/>
    <w:rsid w:val="00E55A6B"/>
    <w:rsid w:val="00E57E1B"/>
    <w:rsid w:val="00E6081B"/>
    <w:rsid w:val="00E61B51"/>
    <w:rsid w:val="00E6382D"/>
    <w:rsid w:val="00E7056C"/>
    <w:rsid w:val="00E70FEE"/>
    <w:rsid w:val="00E71D2C"/>
    <w:rsid w:val="00E73E5A"/>
    <w:rsid w:val="00E755C2"/>
    <w:rsid w:val="00E7634D"/>
    <w:rsid w:val="00E83F0C"/>
    <w:rsid w:val="00E8476B"/>
    <w:rsid w:val="00E90274"/>
    <w:rsid w:val="00E909E0"/>
    <w:rsid w:val="00E91C7C"/>
    <w:rsid w:val="00E924A2"/>
    <w:rsid w:val="00E93D9D"/>
    <w:rsid w:val="00EA27DC"/>
    <w:rsid w:val="00EA5054"/>
    <w:rsid w:val="00EA5F90"/>
    <w:rsid w:val="00EA7389"/>
    <w:rsid w:val="00EB2F19"/>
    <w:rsid w:val="00EB49E0"/>
    <w:rsid w:val="00EB7AC5"/>
    <w:rsid w:val="00EC1E67"/>
    <w:rsid w:val="00EC325A"/>
    <w:rsid w:val="00EC4D50"/>
    <w:rsid w:val="00EC673B"/>
    <w:rsid w:val="00EC677B"/>
    <w:rsid w:val="00ED0CFC"/>
    <w:rsid w:val="00ED1187"/>
    <w:rsid w:val="00ED1533"/>
    <w:rsid w:val="00ED415B"/>
    <w:rsid w:val="00ED4180"/>
    <w:rsid w:val="00ED42A8"/>
    <w:rsid w:val="00ED4A3A"/>
    <w:rsid w:val="00EE0434"/>
    <w:rsid w:val="00EE05DA"/>
    <w:rsid w:val="00EE0A0B"/>
    <w:rsid w:val="00EE0E0A"/>
    <w:rsid w:val="00EE15AC"/>
    <w:rsid w:val="00EE2108"/>
    <w:rsid w:val="00EE40AA"/>
    <w:rsid w:val="00EF1884"/>
    <w:rsid w:val="00EF1BF3"/>
    <w:rsid w:val="00F0184D"/>
    <w:rsid w:val="00F01E5F"/>
    <w:rsid w:val="00F04301"/>
    <w:rsid w:val="00F070B8"/>
    <w:rsid w:val="00F0726A"/>
    <w:rsid w:val="00F13653"/>
    <w:rsid w:val="00F1757E"/>
    <w:rsid w:val="00F175EA"/>
    <w:rsid w:val="00F204F0"/>
    <w:rsid w:val="00F21F9D"/>
    <w:rsid w:val="00F227A0"/>
    <w:rsid w:val="00F2280E"/>
    <w:rsid w:val="00F242C4"/>
    <w:rsid w:val="00F2443F"/>
    <w:rsid w:val="00F24579"/>
    <w:rsid w:val="00F24DAE"/>
    <w:rsid w:val="00F31285"/>
    <w:rsid w:val="00F3137F"/>
    <w:rsid w:val="00F329D7"/>
    <w:rsid w:val="00F34197"/>
    <w:rsid w:val="00F34668"/>
    <w:rsid w:val="00F3474B"/>
    <w:rsid w:val="00F41200"/>
    <w:rsid w:val="00F412C5"/>
    <w:rsid w:val="00F454EC"/>
    <w:rsid w:val="00F47133"/>
    <w:rsid w:val="00F54F78"/>
    <w:rsid w:val="00F55BFA"/>
    <w:rsid w:val="00F56DC1"/>
    <w:rsid w:val="00F57221"/>
    <w:rsid w:val="00F6008D"/>
    <w:rsid w:val="00F6061A"/>
    <w:rsid w:val="00F61C26"/>
    <w:rsid w:val="00F644B9"/>
    <w:rsid w:val="00F64F4A"/>
    <w:rsid w:val="00F71F37"/>
    <w:rsid w:val="00F72B45"/>
    <w:rsid w:val="00F74DC0"/>
    <w:rsid w:val="00F771B6"/>
    <w:rsid w:val="00F81FB6"/>
    <w:rsid w:val="00F83927"/>
    <w:rsid w:val="00F85524"/>
    <w:rsid w:val="00F864D4"/>
    <w:rsid w:val="00F92F41"/>
    <w:rsid w:val="00F930C9"/>
    <w:rsid w:val="00F94EAC"/>
    <w:rsid w:val="00F9569F"/>
    <w:rsid w:val="00F96C30"/>
    <w:rsid w:val="00F96F49"/>
    <w:rsid w:val="00F978EA"/>
    <w:rsid w:val="00F97EA0"/>
    <w:rsid w:val="00FA0C68"/>
    <w:rsid w:val="00FA344A"/>
    <w:rsid w:val="00FA4457"/>
    <w:rsid w:val="00FA5B11"/>
    <w:rsid w:val="00FA5F70"/>
    <w:rsid w:val="00FA7228"/>
    <w:rsid w:val="00FA7A14"/>
    <w:rsid w:val="00FB1F87"/>
    <w:rsid w:val="00FB206A"/>
    <w:rsid w:val="00FB37A4"/>
    <w:rsid w:val="00FB3AB1"/>
    <w:rsid w:val="00FB435C"/>
    <w:rsid w:val="00FB65F5"/>
    <w:rsid w:val="00FB6C9B"/>
    <w:rsid w:val="00FC1449"/>
    <w:rsid w:val="00FC16B3"/>
    <w:rsid w:val="00FC3AF7"/>
    <w:rsid w:val="00FC4A17"/>
    <w:rsid w:val="00FC4A79"/>
    <w:rsid w:val="00FC583B"/>
    <w:rsid w:val="00FC7C39"/>
    <w:rsid w:val="00FD14B2"/>
    <w:rsid w:val="00FD335F"/>
    <w:rsid w:val="00FD3EED"/>
    <w:rsid w:val="00FD531E"/>
    <w:rsid w:val="00FD605B"/>
    <w:rsid w:val="00FD6519"/>
    <w:rsid w:val="00FD70A8"/>
    <w:rsid w:val="00FD74A7"/>
    <w:rsid w:val="00FD7A41"/>
    <w:rsid w:val="00FD7B4A"/>
    <w:rsid w:val="00FE3210"/>
    <w:rsid w:val="00FE4BE8"/>
    <w:rsid w:val="00FE768D"/>
    <w:rsid w:val="00FF0D78"/>
    <w:rsid w:val="00FF68D1"/>
    <w:rsid w:val="00FF7630"/>
    <w:rsid w:val="00FF7C9D"/>
    <w:rsid w:val="011B4DB3"/>
    <w:rsid w:val="018F5724"/>
    <w:rsid w:val="01930D63"/>
    <w:rsid w:val="02942A0C"/>
    <w:rsid w:val="02E1151B"/>
    <w:rsid w:val="037D2C7C"/>
    <w:rsid w:val="04A05A7A"/>
    <w:rsid w:val="05330228"/>
    <w:rsid w:val="05454F9D"/>
    <w:rsid w:val="05732093"/>
    <w:rsid w:val="05F463D2"/>
    <w:rsid w:val="06D107E8"/>
    <w:rsid w:val="08007DDC"/>
    <w:rsid w:val="081C06B1"/>
    <w:rsid w:val="086E48F6"/>
    <w:rsid w:val="08745D33"/>
    <w:rsid w:val="09102860"/>
    <w:rsid w:val="097B6B39"/>
    <w:rsid w:val="09851B29"/>
    <w:rsid w:val="09C60459"/>
    <w:rsid w:val="09E30001"/>
    <w:rsid w:val="0A2308C2"/>
    <w:rsid w:val="0A8304A6"/>
    <w:rsid w:val="0AA14CF3"/>
    <w:rsid w:val="0AB64D7D"/>
    <w:rsid w:val="0B8A3C45"/>
    <w:rsid w:val="0C382FBF"/>
    <w:rsid w:val="0CD66314"/>
    <w:rsid w:val="0DFB7A7D"/>
    <w:rsid w:val="0F672050"/>
    <w:rsid w:val="0F8329D1"/>
    <w:rsid w:val="10F037AC"/>
    <w:rsid w:val="10FF1D0D"/>
    <w:rsid w:val="118D3514"/>
    <w:rsid w:val="11C23B03"/>
    <w:rsid w:val="12942861"/>
    <w:rsid w:val="135F570D"/>
    <w:rsid w:val="136E3C9F"/>
    <w:rsid w:val="15D3022F"/>
    <w:rsid w:val="167601D4"/>
    <w:rsid w:val="17A66348"/>
    <w:rsid w:val="17B52FFB"/>
    <w:rsid w:val="182439AA"/>
    <w:rsid w:val="18AA13E0"/>
    <w:rsid w:val="18D72E41"/>
    <w:rsid w:val="1A0210E6"/>
    <w:rsid w:val="1B951E89"/>
    <w:rsid w:val="1D9E1748"/>
    <w:rsid w:val="1EFF262C"/>
    <w:rsid w:val="1F67276B"/>
    <w:rsid w:val="1F703AD6"/>
    <w:rsid w:val="213C5D8E"/>
    <w:rsid w:val="21A77CC0"/>
    <w:rsid w:val="223F2402"/>
    <w:rsid w:val="227F17E4"/>
    <w:rsid w:val="25F82792"/>
    <w:rsid w:val="27611FC6"/>
    <w:rsid w:val="285435DB"/>
    <w:rsid w:val="29104830"/>
    <w:rsid w:val="2A556582"/>
    <w:rsid w:val="2AE844D6"/>
    <w:rsid w:val="2C0614AF"/>
    <w:rsid w:val="2CEB1A23"/>
    <w:rsid w:val="2DB82D08"/>
    <w:rsid w:val="2E1C1419"/>
    <w:rsid w:val="2E3556C2"/>
    <w:rsid w:val="2E5F2682"/>
    <w:rsid w:val="2F1D482C"/>
    <w:rsid w:val="2F4D0487"/>
    <w:rsid w:val="31233110"/>
    <w:rsid w:val="314B25A6"/>
    <w:rsid w:val="318D48E7"/>
    <w:rsid w:val="329E6824"/>
    <w:rsid w:val="334F06E2"/>
    <w:rsid w:val="3362790D"/>
    <w:rsid w:val="341C238B"/>
    <w:rsid w:val="34897F51"/>
    <w:rsid w:val="350C17F4"/>
    <w:rsid w:val="356E41F0"/>
    <w:rsid w:val="36666569"/>
    <w:rsid w:val="36886BC1"/>
    <w:rsid w:val="378B0709"/>
    <w:rsid w:val="380F18EF"/>
    <w:rsid w:val="385D1E6C"/>
    <w:rsid w:val="38B166C6"/>
    <w:rsid w:val="38F209B0"/>
    <w:rsid w:val="399755E4"/>
    <w:rsid w:val="39EF49B4"/>
    <w:rsid w:val="3A4A2AE6"/>
    <w:rsid w:val="3AB51BDF"/>
    <w:rsid w:val="3B2C6747"/>
    <w:rsid w:val="3B5F28E6"/>
    <w:rsid w:val="3D0256C2"/>
    <w:rsid w:val="3DFD7799"/>
    <w:rsid w:val="3E627ABB"/>
    <w:rsid w:val="3EA74670"/>
    <w:rsid w:val="3F9D5B03"/>
    <w:rsid w:val="3FFB7F3B"/>
    <w:rsid w:val="408C4633"/>
    <w:rsid w:val="40911C75"/>
    <w:rsid w:val="40EC2D28"/>
    <w:rsid w:val="422D5F78"/>
    <w:rsid w:val="4273248F"/>
    <w:rsid w:val="431540EE"/>
    <w:rsid w:val="434D1F3E"/>
    <w:rsid w:val="44224D24"/>
    <w:rsid w:val="44253F46"/>
    <w:rsid w:val="454F08A0"/>
    <w:rsid w:val="45896FE4"/>
    <w:rsid w:val="45EE47FC"/>
    <w:rsid w:val="45F4567E"/>
    <w:rsid w:val="464C15F5"/>
    <w:rsid w:val="46A17B20"/>
    <w:rsid w:val="46A770AC"/>
    <w:rsid w:val="479A28BF"/>
    <w:rsid w:val="47F13EA0"/>
    <w:rsid w:val="49D50DD8"/>
    <w:rsid w:val="4A713C97"/>
    <w:rsid w:val="4A8B5701"/>
    <w:rsid w:val="4C130396"/>
    <w:rsid w:val="4C625E4E"/>
    <w:rsid w:val="4DED6D73"/>
    <w:rsid w:val="4DF318B2"/>
    <w:rsid w:val="4E584D5F"/>
    <w:rsid w:val="4E7C62DF"/>
    <w:rsid w:val="4F655FD4"/>
    <w:rsid w:val="4FF65228"/>
    <w:rsid w:val="509D3EEA"/>
    <w:rsid w:val="50F52391"/>
    <w:rsid w:val="511B268B"/>
    <w:rsid w:val="529100BA"/>
    <w:rsid w:val="530C7253"/>
    <w:rsid w:val="53C52460"/>
    <w:rsid w:val="55705B4D"/>
    <w:rsid w:val="55F52D99"/>
    <w:rsid w:val="560C56C5"/>
    <w:rsid w:val="56CD78DA"/>
    <w:rsid w:val="581F0A5F"/>
    <w:rsid w:val="589F2351"/>
    <w:rsid w:val="58EC2686"/>
    <w:rsid w:val="58FF0101"/>
    <w:rsid w:val="595A7042"/>
    <w:rsid w:val="59FA02F7"/>
    <w:rsid w:val="5A4F4D09"/>
    <w:rsid w:val="5BFC36C1"/>
    <w:rsid w:val="5CF71486"/>
    <w:rsid w:val="5DD9035D"/>
    <w:rsid w:val="5E043478"/>
    <w:rsid w:val="5E865765"/>
    <w:rsid w:val="5F3E0EB6"/>
    <w:rsid w:val="5FCD0076"/>
    <w:rsid w:val="5FEE00DD"/>
    <w:rsid w:val="60D53832"/>
    <w:rsid w:val="611E4DC9"/>
    <w:rsid w:val="617519DC"/>
    <w:rsid w:val="61866FE9"/>
    <w:rsid w:val="62001A0B"/>
    <w:rsid w:val="62F46A5F"/>
    <w:rsid w:val="64207387"/>
    <w:rsid w:val="64940F16"/>
    <w:rsid w:val="64A81164"/>
    <w:rsid w:val="666B7809"/>
    <w:rsid w:val="675801C5"/>
    <w:rsid w:val="685B2BCC"/>
    <w:rsid w:val="68B05069"/>
    <w:rsid w:val="691D349F"/>
    <w:rsid w:val="69F74C5F"/>
    <w:rsid w:val="6D8249E6"/>
    <w:rsid w:val="6E19565B"/>
    <w:rsid w:val="6EBD62E5"/>
    <w:rsid w:val="6F2277E8"/>
    <w:rsid w:val="6FA84106"/>
    <w:rsid w:val="6FF777CD"/>
    <w:rsid w:val="70270BC0"/>
    <w:rsid w:val="706E25E7"/>
    <w:rsid w:val="723168A6"/>
    <w:rsid w:val="726B5BDD"/>
    <w:rsid w:val="72CE7B36"/>
    <w:rsid w:val="74080018"/>
    <w:rsid w:val="75181996"/>
    <w:rsid w:val="751947B6"/>
    <w:rsid w:val="756729F5"/>
    <w:rsid w:val="75AD2485"/>
    <w:rsid w:val="75D5637A"/>
    <w:rsid w:val="76782C9C"/>
    <w:rsid w:val="776055D2"/>
    <w:rsid w:val="77CE20F1"/>
    <w:rsid w:val="78B022CE"/>
    <w:rsid w:val="78C13FFE"/>
    <w:rsid w:val="78E07C1B"/>
    <w:rsid w:val="79465462"/>
    <w:rsid w:val="796E0789"/>
    <w:rsid w:val="79EC5C69"/>
    <w:rsid w:val="7BBC632E"/>
    <w:rsid w:val="7C43065C"/>
    <w:rsid w:val="7E652DAC"/>
    <w:rsid w:val="7EB065DB"/>
    <w:rsid w:val="7F32788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semiHidden="0" w:name="toa heading"/>
    <w:lsdException w:qFormat="1" w:unhideWhenUsed="0" w:uiPriority="0" w:semiHidden="0" w:name="List"/>
    <w:lsdException w:uiPriority="0" w:name="List Bullet"/>
    <w:lsdException w:qFormat="1" w:unhideWhenUsed="0" w:uiPriority="0" w:semiHidden="0" w:name="List Number"/>
    <w:lsdException w:qFormat="1"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9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8"/>
    <w:qFormat/>
    <w:uiPriority w:val="0"/>
    <w:pPr>
      <w:keepNext/>
      <w:keepLines/>
      <w:spacing w:before="260" w:after="260" w:line="416" w:lineRule="auto"/>
      <w:outlineLvl w:val="1"/>
    </w:pPr>
    <w:rPr>
      <w:rFonts w:ascii="宋体" w:hAnsi="宋体"/>
      <w:b/>
      <w:bCs/>
      <w:sz w:val="24"/>
    </w:rPr>
  </w:style>
  <w:style w:type="paragraph" w:styleId="4">
    <w:name w:val="heading 3"/>
    <w:basedOn w:val="1"/>
    <w:next w:val="1"/>
    <w:link w:val="56"/>
    <w:qFormat/>
    <w:uiPriority w:val="0"/>
    <w:pPr>
      <w:keepNext/>
      <w:keepLines/>
      <w:spacing w:before="260" w:after="260" w:line="416" w:lineRule="auto"/>
      <w:outlineLvl w:val="2"/>
    </w:pPr>
    <w:rPr>
      <w:b/>
      <w:bCs/>
      <w:sz w:val="32"/>
      <w:szCs w:val="32"/>
    </w:rPr>
  </w:style>
  <w:style w:type="paragraph" w:styleId="5">
    <w:name w:val="heading 4"/>
    <w:basedOn w:val="1"/>
    <w:next w:val="1"/>
    <w:link w:val="66"/>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79"/>
    <w:qFormat/>
    <w:uiPriority w:val="0"/>
    <w:pPr>
      <w:keepNext/>
      <w:spacing w:line="360" w:lineRule="auto"/>
      <w:ind w:firstLine="561" w:firstLineChars="200"/>
      <w:outlineLvl w:val="4"/>
    </w:pPr>
    <w:rPr>
      <w:rFonts w:ascii="仿宋_GB2312" w:hAnsi="宋体" w:eastAsia="仿宋_GB2312"/>
      <w:b/>
      <w:bCs/>
      <w:sz w:val="28"/>
      <w:szCs w:val="1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kern w:val="0"/>
      <w:sz w:val="24"/>
    </w:rPr>
  </w:style>
  <w:style w:type="paragraph" w:styleId="8">
    <w:name w:val="heading 7"/>
    <w:basedOn w:val="1"/>
    <w:next w:val="1"/>
    <w:qFormat/>
    <w:uiPriority w:val="0"/>
    <w:pPr>
      <w:keepNext/>
      <w:keepLines/>
      <w:spacing w:before="240" w:after="64" w:line="320" w:lineRule="auto"/>
      <w:outlineLvl w:val="6"/>
    </w:pPr>
    <w:rPr>
      <w:b/>
      <w:bCs/>
      <w:kern w:val="0"/>
      <w:sz w:val="24"/>
    </w:rPr>
  </w:style>
  <w:style w:type="paragraph" w:styleId="9">
    <w:name w:val="heading 8"/>
    <w:basedOn w:val="1"/>
    <w:next w:val="1"/>
    <w:link w:val="63"/>
    <w:qFormat/>
    <w:uiPriority w:val="0"/>
    <w:pPr>
      <w:keepNext/>
      <w:keepLines/>
      <w:spacing w:before="240" w:after="64" w:line="320" w:lineRule="auto"/>
      <w:outlineLvl w:val="7"/>
    </w:pPr>
    <w:rPr>
      <w:rFonts w:ascii="Arial" w:hAnsi="Arial" w:eastAsia="黑体"/>
      <w:kern w:val="0"/>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kern w:val="0"/>
      <w:sz w:val="20"/>
      <w:szCs w:val="21"/>
    </w:rPr>
  </w:style>
  <w:style w:type="character" w:default="1" w:styleId="46">
    <w:name w:val="Default Paragraph Font"/>
    <w:unhideWhenUsed/>
    <w:qFormat/>
    <w:uiPriority w:val="1"/>
  </w:style>
  <w:style w:type="table" w:default="1" w:styleId="53">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6"/>
    <w:qFormat/>
    <w:uiPriority w:val="0"/>
    <w:rPr>
      <w:b/>
      <w:bCs/>
    </w:rPr>
  </w:style>
  <w:style w:type="paragraph" w:styleId="12">
    <w:name w:val="annotation text"/>
    <w:basedOn w:val="1"/>
    <w:link w:val="65"/>
    <w:qFormat/>
    <w:uiPriority w:val="0"/>
    <w:pPr>
      <w:jc w:val="left"/>
    </w:pPr>
    <w:rPr>
      <w:szCs w:val="20"/>
    </w:rPr>
  </w:style>
  <w:style w:type="paragraph" w:styleId="13">
    <w:name w:val="toc 7"/>
    <w:basedOn w:val="1"/>
    <w:next w:val="1"/>
    <w:qFormat/>
    <w:uiPriority w:val="0"/>
    <w:pPr>
      <w:adjustRightInd w:val="0"/>
      <w:spacing w:line="360" w:lineRule="atLeast"/>
      <w:ind w:left="2520" w:leftChars="1200"/>
      <w:textAlignment w:val="baseline"/>
    </w:pPr>
    <w:rPr>
      <w:rFonts w:eastAsia="Times New Roman"/>
    </w:rPr>
  </w:style>
  <w:style w:type="paragraph" w:styleId="14">
    <w:name w:val="Body Text First Indent"/>
    <w:basedOn w:val="15"/>
    <w:qFormat/>
    <w:uiPriority w:val="0"/>
    <w:pPr>
      <w:ind w:firstLine="420" w:firstLineChars="100"/>
    </w:pPr>
    <w:rPr>
      <w:sz w:val="21"/>
      <w:szCs w:val="20"/>
    </w:rPr>
  </w:style>
  <w:style w:type="paragraph" w:styleId="15">
    <w:name w:val="Body Text"/>
    <w:basedOn w:val="1"/>
    <w:link w:val="80"/>
    <w:qFormat/>
    <w:uiPriority w:val="0"/>
    <w:pPr>
      <w:spacing w:after="120"/>
    </w:pPr>
    <w:rPr>
      <w:sz w:val="28"/>
    </w:rPr>
  </w:style>
  <w:style w:type="paragraph" w:styleId="16">
    <w:name w:val="List Number"/>
    <w:basedOn w:val="1"/>
    <w:qFormat/>
    <w:uiPriority w:val="0"/>
    <w:pPr>
      <w:widowControl/>
      <w:tabs>
        <w:tab w:val="left" w:pos="454"/>
        <w:tab w:val="left" w:pos="720"/>
      </w:tabs>
      <w:adjustRightInd w:val="0"/>
      <w:spacing w:afterLines="50" w:line="360" w:lineRule="atLeast"/>
      <w:ind w:left="454" w:hanging="284"/>
      <w:jc w:val="left"/>
      <w:textAlignment w:val="baseline"/>
    </w:pPr>
    <w:rPr>
      <w:rFonts w:eastAsia="Times New Roman"/>
      <w:kern w:val="0"/>
      <w:sz w:val="24"/>
      <w:szCs w:val="20"/>
    </w:rPr>
  </w:style>
  <w:style w:type="paragraph" w:styleId="17">
    <w:name w:val="Normal Indent"/>
    <w:basedOn w:val="1"/>
    <w:link w:val="97"/>
    <w:qFormat/>
    <w:uiPriority w:val="0"/>
    <w:pPr>
      <w:ind w:firstLine="420"/>
    </w:pPr>
    <w:rPr>
      <w:szCs w:val="20"/>
    </w:rPr>
  </w:style>
  <w:style w:type="paragraph" w:styleId="18">
    <w:name w:val="caption"/>
    <w:basedOn w:val="1"/>
    <w:next w:val="1"/>
    <w:qFormat/>
    <w:uiPriority w:val="0"/>
    <w:pPr>
      <w:spacing w:before="152" w:after="160"/>
    </w:pPr>
    <w:rPr>
      <w:rFonts w:ascii="Arial" w:hAnsi="Arial" w:eastAsia="黑体" w:cs="Arial"/>
      <w:sz w:val="20"/>
      <w:szCs w:val="20"/>
    </w:rPr>
  </w:style>
  <w:style w:type="paragraph" w:styleId="19">
    <w:name w:val="Document Map"/>
    <w:basedOn w:val="1"/>
    <w:link w:val="67"/>
    <w:qFormat/>
    <w:uiPriority w:val="0"/>
    <w:pPr>
      <w:shd w:val="clear" w:color="auto" w:fill="000080"/>
    </w:pPr>
    <w:rPr>
      <w:szCs w:val="20"/>
    </w:rPr>
  </w:style>
  <w:style w:type="paragraph" w:styleId="20">
    <w:name w:val="toa heading"/>
    <w:basedOn w:val="1"/>
    <w:next w:val="1"/>
    <w:qFormat/>
    <w:uiPriority w:val="0"/>
    <w:pPr>
      <w:spacing w:before="120"/>
    </w:pPr>
    <w:rPr>
      <w:rFonts w:ascii="Arial" w:hAnsi="Arial" w:cs="Arial"/>
      <w:sz w:val="24"/>
    </w:rPr>
  </w:style>
  <w:style w:type="paragraph" w:styleId="21">
    <w:name w:val="Body Text 3"/>
    <w:basedOn w:val="1"/>
    <w:qFormat/>
    <w:uiPriority w:val="0"/>
    <w:pPr>
      <w:snapToGrid w:val="0"/>
      <w:spacing w:before="50" w:after="50"/>
    </w:pPr>
    <w:rPr>
      <w:rFonts w:hAnsi="宋体" w:eastAsia="仿宋_GB2312"/>
      <w:b/>
      <w:bCs/>
      <w:sz w:val="24"/>
      <w:szCs w:val="20"/>
    </w:rPr>
  </w:style>
  <w:style w:type="paragraph" w:styleId="22">
    <w:name w:val="Body Text Indent"/>
    <w:basedOn w:val="1"/>
    <w:link w:val="57"/>
    <w:qFormat/>
    <w:uiPriority w:val="99"/>
    <w:pPr>
      <w:spacing w:line="200" w:lineRule="exact"/>
      <w:ind w:firstLine="301"/>
    </w:pPr>
    <w:rPr>
      <w:rFonts w:ascii="宋体" w:hAnsi="Courier New"/>
      <w:spacing w:val="-4"/>
      <w:sz w:val="18"/>
      <w:szCs w:val="20"/>
    </w:rPr>
  </w:style>
  <w:style w:type="paragraph" w:styleId="23">
    <w:name w:val="List Number 3"/>
    <w:basedOn w:val="1"/>
    <w:qFormat/>
    <w:uiPriority w:val="0"/>
    <w:pPr>
      <w:tabs>
        <w:tab w:val="left" w:pos="1200"/>
      </w:tabs>
      <w:adjustRightInd w:val="0"/>
      <w:spacing w:line="360" w:lineRule="atLeast"/>
      <w:ind w:left="1200" w:hanging="360"/>
      <w:textAlignment w:val="baseline"/>
    </w:pPr>
    <w:rPr>
      <w:rFonts w:eastAsia="Times New Roman"/>
    </w:rPr>
  </w:style>
  <w:style w:type="paragraph" w:styleId="24">
    <w:name w:val="List 2"/>
    <w:basedOn w:val="1"/>
    <w:qFormat/>
    <w:uiPriority w:val="0"/>
    <w:pPr>
      <w:ind w:left="100" w:leftChars="200" w:hanging="200" w:hangingChars="200"/>
    </w:pPr>
    <w:rPr>
      <w:sz w:val="28"/>
    </w:rPr>
  </w:style>
  <w:style w:type="paragraph" w:styleId="25">
    <w:name w:val="toc 5"/>
    <w:basedOn w:val="1"/>
    <w:next w:val="1"/>
    <w:qFormat/>
    <w:uiPriority w:val="0"/>
    <w:pPr>
      <w:adjustRightInd w:val="0"/>
      <w:spacing w:line="360" w:lineRule="atLeast"/>
      <w:ind w:left="1680" w:leftChars="800"/>
      <w:textAlignment w:val="baseline"/>
    </w:pPr>
    <w:rPr>
      <w:rFonts w:eastAsia="Times New Roman"/>
    </w:rPr>
  </w:style>
  <w:style w:type="paragraph" w:styleId="26">
    <w:name w:val="toc 3"/>
    <w:basedOn w:val="1"/>
    <w:next w:val="1"/>
    <w:qFormat/>
    <w:uiPriority w:val="0"/>
    <w:pPr>
      <w:adjustRightInd w:val="0"/>
      <w:spacing w:line="360" w:lineRule="atLeast"/>
      <w:ind w:left="840" w:leftChars="400"/>
      <w:textAlignment w:val="baseline"/>
    </w:pPr>
    <w:rPr>
      <w:rFonts w:eastAsia="Times New Roman"/>
    </w:rPr>
  </w:style>
  <w:style w:type="paragraph" w:styleId="27">
    <w:name w:val="Plain Text"/>
    <w:basedOn w:val="1"/>
    <w:link w:val="111"/>
    <w:qFormat/>
    <w:uiPriority w:val="0"/>
    <w:pPr>
      <w:spacing w:beforeLines="50" w:afterLines="50" w:line="400" w:lineRule="exact"/>
    </w:pPr>
    <w:rPr>
      <w:rFonts w:ascii="宋体" w:hAnsi="Courier New"/>
      <w:sz w:val="24"/>
    </w:rPr>
  </w:style>
  <w:style w:type="paragraph" w:styleId="28">
    <w:name w:val="toc 8"/>
    <w:basedOn w:val="1"/>
    <w:next w:val="1"/>
    <w:qFormat/>
    <w:uiPriority w:val="0"/>
    <w:pPr>
      <w:adjustRightInd w:val="0"/>
      <w:spacing w:line="360" w:lineRule="atLeast"/>
      <w:ind w:left="2940" w:leftChars="1400"/>
      <w:textAlignment w:val="baseline"/>
    </w:pPr>
    <w:rPr>
      <w:rFonts w:eastAsia="Times New Roman"/>
    </w:rPr>
  </w:style>
  <w:style w:type="paragraph" w:styleId="29">
    <w:name w:val="Date"/>
    <w:basedOn w:val="1"/>
    <w:next w:val="1"/>
    <w:link w:val="60"/>
    <w:qFormat/>
    <w:uiPriority w:val="0"/>
    <w:pPr>
      <w:ind w:left="2500" w:leftChars="2500"/>
    </w:pPr>
    <w:rPr>
      <w:rFonts w:eastAsia="楷体_GB2312"/>
      <w:sz w:val="32"/>
      <w:szCs w:val="20"/>
    </w:rPr>
  </w:style>
  <w:style w:type="paragraph" w:styleId="30">
    <w:name w:val="Body Text Indent 2"/>
    <w:basedOn w:val="1"/>
    <w:link w:val="116"/>
    <w:qFormat/>
    <w:uiPriority w:val="0"/>
    <w:pPr>
      <w:snapToGrid w:val="0"/>
      <w:ind w:firstLine="542" w:firstLineChars="225"/>
    </w:pPr>
    <w:rPr>
      <w:rFonts w:ascii="仿宋_GB2312" w:hAnsi="宋体" w:cs="Arial"/>
      <w:b/>
      <w:bCs/>
      <w:color w:val="000000"/>
      <w:sz w:val="24"/>
    </w:rPr>
  </w:style>
  <w:style w:type="paragraph" w:styleId="31">
    <w:name w:val="Balloon Text"/>
    <w:basedOn w:val="1"/>
    <w:link w:val="112"/>
    <w:qFormat/>
    <w:uiPriority w:val="0"/>
    <w:rPr>
      <w:sz w:val="18"/>
      <w:szCs w:val="18"/>
    </w:rPr>
  </w:style>
  <w:style w:type="paragraph" w:styleId="32">
    <w:name w:val="footer"/>
    <w:basedOn w:val="1"/>
    <w:link w:val="83"/>
    <w:qFormat/>
    <w:uiPriority w:val="99"/>
    <w:pPr>
      <w:tabs>
        <w:tab w:val="center" w:pos="4153"/>
        <w:tab w:val="right" w:pos="8306"/>
      </w:tabs>
      <w:snapToGrid w:val="0"/>
      <w:jc w:val="left"/>
    </w:pPr>
    <w:rPr>
      <w:rFonts w:eastAsia="黑体"/>
      <w:snapToGrid w:val="0"/>
      <w:kern w:val="0"/>
      <w:sz w:val="18"/>
      <w:szCs w:val="18"/>
    </w:rPr>
  </w:style>
  <w:style w:type="paragraph" w:styleId="33">
    <w:name w:val="header"/>
    <w:basedOn w:val="1"/>
    <w:link w:val="96"/>
    <w:unhideWhenUsed/>
    <w:qFormat/>
    <w:uiPriority w:val="99"/>
    <w:pPr>
      <w:pBdr>
        <w:bottom w:val="single" w:color="auto" w:sz="6" w:space="1"/>
      </w:pBdr>
      <w:tabs>
        <w:tab w:val="center" w:pos="4153"/>
        <w:tab w:val="right" w:pos="8306"/>
      </w:tabs>
      <w:snapToGrid w:val="0"/>
      <w:jc w:val="center"/>
    </w:pPr>
    <w:rPr>
      <w:sz w:val="18"/>
      <w:szCs w:val="18"/>
    </w:rPr>
  </w:style>
  <w:style w:type="paragraph" w:styleId="34">
    <w:name w:val="toc 1"/>
    <w:basedOn w:val="1"/>
    <w:next w:val="1"/>
    <w:qFormat/>
    <w:uiPriority w:val="0"/>
    <w:pPr>
      <w:spacing w:before="120" w:after="120"/>
      <w:jc w:val="left"/>
    </w:pPr>
    <w:rPr>
      <w:b/>
      <w:caps/>
      <w:szCs w:val="20"/>
    </w:rPr>
  </w:style>
  <w:style w:type="paragraph" w:styleId="35">
    <w:name w:val="toc 4"/>
    <w:basedOn w:val="1"/>
    <w:next w:val="1"/>
    <w:qFormat/>
    <w:uiPriority w:val="0"/>
    <w:pPr>
      <w:adjustRightInd w:val="0"/>
      <w:spacing w:line="360" w:lineRule="atLeast"/>
      <w:ind w:left="1260" w:leftChars="600"/>
      <w:textAlignment w:val="baseline"/>
    </w:pPr>
    <w:rPr>
      <w:rFonts w:eastAsia="Times New Roman"/>
    </w:rPr>
  </w:style>
  <w:style w:type="paragraph" w:styleId="36">
    <w:name w:val="Subtitle"/>
    <w:basedOn w:val="1"/>
    <w:next w:val="1"/>
    <w:link w:val="70"/>
    <w:qFormat/>
    <w:uiPriority w:val="0"/>
    <w:pPr>
      <w:spacing w:before="240" w:after="60" w:line="312" w:lineRule="auto"/>
      <w:jc w:val="center"/>
      <w:outlineLvl w:val="1"/>
    </w:pPr>
    <w:rPr>
      <w:rFonts w:ascii="宋体" w:hAnsi="Courier New"/>
      <w:sz w:val="24"/>
    </w:rPr>
  </w:style>
  <w:style w:type="paragraph" w:styleId="37">
    <w:name w:val="List"/>
    <w:basedOn w:val="1"/>
    <w:qFormat/>
    <w:uiPriority w:val="0"/>
    <w:pPr>
      <w:ind w:left="200" w:hanging="200" w:hangingChars="200"/>
    </w:pPr>
    <w:rPr>
      <w:sz w:val="28"/>
    </w:rPr>
  </w:style>
  <w:style w:type="paragraph" w:styleId="38">
    <w:name w:val="toc 6"/>
    <w:basedOn w:val="1"/>
    <w:next w:val="1"/>
    <w:qFormat/>
    <w:uiPriority w:val="0"/>
    <w:pPr>
      <w:adjustRightInd w:val="0"/>
      <w:spacing w:line="360" w:lineRule="atLeast"/>
      <w:ind w:left="2100" w:leftChars="1000"/>
      <w:textAlignment w:val="baseline"/>
    </w:pPr>
    <w:rPr>
      <w:rFonts w:eastAsia="Times New Roman"/>
    </w:rPr>
  </w:style>
  <w:style w:type="paragraph" w:styleId="39">
    <w:name w:val="Body Text Indent 3"/>
    <w:basedOn w:val="1"/>
    <w:link w:val="99"/>
    <w:qFormat/>
    <w:uiPriority w:val="0"/>
    <w:pPr>
      <w:snapToGrid w:val="0"/>
      <w:ind w:firstLine="480" w:firstLineChars="200"/>
      <w:jc w:val="left"/>
    </w:pPr>
    <w:rPr>
      <w:rFonts w:ascii="仿宋_GB2312" w:hAnsi="宋体" w:eastAsia="仿宋_GB2312"/>
      <w:color w:val="000000"/>
      <w:sz w:val="24"/>
    </w:rPr>
  </w:style>
  <w:style w:type="paragraph" w:styleId="40">
    <w:name w:val="toc 2"/>
    <w:basedOn w:val="1"/>
    <w:next w:val="1"/>
    <w:qFormat/>
    <w:uiPriority w:val="0"/>
    <w:pPr>
      <w:ind w:left="420" w:leftChars="200"/>
    </w:pPr>
    <w:rPr>
      <w:rFonts w:ascii="Times New Roman" w:hAnsi="Times New Roman"/>
    </w:rPr>
  </w:style>
  <w:style w:type="paragraph" w:styleId="41">
    <w:name w:val="toc 9"/>
    <w:basedOn w:val="1"/>
    <w:next w:val="1"/>
    <w:qFormat/>
    <w:uiPriority w:val="0"/>
    <w:pPr>
      <w:adjustRightInd w:val="0"/>
      <w:spacing w:line="360" w:lineRule="atLeast"/>
      <w:ind w:left="3360" w:leftChars="1600"/>
      <w:textAlignment w:val="baseline"/>
    </w:pPr>
    <w:rPr>
      <w:rFonts w:eastAsia="Times New Roman"/>
    </w:rPr>
  </w:style>
  <w:style w:type="paragraph" w:styleId="42">
    <w:name w:val="Body Text 2"/>
    <w:basedOn w:val="1"/>
    <w:qFormat/>
    <w:uiPriority w:val="0"/>
    <w:pPr>
      <w:widowControl/>
      <w:snapToGrid w:val="0"/>
      <w:spacing w:before="50" w:afterLines="50" w:line="400" w:lineRule="exact"/>
      <w:jc w:val="left"/>
    </w:pPr>
    <w:rPr>
      <w:rFonts w:ascii="宋体" w:hAnsi="宋体"/>
      <w:color w:val="000000"/>
      <w:sz w:val="24"/>
    </w:rPr>
  </w:style>
  <w:style w:type="paragraph" w:styleId="43">
    <w:name w:val="HTML Preformatted"/>
    <w:basedOn w:val="1"/>
    <w:link w:val="8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4">
    <w:name w:val="Normal (Web)"/>
    <w:basedOn w:val="1"/>
    <w:qFormat/>
    <w:uiPriority w:val="99"/>
    <w:pPr>
      <w:widowControl/>
      <w:spacing w:before="100" w:beforeAutospacing="1" w:after="100" w:afterAutospacing="1"/>
      <w:jc w:val="left"/>
    </w:pPr>
    <w:rPr>
      <w:rFonts w:ascii="宋体" w:hAnsi="宋体" w:cs="宋体"/>
      <w:color w:val="000000"/>
      <w:kern w:val="0"/>
      <w:sz w:val="24"/>
    </w:rPr>
  </w:style>
  <w:style w:type="paragraph" w:styleId="45">
    <w:name w:val="Title"/>
    <w:basedOn w:val="1"/>
    <w:next w:val="1"/>
    <w:link w:val="107"/>
    <w:qFormat/>
    <w:uiPriority w:val="0"/>
    <w:pPr>
      <w:spacing w:before="240" w:after="60"/>
      <w:jc w:val="center"/>
      <w:outlineLvl w:val="0"/>
    </w:pPr>
    <w:rPr>
      <w:rFonts w:ascii="Cambria" w:hAnsi="Cambria"/>
      <w:b/>
      <w:bCs/>
      <w:sz w:val="32"/>
      <w:szCs w:val="32"/>
    </w:rPr>
  </w:style>
  <w:style w:type="character" w:styleId="47">
    <w:name w:val="Strong"/>
    <w:basedOn w:val="46"/>
    <w:qFormat/>
    <w:uiPriority w:val="22"/>
    <w:rPr>
      <w:b/>
      <w:bCs/>
    </w:rPr>
  </w:style>
  <w:style w:type="character" w:styleId="48">
    <w:name w:val="page number"/>
    <w:basedOn w:val="46"/>
    <w:qFormat/>
    <w:uiPriority w:val="0"/>
  </w:style>
  <w:style w:type="character" w:styleId="49">
    <w:name w:val="FollowedHyperlink"/>
    <w:basedOn w:val="46"/>
    <w:qFormat/>
    <w:uiPriority w:val="0"/>
    <w:rPr>
      <w:rFonts w:cs="Times New Roman"/>
      <w:color w:val="000000"/>
      <w:u w:val="none"/>
    </w:rPr>
  </w:style>
  <w:style w:type="character" w:styleId="50">
    <w:name w:val="Hyperlink"/>
    <w:qFormat/>
    <w:uiPriority w:val="0"/>
    <w:rPr>
      <w:color w:val="0000FF"/>
      <w:u w:val="single"/>
    </w:rPr>
  </w:style>
  <w:style w:type="character" w:styleId="51">
    <w:name w:val="annotation reference"/>
    <w:basedOn w:val="46"/>
    <w:qFormat/>
    <w:uiPriority w:val="0"/>
    <w:rPr>
      <w:sz w:val="21"/>
      <w:szCs w:val="21"/>
    </w:rPr>
  </w:style>
  <w:style w:type="character" w:styleId="52">
    <w:name w:val="HTML Cite"/>
    <w:qFormat/>
    <w:uiPriority w:val="0"/>
    <w:rPr>
      <w:i/>
      <w:iCs/>
    </w:rPr>
  </w:style>
  <w:style w:type="table" w:styleId="54">
    <w:name w:val="Table Grid"/>
    <w:basedOn w:val="5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5">
    <w:name w:val="font01"/>
    <w:qFormat/>
    <w:uiPriority w:val="0"/>
    <w:rPr>
      <w:rFonts w:hint="default" w:ascii="Times New Roman" w:hAnsi="Times New Roman" w:cs="Times New Roman"/>
      <w:color w:val="000000"/>
      <w:sz w:val="22"/>
      <w:szCs w:val="22"/>
      <w:u w:val="none"/>
    </w:rPr>
  </w:style>
  <w:style w:type="character" w:customStyle="1" w:styleId="56">
    <w:name w:val="标题 3 字符"/>
    <w:link w:val="4"/>
    <w:qFormat/>
    <w:uiPriority w:val="0"/>
    <w:rPr>
      <w:rFonts w:eastAsia="宋体"/>
      <w:b/>
      <w:bCs/>
      <w:kern w:val="2"/>
      <w:sz w:val="32"/>
      <w:szCs w:val="32"/>
      <w:lang w:val="en-US" w:eastAsia="zh-CN" w:bidi="ar-SA"/>
    </w:rPr>
  </w:style>
  <w:style w:type="character" w:customStyle="1" w:styleId="57">
    <w:name w:val="正文文本缩进 字符"/>
    <w:link w:val="22"/>
    <w:qFormat/>
    <w:uiPriority w:val="99"/>
    <w:rPr>
      <w:rFonts w:ascii="宋体" w:hAnsi="Courier New" w:eastAsia="宋体"/>
      <w:spacing w:val="-4"/>
      <w:kern w:val="2"/>
      <w:sz w:val="18"/>
      <w:lang w:val="en-US" w:eastAsia="zh-CN" w:bidi="ar-SA"/>
    </w:rPr>
  </w:style>
  <w:style w:type="character" w:customStyle="1" w:styleId="58">
    <w:name w:val="一级标题 Char"/>
    <w:basedOn w:val="46"/>
    <w:qFormat/>
    <w:uiPriority w:val="0"/>
    <w:rPr>
      <w:b/>
      <w:bCs/>
      <w:kern w:val="44"/>
      <w:sz w:val="44"/>
      <w:szCs w:val="44"/>
    </w:rPr>
  </w:style>
  <w:style w:type="character" w:customStyle="1" w:styleId="59">
    <w:name w:val="Header Char"/>
    <w:basedOn w:val="46"/>
    <w:qFormat/>
    <w:locked/>
    <w:uiPriority w:val="0"/>
    <w:rPr>
      <w:rFonts w:ascii="Calibri" w:hAnsi="Calibri" w:eastAsia="宋体" w:cs="Times New Roman"/>
      <w:kern w:val="2"/>
      <w:sz w:val="18"/>
      <w:szCs w:val="18"/>
    </w:rPr>
  </w:style>
  <w:style w:type="character" w:customStyle="1" w:styleId="60">
    <w:name w:val="日期 字符"/>
    <w:link w:val="29"/>
    <w:qFormat/>
    <w:uiPriority w:val="0"/>
    <w:rPr>
      <w:rFonts w:eastAsia="楷体_GB2312"/>
      <w:kern w:val="2"/>
      <w:sz w:val="32"/>
      <w:lang w:val="en-US" w:eastAsia="zh-CN" w:bidi="ar-SA"/>
    </w:rPr>
  </w:style>
  <w:style w:type="character" w:customStyle="1" w:styleId="61">
    <w:name w:val="font11"/>
    <w:qFormat/>
    <w:uiPriority w:val="0"/>
    <w:rPr>
      <w:rFonts w:hint="eastAsia" w:ascii="宋体" w:hAnsi="宋体" w:eastAsia="宋体"/>
      <w:color w:val="000000"/>
      <w:sz w:val="22"/>
      <w:szCs w:val="22"/>
      <w:u w:val="none"/>
    </w:rPr>
  </w:style>
  <w:style w:type="character" w:customStyle="1" w:styleId="62">
    <w:name w:val="纯文本 Char"/>
    <w:qFormat/>
    <w:uiPriority w:val="0"/>
    <w:rPr>
      <w:rFonts w:ascii="宋体" w:hAnsi="Courier New"/>
      <w:kern w:val="2"/>
      <w:sz w:val="24"/>
      <w:szCs w:val="24"/>
      <w:lang w:bidi="ar-SA"/>
    </w:rPr>
  </w:style>
  <w:style w:type="character" w:customStyle="1" w:styleId="63">
    <w:name w:val="标题 8 字符"/>
    <w:basedOn w:val="46"/>
    <w:link w:val="9"/>
    <w:qFormat/>
    <w:uiPriority w:val="0"/>
    <w:rPr>
      <w:rFonts w:ascii="Arial" w:hAnsi="Arial" w:eastAsia="黑体"/>
      <w:sz w:val="24"/>
      <w:szCs w:val="24"/>
      <w:lang w:val="en-US" w:eastAsia="zh-CN" w:bidi="ar-SA"/>
    </w:rPr>
  </w:style>
  <w:style w:type="character" w:customStyle="1" w:styleId="64">
    <w:name w:val="141"/>
    <w:qFormat/>
    <w:uiPriority w:val="0"/>
    <w:rPr>
      <w:sz w:val="21"/>
      <w:szCs w:val="21"/>
    </w:rPr>
  </w:style>
  <w:style w:type="character" w:customStyle="1" w:styleId="65">
    <w:name w:val="批注文字 字符"/>
    <w:link w:val="12"/>
    <w:qFormat/>
    <w:uiPriority w:val="0"/>
    <w:rPr>
      <w:rFonts w:eastAsia="宋体"/>
      <w:kern w:val="2"/>
      <w:sz w:val="21"/>
      <w:lang w:bidi="ar-SA"/>
    </w:rPr>
  </w:style>
  <w:style w:type="character" w:customStyle="1" w:styleId="66">
    <w:name w:val="标题 4 字符"/>
    <w:link w:val="5"/>
    <w:qFormat/>
    <w:uiPriority w:val="0"/>
    <w:rPr>
      <w:rFonts w:ascii="Arial" w:hAnsi="Arial" w:eastAsia="黑体"/>
      <w:b/>
      <w:bCs/>
      <w:kern w:val="2"/>
      <w:sz w:val="28"/>
      <w:szCs w:val="28"/>
      <w:lang w:val="en-US" w:eastAsia="zh-CN" w:bidi="ar-SA"/>
    </w:rPr>
  </w:style>
  <w:style w:type="character" w:customStyle="1" w:styleId="67">
    <w:name w:val="文档结构图 字符"/>
    <w:link w:val="19"/>
    <w:semiHidden/>
    <w:qFormat/>
    <w:uiPriority w:val="0"/>
    <w:rPr>
      <w:rFonts w:eastAsia="宋体"/>
      <w:kern w:val="2"/>
      <w:sz w:val="21"/>
      <w:lang w:val="en-US" w:eastAsia="zh-CN" w:bidi="ar-SA"/>
    </w:rPr>
  </w:style>
  <w:style w:type="character" w:customStyle="1" w:styleId="68">
    <w:name w:val="纯文本 Char2"/>
    <w:basedOn w:val="46"/>
    <w:qFormat/>
    <w:uiPriority w:val="0"/>
    <w:rPr>
      <w:rFonts w:hint="eastAsia" w:ascii="宋体" w:hAnsi="Courier New" w:eastAsia="宋体" w:cs="宋体"/>
      <w:kern w:val="2"/>
      <w:sz w:val="24"/>
      <w:szCs w:val="24"/>
    </w:rPr>
  </w:style>
  <w:style w:type="character" w:customStyle="1" w:styleId="69">
    <w:name w:val="标题 1 Char Char"/>
    <w:qFormat/>
    <w:uiPriority w:val="0"/>
    <w:rPr>
      <w:rFonts w:eastAsia="宋体"/>
      <w:b/>
      <w:spacing w:val="-2"/>
      <w:sz w:val="24"/>
      <w:lang w:val="en-US" w:eastAsia="zh-CN" w:bidi="ar-SA"/>
    </w:rPr>
  </w:style>
  <w:style w:type="character" w:customStyle="1" w:styleId="70">
    <w:name w:val="副标题 字符"/>
    <w:link w:val="36"/>
    <w:qFormat/>
    <w:uiPriority w:val="0"/>
    <w:rPr>
      <w:rFonts w:ascii="宋体" w:hAnsi="Courier New"/>
      <w:kern w:val="2"/>
      <w:sz w:val="24"/>
      <w:szCs w:val="24"/>
      <w:lang w:bidi="ar-SA"/>
    </w:rPr>
  </w:style>
  <w:style w:type="character" w:customStyle="1" w:styleId="71">
    <w:name w:val="Heading 2 Char"/>
    <w:basedOn w:val="46"/>
    <w:semiHidden/>
    <w:qFormat/>
    <w:locked/>
    <w:uiPriority w:val="0"/>
    <w:rPr>
      <w:rFonts w:ascii="Calibri Light" w:hAnsi="Calibri Light" w:eastAsia="宋体" w:cs="Times New Roman"/>
      <w:b/>
      <w:bCs/>
      <w:kern w:val="2"/>
      <w:sz w:val="32"/>
      <w:szCs w:val="32"/>
    </w:rPr>
  </w:style>
  <w:style w:type="character" w:customStyle="1" w:styleId="72">
    <w:name w:val="Z正文 Char Char"/>
    <w:link w:val="73"/>
    <w:qFormat/>
    <w:uiPriority w:val="0"/>
    <w:rPr>
      <w:rFonts w:eastAsia="仿宋_GB2312"/>
      <w:kern w:val="2"/>
      <w:sz w:val="32"/>
      <w:szCs w:val="24"/>
      <w:lang w:val="en-US" w:eastAsia="zh-CN" w:bidi="ar-SA"/>
    </w:rPr>
  </w:style>
  <w:style w:type="paragraph" w:customStyle="1" w:styleId="73">
    <w:name w:val="Z正文"/>
    <w:basedOn w:val="1"/>
    <w:link w:val="72"/>
    <w:qFormat/>
    <w:uiPriority w:val="0"/>
    <w:pPr>
      <w:ind w:firstLine="200" w:firstLineChars="200"/>
    </w:pPr>
    <w:rPr>
      <w:rFonts w:eastAsia="仿宋_GB2312"/>
      <w:sz w:val="32"/>
    </w:rPr>
  </w:style>
  <w:style w:type="character" w:customStyle="1" w:styleId="74">
    <w:name w:val="标题3 Char"/>
    <w:link w:val="75"/>
    <w:qFormat/>
    <w:locked/>
    <w:uiPriority w:val="0"/>
    <w:rPr>
      <w:rFonts w:ascii="Cambria" w:hAnsi="Cambria" w:eastAsia="黑体"/>
      <w:b/>
      <w:bCs/>
      <w:szCs w:val="21"/>
      <w:lang w:bidi="ar-SA"/>
    </w:rPr>
  </w:style>
  <w:style w:type="paragraph" w:customStyle="1" w:styleId="75">
    <w:name w:val="标题3"/>
    <w:basedOn w:val="3"/>
    <w:link w:val="74"/>
    <w:qFormat/>
    <w:uiPriority w:val="0"/>
    <w:pPr>
      <w:spacing w:line="415" w:lineRule="auto"/>
    </w:pPr>
    <w:rPr>
      <w:rFonts w:ascii="Cambria" w:hAnsi="Cambria" w:eastAsia="黑体"/>
      <w:kern w:val="0"/>
      <w:sz w:val="20"/>
      <w:szCs w:val="21"/>
    </w:rPr>
  </w:style>
  <w:style w:type="character" w:customStyle="1" w:styleId="76">
    <w:name w:val="批注主题 字符"/>
    <w:link w:val="11"/>
    <w:qFormat/>
    <w:uiPriority w:val="0"/>
    <w:rPr>
      <w:rFonts w:eastAsia="宋体"/>
      <w:b/>
      <w:bCs/>
      <w:kern w:val="2"/>
      <w:sz w:val="21"/>
      <w:lang w:bidi="ar-SA"/>
    </w:rPr>
  </w:style>
  <w:style w:type="character" w:customStyle="1" w:styleId="77">
    <w:name w:val="Comment Subject Char"/>
    <w:basedOn w:val="78"/>
    <w:qFormat/>
    <w:locked/>
    <w:uiPriority w:val="0"/>
    <w:rPr>
      <w:rFonts w:cs="Times New Roman"/>
      <w:b/>
      <w:bCs/>
      <w:kern w:val="2"/>
      <w:sz w:val="24"/>
      <w:szCs w:val="24"/>
    </w:rPr>
  </w:style>
  <w:style w:type="character" w:customStyle="1" w:styleId="78">
    <w:name w:val="Comment Text Char"/>
    <w:basedOn w:val="46"/>
    <w:qFormat/>
    <w:locked/>
    <w:uiPriority w:val="0"/>
    <w:rPr>
      <w:rFonts w:cs="Times New Roman"/>
      <w:kern w:val="2"/>
      <w:sz w:val="24"/>
      <w:szCs w:val="24"/>
    </w:rPr>
  </w:style>
  <w:style w:type="character" w:customStyle="1" w:styleId="79">
    <w:name w:val="标题 5 字符"/>
    <w:basedOn w:val="46"/>
    <w:link w:val="6"/>
    <w:qFormat/>
    <w:uiPriority w:val="0"/>
    <w:rPr>
      <w:rFonts w:ascii="仿宋_GB2312" w:hAnsi="宋体" w:eastAsia="仿宋_GB2312"/>
      <w:b/>
      <w:bCs/>
      <w:kern w:val="2"/>
      <w:sz w:val="28"/>
      <w:szCs w:val="18"/>
      <w:lang w:val="en-US" w:eastAsia="zh-CN" w:bidi="ar-SA"/>
    </w:rPr>
  </w:style>
  <w:style w:type="character" w:customStyle="1" w:styleId="80">
    <w:name w:val="正文文本 字符"/>
    <w:link w:val="15"/>
    <w:qFormat/>
    <w:uiPriority w:val="0"/>
    <w:rPr>
      <w:rFonts w:eastAsia="宋体"/>
      <w:kern w:val="2"/>
      <w:sz w:val="28"/>
      <w:szCs w:val="24"/>
      <w:lang w:val="en-US" w:eastAsia="zh-CN" w:bidi="ar-SA"/>
    </w:rPr>
  </w:style>
  <w:style w:type="character" w:customStyle="1" w:styleId="81">
    <w:name w:val="表格非标题文字 Char"/>
    <w:link w:val="82"/>
    <w:qFormat/>
    <w:locked/>
    <w:uiPriority w:val="0"/>
    <w:rPr>
      <w:rFonts w:ascii="Futura Bk" w:hAnsi="Futura Bk" w:eastAsia="Times New Roman"/>
      <w:kern w:val="2"/>
      <w:sz w:val="21"/>
      <w:lang w:val="en-US" w:eastAsia="zh-CN" w:bidi="ar-SA"/>
    </w:rPr>
  </w:style>
  <w:style w:type="paragraph" w:customStyle="1" w:styleId="82">
    <w:name w:val="表格非标题文字"/>
    <w:link w:val="81"/>
    <w:qFormat/>
    <w:uiPriority w:val="0"/>
    <w:pPr>
      <w:snapToGrid w:val="0"/>
      <w:spacing w:before="80" w:after="40"/>
    </w:pPr>
    <w:rPr>
      <w:rFonts w:ascii="Futura Bk" w:hAnsi="Futura Bk" w:eastAsia="Times New Roman" w:cs="Times New Roman"/>
      <w:kern w:val="2"/>
      <w:sz w:val="21"/>
      <w:lang w:val="en-US" w:eastAsia="zh-CN" w:bidi="ar-SA"/>
    </w:rPr>
  </w:style>
  <w:style w:type="character" w:customStyle="1" w:styleId="83">
    <w:name w:val="页脚 字符"/>
    <w:basedOn w:val="46"/>
    <w:link w:val="32"/>
    <w:qFormat/>
    <w:uiPriority w:val="99"/>
    <w:rPr>
      <w:rFonts w:eastAsia="黑体"/>
      <w:snapToGrid w:val="0"/>
      <w:sz w:val="18"/>
      <w:szCs w:val="18"/>
      <w:lang w:val="en-US" w:eastAsia="zh-CN" w:bidi="ar-SA"/>
    </w:rPr>
  </w:style>
  <w:style w:type="character" w:customStyle="1" w:styleId="84">
    <w:name w:val="font31"/>
    <w:basedOn w:val="46"/>
    <w:qFormat/>
    <w:uiPriority w:val="0"/>
    <w:rPr>
      <w:rFonts w:ascii="微软雅黑" w:hAnsi="微软雅黑" w:eastAsia="微软雅黑" w:cs="微软雅黑"/>
      <w:color w:val="000000"/>
      <w:sz w:val="18"/>
      <w:szCs w:val="18"/>
      <w:u w:val="none"/>
    </w:rPr>
  </w:style>
  <w:style w:type="character" w:customStyle="1" w:styleId="85">
    <w:name w:val="HTML 预设格式 字符"/>
    <w:basedOn w:val="46"/>
    <w:link w:val="43"/>
    <w:qFormat/>
    <w:locked/>
    <w:uiPriority w:val="0"/>
    <w:rPr>
      <w:rFonts w:ascii="宋体" w:hAnsi="宋体" w:eastAsia="宋体" w:cs="宋体"/>
      <w:sz w:val="24"/>
      <w:szCs w:val="24"/>
      <w:lang w:val="en-US" w:eastAsia="zh-CN" w:bidi="ar-SA"/>
    </w:rPr>
  </w:style>
  <w:style w:type="character" w:customStyle="1" w:styleId="86">
    <w:name w:val="PIM2 Char"/>
    <w:basedOn w:val="46"/>
    <w:qFormat/>
    <w:uiPriority w:val="0"/>
    <w:rPr>
      <w:rFonts w:ascii="Cambria" w:hAnsi="Cambria" w:eastAsia="宋体" w:cs="Times New Roman"/>
      <w:b/>
      <w:bCs/>
      <w:sz w:val="32"/>
      <w:szCs w:val="32"/>
    </w:rPr>
  </w:style>
  <w:style w:type="character" w:customStyle="1" w:styleId="87">
    <w:name w:val="Footer Char"/>
    <w:basedOn w:val="46"/>
    <w:qFormat/>
    <w:locked/>
    <w:uiPriority w:val="0"/>
    <w:rPr>
      <w:rFonts w:ascii="Calibri" w:hAnsi="Calibri" w:eastAsia="宋体" w:cs="Times New Roman"/>
      <w:kern w:val="2"/>
      <w:sz w:val="18"/>
      <w:szCs w:val="18"/>
    </w:rPr>
  </w:style>
  <w:style w:type="character" w:customStyle="1" w:styleId="88">
    <w:name w:val="*正文 Char"/>
    <w:link w:val="89"/>
    <w:qFormat/>
    <w:uiPriority w:val="0"/>
    <w:rPr>
      <w:rFonts w:ascii="宋体" w:hAnsi="宋体" w:eastAsia="宋体"/>
      <w:sz w:val="22"/>
      <w:szCs w:val="24"/>
      <w:lang w:bidi="ar-SA"/>
    </w:rPr>
  </w:style>
  <w:style w:type="paragraph" w:customStyle="1" w:styleId="89">
    <w:name w:val="*正文"/>
    <w:basedOn w:val="1"/>
    <w:link w:val="88"/>
    <w:qFormat/>
    <w:uiPriority w:val="0"/>
    <w:pPr>
      <w:spacing w:line="360" w:lineRule="auto"/>
      <w:ind w:firstLine="200" w:firstLineChars="200"/>
    </w:pPr>
    <w:rPr>
      <w:rFonts w:ascii="宋体" w:hAnsi="宋体"/>
      <w:kern w:val="0"/>
      <w:sz w:val="22"/>
    </w:rPr>
  </w:style>
  <w:style w:type="character" w:customStyle="1" w:styleId="90">
    <w:name w:val="Body Text Indent Char"/>
    <w:basedOn w:val="46"/>
    <w:qFormat/>
    <w:locked/>
    <w:uiPriority w:val="0"/>
    <w:rPr>
      <w:rFonts w:ascii="Times New Roman" w:hAnsi="Times New Roman" w:eastAsia="宋体" w:cs="Times New Roman"/>
      <w:kern w:val="2"/>
      <w:sz w:val="21"/>
    </w:rPr>
  </w:style>
  <w:style w:type="character" w:customStyle="1" w:styleId="91">
    <w:name w:val="标题 1 字符"/>
    <w:link w:val="2"/>
    <w:qFormat/>
    <w:uiPriority w:val="0"/>
    <w:rPr>
      <w:rFonts w:eastAsia="宋体"/>
      <w:b/>
      <w:bCs/>
      <w:kern w:val="44"/>
      <w:sz w:val="44"/>
      <w:szCs w:val="44"/>
      <w:lang w:val="en-US" w:eastAsia="zh-CN" w:bidi="ar-SA"/>
    </w:rPr>
  </w:style>
  <w:style w:type="character" w:customStyle="1" w:styleId="92">
    <w:name w:val="图表说明 Char"/>
    <w:link w:val="93"/>
    <w:qFormat/>
    <w:uiPriority w:val="0"/>
    <w:rPr>
      <w:rFonts w:ascii="Arial" w:hAnsi="Arial" w:eastAsia="宋体"/>
      <w:b/>
      <w:sz w:val="18"/>
      <w:szCs w:val="24"/>
      <w:lang w:bidi="ar-SA"/>
    </w:rPr>
  </w:style>
  <w:style w:type="paragraph" w:customStyle="1" w:styleId="93">
    <w:name w:val="图表说明"/>
    <w:basedOn w:val="1"/>
    <w:link w:val="92"/>
    <w:qFormat/>
    <w:uiPriority w:val="0"/>
    <w:pPr>
      <w:jc w:val="center"/>
    </w:pPr>
    <w:rPr>
      <w:rFonts w:ascii="Arial" w:hAnsi="Arial"/>
      <w:b/>
      <w:kern w:val="0"/>
      <w:sz w:val="18"/>
    </w:rPr>
  </w:style>
  <w:style w:type="character" w:customStyle="1" w:styleId="94">
    <w:name w:val="正文文本缩进 Char1"/>
    <w:basedOn w:val="46"/>
    <w:qFormat/>
    <w:uiPriority w:val="0"/>
    <w:rPr>
      <w:sz w:val="22"/>
      <w:szCs w:val="22"/>
    </w:rPr>
  </w:style>
  <w:style w:type="character" w:customStyle="1" w:styleId="95">
    <w:name w:val="Balloon Text Char"/>
    <w:basedOn w:val="46"/>
    <w:qFormat/>
    <w:locked/>
    <w:uiPriority w:val="0"/>
    <w:rPr>
      <w:rFonts w:cs="Times New Roman"/>
      <w:kern w:val="2"/>
      <w:sz w:val="18"/>
      <w:szCs w:val="18"/>
    </w:rPr>
  </w:style>
  <w:style w:type="character" w:customStyle="1" w:styleId="96">
    <w:name w:val="页眉 字符"/>
    <w:basedOn w:val="46"/>
    <w:link w:val="33"/>
    <w:qFormat/>
    <w:uiPriority w:val="0"/>
    <w:rPr>
      <w:rFonts w:ascii="Calibri" w:hAnsi="Calibri" w:eastAsia="宋体"/>
      <w:kern w:val="2"/>
      <w:sz w:val="18"/>
      <w:szCs w:val="18"/>
      <w:lang w:val="en-US" w:eastAsia="zh-CN" w:bidi="ar-SA"/>
    </w:rPr>
  </w:style>
  <w:style w:type="character" w:customStyle="1" w:styleId="97">
    <w:name w:val="正文缩进 字符"/>
    <w:basedOn w:val="46"/>
    <w:link w:val="17"/>
    <w:qFormat/>
    <w:uiPriority w:val="0"/>
    <w:rPr>
      <w:rFonts w:eastAsia="宋体"/>
      <w:kern w:val="2"/>
      <w:sz w:val="21"/>
      <w:lang w:val="en-US" w:eastAsia="zh-CN" w:bidi="ar-SA"/>
    </w:rPr>
  </w:style>
  <w:style w:type="character" w:customStyle="1" w:styleId="98">
    <w:name w:val="Heading 1 Char"/>
    <w:basedOn w:val="46"/>
    <w:qFormat/>
    <w:locked/>
    <w:uiPriority w:val="0"/>
    <w:rPr>
      <w:rFonts w:ascii="Calibri" w:hAnsi="Calibri" w:cs="Times New Roman"/>
      <w:b/>
      <w:bCs/>
      <w:kern w:val="44"/>
      <w:sz w:val="44"/>
      <w:szCs w:val="44"/>
    </w:rPr>
  </w:style>
  <w:style w:type="character" w:customStyle="1" w:styleId="99">
    <w:name w:val="正文文本缩进 3 字符"/>
    <w:link w:val="39"/>
    <w:qFormat/>
    <w:uiPriority w:val="0"/>
    <w:rPr>
      <w:rFonts w:ascii="仿宋_GB2312" w:hAnsi="宋体" w:eastAsia="仿宋_GB2312"/>
      <w:color w:val="000000"/>
      <w:kern w:val="2"/>
      <w:sz w:val="24"/>
      <w:szCs w:val="24"/>
      <w:lang w:val="en-US" w:eastAsia="zh-CN" w:bidi="ar-SA"/>
    </w:rPr>
  </w:style>
  <w:style w:type="character" w:customStyle="1" w:styleId="100">
    <w:name w:val="纯文本 字符"/>
    <w:qFormat/>
    <w:uiPriority w:val="0"/>
    <w:rPr>
      <w:rFonts w:ascii="宋体" w:hAnsi="Courier New" w:eastAsia="宋体"/>
      <w:sz w:val="24"/>
      <w:szCs w:val="24"/>
    </w:rPr>
  </w:style>
  <w:style w:type="character" w:customStyle="1" w:styleId="101">
    <w:name w:val="无间隔 Char"/>
    <w:link w:val="102"/>
    <w:qFormat/>
    <w:uiPriority w:val="0"/>
    <w:rPr>
      <w:sz w:val="22"/>
      <w:szCs w:val="22"/>
      <w:lang w:val="en-US" w:eastAsia="zh-CN" w:bidi="ar-SA"/>
    </w:rPr>
  </w:style>
  <w:style w:type="paragraph" w:customStyle="1" w:styleId="102">
    <w:name w:val="无间隔1"/>
    <w:link w:val="101"/>
    <w:qFormat/>
    <w:uiPriority w:val="0"/>
    <w:rPr>
      <w:rFonts w:ascii="Calibri" w:hAnsi="Calibri" w:eastAsia="宋体" w:cs="Times New Roman"/>
      <w:sz w:val="22"/>
      <w:szCs w:val="22"/>
      <w:lang w:val="en-US" w:eastAsia="zh-CN" w:bidi="ar-SA"/>
    </w:rPr>
  </w:style>
  <w:style w:type="character" w:customStyle="1" w:styleId="103">
    <w:name w:val="Title Char"/>
    <w:basedOn w:val="46"/>
    <w:qFormat/>
    <w:locked/>
    <w:uiPriority w:val="0"/>
    <w:rPr>
      <w:rFonts w:ascii="Arial" w:hAnsi="Arial" w:eastAsia="隶书" w:cs="Times New Roman"/>
      <w:b/>
      <w:kern w:val="2"/>
      <w:sz w:val="32"/>
    </w:rPr>
  </w:style>
  <w:style w:type="character" w:customStyle="1" w:styleId="104">
    <w:name w:val="首行缩进 Char"/>
    <w:basedOn w:val="46"/>
    <w:link w:val="105"/>
    <w:qFormat/>
    <w:uiPriority w:val="0"/>
    <w:rPr>
      <w:rFonts w:ascii="Calibri" w:hAnsi="Calibri" w:eastAsia="宋体"/>
      <w:kern w:val="2"/>
      <w:sz w:val="24"/>
      <w:szCs w:val="22"/>
      <w:lang w:val="zh-CN" w:eastAsia="zh-CN" w:bidi="ar-SA"/>
    </w:rPr>
  </w:style>
  <w:style w:type="paragraph" w:customStyle="1" w:styleId="105">
    <w:name w:val="首行缩进"/>
    <w:basedOn w:val="1"/>
    <w:link w:val="104"/>
    <w:qFormat/>
    <w:uiPriority w:val="0"/>
    <w:pPr>
      <w:spacing w:line="360" w:lineRule="auto"/>
      <w:ind w:firstLine="480" w:firstLineChars="200"/>
    </w:pPr>
    <w:rPr>
      <w:sz w:val="24"/>
      <w:szCs w:val="22"/>
      <w:lang w:val="zh-CN"/>
    </w:rPr>
  </w:style>
  <w:style w:type="character" w:customStyle="1" w:styleId="106">
    <w:name w:val="注意框体 Char1"/>
    <w:basedOn w:val="46"/>
    <w:qFormat/>
    <w:locked/>
    <w:uiPriority w:val="0"/>
    <w:rPr>
      <w:rFonts w:ascii="Arial" w:hAnsi="Arial" w:eastAsia="黑体"/>
      <w:kern w:val="2"/>
      <w:sz w:val="24"/>
      <w:szCs w:val="24"/>
    </w:rPr>
  </w:style>
  <w:style w:type="character" w:customStyle="1" w:styleId="107">
    <w:name w:val="标题 字符"/>
    <w:basedOn w:val="46"/>
    <w:link w:val="45"/>
    <w:qFormat/>
    <w:uiPriority w:val="0"/>
    <w:rPr>
      <w:rFonts w:ascii="Cambria" w:hAnsi="Cambria" w:eastAsia="宋体"/>
      <w:b/>
      <w:bCs/>
      <w:kern w:val="2"/>
      <w:sz w:val="32"/>
      <w:szCs w:val="32"/>
      <w:lang w:val="en-US" w:eastAsia="zh-CN" w:bidi="ar-SA"/>
    </w:rPr>
  </w:style>
  <w:style w:type="character" w:customStyle="1" w:styleId="108">
    <w:name w:val="标题 2 字符"/>
    <w:link w:val="3"/>
    <w:qFormat/>
    <w:uiPriority w:val="0"/>
    <w:rPr>
      <w:rFonts w:ascii="宋体" w:hAnsi="宋体" w:eastAsia="宋体"/>
      <w:b/>
      <w:bCs/>
      <w:kern w:val="2"/>
      <w:sz w:val="24"/>
      <w:szCs w:val="24"/>
      <w:lang w:val="en-US" w:eastAsia="zh-CN" w:bidi="ar-SA"/>
    </w:rPr>
  </w:style>
  <w:style w:type="character" w:customStyle="1" w:styleId="109">
    <w:name w:val="font21"/>
    <w:basedOn w:val="46"/>
    <w:qFormat/>
    <w:uiPriority w:val="0"/>
    <w:rPr>
      <w:rFonts w:ascii="宋体" w:hAnsi="宋体" w:eastAsia="宋体" w:cs="宋体"/>
      <w:color w:val="000000"/>
      <w:sz w:val="20"/>
      <w:szCs w:val="20"/>
      <w:u w:val="none"/>
    </w:rPr>
  </w:style>
  <w:style w:type="character" w:customStyle="1" w:styleId="110">
    <w:name w:val="h3 Char"/>
    <w:basedOn w:val="46"/>
    <w:qFormat/>
    <w:uiPriority w:val="0"/>
    <w:rPr>
      <w:b/>
      <w:bCs/>
      <w:sz w:val="32"/>
      <w:szCs w:val="32"/>
    </w:rPr>
  </w:style>
  <w:style w:type="character" w:customStyle="1" w:styleId="111">
    <w:name w:val="纯文本 字符1"/>
    <w:basedOn w:val="46"/>
    <w:link w:val="27"/>
    <w:qFormat/>
    <w:uiPriority w:val="0"/>
    <w:rPr>
      <w:rFonts w:ascii="宋体" w:hAnsi="Courier New" w:eastAsia="宋体"/>
      <w:kern w:val="2"/>
      <w:sz w:val="24"/>
      <w:szCs w:val="24"/>
      <w:lang w:val="en-US" w:eastAsia="zh-CN" w:bidi="ar-SA"/>
    </w:rPr>
  </w:style>
  <w:style w:type="character" w:customStyle="1" w:styleId="112">
    <w:name w:val="批注框文本 字符"/>
    <w:link w:val="31"/>
    <w:semiHidden/>
    <w:qFormat/>
    <w:uiPriority w:val="0"/>
    <w:rPr>
      <w:rFonts w:eastAsia="宋体"/>
      <w:kern w:val="2"/>
      <w:sz w:val="18"/>
      <w:szCs w:val="18"/>
      <w:lang w:val="en-US" w:eastAsia="zh-CN" w:bidi="ar-SA"/>
    </w:rPr>
  </w:style>
  <w:style w:type="character" w:customStyle="1" w:styleId="113">
    <w:name w:val="ui-spinner"/>
    <w:basedOn w:val="46"/>
    <w:qFormat/>
    <w:uiPriority w:val="0"/>
    <w:rPr>
      <w:rFonts w:cs="Times New Roman"/>
    </w:rPr>
  </w:style>
  <w:style w:type="character" w:customStyle="1" w:styleId="114">
    <w:name w:val="Table Text Char1"/>
    <w:basedOn w:val="46"/>
    <w:link w:val="115"/>
    <w:qFormat/>
    <w:locked/>
    <w:uiPriority w:val="0"/>
    <w:rPr>
      <w:rFonts w:ascii="Arial" w:hAnsi="Arial"/>
      <w:sz w:val="18"/>
      <w:szCs w:val="18"/>
      <w:lang w:val="en-US" w:eastAsia="zh-CN" w:bidi="ar-SA"/>
    </w:rPr>
  </w:style>
  <w:style w:type="paragraph" w:customStyle="1" w:styleId="115">
    <w:name w:val="Table Text"/>
    <w:link w:val="114"/>
    <w:qFormat/>
    <w:uiPriority w:val="0"/>
    <w:pPr>
      <w:snapToGrid w:val="0"/>
      <w:spacing w:before="80" w:after="80"/>
    </w:pPr>
    <w:rPr>
      <w:rFonts w:ascii="Arial" w:hAnsi="Arial" w:eastAsia="宋体" w:cs="Times New Roman"/>
      <w:sz w:val="18"/>
      <w:szCs w:val="18"/>
      <w:lang w:val="en-US" w:eastAsia="zh-CN" w:bidi="ar-SA"/>
    </w:rPr>
  </w:style>
  <w:style w:type="character" w:customStyle="1" w:styleId="116">
    <w:name w:val="正文文本缩进 2 字符"/>
    <w:link w:val="30"/>
    <w:qFormat/>
    <w:uiPriority w:val="0"/>
    <w:rPr>
      <w:rFonts w:ascii="仿宋_GB2312" w:hAnsi="宋体" w:eastAsia="宋体" w:cs="Arial"/>
      <w:b/>
      <w:bCs/>
      <w:color w:val="000000"/>
      <w:kern w:val="2"/>
      <w:sz w:val="24"/>
      <w:szCs w:val="24"/>
      <w:lang w:val="en-US" w:eastAsia="zh-CN" w:bidi="ar-SA"/>
    </w:rPr>
  </w:style>
  <w:style w:type="paragraph" w:customStyle="1" w:styleId="117">
    <w:name w:val="Char2"/>
    <w:basedOn w:val="1"/>
    <w:qFormat/>
    <w:uiPriority w:val="0"/>
    <w:pPr>
      <w:adjustRightInd w:val="0"/>
      <w:spacing w:line="360" w:lineRule="atLeast"/>
      <w:textAlignment w:val="baseline"/>
    </w:pPr>
    <w:rPr>
      <w:rFonts w:ascii="仿宋_GB2312" w:eastAsia="仿宋_GB2312"/>
      <w:b/>
      <w:sz w:val="32"/>
      <w:szCs w:val="32"/>
    </w:rPr>
  </w:style>
  <w:style w:type="paragraph" w:customStyle="1" w:styleId="118">
    <w:name w:val="列出段落1"/>
    <w:basedOn w:val="1"/>
    <w:qFormat/>
    <w:uiPriority w:val="0"/>
    <w:pPr>
      <w:ind w:firstLine="420" w:firstLineChars="200"/>
    </w:pPr>
    <w:rPr>
      <w:szCs w:val="20"/>
    </w:rPr>
  </w:style>
  <w:style w:type="paragraph" w:customStyle="1" w:styleId="119">
    <w:name w:val="Pa3"/>
    <w:basedOn w:val="1"/>
    <w:next w:val="1"/>
    <w:qFormat/>
    <w:uiPriority w:val="0"/>
    <w:pPr>
      <w:widowControl/>
      <w:autoSpaceDE w:val="0"/>
      <w:autoSpaceDN w:val="0"/>
      <w:adjustRightInd w:val="0"/>
      <w:spacing w:line="201" w:lineRule="atLeast"/>
      <w:jc w:val="left"/>
    </w:pPr>
    <w:rPr>
      <w:rFonts w:ascii="H Yg 2gj" w:eastAsia="H Yg 2gj"/>
      <w:kern w:val="0"/>
      <w:sz w:val="24"/>
    </w:rPr>
  </w:style>
  <w:style w:type="paragraph" w:customStyle="1" w:styleId="120">
    <w:name w:val="_Style 61"/>
    <w:basedOn w:val="1"/>
    <w:qFormat/>
    <w:uiPriority w:val="0"/>
    <w:pPr>
      <w:widowControl/>
      <w:spacing w:after="160" w:line="240" w:lineRule="exact"/>
      <w:jc w:val="left"/>
    </w:pPr>
  </w:style>
  <w:style w:type="paragraph" w:customStyle="1" w:styleId="121">
    <w:name w:val="列出段落2"/>
    <w:basedOn w:val="1"/>
    <w:qFormat/>
    <w:uiPriority w:val="0"/>
    <w:pPr>
      <w:spacing w:line="360" w:lineRule="auto"/>
      <w:ind w:firstLine="420" w:firstLineChars="200"/>
    </w:pPr>
    <w:rPr>
      <w:szCs w:val="22"/>
    </w:rPr>
  </w:style>
  <w:style w:type="paragraph" w:customStyle="1" w:styleId="122">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23">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25">
    <w:name w:val="CM22"/>
    <w:basedOn w:val="1"/>
    <w:next w:val="1"/>
    <w:qFormat/>
    <w:uiPriority w:val="0"/>
    <w:pPr>
      <w:autoSpaceDE w:val="0"/>
      <w:autoSpaceDN w:val="0"/>
      <w:adjustRightInd w:val="0"/>
      <w:spacing w:after="63"/>
      <w:jc w:val="left"/>
    </w:pPr>
    <w:rPr>
      <w:rFonts w:ascii="汉仪粗黑简" w:eastAsia="汉仪粗黑简" w:cs="汉仪粗黑简"/>
      <w:kern w:val="0"/>
      <w:sz w:val="24"/>
    </w:rPr>
  </w:style>
  <w:style w:type="paragraph" w:customStyle="1" w:styleId="126">
    <w:name w:val="TOC 标题1"/>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27">
    <w:name w:val="正文段"/>
    <w:basedOn w:val="1"/>
    <w:qFormat/>
    <w:uiPriority w:val="0"/>
    <w:pPr>
      <w:widowControl/>
      <w:snapToGrid w:val="0"/>
      <w:spacing w:afterLines="50"/>
      <w:ind w:firstLine="200" w:firstLineChars="200"/>
    </w:pPr>
    <w:rPr>
      <w:kern w:val="0"/>
      <w:sz w:val="24"/>
      <w:szCs w:val="20"/>
    </w:rPr>
  </w:style>
  <w:style w:type="paragraph" w:customStyle="1" w:styleId="128">
    <w:name w:val="reader-word-layer reader-word-s1-17"/>
    <w:basedOn w:val="1"/>
    <w:qFormat/>
    <w:uiPriority w:val="0"/>
    <w:pPr>
      <w:widowControl/>
      <w:spacing w:before="100" w:beforeAutospacing="1" w:after="100" w:afterAutospacing="1"/>
      <w:jc w:val="left"/>
    </w:pPr>
    <w:rPr>
      <w:rFonts w:ascii="宋体" w:hAnsi="宋体" w:cs="宋体"/>
      <w:kern w:val="0"/>
      <w:sz w:val="24"/>
    </w:rPr>
  </w:style>
  <w:style w:type="paragraph" w:customStyle="1" w:styleId="129">
    <w:name w:val="reader-word-layer reader-word-s1-1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0">
    <w:name w:val="Char Char1 Char Char Char Char Char Char Char Char"/>
    <w:basedOn w:val="1"/>
    <w:qFormat/>
    <w:uiPriority w:val="0"/>
    <w:pPr>
      <w:widowControl/>
      <w:spacing w:after="160" w:line="240" w:lineRule="exact"/>
      <w:jc w:val="left"/>
    </w:pPr>
    <w:rPr>
      <w:szCs w:val="20"/>
    </w:rPr>
  </w:style>
  <w:style w:type="paragraph" w:customStyle="1" w:styleId="131">
    <w:name w:val="p0"/>
    <w:basedOn w:val="1"/>
    <w:qFormat/>
    <w:uiPriority w:val="0"/>
    <w:pPr>
      <w:widowControl/>
    </w:pPr>
    <w:rPr>
      <w:kern w:val="0"/>
      <w:szCs w:val="21"/>
    </w:rPr>
  </w:style>
  <w:style w:type="paragraph" w:customStyle="1" w:styleId="132">
    <w:name w:val="正文 New New New New"/>
    <w:qFormat/>
    <w:uiPriority w:val="0"/>
    <w:pPr>
      <w:widowControl w:val="0"/>
      <w:jc w:val="both"/>
    </w:pPr>
    <w:rPr>
      <w:rFonts w:ascii="Calibri" w:hAnsi="Calibri" w:eastAsia="宋体" w:cs="Times New Roman"/>
      <w:szCs w:val="24"/>
      <w:lang w:val="en-US" w:eastAsia="zh-CN" w:bidi="ar-SA"/>
    </w:rPr>
  </w:style>
  <w:style w:type="paragraph" w:customStyle="1" w:styleId="133">
    <w:name w:val="xl29"/>
    <w:basedOn w:val="1"/>
    <w:qFormat/>
    <w:uiPriority w:val="0"/>
    <w:pPr>
      <w:widowControl/>
      <w:spacing w:before="100" w:beforeAutospacing="1" w:after="100" w:afterAutospacing="1"/>
      <w:jc w:val="center"/>
    </w:pPr>
    <w:rPr>
      <w:rFonts w:ascii="宋体" w:hAnsi="宋体"/>
      <w:kern w:val="0"/>
      <w:sz w:val="28"/>
      <w:szCs w:val="28"/>
    </w:rPr>
  </w:style>
  <w:style w:type="paragraph" w:customStyle="1" w:styleId="134">
    <w:name w:val="Char Char Char Char Char Char"/>
    <w:basedOn w:val="1"/>
    <w:qFormat/>
    <w:uiPriority w:val="0"/>
    <w:pPr>
      <w:adjustRightInd w:val="0"/>
      <w:spacing w:line="360" w:lineRule="atLeast"/>
      <w:ind w:firstLine="200" w:firstLineChars="200"/>
      <w:textAlignment w:val="baseline"/>
    </w:pPr>
    <w:rPr>
      <w:rFonts w:ascii="Tahoma" w:hAnsi="Tahoma" w:eastAsia="Times New Roman"/>
      <w:sz w:val="24"/>
      <w:szCs w:val="20"/>
    </w:rPr>
  </w:style>
  <w:style w:type="paragraph" w:customStyle="1" w:styleId="135">
    <w:name w:val="No Spacing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6">
    <w:name w:val="默认段落字体 Para Char Char Char Char Char Char Char Char Char1 Char Char Char Char"/>
    <w:basedOn w:val="1"/>
    <w:qFormat/>
    <w:uiPriority w:val="0"/>
    <w:rPr>
      <w:rFonts w:ascii="Tahoma" w:hAnsi="Tahoma"/>
      <w:sz w:val="24"/>
      <w:szCs w:val="20"/>
    </w:rPr>
  </w:style>
  <w:style w:type="paragraph" w:customStyle="1" w:styleId="137">
    <w:name w:val="Char Char Char Char"/>
    <w:basedOn w:val="1"/>
    <w:qFormat/>
    <w:uiPriority w:val="0"/>
    <w:rPr>
      <w:rFonts w:ascii="仿宋_GB2312" w:eastAsia="仿宋_GB2312"/>
      <w:b/>
      <w:sz w:val="32"/>
      <w:szCs w:val="32"/>
    </w:rPr>
  </w:style>
  <w:style w:type="paragraph" w:customStyle="1" w:styleId="138">
    <w:name w:val="Char Char1 Char Char Char Char Char Char Char Char1"/>
    <w:basedOn w:val="1"/>
    <w:qFormat/>
    <w:uiPriority w:val="0"/>
    <w:pPr>
      <w:widowControl/>
      <w:spacing w:after="160" w:line="240" w:lineRule="exact"/>
      <w:jc w:val="left"/>
    </w:pPr>
  </w:style>
  <w:style w:type="paragraph" w:customStyle="1" w:styleId="139">
    <w:name w:val="列表段落1"/>
    <w:basedOn w:val="1"/>
    <w:qFormat/>
    <w:uiPriority w:val="99"/>
    <w:pPr>
      <w:ind w:firstLine="420" w:firstLineChars="200"/>
    </w:pPr>
    <w:rPr>
      <w:szCs w:val="22"/>
    </w:rPr>
  </w:style>
  <w:style w:type="paragraph" w:customStyle="1" w:styleId="140">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14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142">
    <w:name w:val="_Style 6"/>
    <w:basedOn w:val="1"/>
    <w:qFormat/>
    <w:uiPriority w:val="0"/>
    <w:pPr>
      <w:widowControl/>
      <w:adjustRightInd w:val="0"/>
      <w:snapToGrid w:val="0"/>
      <w:spacing w:after="200" w:line="360" w:lineRule="atLeast"/>
      <w:ind w:firstLine="420" w:firstLineChars="200"/>
      <w:jc w:val="left"/>
      <w:textAlignment w:val="baseline"/>
    </w:pPr>
    <w:rPr>
      <w:rFonts w:ascii="Tahoma" w:hAnsi="Tahoma" w:eastAsia="微软雅黑"/>
      <w:kern w:val="0"/>
      <w:sz w:val="22"/>
      <w:szCs w:val="22"/>
    </w:rPr>
  </w:style>
  <w:style w:type="paragraph" w:customStyle="1" w:styleId="143">
    <w:name w:val="Pa8"/>
    <w:basedOn w:val="1"/>
    <w:next w:val="1"/>
    <w:qFormat/>
    <w:uiPriority w:val="0"/>
    <w:pPr>
      <w:widowControl/>
      <w:autoSpaceDE w:val="0"/>
      <w:autoSpaceDN w:val="0"/>
      <w:adjustRightInd w:val="0"/>
      <w:spacing w:line="221" w:lineRule="atLeast"/>
      <w:jc w:val="left"/>
    </w:pPr>
    <w:rPr>
      <w:rFonts w:ascii="HP Simplified Hans Light" w:eastAsia="HP Simplified Hans Light"/>
      <w:kern w:val="0"/>
      <w:sz w:val="24"/>
    </w:rPr>
  </w:style>
  <w:style w:type="paragraph" w:customStyle="1" w:styleId="144">
    <w:name w:val="List Paragraph1"/>
    <w:basedOn w:val="1"/>
    <w:qFormat/>
    <w:uiPriority w:val="0"/>
    <w:pPr>
      <w:ind w:firstLine="420" w:firstLineChars="200"/>
    </w:pPr>
    <w:rPr>
      <w:szCs w:val="22"/>
    </w:rPr>
  </w:style>
  <w:style w:type="paragraph" w:customStyle="1" w:styleId="145">
    <w:name w:val="Char Char Char Char Char Char Char"/>
    <w:basedOn w:val="1"/>
    <w:qFormat/>
    <w:uiPriority w:val="0"/>
    <w:pPr>
      <w:tabs>
        <w:tab w:val="left" w:pos="432"/>
      </w:tabs>
      <w:adjustRightInd w:val="0"/>
      <w:spacing w:line="360" w:lineRule="atLeast"/>
      <w:ind w:left="432" w:hanging="432"/>
      <w:textAlignment w:val="baseline"/>
    </w:pPr>
    <w:rPr>
      <w:rFonts w:ascii="Tahoma" w:hAnsi="Tahoma" w:eastAsia="Times New Roman"/>
      <w:sz w:val="24"/>
      <w:szCs w:val="20"/>
    </w:rPr>
  </w:style>
  <w:style w:type="paragraph" w:customStyle="1" w:styleId="146">
    <w:name w:val="Pa9"/>
    <w:basedOn w:val="1"/>
    <w:next w:val="1"/>
    <w:qFormat/>
    <w:uiPriority w:val="0"/>
    <w:pPr>
      <w:widowControl/>
      <w:autoSpaceDE w:val="0"/>
      <w:autoSpaceDN w:val="0"/>
      <w:adjustRightInd w:val="0"/>
      <w:spacing w:line="241" w:lineRule="atLeast"/>
      <w:jc w:val="left"/>
    </w:pPr>
    <w:rPr>
      <w:rFonts w:ascii="HP Simplified Light" w:hAnsi="HP Simplified Light"/>
      <w:kern w:val="0"/>
      <w:sz w:val="24"/>
    </w:rPr>
  </w:style>
  <w:style w:type="paragraph" w:customStyle="1" w:styleId="147">
    <w:name w:val="msonospacing"/>
    <w:basedOn w:val="1"/>
    <w:qFormat/>
    <w:uiPriority w:val="0"/>
    <w:rPr>
      <w:szCs w:val="22"/>
    </w:rPr>
  </w:style>
  <w:style w:type="paragraph" w:customStyle="1" w:styleId="148">
    <w:name w:val="f1"/>
    <w:basedOn w:val="1"/>
    <w:qFormat/>
    <w:uiPriority w:val="0"/>
    <w:pPr>
      <w:widowControl/>
      <w:adjustRightInd w:val="0"/>
      <w:spacing w:before="100" w:beforeAutospacing="1" w:after="100" w:afterAutospacing="1" w:line="360" w:lineRule="atLeast"/>
      <w:jc w:val="center"/>
      <w:textAlignment w:val="baseline"/>
    </w:pPr>
    <w:rPr>
      <w:rFonts w:ascii="Helvetica" w:hAnsi="Helvetica" w:eastAsia="Times New Roman" w:cs="Helvetica"/>
      <w:b/>
      <w:bCs/>
      <w:color w:val="FF8080"/>
      <w:spacing w:val="160"/>
      <w:kern w:val="0"/>
      <w:sz w:val="80"/>
      <w:szCs w:val="80"/>
    </w:rPr>
  </w:style>
  <w:style w:type="paragraph" w:customStyle="1" w:styleId="149">
    <w:name w:val="_Style 3"/>
    <w:qFormat/>
    <w:uiPriority w:val="0"/>
    <w:rPr>
      <w:rFonts w:ascii="Times New Roman" w:hAnsi="Times New Roman" w:eastAsia="宋体" w:cs="Times New Roman"/>
      <w:sz w:val="22"/>
      <w:szCs w:val="22"/>
      <w:lang w:val="en-US" w:eastAsia="zh-CN" w:bidi="ar-SA"/>
    </w:rPr>
  </w:style>
  <w:style w:type="paragraph" w:customStyle="1" w:styleId="150">
    <w:name w:val="修订1"/>
    <w:hidden/>
    <w:semiHidden/>
    <w:qFormat/>
    <w:uiPriority w:val="99"/>
    <w:rPr>
      <w:rFonts w:ascii="Calibri" w:hAnsi="Calibri" w:eastAsia="宋体" w:cs="Times New Roman"/>
      <w:kern w:val="2"/>
      <w:sz w:val="21"/>
      <w:szCs w:val="24"/>
      <w:lang w:val="en-US" w:eastAsia="zh-CN" w:bidi="ar-SA"/>
    </w:rPr>
  </w:style>
  <w:style w:type="paragraph" w:customStyle="1" w:styleId="151">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52">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68</Pages>
  <Words>6590</Words>
  <Characters>37563</Characters>
  <Lines>313</Lines>
  <Paragraphs>88</Paragraphs>
  <TotalTime>0</TotalTime>
  <ScaleCrop>false</ScaleCrop>
  <LinksUpToDate>false</LinksUpToDate>
  <CharactersWithSpaces>44065</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2020-08-31T02:43:00Z</dcterms:created>
  <dc:creator>Microsoft</dc:creator>
  <cp:lastModifiedBy>Administrator</cp:lastModifiedBy>
  <cp:lastPrinted>2020-08-18T06:18:00Z</cp:lastPrinted>
  <dcterms:modified xsi:type="dcterms:W3CDTF">2020-09-03T02:14:30Z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