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宋体"/>
          <w:b/>
          <w:color w:val="000000"/>
          <w:sz w:val="72"/>
        </w:rPr>
      </w:pPr>
    </w:p>
    <w:p>
      <w:pPr>
        <w:spacing w:after="120"/>
        <w:jc w:val="center"/>
        <w:rPr>
          <w:rFonts w:ascii="宋体" w:cs="宋体"/>
          <w:b/>
          <w:sz w:val="72"/>
        </w:rPr>
      </w:pPr>
    </w:p>
    <w:p>
      <w:pPr>
        <w:spacing w:after="120"/>
        <w:jc w:val="center"/>
        <w:rPr>
          <w:rFonts w:ascii="宋体" w:cs="宋体"/>
          <w:b/>
          <w:sz w:val="72"/>
        </w:rPr>
      </w:pPr>
      <w:r>
        <w:rPr>
          <w:rFonts w:hint="eastAsia" w:ascii="宋体" w:hAnsi="宋体" w:cs="宋体"/>
          <w:b/>
          <w:sz w:val="72"/>
        </w:rPr>
        <w:t>国内公开招标文件</w:t>
      </w: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rPr>
          <w:rFonts w:ascii="宋体" w:cs="宋体"/>
          <w:b/>
          <w:sz w:val="44"/>
        </w:rPr>
      </w:pPr>
    </w:p>
    <w:p>
      <w:pPr>
        <w:pStyle w:val="44"/>
        <w:rPr>
          <w:rFonts w:hAnsi="宋体" w:cs="宋体"/>
          <w:b/>
          <w:sz w:val="44"/>
        </w:rPr>
      </w:pPr>
    </w:p>
    <w:p>
      <w:pPr>
        <w:pStyle w:val="44"/>
        <w:ind w:left="0" w:firstLine="0"/>
      </w:pPr>
    </w:p>
    <w:p>
      <w:pPr>
        <w:pStyle w:val="44"/>
        <w:ind w:left="0" w:firstLine="0"/>
      </w:pPr>
    </w:p>
    <w:p>
      <w:pPr>
        <w:rPr>
          <w:rFonts w:ascii="宋体" w:cs="宋体"/>
          <w:b/>
          <w:sz w:val="44"/>
        </w:rPr>
      </w:pPr>
    </w:p>
    <w:p>
      <w:pPr>
        <w:pStyle w:val="44"/>
        <w:rPr>
          <w:rFonts w:cs="宋体"/>
          <w:b/>
          <w:sz w:val="44"/>
        </w:rPr>
      </w:pPr>
    </w:p>
    <w:p>
      <w:pPr>
        <w:pStyle w:val="44"/>
        <w:rPr>
          <w:rFonts w:cs="宋体"/>
          <w:b/>
          <w:sz w:val="44"/>
        </w:rPr>
      </w:pPr>
    </w:p>
    <w:p>
      <w:pPr>
        <w:pStyle w:val="44"/>
      </w:pPr>
    </w:p>
    <w:p>
      <w:pPr>
        <w:rPr>
          <w:rFonts w:ascii="宋体" w:cs="宋体"/>
          <w:b/>
          <w:sz w:val="44"/>
        </w:rPr>
      </w:pPr>
    </w:p>
    <w:p>
      <w:pPr>
        <w:snapToGrid w:val="0"/>
        <w:spacing w:line="360" w:lineRule="auto"/>
        <w:ind w:firstLine="964" w:firstLineChars="300"/>
        <w:jc w:val="left"/>
        <w:rPr>
          <w:rFonts w:hint="default" w:ascii="宋体" w:eastAsia="宋体" w:cs="宋体"/>
          <w:b/>
          <w:bCs/>
          <w:sz w:val="32"/>
          <w:szCs w:val="32"/>
          <w:lang w:val="en-US" w:eastAsia="zh-CN"/>
        </w:rPr>
      </w:pPr>
      <w:r>
        <w:rPr>
          <w:rFonts w:hint="eastAsia" w:ascii="宋体" w:hAnsi="宋体" w:cs="宋体"/>
          <w:b/>
          <w:bCs/>
          <w:sz w:val="32"/>
          <w:szCs w:val="32"/>
          <w:lang w:val="zh-CN"/>
        </w:rPr>
        <w:t>采购编号：</w:t>
      </w:r>
      <w:r>
        <w:rPr>
          <w:rFonts w:ascii="宋体" w:hAnsi="宋体" w:cs="宋体"/>
          <w:b/>
          <w:bCs/>
          <w:sz w:val="32"/>
          <w:szCs w:val="32"/>
          <w:lang w:val="zh-CN"/>
        </w:rPr>
        <w:t>N</w:t>
      </w:r>
      <w:r>
        <w:rPr>
          <w:rFonts w:ascii="宋体" w:hAnsi="宋体" w:cs="宋体"/>
          <w:b/>
          <w:bCs/>
          <w:sz w:val="32"/>
          <w:szCs w:val="32"/>
        </w:rPr>
        <w:t>BGJ</w:t>
      </w:r>
      <w:r>
        <w:rPr>
          <w:rFonts w:ascii="宋体" w:hAnsi="宋体" w:cs="宋体"/>
          <w:b/>
          <w:bCs/>
          <w:sz w:val="32"/>
          <w:szCs w:val="32"/>
          <w:lang w:val="zh-CN"/>
        </w:rPr>
        <w:t>20</w:t>
      </w:r>
      <w:r>
        <w:rPr>
          <w:rFonts w:hint="eastAsia" w:ascii="宋体" w:hAnsi="宋体" w:cs="宋体"/>
          <w:b/>
          <w:bCs/>
          <w:sz w:val="32"/>
          <w:szCs w:val="32"/>
        </w:rPr>
        <w:t>23</w:t>
      </w:r>
      <w:r>
        <w:rPr>
          <w:rFonts w:ascii="宋体" w:hAnsi="宋体" w:cs="宋体"/>
          <w:b/>
          <w:bCs/>
          <w:sz w:val="32"/>
          <w:szCs w:val="32"/>
        </w:rPr>
        <w:t>-CG00</w:t>
      </w:r>
      <w:r>
        <w:rPr>
          <w:rFonts w:hint="eastAsia" w:ascii="宋体" w:hAnsi="宋体" w:cs="宋体"/>
          <w:b/>
          <w:bCs/>
          <w:sz w:val="32"/>
          <w:szCs w:val="32"/>
          <w:lang w:val="en-US" w:eastAsia="zh-CN"/>
        </w:rPr>
        <w:t>39</w:t>
      </w:r>
    </w:p>
    <w:p>
      <w:pPr>
        <w:spacing w:line="360" w:lineRule="auto"/>
        <w:ind w:firstLine="964" w:firstLineChars="300"/>
        <w:rPr>
          <w:rFonts w:ascii="宋体" w:hAnsi="宋体" w:cs="宋体"/>
          <w:b/>
          <w:bCs/>
          <w:sz w:val="32"/>
          <w:szCs w:val="32"/>
          <w:lang w:val="zh-CN"/>
        </w:rPr>
      </w:pPr>
      <w:r>
        <w:rPr>
          <w:rFonts w:hint="eastAsia" w:ascii="宋体" w:hAnsi="宋体" w:cs="宋体"/>
          <w:b/>
          <w:bCs/>
          <w:sz w:val="32"/>
          <w:szCs w:val="32"/>
          <w:lang w:val="zh-CN"/>
        </w:rPr>
        <w:t>项目名称：宁海县桥头胡街道环卫保洁服务项目</w:t>
      </w:r>
    </w:p>
    <w:p>
      <w:pPr>
        <w:spacing w:line="360" w:lineRule="auto"/>
        <w:ind w:firstLine="964" w:firstLineChars="300"/>
        <w:rPr>
          <w:rFonts w:ascii="宋体" w:cs="宋体"/>
          <w:b/>
          <w:bCs/>
          <w:sz w:val="32"/>
          <w:szCs w:val="32"/>
        </w:rPr>
      </w:pPr>
      <w:r>
        <w:rPr>
          <w:rFonts w:hint="eastAsia" w:ascii="宋体" w:hAnsi="宋体" w:cs="宋体"/>
          <w:b/>
          <w:bCs/>
          <w:sz w:val="32"/>
          <w:szCs w:val="32"/>
          <w:lang w:val="zh-CN"/>
        </w:rPr>
        <w:t>采购单位：宁海县人民政府桥头胡街道办事处</w:t>
      </w:r>
    </w:p>
    <w:p>
      <w:pPr>
        <w:spacing w:line="360" w:lineRule="auto"/>
        <w:ind w:firstLine="964" w:firstLineChars="300"/>
        <w:rPr>
          <w:rFonts w:ascii="宋体" w:cs="宋体"/>
          <w:b/>
          <w:sz w:val="34"/>
        </w:rPr>
      </w:pPr>
      <w:r>
        <w:rPr>
          <w:rFonts w:hint="eastAsia" w:ascii="宋体" w:hAnsi="宋体" w:cs="宋体"/>
          <w:b/>
          <w:bCs/>
          <w:sz w:val="32"/>
          <w:szCs w:val="32"/>
          <w:lang w:val="zh-CN"/>
        </w:rPr>
        <w:t>代理机构：宁波工建工程造价咨询有限公司</w:t>
      </w:r>
    </w:p>
    <w:p>
      <w:pPr>
        <w:jc w:val="center"/>
        <w:rPr>
          <w:rFonts w:ascii="宋体" w:cs="宋体"/>
          <w:b/>
          <w:sz w:val="34"/>
        </w:rPr>
      </w:pPr>
    </w:p>
    <w:p>
      <w:pPr>
        <w:jc w:val="center"/>
        <w:rPr>
          <w:rFonts w:ascii="宋体" w:cs="宋体"/>
          <w:b/>
          <w:sz w:val="36"/>
          <w:szCs w:val="36"/>
        </w:rPr>
      </w:pPr>
      <w:r>
        <w:rPr>
          <w:rFonts w:ascii="宋体" w:hAnsi="宋体" w:cs="宋体"/>
          <w:b/>
          <w:sz w:val="36"/>
          <w:szCs w:val="36"/>
        </w:rPr>
        <w:t>20</w:t>
      </w:r>
      <w:r>
        <w:rPr>
          <w:rFonts w:hint="eastAsia" w:ascii="宋体" w:hAnsi="宋体" w:cs="宋体"/>
          <w:b/>
          <w:sz w:val="36"/>
          <w:szCs w:val="36"/>
        </w:rPr>
        <w:t>23年</w:t>
      </w:r>
      <w:r>
        <w:rPr>
          <w:rFonts w:hint="eastAsia" w:ascii="宋体" w:hAnsi="宋体" w:cs="宋体"/>
          <w:b/>
          <w:sz w:val="36"/>
          <w:szCs w:val="36"/>
          <w:lang w:val="en-US" w:eastAsia="zh-CN"/>
        </w:rPr>
        <w:t>4</w:t>
      </w:r>
      <w:r>
        <w:rPr>
          <w:rFonts w:hint="eastAsia" w:ascii="宋体" w:hAnsi="宋体" w:cs="宋体"/>
          <w:b/>
          <w:sz w:val="36"/>
          <w:szCs w:val="36"/>
        </w:rPr>
        <w:t>月</w:t>
      </w:r>
    </w:p>
    <w:p>
      <w:pPr>
        <w:pStyle w:val="13"/>
        <w:spacing w:beforeLines="0" w:after="120" w:line="360" w:lineRule="auto"/>
        <w:rPr>
          <w:rFonts w:hAnsi="宋体" w:cs="宋体"/>
          <w:sz w:val="36"/>
          <w:szCs w:val="36"/>
        </w:rPr>
        <w:sectPr>
          <w:headerReference r:id="rId5" w:type="first"/>
          <w:headerReference r:id="rId3" w:type="default"/>
          <w:footerReference r:id="rId6" w:type="default"/>
          <w:headerReference r:id="rId4" w:type="even"/>
          <w:footerReference r:id="rId7" w:type="even"/>
          <w:pgSz w:w="11906" w:h="16838"/>
          <w:pgMar w:top="1474" w:right="1134" w:bottom="1247" w:left="1134" w:header="851" w:footer="851" w:gutter="0"/>
          <w:cols w:space="720" w:num="1"/>
          <w:titlePg/>
          <w:docGrid w:linePitch="312" w:charSpace="0"/>
        </w:sectPr>
      </w:pPr>
    </w:p>
    <w:p>
      <w:pPr>
        <w:pStyle w:val="13"/>
        <w:spacing w:beforeLines="0" w:after="120" w:line="360" w:lineRule="auto"/>
        <w:jc w:val="center"/>
        <w:rPr>
          <w:rFonts w:hAnsi="宋体" w:cs="宋体"/>
          <w:b/>
          <w:bCs/>
          <w:sz w:val="52"/>
          <w:szCs w:val="52"/>
        </w:rPr>
      </w:pPr>
      <w:r>
        <w:rPr>
          <w:rFonts w:hint="eastAsia" w:hAnsi="宋体" w:cs="宋体"/>
          <w:b/>
          <w:bCs/>
          <w:sz w:val="48"/>
          <w:szCs w:val="48"/>
        </w:rPr>
        <w:t>目 录</w:t>
      </w:r>
    </w:p>
    <w:p>
      <w:pPr>
        <w:pStyle w:val="19"/>
        <w:tabs>
          <w:tab w:val="right" w:leader="dot" w:pos="8959"/>
        </w:tabs>
        <w:snapToGrid w:val="0"/>
        <w:rPr>
          <w:rFonts w:ascii="宋体" w:cs="宋体"/>
          <w:b/>
          <w:bCs/>
          <w:sz w:val="32"/>
          <w:szCs w:val="32"/>
        </w:rPr>
      </w:pPr>
      <w:r>
        <w:rPr>
          <w:rFonts w:ascii="宋体" w:hAnsi="宋体" w:cs="宋体"/>
          <w:b/>
          <w:bCs/>
          <w:sz w:val="32"/>
          <w:szCs w:val="32"/>
        </w:rPr>
        <w:fldChar w:fldCharType="begin"/>
      </w:r>
      <w:r>
        <w:rPr>
          <w:rFonts w:ascii="宋体" w:hAnsi="宋体" w:cs="宋体"/>
          <w:b/>
          <w:bCs/>
          <w:sz w:val="32"/>
          <w:szCs w:val="32"/>
        </w:rPr>
        <w:instrText xml:space="preserve">TOC \o "1-3" \h \u </w:instrText>
      </w:r>
      <w:r>
        <w:rPr>
          <w:rFonts w:ascii="宋体" w:hAnsi="宋体" w:cs="宋体"/>
          <w:b/>
          <w:bCs/>
          <w:sz w:val="32"/>
          <w:szCs w:val="32"/>
        </w:rPr>
        <w:fldChar w:fldCharType="separate"/>
      </w:r>
      <w:r>
        <w:fldChar w:fldCharType="begin"/>
      </w:r>
      <w:r>
        <w:instrText xml:space="preserve"> HYPERLINK \l "_Toc9329" </w:instrText>
      </w:r>
      <w:r>
        <w:fldChar w:fldCharType="separate"/>
      </w:r>
      <w:r>
        <w:rPr>
          <w:rFonts w:hint="eastAsia" w:ascii="宋体" w:hAnsi="宋体" w:cs="宋体"/>
          <w:b/>
          <w:bCs/>
          <w:sz w:val="32"/>
          <w:szCs w:val="32"/>
        </w:rPr>
        <w:t>第一章 公开招标公告</w:t>
      </w:r>
      <w:r>
        <w:rPr>
          <w:rFonts w:ascii="宋体" w:cs="宋体"/>
          <w:b/>
          <w:bCs/>
          <w:sz w:val="32"/>
          <w:szCs w:val="32"/>
        </w:rPr>
        <w:tab/>
      </w:r>
      <w:r>
        <w:rPr>
          <w:rFonts w:ascii="宋体" w:cs="宋体"/>
          <w:b/>
          <w:bCs/>
          <w:sz w:val="32"/>
          <w:szCs w:val="32"/>
        </w:rPr>
        <w:fldChar w:fldCharType="end"/>
      </w:r>
      <w:r>
        <w:rPr>
          <w:rFonts w:hint="eastAsia" w:ascii="宋体" w:cs="宋体"/>
          <w:b/>
          <w:bCs/>
          <w:sz w:val="32"/>
          <w:szCs w:val="32"/>
        </w:rPr>
        <w:t>1</w:t>
      </w:r>
    </w:p>
    <w:p>
      <w:pPr>
        <w:pStyle w:val="24"/>
        <w:tabs>
          <w:tab w:val="right" w:leader="dot" w:pos="8959"/>
        </w:tabs>
        <w:snapToGrid w:val="0"/>
        <w:ind w:left="0" w:leftChars="0"/>
        <w:rPr>
          <w:rFonts w:ascii="宋体" w:cs="宋体"/>
          <w:b/>
          <w:bCs/>
          <w:sz w:val="32"/>
          <w:szCs w:val="32"/>
        </w:rPr>
      </w:pPr>
    </w:p>
    <w:p>
      <w:pPr>
        <w:pStyle w:val="24"/>
        <w:tabs>
          <w:tab w:val="right" w:leader="dot" w:pos="8959"/>
        </w:tabs>
        <w:snapToGrid w:val="0"/>
        <w:ind w:left="0" w:leftChars="0"/>
        <w:rPr>
          <w:rFonts w:ascii="宋体" w:cs="宋体"/>
          <w:b/>
          <w:bCs/>
          <w:sz w:val="32"/>
          <w:szCs w:val="32"/>
        </w:rPr>
      </w:pPr>
      <w:r>
        <w:rPr>
          <w:rFonts w:hint="eastAsia" w:ascii="宋体" w:hAnsi="宋体" w:cs="宋体"/>
          <w:b/>
          <w:bCs/>
          <w:sz w:val="32"/>
          <w:szCs w:val="32"/>
        </w:rPr>
        <w:t xml:space="preserve">第二章 </w:t>
      </w:r>
      <w:r>
        <w:fldChar w:fldCharType="begin"/>
      </w:r>
      <w:r>
        <w:instrText xml:space="preserve"> HYPERLINK \l "_Toc28564" </w:instrText>
      </w:r>
      <w:r>
        <w:fldChar w:fldCharType="separate"/>
      </w:r>
      <w:r>
        <w:rPr>
          <w:rFonts w:hint="eastAsia" w:ascii="宋体" w:hAnsi="宋体" w:cs="宋体"/>
          <w:b/>
          <w:bCs/>
          <w:sz w:val="32"/>
          <w:szCs w:val="32"/>
        </w:rPr>
        <w:t>招标需求</w:t>
      </w:r>
      <w:r>
        <w:rPr>
          <w:rFonts w:ascii="宋体" w:cs="宋体"/>
          <w:b/>
          <w:bCs/>
          <w:sz w:val="32"/>
          <w:szCs w:val="32"/>
        </w:rPr>
        <w:tab/>
      </w:r>
      <w:r>
        <w:rPr>
          <w:rFonts w:ascii="宋体" w:cs="宋体"/>
          <w:b/>
          <w:bCs/>
          <w:sz w:val="32"/>
          <w:szCs w:val="32"/>
        </w:rPr>
        <w:fldChar w:fldCharType="end"/>
      </w:r>
      <w:r>
        <w:rPr>
          <w:rFonts w:hint="eastAsia" w:ascii="宋体" w:cs="宋体"/>
          <w:b/>
          <w:bCs/>
          <w:sz w:val="32"/>
          <w:szCs w:val="32"/>
        </w:rPr>
        <w:t>5</w:t>
      </w:r>
    </w:p>
    <w:p>
      <w:pPr>
        <w:pStyle w:val="24"/>
        <w:tabs>
          <w:tab w:val="right" w:leader="dot" w:pos="8959"/>
        </w:tabs>
        <w:snapToGrid w:val="0"/>
        <w:ind w:left="0" w:leftChars="0"/>
        <w:rPr>
          <w:rFonts w:ascii="宋体" w:cs="宋体"/>
          <w:b/>
          <w:bCs/>
          <w:sz w:val="32"/>
          <w:szCs w:val="32"/>
        </w:rPr>
      </w:pPr>
    </w:p>
    <w:p>
      <w:pPr>
        <w:pStyle w:val="24"/>
        <w:tabs>
          <w:tab w:val="right" w:leader="dot" w:pos="8959"/>
        </w:tabs>
        <w:snapToGrid w:val="0"/>
        <w:ind w:left="0" w:leftChars="0"/>
        <w:rPr>
          <w:rFonts w:hint="default" w:ascii="宋体" w:eastAsia="宋体" w:cs="宋体"/>
          <w:b/>
          <w:bCs/>
          <w:sz w:val="32"/>
          <w:szCs w:val="32"/>
          <w:lang w:val="en-US" w:eastAsia="zh-CN"/>
        </w:rPr>
      </w:pPr>
      <w:r>
        <w:fldChar w:fldCharType="begin"/>
      </w:r>
      <w:r>
        <w:instrText xml:space="preserve"> HYPERLINK \l "_Toc8089" </w:instrText>
      </w:r>
      <w:r>
        <w:fldChar w:fldCharType="separate"/>
      </w:r>
      <w:r>
        <w:rPr>
          <w:rFonts w:hint="eastAsia" w:ascii="宋体" w:hAnsi="宋体" w:cs="宋体"/>
          <w:b/>
          <w:bCs/>
          <w:sz w:val="32"/>
          <w:szCs w:val="32"/>
        </w:rPr>
        <w:t xml:space="preserve">第三章 </w:t>
      </w:r>
      <w:r>
        <w:rPr>
          <w:rFonts w:hint="eastAsia" w:ascii="宋体" w:hAnsi="宋体" w:cs="宋体"/>
          <w:b/>
          <w:bCs/>
          <w:sz w:val="32"/>
          <w:szCs w:val="32"/>
          <w:lang w:eastAsia="zh-CN"/>
        </w:rPr>
        <w:t>供应商</w:t>
      </w:r>
      <w:r>
        <w:rPr>
          <w:rFonts w:hint="eastAsia" w:ascii="宋体" w:hAnsi="宋体" w:cs="宋体"/>
          <w:b/>
          <w:bCs/>
          <w:sz w:val="32"/>
          <w:szCs w:val="32"/>
        </w:rPr>
        <w:t>须知</w:t>
      </w:r>
      <w:r>
        <w:rPr>
          <w:rFonts w:ascii="宋体" w:cs="宋体"/>
          <w:b/>
          <w:bCs/>
          <w:sz w:val="32"/>
          <w:szCs w:val="32"/>
        </w:rPr>
        <w:tab/>
      </w:r>
      <w:r>
        <w:rPr>
          <w:rFonts w:ascii="宋体" w:cs="宋体"/>
          <w:b/>
          <w:bCs/>
          <w:sz w:val="32"/>
          <w:szCs w:val="32"/>
        </w:rPr>
        <w:fldChar w:fldCharType="end"/>
      </w:r>
      <w:r>
        <w:rPr>
          <w:rFonts w:hint="eastAsia" w:ascii="宋体" w:cs="宋体"/>
          <w:b/>
          <w:bCs/>
          <w:sz w:val="32"/>
          <w:szCs w:val="32"/>
          <w:lang w:val="en-US" w:eastAsia="zh-CN"/>
        </w:rPr>
        <w:t>26</w:t>
      </w:r>
    </w:p>
    <w:p>
      <w:pPr>
        <w:pStyle w:val="24"/>
        <w:tabs>
          <w:tab w:val="right" w:leader="dot" w:pos="8959"/>
        </w:tabs>
        <w:snapToGrid w:val="0"/>
        <w:ind w:left="0" w:leftChars="0"/>
        <w:rPr>
          <w:rFonts w:ascii="宋体" w:cs="宋体"/>
          <w:b/>
          <w:bCs/>
          <w:sz w:val="32"/>
          <w:szCs w:val="32"/>
        </w:rPr>
      </w:pPr>
    </w:p>
    <w:p>
      <w:pPr>
        <w:pStyle w:val="24"/>
        <w:tabs>
          <w:tab w:val="right" w:leader="dot" w:pos="8959"/>
        </w:tabs>
        <w:snapToGrid w:val="0"/>
        <w:ind w:left="0" w:leftChars="0"/>
        <w:rPr>
          <w:rFonts w:hint="default" w:ascii="宋体" w:eastAsia="宋体" w:cs="宋体"/>
          <w:b/>
          <w:bCs/>
          <w:sz w:val="32"/>
          <w:szCs w:val="32"/>
          <w:lang w:val="en-US" w:eastAsia="zh-CN"/>
        </w:rPr>
      </w:pPr>
      <w:r>
        <w:fldChar w:fldCharType="begin"/>
      </w:r>
      <w:r>
        <w:instrText xml:space="preserve"> HYPERLINK \l "_Toc11628" </w:instrText>
      </w:r>
      <w:r>
        <w:fldChar w:fldCharType="separate"/>
      </w:r>
      <w:r>
        <w:rPr>
          <w:rFonts w:hint="eastAsia" w:ascii="宋体" w:hAnsi="宋体" w:cs="宋体"/>
          <w:b/>
          <w:bCs/>
          <w:sz w:val="32"/>
          <w:szCs w:val="32"/>
        </w:rPr>
        <w:t>第四章 评标办法及评分标准</w:t>
      </w:r>
      <w:r>
        <w:rPr>
          <w:rFonts w:ascii="宋体" w:cs="宋体"/>
          <w:b/>
          <w:bCs/>
          <w:sz w:val="32"/>
          <w:szCs w:val="32"/>
        </w:rPr>
        <w:tab/>
      </w:r>
      <w:r>
        <w:rPr>
          <w:rFonts w:ascii="宋体" w:cs="宋体"/>
          <w:b/>
          <w:bCs/>
          <w:sz w:val="32"/>
          <w:szCs w:val="32"/>
        </w:rPr>
        <w:fldChar w:fldCharType="end"/>
      </w:r>
      <w:r>
        <w:rPr>
          <w:rFonts w:hint="eastAsia" w:ascii="宋体" w:cs="宋体"/>
          <w:b/>
          <w:bCs/>
          <w:sz w:val="32"/>
          <w:szCs w:val="32"/>
          <w:lang w:val="en-US" w:eastAsia="zh-CN"/>
        </w:rPr>
        <w:t>40</w:t>
      </w:r>
    </w:p>
    <w:p>
      <w:pPr>
        <w:pStyle w:val="24"/>
        <w:tabs>
          <w:tab w:val="right" w:leader="dot" w:pos="8959"/>
        </w:tabs>
        <w:snapToGrid w:val="0"/>
        <w:ind w:left="0" w:leftChars="0"/>
        <w:rPr>
          <w:rFonts w:ascii="宋体" w:cs="宋体"/>
          <w:b/>
          <w:bCs/>
          <w:sz w:val="32"/>
          <w:szCs w:val="32"/>
        </w:rPr>
      </w:pPr>
    </w:p>
    <w:p>
      <w:pPr>
        <w:pStyle w:val="24"/>
        <w:tabs>
          <w:tab w:val="right" w:leader="dot" w:pos="8959"/>
        </w:tabs>
        <w:snapToGrid w:val="0"/>
        <w:ind w:left="0" w:leftChars="0"/>
        <w:rPr>
          <w:rFonts w:hint="default" w:ascii="宋体" w:eastAsia="宋体" w:cs="宋体"/>
          <w:b/>
          <w:bCs/>
          <w:sz w:val="32"/>
          <w:szCs w:val="32"/>
          <w:lang w:val="en-US" w:eastAsia="zh-CN"/>
        </w:rPr>
      </w:pPr>
      <w:r>
        <w:fldChar w:fldCharType="begin"/>
      </w:r>
      <w:r>
        <w:instrText xml:space="preserve"> HYPERLINK \l "_Toc13620" </w:instrText>
      </w:r>
      <w:r>
        <w:fldChar w:fldCharType="separate"/>
      </w:r>
      <w:r>
        <w:rPr>
          <w:rFonts w:hint="eastAsia" w:ascii="宋体" w:hAnsi="宋体" w:cs="宋体"/>
          <w:b/>
          <w:bCs/>
          <w:sz w:val="32"/>
          <w:szCs w:val="32"/>
        </w:rPr>
        <w:t>第五章 投标文件格式</w:t>
      </w:r>
      <w:r>
        <w:rPr>
          <w:rFonts w:ascii="宋体" w:cs="宋体"/>
          <w:b/>
          <w:bCs/>
          <w:sz w:val="32"/>
          <w:szCs w:val="32"/>
        </w:rPr>
        <w:tab/>
      </w:r>
      <w:r>
        <w:rPr>
          <w:rFonts w:ascii="宋体" w:cs="宋体"/>
          <w:b/>
          <w:bCs/>
          <w:sz w:val="32"/>
          <w:szCs w:val="32"/>
        </w:rPr>
        <w:fldChar w:fldCharType="end"/>
      </w:r>
      <w:r>
        <w:rPr>
          <w:rFonts w:hint="eastAsia" w:ascii="宋体" w:cs="宋体"/>
          <w:b/>
          <w:bCs/>
          <w:sz w:val="32"/>
          <w:szCs w:val="32"/>
          <w:lang w:val="en-US" w:eastAsia="zh-CN"/>
        </w:rPr>
        <w:t>44</w:t>
      </w:r>
    </w:p>
    <w:p>
      <w:pPr>
        <w:pStyle w:val="24"/>
        <w:tabs>
          <w:tab w:val="right" w:leader="dot" w:pos="8959"/>
        </w:tabs>
        <w:snapToGrid w:val="0"/>
        <w:ind w:left="0" w:leftChars="0"/>
        <w:rPr>
          <w:rFonts w:ascii="宋体" w:cs="宋体"/>
          <w:b/>
          <w:bCs/>
          <w:sz w:val="32"/>
          <w:szCs w:val="32"/>
        </w:rPr>
      </w:pPr>
    </w:p>
    <w:p>
      <w:pPr>
        <w:pStyle w:val="24"/>
        <w:tabs>
          <w:tab w:val="right" w:leader="dot" w:pos="8959"/>
        </w:tabs>
        <w:snapToGrid w:val="0"/>
        <w:ind w:left="0" w:leftChars="0"/>
        <w:rPr>
          <w:rFonts w:hint="default" w:ascii="宋体" w:eastAsia="宋体" w:cs="宋体"/>
          <w:b/>
          <w:bCs/>
          <w:sz w:val="32"/>
          <w:szCs w:val="32"/>
          <w:lang w:val="en-US" w:eastAsia="zh-CN"/>
        </w:rPr>
      </w:pPr>
      <w:r>
        <w:fldChar w:fldCharType="begin"/>
      </w:r>
      <w:r>
        <w:instrText xml:space="preserve"> HYPERLINK \l "_Toc13620" </w:instrText>
      </w:r>
      <w:r>
        <w:fldChar w:fldCharType="separate"/>
      </w:r>
      <w:r>
        <w:rPr>
          <w:rFonts w:hint="eastAsia" w:ascii="宋体" w:hAnsi="宋体" w:cs="宋体"/>
          <w:b/>
          <w:bCs/>
          <w:sz w:val="32"/>
          <w:szCs w:val="32"/>
        </w:rPr>
        <w:t>第六章 合同样本</w:t>
      </w:r>
      <w:r>
        <w:rPr>
          <w:rFonts w:ascii="宋体" w:cs="宋体"/>
          <w:b/>
          <w:bCs/>
          <w:sz w:val="32"/>
          <w:szCs w:val="32"/>
        </w:rPr>
        <w:tab/>
      </w:r>
      <w:r>
        <w:rPr>
          <w:rFonts w:ascii="宋体" w:cs="宋体"/>
          <w:b/>
          <w:bCs/>
          <w:sz w:val="32"/>
          <w:szCs w:val="32"/>
        </w:rPr>
        <w:fldChar w:fldCharType="end"/>
      </w:r>
      <w:r>
        <w:rPr>
          <w:rFonts w:hint="eastAsia" w:ascii="宋体" w:cs="宋体"/>
          <w:b/>
          <w:bCs/>
          <w:sz w:val="32"/>
          <w:szCs w:val="32"/>
          <w:lang w:val="en-US" w:eastAsia="zh-CN"/>
        </w:rPr>
        <w:t>65</w:t>
      </w:r>
    </w:p>
    <w:p>
      <w:pPr>
        <w:pStyle w:val="24"/>
        <w:tabs>
          <w:tab w:val="right" w:leader="dot" w:pos="8959"/>
        </w:tabs>
        <w:snapToGrid w:val="0"/>
        <w:ind w:left="0" w:leftChars="0"/>
        <w:rPr>
          <w:rFonts w:ascii="宋体" w:cs="宋体"/>
          <w:b/>
          <w:bCs/>
          <w:sz w:val="32"/>
          <w:szCs w:val="32"/>
        </w:rPr>
      </w:pPr>
    </w:p>
    <w:p>
      <w:pPr>
        <w:pStyle w:val="19"/>
        <w:tabs>
          <w:tab w:val="right" w:leader="dot" w:pos="8959"/>
        </w:tabs>
        <w:snapToGrid w:val="0"/>
        <w:rPr>
          <w:rFonts w:ascii="宋体" w:cs="宋体"/>
          <w:sz w:val="44"/>
          <w:szCs w:val="44"/>
        </w:rPr>
      </w:pPr>
      <w:r>
        <w:rPr>
          <w:rFonts w:ascii="宋体" w:hAnsi="宋体" w:cs="宋体"/>
          <w:b/>
          <w:bCs/>
          <w:sz w:val="32"/>
          <w:szCs w:val="32"/>
        </w:rPr>
        <w:fldChar w:fldCharType="end"/>
      </w:r>
    </w:p>
    <w:p>
      <w:pPr>
        <w:pStyle w:val="13"/>
        <w:tabs>
          <w:tab w:val="left" w:pos="795"/>
          <w:tab w:val="center" w:pos="4539"/>
        </w:tabs>
        <w:snapToGrid w:val="0"/>
        <w:spacing w:beforeLines="0" w:after="120"/>
        <w:jc w:val="left"/>
        <w:rPr>
          <w:rFonts w:hAnsi="宋体" w:cs="宋体"/>
        </w:rPr>
      </w:pPr>
      <w:bookmarkStart w:id="0" w:name="_Toc9329"/>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outlineLvl w:val="0"/>
        <w:rPr>
          <w:rFonts w:hAnsi="宋体" w:cs="宋体"/>
        </w:rPr>
        <w:sectPr>
          <w:footerReference r:id="rId9" w:type="first"/>
          <w:footerReference r:id="rId8" w:type="default"/>
          <w:pgSz w:w="11907" w:h="16840"/>
          <w:pgMar w:top="1701" w:right="1474" w:bottom="1701" w:left="1474" w:header="851" w:footer="992" w:gutter="0"/>
          <w:cols w:space="720" w:num="1"/>
          <w:titlePg/>
          <w:docGrid w:linePitch="312" w:charSpace="0"/>
        </w:sectPr>
      </w:pPr>
    </w:p>
    <w:p>
      <w:pPr>
        <w:pStyle w:val="13"/>
        <w:snapToGrid w:val="0"/>
        <w:spacing w:beforeLines="0" w:after="120"/>
        <w:jc w:val="center"/>
        <w:outlineLvl w:val="0"/>
        <w:rPr>
          <w:rFonts w:hAnsi="宋体" w:cs="宋体"/>
          <w:b/>
          <w:sz w:val="30"/>
          <w:szCs w:val="30"/>
        </w:rPr>
      </w:pPr>
      <w:r>
        <w:rPr>
          <w:rFonts w:hint="eastAsia" w:hAnsi="宋体" w:cs="宋体"/>
          <w:b/>
          <w:sz w:val="30"/>
          <w:szCs w:val="30"/>
        </w:rPr>
        <w:t>第一章 公开招标公告</w:t>
      </w:r>
      <w:bookmarkEnd w:id="0"/>
    </w:p>
    <w:tbl>
      <w:tblPr>
        <w:tblStyle w:val="31"/>
        <w:tblW w:w="0" w:type="auto"/>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8" w:type="dxa"/>
          </w:tcPr>
          <w:p>
            <w:pPr>
              <w:spacing w:line="360" w:lineRule="auto"/>
              <w:rPr>
                <w:rFonts w:ascii="宋体" w:hAnsi="宋体" w:cs="宋体"/>
                <w:szCs w:val="21"/>
              </w:rPr>
            </w:pPr>
            <w:r>
              <w:rPr>
                <w:rFonts w:hint="eastAsia" w:ascii="宋体" w:hAnsi="宋体" w:cs="宋体"/>
                <w:szCs w:val="21"/>
              </w:rPr>
              <w:t>项目概况：</w:t>
            </w:r>
          </w:p>
          <w:p>
            <w:pPr>
              <w:spacing w:line="360" w:lineRule="auto"/>
              <w:ind w:firstLine="420" w:firstLineChars="200"/>
              <w:rPr>
                <w:rFonts w:ascii="宋体" w:hAnsi="宋体" w:cs="宋体"/>
                <w:szCs w:val="21"/>
              </w:rPr>
            </w:pPr>
            <w:r>
              <w:rPr>
                <w:rFonts w:hint="eastAsia" w:ascii="宋体" w:hAnsi="宋体" w:cs="宋体"/>
                <w:szCs w:val="21"/>
                <w:u w:val="single"/>
                <w:lang w:eastAsia="zh-CN"/>
              </w:rPr>
              <w:t>宁海县桥头胡街道环卫保洁服务项目</w:t>
            </w:r>
            <w:r>
              <w:rPr>
                <w:rFonts w:hint="eastAsia" w:ascii="宋体" w:hAnsi="宋体" w:cs="宋体"/>
                <w:szCs w:val="21"/>
              </w:rPr>
              <w:t>招标项目的潜在</w:t>
            </w:r>
            <w:r>
              <w:rPr>
                <w:rFonts w:hint="eastAsia" w:ascii="宋体" w:hAnsi="宋体" w:cs="宋体"/>
                <w:szCs w:val="21"/>
                <w:lang w:eastAsia="zh-CN"/>
              </w:rPr>
              <w:t>供应商</w:t>
            </w:r>
            <w:r>
              <w:rPr>
                <w:rFonts w:hint="eastAsia" w:ascii="宋体" w:hAnsi="宋体" w:cs="宋体"/>
                <w:szCs w:val="21"/>
              </w:rPr>
              <w:t>应在政府采购云平台（www.zcygov.cn）获取（下载）招标文件，并于</w:t>
            </w:r>
            <w:r>
              <w:rPr>
                <w:rFonts w:hint="eastAsia" w:ascii="宋体" w:hAnsi="宋体" w:cs="宋体"/>
                <w:szCs w:val="21"/>
                <w:u w:val="single"/>
              </w:rPr>
              <w:t>2023</w:t>
            </w:r>
            <w:r>
              <w:rPr>
                <w:rFonts w:hint="eastAsia" w:ascii="宋体" w:hAnsi="宋体" w:cs="宋体"/>
                <w:bCs/>
                <w:szCs w:val="21"/>
                <w:u w:val="single"/>
              </w:rPr>
              <w:t>年</w:t>
            </w:r>
            <w:r>
              <w:rPr>
                <w:rFonts w:hint="eastAsia" w:ascii="宋体" w:hAnsi="宋体" w:cs="宋体"/>
                <w:bCs/>
                <w:szCs w:val="21"/>
                <w:u w:val="single"/>
                <w:lang w:val="en-US" w:eastAsia="zh-CN"/>
              </w:rPr>
              <w:t>5</w:t>
            </w:r>
            <w:r>
              <w:rPr>
                <w:rFonts w:hint="eastAsia" w:ascii="宋体" w:hAnsi="宋体" w:cs="宋体"/>
                <w:bCs/>
                <w:szCs w:val="21"/>
                <w:u w:val="single"/>
              </w:rPr>
              <w:t>月</w:t>
            </w:r>
            <w:r>
              <w:rPr>
                <w:rFonts w:hint="eastAsia" w:ascii="宋体" w:hAnsi="宋体" w:cs="宋体"/>
                <w:bCs/>
                <w:szCs w:val="21"/>
                <w:u w:val="single"/>
                <w:lang w:val="en-US" w:eastAsia="zh-CN"/>
              </w:rPr>
              <w:t>31</w:t>
            </w:r>
            <w:r>
              <w:rPr>
                <w:rFonts w:hint="eastAsia" w:ascii="宋体" w:hAnsi="宋体" w:cs="宋体"/>
                <w:bCs/>
                <w:szCs w:val="21"/>
                <w:u w:val="single"/>
              </w:rPr>
              <w:t>日</w:t>
            </w:r>
            <w:r>
              <w:rPr>
                <w:rFonts w:hint="eastAsia" w:ascii="宋体" w:hAnsi="宋体" w:cs="宋体"/>
                <w:bCs/>
                <w:szCs w:val="21"/>
                <w:u w:val="single"/>
                <w:lang w:val="en-US" w:eastAsia="zh-CN"/>
              </w:rPr>
              <w:t>13:30分</w:t>
            </w:r>
            <w:r>
              <w:rPr>
                <w:rFonts w:hint="eastAsia" w:ascii="宋体" w:hAnsi="宋体" w:cs="宋体"/>
                <w:bCs/>
                <w:szCs w:val="21"/>
                <w:u w:val="single"/>
              </w:rPr>
              <w:t>（北京时间）</w:t>
            </w:r>
            <w:r>
              <w:rPr>
                <w:rFonts w:hint="eastAsia" w:ascii="宋体" w:hAnsi="宋体" w:cs="宋体"/>
                <w:bCs/>
                <w:szCs w:val="21"/>
              </w:rPr>
              <w:t>前递交（上传）投标文件</w:t>
            </w:r>
            <w:r>
              <w:rPr>
                <w:rFonts w:hint="eastAsia" w:ascii="宋体" w:hAnsi="宋体" w:cs="宋体"/>
                <w:szCs w:val="21"/>
              </w:rPr>
              <w:t>。</w:t>
            </w:r>
          </w:p>
        </w:tc>
      </w:tr>
    </w:tbl>
    <w:p>
      <w:pPr>
        <w:pStyle w:val="2"/>
        <w:spacing w:line="360" w:lineRule="auto"/>
        <w:ind w:left="452" w:leftChars="100" w:hanging="242" w:hangingChars="115"/>
        <w:rPr>
          <w:rFonts w:ascii="宋体" w:hAnsi="宋体" w:eastAsia="宋体" w:cs="宋体"/>
          <w:bCs w:val="0"/>
          <w:sz w:val="21"/>
          <w:szCs w:val="21"/>
        </w:rPr>
      </w:pPr>
      <w:bookmarkStart w:id="1" w:name="_Toc35393621"/>
      <w:bookmarkStart w:id="2" w:name="_Toc28359079"/>
      <w:bookmarkStart w:id="3" w:name="_Toc28359002"/>
      <w:bookmarkStart w:id="4" w:name="_Toc35393790"/>
      <w:bookmarkStart w:id="5" w:name="_Hlk24379207"/>
      <w:r>
        <w:rPr>
          <w:rFonts w:hint="eastAsia" w:ascii="宋体" w:hAnsi="宋体" w:eastAsia="宋体" w:cs="宋体"/>
          <w:bCs w:val="0"/>
          <w:sz w:val="21"/>
          <w:szCs w:val="21"/>
        </w:rPr>
        <w:t>一、项目基本情况</w:t>
      </w:r>
      <w:bookmarkEnd w:id="1"/>
      <w:bookmarkEnd w:id="2"/>
      <w:bookmarkEnd w:id="3"/>
      <w:bookmarkEnd w:id="4"/>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1.项目编号：</w:t>
      </w:r>
      <w:r>
        <w:rPr>
          <w:rFonts w:hint="eastAsia" w:ascii="宋体" w:hAnsi="宋体" w:cs="宋体"/>
          <w:szCs w:val="21"/>
          <w:lang w:val="zh-CN"/>
        </w:rPr>
        <w:t>NBGJ20</w:t>
      </w:r>
      <w:r>
        <w:rPr>
          <w:rFonts w:hint="eastAsia" w:ascii="宋体" w:hAnsi="宋体" w:cs="宋体"/>
          <w:szCs w:val="21"/>
        </w:rPr>
        <w:t>23</w:t>
      </w:r>
      <w:r>
        <w:rPr>
          <w:rFonts w:hint="eastAsia" w:ascii="宋体" w:hAnsi="宋体" w:cs="宋体"/>
          <w:szCs w:val="21"/>
          <w:lang w:val="zh-CN"/>
        </w:rPr>
        <w:t>-CG00</w:t>
      </w:r>
      <w:r>
        <w:rPr>
          <w:rFonts w:hint="eastAsia" w:ascii="宋体" w:hAnsi="宋体" w:cs="宋体"/>
          <w:szCs w:val="21"/>
          <w:lang w:val="en-US" w:eastAsia="zh-CN"/>
        </w:rPr>
        <w:t>39</w:t>
      </w:r>
    </w:p>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rPr>
        <w:t>2.项目名称：</w:t>
      </w:r>
      <w:r>
        <w:rPr>
          <w:rFonts w:hint="eastAsia" w:ascii="宋体" w:hAnsi="宋体" w:cs="宋体"/>
          <w:szCs w:val="21"/>
          <w:lang w:eastAsia="zh-CN"/>
        </w:rPr>
        <w:t>宁海县桥头胡街道环卫保洁服务项目</w:t>
      </w:r>
    </w:p>
    <w:bookmarkEnd w:id="5"/>
    <w:p>
      <w:pPr>
        <w:spacing w:line="360" w:lineRule="auto"/>
        <w:ind w:firstLine="420" w:firstLineChars="200"/>
        <w:rPr>
          <w:rFonts w:ascii="宋体" w:hAnsi="宋体" w:cs="宋体"/>
          <w:szCs w:val="21"/>
        </w:rPr>
      </w:pPr>
      <w:r>
        <w:rPr>
          <w:rFonts w:hint="eastAsia" w:ascii="宋体" w:hAnsi="宋体" w:cs="宋体"/>
          <w:szCs w:val="21"/>
        </w:rPr>
        <w:t>3.预算金额（元）：</w:t>
      </w:r>
      <w:r>
        <w:rPr>
          <w:rFonts w:hint="eastAsia" w:ascii="宋体" w:hAnsi="宋体" w:cs="宋体"/>
          <w:szCs w:val="21"/>
          <w:lang w:val="en-US" w:eastAsia="zh-CN"/>
        </w:rPr>
        <w:t>4270000元/年；12810000元/3年；</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4.最高限价（元）：</w:t>
      </w:r>
      <w:r>
        <w:rPr>
          <w:rFonts w:hint="eastAsia" w:ascii="宋体" w:hAnsi="宋体" w:cs="宋体"/>
          <w:szCs w:val="21"/>
          <w:lang w:val="en-US" w:eastAsia="zh-CN"/>
        </w:rPr>
        <w:t>4270000元/年；12810000元/3年；</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5.采购需求：</w:t>
      </w:r>
    </w:p>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rPr>
        <w:t>标项名称:</w:t>
      </w:r>
      <w:r>
        <w:rPr>
          <w:rFonts w:hint="eastAsia" w:ascii="宋体" w:hAnsi="宋体" w:cs="宋体"/>
          <w:szCs w:val="21"/>
          <w:lang w:eastAsia="zh-CN"/>
        </w:rPr>
        <w:t>宁海县桥头胡街道环卫保洁服务项目</w:t>
      </w:r>
    </w:p>
    <w:p>
      <w:pPr>
        <w:spacing w:line="360" w:lineRule="auto"/>
        <w:ind w:firstLine="420" w:firstLineChars="200"/>
        <w:rPr>
          <w:rFonts w:ascii="宋体" w:hAnsi="宋体" w:cs="宋体"/>
          <w:szCs w:val="21"/>
        </w:rPr>
      </w:pPr>
      <w:r>
        <w:rPr>
          <w:rFonts w:hint="eastAsia" w:ascii="宋体" w:hAnsi="宋体" w:cs="宋体"/>
          <w:szCs w:val="21"/>
        </w:rPr>
        <w:t>数量:1项</w:t>
      </w:r>
    </w:p>
    <w:p>
      <w:pPr>
        <w:spacing w:line="360" w:lineRule="auto"/>
        <w:ind w:firstLine="420" w:firstLineChars="200"/>
        <w:rPr>
          <w:rFonts w:ascii="宋体" w:hAnsi="宋体" w:cs="宋体"/>
          <w:szCs w:val="21"/>
        </w:rPr>
      </w:pPr>
      <w:r>
        <w:rPr>
          <w:rFonts w:hint="eastAsia" w:ascii="宋体" w:hAnsi="宋体" w:cs="宋体"/>
          <w:szCs w:val="21"/>
        </w:rPr>
        <w:t>预算金额（元）:</w:t>
      </w:r>
      <w:r>
        <w:rPr>
          <w:rFonts w:hint="eastAsia" w:ascii="宋体" w:hAnsi="宋体" w:cs="宋体"/>
          <w:szCs w:val="21"/>
          <w:lang w:val="en-US" w:eastAsia="zh-CN"/>
        </w:rPr>
        <w:t>4270000元/年；12810000元/3年；</w:t>
      </w:r>
      <w:r>
        <w:rPr>
          <w:rFonts w:hint="eastAsia" w:ascii="宋体" w:hAnsi="宋体" w:cs="宋体"/>
          <w:szCs w:val="21"/>
        </w:rPr>
        <w:t xml:space="preserve"> </w:t>
      </w:r>
    </w:p>
    <w:p>
      <w:pPr>
        <w:spacing w:line="360" w:lineRule="auto"/>
        <w:ind w:firstLine="420" w:firstLineChars="200"/>
        <w:rPr>
          <w:rFonts w:hint="eastAsia"/>
        </w:rPr>
      </w:pPr>
      <w:r>
        <w:rPr>
          <w:rFonts w:hint="eastAsia" w:ascii="宋体" w:hAnsi="宋体" w:cs="宋体"/>
          <w:szCs w:val="21"/>
        </w:rPr>
        <w:t>简要规格描述或项目基本概况介绍、用途：</w:t>
      </w:r>
      <w:r>
        <w:rPr>
          <w:rFonts w:hint="eastAsia"/>
        </w:rPr>
        <w:t>具体详见第二章 采购需求。</w:t>
      </w:r>
    </w:p>
    <w:p>
      <w:pPr>
        <w:numPr>
          <w:ilvl w:val="0"/>
          <w:numId w:val="4"/>
        </w:numPr>
        <w:spacing w:line="360" w:lineRule="auto"/>
        <w:ind w:firstLine="420" w:firstLineChars="200"/>
        <w:rPr>
          <w:rFonts w:hint="eastAsia" w:ascii="宋体" w:hAnsi="宋体" w:eastAsia="宋体" w:cs="宋体"/>
          <w:szCs w:val="21"/>
        </w:rPr>
      </w:pPr>
      <w:r>
        <w:rPr>
          <w:rFonts w:hint="eastAsia" w:ascii="宋体" w:hAnsi="宋体" w:eastAsia="宋体" w:cs="宋体"/>
          <w:szCs w:val="21"/>
          <w:highlight w:val="none"/>
        </w:rPr>
        <w:t>合同履行期限：本服务项目一招暂定三年，合同必须为一年一签。合同应符合政府采购预算安排要求，经批准，并经采购人考核验收，双方同意后，方可续签订下一年度的合同。合同续签后，应经原政府采购代理机构见证及备案，并报宁海县政府采购管理办公室。</w:t>
      </w:r>
    </w:p>
    <w:p>
      <w:pPr>
        <w:numPr>
          <w:ilvl w:val="0"/>
          <w:numId w:val="4"/>
        </w:numPr>
        <w:spacing w:line="360" w:lineRule="auto"/>
        <w:ind w:firstLineChars="200"/>
        <w:rPr>
          <w:rFonts w:hint="eastAsia" w:ascii="宋体" w:hAnsi="宋体" w:eastAsia="宋体" w:cs="宋体"/>
          <w:szCs w:val="21"/>
          <w:lang w:val="en-US" w:eastAsia="zh-CN"/>
        </w:rPr>
      </w:pPr>
      <w:r>
        <w:rPr>
          <w:rFonts w:hint="eastAsia" w:ascii="宋体" w:hAnsi="宋体" w:eastAsia="宋体" w:cs="宋体"/>
          <w:color w:val="000000"/>
          <w:sz w:val="21"/>
          <w:szCs w:val="21"/>
          <w:highlight w:val="none"/>
        </w:rPr>
        <w:t>本项目不接受联合体投标</w:t>
      </w:r>
      <w:r>
        <w:rPr>
          <w:rFonts w:hint="eastAsia" w:ascii="宋体" w:hAnsi="宋体" w:eastAsia="宋体" w:cs="宋体"/>
          <w:sz w:val="21"/>
          <w:szCs w:val="21"/>
          <w:lang w:eastAsia="zh-CN"/>
        </w:rPr>
        <w:t>。</w:t>
      </w:r>
    </w:p>
    <w:p>
      <w:pPr>
        <w:pStyle w:val="2"/>
        <w:spacing w:line="360" w:lineRule="auto"/>
        <w:ind w:left="452" w:leftChars="100" w:hanging="242" w:hangingChars="115"/>
        <w:rPr>
          <w:rFonts w:ascii="宋体" w:hAnsi="宋体" w:eastAsia="宋体" w:cs="宋体"/>
          <w:bCs w:val="0"/>
          <w:sz w:val="21"/>
          <w:szCs w:val="21"/>
        </w:rPr>
      </w:pPr>
      <w:bookmarkStart w:id="6" w:name="_Toc28359003"/>
      <w:bookmarkStart w:id="7" w:name="_Toc35393791"/>
      <w:bookmarkStart w:id="8" w:name="_Toc35393622"/>
      <w:bookmarkStart w:id="9" w:name="_Toc28359080"/>
      <w:r>
        <w:rPr>
          <w:rFonts w:hint="eastAsia" w:ascii="宋体" w:hAnsi="宋体" w:eastAsia="宋体" w:cs="宋体"/>
          <w:bCs w:val="0"/>
          <w:sz w:val="21"/>
          <w:szCs w:val="21"/>
        </w:rPr>
        <w:t>二、申请人的资格要求：</w:t>
      </w:r>
      <w:bookmarkEnd w:id="6"/>
      <w:bookmarkEnd w:id="7"/>
      <w:bookmarkEnd w:id="8"/>
      <w:bookmarkEnd w:id="9"/>
    </w:p>
    <w:p>
      <w:pPr>
        <w:spacing w:line="360" w:lineRule="auto"/>
        <w:ind w:firstLine="420" w:firstLineChars="200"/>
        <w:rPr>
          <w:rFonts w:ascii="宋体" w:hAnsi="宋体" w:cs="宋体"/>
          <w:szCs w:val="21"/>
        </w:rPr>
      </w:pPr>
      <w:r>
        <w:rPr>
          <w:rFonts w:hint="eastAsia" w:ascii="宋体" w:hAnsi="宋体" w:cs="宋体"/>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20" w:firstLineChars="200"/>
        <w:rPr>
          <w:rFonts w:ascii="宋体" w:hAnsi="宋体" w:cs="宋体"/>
          <w:szCs w:val="21"/>
        </w:rPr>
      </w:pPr>
      <w:bookmarkStart w:id="10" w:name="_Toc28359081"/>
      <w:bookmarkStart w:id="11" w:name="_Toc28359004"/>
      <w:r>
        <w:rPr>
          <w:rFonts w:hint="eastAsia" w:ascii="宋体" w:hAnsi="宋体" w:cs="宋体"/>
          <w:szCs w:val="21"/>
        </w:rPr>
        <w:t>2.落实政府采购政策需满足的资格要求：</w:t>
      </w:r>
      <w:r>
        <w:rPr>
          <w:rFonts w:hint="eastAsia" w:ascii="宋体" w:hAnsi="宋体" w:cs="宋体"/>
          <w:szCs w:val="21"/>
          <w:lang w:eastAsia="zh-CN"/>
        </w:rPr>
        <w:t>无</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3.本项目的特定资格要求：3.1单位负责人为同一人或者存在直接控股、管理关系的不同</w:t>
      </w:r>
      <w:r>
        <w:rPr>
          <w:rFonts w:hint="eastAsia" w:ascii="宋体" w:hAnsi="宋体" w:cs="宋体"/>
          <w:szCs w:val="21"/>
          <w:lang w:eastAsia="zh-CN"/>
        </w:rPr>
        <w:t>供应商</w:t>
      </w:r>
      <w:r>
        <w:rPr>
          <w:rFonts w:hint="eastAsia" w:ascii="宋体" w:hAnsi="宋体" w:cs="宋体"/>
          <w:szCs w:val="21"/>
        </w:rPr>
        <w:t>，不得参加同一合同项下的政府采购活动。除单一来源采购项目外，为采购项目提供整体设计、规范编制或者项目管理、监理、检测等服务的</w:t>
      </w:r>
      <w:r>
        <w:rPr>
          <w:rFonts w:hint="eastAsia" w:ascii="宋体" w:hAnsi="宋体" w:cs="宋体"/>
          <w:szCs w:val="21"/>
          <w:lang w:eastAsia="zh-CN"/>
        </w:rPr>
        <w:t>供应商</w:t>
      </w:r>
      <w:r>
        <w:rPr>
          <w:rFonts w:hint="eastAsia" w:ascii="宋体" w:hAnsi="宋体" w:cs="宋体"/>
          <w:szCs w:val="21"/>
        </w:rPr>
        <w:t>，不得再参加该采购项目的其他采购活动。3.2未在中国裁判文书网有行贿犯罪相关记录。（以投标截止日当天中国裁判文书网查询结果为准，如相关记录已失效，</w:t>
      </w:r>
      <w:r>
        <w:rPr>
          <w:rFonts w:hint="eastAsia" w:ascii="宋体" w:hAnsi="宋体" w:cs="宋体"/>
          <w:szCs w:val="21"/>
          <w:lang w:eastAsia="zh-CN"/>
        </w:rPr>
        <w:t>供应商</w:t>
      </w:r>
      <w:r>
        <w:rPr>
          <w:rFonts w:hint="eastAsia" w:ascii="宋体" w:hAnsi="宋体" w:cs="宋体"/>
          <w:szCs w:val="21"/>
        </w:rPr>
        <w:t>需提供相关证明资料；若在开标当天因不可抗力事件导致无法查询且一时无法恢复查询的，可在中标公示期间对中标候选人进行事后查询。中标候选人在中国裁判文书网有行贿犯罪相关记录，采购人将依法取消其中标资格）。</w:t>
      </w:r>
    </w:p>
    <w:p>
      <w:pPr>
        <w:pStyle w:val="2"/>
        <w:spacing w:line="360" w:lineRule="auto"/>
        <w:ind w:left="452" w:leftChars="100" w:hanging="242" w:hangingChars="115"/>
        <w:rPr>
          <w:rFonts w:ascii="宋体" w:hAnsi="宋体" w:eastAsia="宋体" w:cs="宋体"/>
          <w:bCs w:val="0"/>
          <w:sz w:val="21"/>
          <w:szCs w:val="21"/>
        </w:rPr>
      </w:pPr>
      <w:bookmarkStart w:id="12" w:name="_Toc35393623"/>
      <w:bookmarkStart w:id="13" w:name="_Toc35393792"/>
      <w:r>
        <w:rPr>
          <w:rFonts w:hint="eastAsia" w:ascii="宋体" w:hAnsi="宋体" w:eastAsia="宋体" w:cs="宋体"/>
          <w:bCs w:val="0"/>
          <w:sz w:val="21"/>
          <w:szCs w:val="21"/>
        </w:rPr>
        <w:t>三、获取招标文件</w:t>
      </w:r>
      <w:bookmarkEnd w:id="10"/>
      <w:bookmarkEnd w:id="11"/>
      <w:bookmarkEnd w:id="12"/>
      <w:bookmarkEnd w:id="13"/>
    </w:p>
    <w:p>
      <w:pPr>
        <w:spacing w:line="360" w:lineRule="auto"/>
        <w:ind w:firstLine="540"/>
        <w:rPr>
          <w:rFonts w:ascii="宋体" w:hAnsi="宋体" w:cs="宋体"/>
          <w:szCs w:val="21"/>
        </w:rPr>
      </w:pPr>
      <w:r>
        <w:rPr>
          <w:rFonts w:hint="eastAsia" w:ascii="宋体" w:hAnsi="宋体" w:cs="宋体"/>
          <w:szCs w:val="21"/>
        </w:rPr>
        <w:t>1.时间：</w:t>
      </w:r>
      <w:r>
        <w:rPr>
          <w:rFonts w:hint="eastAsia" w:ascii="宋体" w:hAnsi="宋体" w:cs="宋体"/>
          <w:szCs w:val="21"/>
          <w:u w:val="single"/>
        </w:rPr>
        <w:t>2023年</w:t>
      </w:r>
      <w:r>
        <w:rPr>
          <w:rFonts w:hint="eastAsia" w:ascii="宋体" w:hAnsi="宋体" w:cs="宋体"/>
          <w:szCs w:val="21"/>
          <w:u w:val="single"/>
          <w:lang w:val="en-US" w:eastAsia="zh-CN"/>
        </w:rPr>
        <w:t>5</w:t>
      </w:r>
      <w:r>
        <w:rPr>
          <w:rFonts w:hint="eastAsia" w:ascii="宋体" w:hAnsi="宋体" w:cs="宋体"/>
          <w:szCs w:val="21"/>
          <w:u w:val="single"/>
        </w:rPr>
        <w:t>月</w:t>
      </w:r>
      <w:r>
        <w:rPr>
          <w:rFonts w:hint="eastAsia" w:ascii="宋体" w:hAnsi="宋体" w:cs="宋体"/>
          <w:szCs w:val="21"/>
          <w:u w:val="single"/>
          <w:lang w:val="en-US" w:eastAsia="zh-CN"/>
        </w:rPr>
        <w:t>9</w:t>
      </w:r>
      <w:r>
        <w:rPr>
          <w:rFonts w:hint="eastAsia" w:ascii="宋体" w:hAnsi="宋体" w:cs="宋体"/>
          <w:szCs w:val="21"/>
          <w:u w:val="single"/>
        </w:rPr>
        <w:t>日</w:t>
      </w:r>
      <w:r>
        <w:rPr>
          <w:rFonts w:hint="eastAsia" w:ascii="宋体" w:hAnsi="宋体" w:cs="宋体"/>
          <w:szCs w:val="21"/>
        </w:rPr>
        <w:t>至</w:t>
      </w:r>
      <w:r>
        <w:rPr>
          <w:rFonts w:hint="eastAsia" w:ascii="宋体" w:hAnsi="宋体" w:cs="宋体"/>
          <w:szCs w:val="21"/>
          <w:u w:val="single"/>
        </w:rPr>
        <w:t>2023年</w:t>
      </w:r>
      <w:r>
        <w:rPr>
          <w:rFonts w:hint="eastAsia" w:ascii="宋体" w:hAnsi="宋体" w:cs="宋体"/>
          <w:szCs w:val="21"/>
          <w:u w:val="single"/>
          <w:lang w:val="en-US" w:eastAsia="zh-CN"/>
        </w:rPr>
        <w:t>5</w:t>
      </w:r>
      <w:r>
        <w:rPr>
          <w:rFonts w:hint="eastAsia" w:ascii="宋体" w:hAnsi="宋体" w:cs="宋体"/>
          <w:szCs w:val="21"/>
          <w:u w:val="single"/>
        </w:rPr>
        <w:t>月</w:t>
      </w:r>
      <w:r>
        <w:rPr>
          <w:rFonts w:hint="eastAsia" w:ascii="宋体" w:hAnsi="宋体" w:cs="宋体"/>
          <w:szCs w:val="21"/>
          <w:u w:val="single"/>
          <w:lang w:val="en-US" w:eastAsia="zh-CN"/>
        </w:rPr>
        <w:t>16</w:t>
      </w:r>
      <w:r>
        <w:rPr>
          <w:rFonts w:hint="eastAsia" w:ascii="宋体" w:hAnsi="宋体" w:cs="宋体"/>
          <w:szCs w:val="21"/>
          <w:u w:val="single"/>
        </w:rPr>
        <w:t>日</w:t>
      </w:r>
      <w:r>
        <w:rPr>
          <w:rFonts w:hint="eastAsia" w:ascii="宋体" w:hAnsi="宋体" w:cs="宋体"/>
          <w:szCs w:val="21"/>
          <w:lang w:val="en-US" w:eastAsia="zh-CN"/>
        </w:rPr>
        <w:t>,</w:t>
      </w:r>
      <w:r>
        <w:rPr>
          <w:rFonts w:hint="eastAsia" w:ascii="宋体" w:hAnsi="宋体" w:cs="宋体"/>
          <w:szCs w:val="21"/>
        </w:rPr>
        <w:t>每天上午</w:t>
      </w:r>
      <w:r>
        <w:rPr>
          <w:rFonts w:hint="eastAsia" w:ascii="宋体" w:hAnsi="宋体" w:cs="宋体"/>
          <w:szCs w:val="21"/>
          <w:u w:val="single"/>
        </w:rPr>
        <w:t>00:00</w:t>
      </w:r>
      <w:r>
        <w:rPr>
          <w:rFonts w:hint="eastAsia" w:ascii="宋体" w:hAnsi="宋体" w:cs="宋体"/>
          <w:szCs w:val="21"/>
        </w:rPr>
        <w:t>至</w:t>
      </w:r>
      <w:r>
        <w:rPr>
          <w:rFonts w:hint="eastAsia" w:ascii="宋体" w:hAnsi="宋体" w:cs="宋体"/>
          <w:szCs w:val="21"/>
          <w:u w:val="single"/>
        </w:rPr>
        <w:t>12:00</w:t>
      </w:r>
      <w:r>
        <w:rPr>
          <w:rFonts w:hint="eastAsia" w:ascii="宋体" w:hAnsi="宋体" w:cs="宋体"/>
          <w:szCs w:val="21"/>
        </w:rPr>
        <w:t>，下午</w:t>
      </w:r>
      <w:r>
        <w:rPr>
          <w:rFonts w:hint="eastAsia" w:ascii="宋体" w:hAnsi="宋体" w:cs="宋体"/>
          <w:szCs w:val="21"/>
          <w:u w:val="single"/>
        </w:rPr>
        <w:t>12:00</w:t>
      </w:r>
      <w:r>
        <w:rPr>
          <w:rFonts w:hint="eastAsia" w:ascii="宋体" w:hAnsi="宋体" w:cs="宋体"/>
          <w:szCs w:val="21"/>
        </w:rPr>
        <w:t>至</w:t>
      </w:r>
      <w:r>
        <w:rPr>
          <w:rFonts w:hint="eastAsia" w:ascii="宋体" w:hAnsi="宋体" w:cs="宋体"/>
          <w:szCs w:val="21"/>
          <w:u w:val="single"/>
        </w:rPr>
        <w:t>23:59</w:t>
      </w:r>
      <w:r>
        <w:rPr>
          <w:rFonts w:hint="eastAsia" w:ascii="宋体" w:hAnsi="宋体" w:cs="宋体"/>
          <w:szCs w:val="21"/>
        </w:rPr>
        <w:t>（北京时间，线上获取法定节假日均可，线下获取文件法定节假日除外）。</w:t>
      </w:r>
    </w:p>
    <w:p>
      <w:pPr>
        <w:spacing w:line="360" w:lineRule="auto"/>
        <w:ind w:firstLine="540"/>
        <w:rPr>
          <w:rFonts w:ascii="宋体" w:hAnsi="宋体" w:cs="宋体"/>
          <w:szCs w:val="21"/>
          <w:u w:val="single"/>
        </w:rPr>
      </w:pPr>
      <w:r>
        <w:rPr>
          <w:rFonts w:hint="eastAsia" w:ascii="宋体" w:hAnsi="宋体" w:cs="宋体"/>
          <w:szCs w:val="21"/>
        </w:rPr>
        <w:t>2.地点（网址）：政府采购云平台（www.zcygov.cn）。</w:t>
      </w:r>
    </w:p>
    <w:p>
      <w:pPr>
        <w:spacing w:line="360" w:lineRule="auto"/>
        <w:ind w:firstLine="540"/>
        <w:rPr>
          <w:rFonts w:ascii="宋体" w:hAnsi="宋体" w:cs="宋体"/>
          <w:szCs w:val="21"/>
          <w:u w:val="single"/>
        </w:rPr>
      </w:pPr>
      <w:r>
        <w:rPr>
          <w:rFonts w:hint="eastAsia" w:ascii="宋体" w:hAnsi="宋体" w:cs="宋体"/>
          <w:szCs w:val="21"/>
        </w:rPr>
        <w:t>3.方式：</w:t>
      </w:r>
      <w:r>
        <w:rPr>
          <w:rFonts w:hint="eastAsia" w:ascii="宋体" w:hAnsi="宋体" w:cs="宋体"/>
          <w:szCs w:val="21"/>
          <w:lang w:eastAsia="zh-CN"/>
        </w:rPr>
        <w:t>供应商</w:t>
      </w:r>
      <w:r>
        <w:rPr>
          <w:rFonts w:hint="eastAsia" w:ascii="宋体" w:hAnsi="宋体" w:cs="宋体"/>
          <w:szCs w:val="21"/>
        </w:rPr>
        <w:t>注册后直接登录“政府采购云平台”（www.zcygov.cn）下载电子招标文件。</w:t>
      </w:r>
      <w:r>
        <w:rPr>
          <w:rFonts w:hint="eastAsia" w:ascii="宋体" w:hAnsi="宋体" w:cs="宋体"/>
          <w:szCs w:val="21"/>
          <w:lang w:eastAsia="zh-CN"/>
        </w:rPr>
        <w:t>供应商</w:t>
      </w:r>
      <w:r>
        <w:rPr>
          <w:rFonts w:hint="eastAsia" w:ascii="宋体" w:hAnsi="宋体" w:cs="宋体"/>
          <w:szCs w:val="21"/>
        </w:rPr>
        <w:t>未在规定时间内或未按上述方式获取招标文件的，其投标无效。</w:t>
      </w:r>
    </w:p>
    <w:p>
      <w:pPr>
        <w:spacing w:line="360" w:lineRule="auto"/>
        <w:ind w:firstLine="540"/>
        <w:rPr>
          <w:rFonts w:ascii="宋体" w:hAnsi="宋体" w:cs="宋体"/>
          <w:szCs w:val="21"/>
        </w:rPr>
      </w:pPr>
      <w:r>
        <w:rPr>
          <w:rFonts w:hint="eastAsia" w:ascii="宋体" w:hAnsi="宋体" w:cs="宋体"/>
          <w:szCs w:val="21"/>
        </w:rPr>
        <w:t>4.售价（元）：0</w:t>
      </w:r>
    </w:p>
    <w:p>
      <w:pPr>
        <w:pStyle w:val="2"/>
        <w:spacing w:line="360" w:lineRule="auto"/>
        <w:ind w:left="452" w:leftChars="100" w:hanging="242" w:hangingChars="115"/>
        <w:rPr>
          <w:rFonts w:ascii="宋体" w:hAnsi="宋体" w:eastAsia="宋体" w:cs="宋体"/>
          <w:bCs w:val="0"/>
          <w:sz w:val="21"/>
          <w:szCs w:val="21"/>
        </w:rPr>
      </w:pPr>
      <w:bookmarkStart w:id="14" w:name="_Toc28359082"/>
      <w:bookmarkStart w:id="15" w:name="_Toc28359005"/>
      <w:bookmarkStart w:id="16" w:name="_Toc35393793"/>
      <w:bookmarkStart w:id="17" w:name="_Toc35393624"/>
      <w:r>
        <w:rPr>
          <w:rFonts w:hint="eastAsia" w:ascii="宋体" w:hAnsi="宋体" w:eastAsia="宋体" w:cs="宋体"/>
          <w:bCs w:val="0"/>
          <w:sz w:val="21"/>
          <w:szCs w:val="21"/>
        </w:rPr>
        <w:t>四、提交投标文件</w:t>
      </w:r>
      <w:bookmarkEnd w:id="14"/>
      <w:bookmarkEnd w:id="15"/>
      <w:r>
        <w:rPr>
          <w:rFonts w:hint="eastAsia" w:ascii="宋体" w:hAnsi="宋体" w:eastAsia="宋体" w:cs="宋体"/>
          <w:bCs w:val="0"/>
          <w:sz w:val="21"/>
          <w:szCs w:val="21"/>
        </w:rPr>
        <w:t>截止时间、开标时间和地点</w:t>
      </w:r>
      <w:bookmarkEnd w:id="16"/>
      <w:bookmarkEnd w:id="17"/>
    </w:p>
    <w:p>
      <w:pPr>
        <w:spacing w:line="336" w:lineRule="auto"/>
        <w:ind w:firstLine="540"/>
        <w:rPr>
          <w:rFonts w:ascii="宋体" w:hAnsi="宋体" w:cs="宋体"/>
          <w:szCs w:val="21"/>
        </w:rPr>
      </w:pPr>
      <w:r>
        <w:rPr>
          <w:rFonts w:hint="eastAsia" w:ascii="宋体" w:hAnsi="宋体" w:cs="宋体"/>
          <w:szCs w:val="21"/>
        </w:rPr>
        <w:t>1.提交投标文件截止时间：2023年</w:t>
      </w: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31</w:t>
      </w:r>
      <w:r>
        <w:rPr>
          <w:rFonts w:hint="eastAsia" w:ascii="宋体" w:hAnsi="宋体" w:cs="宋体"/>
          <w:szCs w:val="21"/>
        </w:rPr>
        <w:t>日</w:t>
      </w:r>
      <w:r>
        <w:rPr>
          <w:rFonts w:hint="eastAsia" w:ascii="宋体" w:hAnsi="宋体" w:cs="宋体"/>
          <w:szCs w:val="21"/>
          <w:lang w:val="en-US" w:eastAsia="zh-CN"/>
        </w:rPr>
        <w:t>13:30分</w:t>
      </w:r>
      <w:r>
        <w:rPr>
          <w:rFonts w:hint="eastAsia" w:ascii="宋体" w:hAnsi="宋体" w:cs="宋体"/>
          <w:szCs w:val="21"/>
        </w:rPr>
        <w:t>（北京时间）。</w:t>
      </w:r>
    </w:p>
    <w:p>
      <w:pPr>
        <w:spacing w:line="336" w:lineRule="auto"/>
        <w:ind w:firstLine="540"/>
        <w:rPr>
          <w:rFonts w:ascii="宋体" w:hAnsi="宋体" w:cs="宋体"/>
          <w:szCs w:val="21"/>
        </w:rPr>
      </w:pPr>
      <w:r>
        <w:rPr>
          <w:rFonts w:hint="eastAsia" w:ascii="宋体" w:hAnsi="宋体" w:cs="宋体"/>
          <w:szCs w:val="21"/>
        </w:rPr>
        <w:t>2.投标地点（网址）：</w:t>
      </w:r>
      <w:r>
        <w:rPr>
          <w:rFonts w:hint="eastAsia" w:ascii="宋体" w:hAnsi="宋体" w:cs="宋体"/>
          <w:szCs w:val="21"/>
          <w:u w:val="single"/>
        </w:rPr>
        <w:t>政府采购云平台（www.zcygov.cn）</w:t>
      </w:r>
      <w:r>
        <w:rPr>
          <w:rFonts w:hint="eastAsia" w:ascii="宋体" w:hAnsi="宋体" w:cs="宋体"/>
          <w:szCs w:val="21"/>
        </w:rPr>
        <w:t>。</w:t>
      </w:r>
    </w:p>
    <w:p>
      <w:pPr>
        <w:spacing w:line="336" w:lineRule="auto"/>
        <w:ind w:firstLine="540"/>
        <w:rPr>
          <w:rFonts w:ascii="宋体" w:hAnsi="宋体" w:cs="宋体"/>
          <w:szCs w:val="21"/>
        </w:rPr>
      </w:pPr>
      <w:r>
        <w:rPr>
          <w:rFonts w:hint="eastAsia" w:ascii="宋体" w:hAnsi="宋体" w:cs="宋体"/>
          <w:szCs w:val="21"/>
        </w:rPr>
        <w:t>3.开标时间：2023年</w:t>
      </w: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31</w:t>
      </w:r>
      <w:r>
        <w:rPr>
          <w:rFonts w:hint="eastAsia" w:ascii="宋体" w:hAnsi="宋体" w:cs="宋体"/>
          <w:szCs w:val="21"/>
        </w:rPr>
        <w:t>日</w:t>
      </w:r>
      <w:r>
        <w:rPr>
          <w:rFonts w:hint="eastAsia" w:ascii="宋体" w:hAnsi="宋体" w:cs="宋体"/>
          <w:szCs w:val="21"/>
          <w:lang w:val="en-US" w:eastAsia="zh-CN"/>
        </w:rPr>
        <w:t>13:30分</w:t>
      </w:r>
      <w:r>
        <w:rPr>
          <w:rFonts w:hint="eastAsia" w:ascii="宋体" w:hAnsi="宋体" w:cs="宋体"/>
          <w:szCs w:val="21"/>
        </w:rPr>
        <w:t>（北京时间）</w:t>
      </w:r>
    </w:p>
    <w:p>
      <w:pPr>
        <w:spacing w:line="360" w:lineRule="auto"/>
        <w:ind w:firstLine="540"/>
        <w:rPr>
          <w:rFonts w:ascii="宋体" w:hAnsi="宋体" w:cs="宋体"/>
          <w:szCs w:val="21"/>
        </w:rPr>
      </w:pPr>
      <w:r>
        <w:rPr>
          <w:rFonts w:hint="eastAsia" w:ascii="宋体" w:hAnsi="宋体" w:cs="宋体"/>
          <w:szCs w:val="21"/>
        </w:rPr>
        <w:t>4.开标地点（网址）：</w:t>
      </w:r>
      <w:r>
        <w:rPr>
          <w:rFonts w:hint="eastAsia" w:ascii="宋体" w:hAnsi="宋体" w:cs="宋体"/>
          <w:szCs w:val="21"/>
          <w:u w:val="single"/>
        </w:rPr>
        <w:t>政府采购云平台（www.zcygov.cn）</w:t>
      </w:r>
      <w:r>
        <w:rPr>
          <w:rFonts w:hint="eastAsia" w:ascii="宋体" w:hAnsi="宋体" w:cs="宋体"/>
          <w:szCs w:val="21"/>
        </w:rPr>
        <w:t>。</w:t>
      </w:r>
    </w:p>
    <w:p>
      <w:pPr>
        <w:pStyle w:val="2"/>
        <w:spacing w:line="360" w:lineRule="auto"/>
        <w:ind w:left="452" w:leftChars="100" w:hanging="242" w:hangingChars="115"/>
        <w:rPr>
          <w:rFonts w:ascii="宋体" w:hAnsi="宋体" w:eastAsia="宋体" w:cs="宋体"/>
          <w:bCs w:val="0"/>
          <w:sz w:val="21"/>
          <w:szCs w:val="21"/>
        </w:rPr>
      </w:pPr>
      <w:bookmarkStart w:id="18" w:name="_Toc35393625"/>
      <w:bookmarkStart w:id="19" w:name="_Toc28359084"/>
      <w:bookmarkStart w:id="20" w:name="_Toc35393794"/>
      <w:bookmarkStart w:id="21" w:name="_Toc28359007"/>
      <w:r>
        <w:rPr>
          <w:rFonts w:hint="eastAsia" w:ascii="宋体" w:hAnsi="宋体" w:eastAsia="宋体" w:cs="宋体"/>
          <w:bCs w:val="0"/>
          <w:sz w:val="21"/>
          <w:szCs w:val="21"/>
        </w:rPr>
        <w:t>五、公告期限</w:t>
      </w:r>
      <w:bookmarkEnd w:id="18"/>
      <w:bookmarkEnd w:id="19"/>
      <w:bookmarkEnd w:id="20"/>
      <w:bookmarkEnd w:id="21"/>
    </w:p>
    <w:p>
      <w:pPr>
        <w:spacing w:line="360" w:lineRule="auto"/>
        <w:ind w:firstLine="420" w:firstLineChars="200"/>
        <w:rPr>
          <w:rFonts w:ascii="宋体" w:hAnsi="宋体" w:cs="宋体"/>
          <w:kern w:val="0"/>
          <w:szCs w:val="21"/>
        </w:rPr>
      </w:pPr>
      <w:r>
        <w:rPr>
          <w:rFonts w:hint="eastAsia" w:ascii="宋体" w:hAnsi="宋体" w:cs="宋体"/>
          <w:kern w:val="0"/>
          <w:szCs w:val="21"/>
        </w:rPr>
        <w:t>自本公告发布之日起5个工作日。</w:t>
      </w:r>
    </w:p>
    <w:p>
      <w:pPr>
        <w:pStyle w:val="2"/>
        <w:spacing w:line="360" w:lineRule="auto"/>
        <w:ind w:left="452" w:leftChars="100" w:hanging="242" w:hangingChars="115"/>
        <w:rPr>
          <w:rFonts w:ascii="宋体" w:hAnsi="宋体" w:eastAsia="宋体" w:cs="宋体"/>
          <w:bCs w:val="0"/>
          <w:sz w:val="21"/>
          <w:szCs w:val="21"/>
        </w:rPr>
      </w:pPr>
      <w:bookmarkStart w:id="22" w:name="_Toc35393795"/>
      <w:bookmarkStart w:id="23" w:name="_Toc35393626"/>
      <w:r>
        <w:rPr>
          <w:rFonts w:hint="eastAsia" w:ascii="宋体" w:hAnsi="宋体" w:eastAsia="宋体" w:cs="宋体"/>
          <w:bCs w:val="0"/>
          <w:sz w:val="21"/>
          <w:szCs w:val="21"/>
        </w:rPr>
        <w:t>六、其他补充事宜</w:t>
      </w:r>
      <w:bookmarkEnd w:id="22"/>
      <w:bookmarkEnd w:id="23"/>
    </w:p>
    <w:p>
      <w:pPr>
        <w:widowControl/>
        <w:spacing w:line="336" w:lineRule="auto"/>
        <w:ind w:firstLine="420" w:firstLineChars="200"/>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eastAsia="zh-CN"/>
        </w:rPr>
        <w:t>供应商</w:t>
      </w:r>
      <w:r>
        <w:rPr>
          <w:rFonts w:hint="eastAsia" w:ascii="宋体" w:hAnsi="宋体" w:cs="宋体"/>
          <w:kern w:val="0"/>
          <w:szCs w:val="21"/>
        </w:rPr>
        <w:t>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w:t>
      </w:r>
      <w:r>
        <w:rPr>
          <w:rFonts w:hint="eastAsia" w:ascii="宋体" w:hAnsi="宋体" w:cs="宋体"/>
          <w:kern w:val="0"/>
          <w:szCs w:val="21"/>
          <w:lang w:eastAsia="zh-CN"/>
        </w:rPr>
        <w:t>供应商</w:t>
      </w:r>
      <w:r>
        <w:rPr>
          <w:rFonts w:hint="eastAsia" w:ascii="宋体" w:hAnsi="宋体" w:cs="宋体"/>
          <w:kern w:val="0"/>
          <w:szCs w:val="21"/>
        </w:rPr>
        <w:t>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36" w:lineRule="auto"/>
        <w:ind w:firstLine="420" w:firstLineChars="200"/>
        <w:rPr>
          <w:rFonts w:ascii="宋体" w:hAnsi="宋体" w:cs="宋体"/>
          <w:kern w:val="0"/>
          <w:szCs w:val="21"/>
        </w:rPr>
      </w:pPr>
      <w:r>
        <w:rPr>
          <w:rFonts w:hint="eastAsia" w:ascii="宋体" w:hAnsi="宋体" w:cs="宋体"/>
          <w:kern w:val="0"/>
          <w:szCs w:val="21"/>
        </w:rPr>
        <w:t>2.其他事项：</w:t>
      </w:r>
    </w:p>
    <w:p>
      <w:pPr>
        <w:widowControl/>
        <w:spacing w:line="336" w:lineRule="auto"/>
        <w:ind w:firstLine="420" w:firstLineChars="200"/>
        <w:rPr>
          <w:rFonts w:ascii="宋体" w:hAnsi="宋体" w:cs="宋体"/>
          <w:kern w:val="0"/>
          <w:szCs w:val="21"/>
        </w:rPr>
      </w:pPr>
      <w:r>
        <w:rPr>
          <w:rFonts w:hint="eastAsia" w:ascii="宋体" w:hAnsi="宋体" w:cs="宋体"/>
          <w:kern w:val="0"/>
          <w:szCs w:val="21"/>
        </w:rPr>
        <w:t>2.1落实的政策：</w:t>
      </w:r>
    </w:p>
    <w:p>
      <w:pPr>
        <w:widowControl/>
        <w:spacing w:line="336" w:lineRule="auto"/>
        <w:ind w:firstLine="420" w:firstLineChars="200"/>
        <w:rPr>
          <w:rFonts w:ascii="宋体" w:hAnsi="宋体" w:cs="宋体"/>
          <w:kern w:val="0"/>
          <w:szCs w:val="21"/>
        </w:rPr>
      </w:pPr>
      <w:r>
        <w:rPr>
          <w:rFonts w:hint="eastAsia" w:ascii="宋体" w:hAnsi="宋体" w:cs="宋体"/>
          <w:kern w:val="0"/>
          <w:szCs w:val="21"/>
        </w:rPr>
        <w:t>2.1.1对小微企业的产品给予价格优惠（监狱企业、残疾人福利性单位视同小微企业；残疾人福</w:t>
      </w:r>
    </w:p>
    <w:p>
      <w:pPr>
        <w:widowControl/>
        <w:spacing w:line="336" w:lineRule="auto"/>
        <w:ind w:firstLine="420" w:firstLineChars="200"/>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2</w:t>
      </w:r>
      <w:r>
        <w:rPr>
          <w:rFonts w:hint="eastAsia" w:ascii="宋体" w:hAnsi="宋体" w:cs="宋体"/>
          <w:kern w:val="0"/>
          <w:szCs w:val="21"/>
        </w:rPr>
        <w:t>投标与开标注意事项</w:t>
      </w:r>
    </w:p>
    <w:p>
      <w:pPr>
        <w:widowControl/>
        <w:spacing w:line="336" w:lineRule="auto"/>
        <w:ind w:firstLine="420" w:firstLineChars="200"/>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2</w:t>
      </w:r>
      <w:r>
        <w:rPr>
          <w:rFonts w:hint="eastAsia" w:ascii="宋体" w:hAnsi="宋体" w:cs="宋体"/>
          <w:kern w:val="0"/>
          <w:szCs w:val="21"/>
        </w:rPr>
        <w:t>.1本项目实行网上投标，采用电子投标文件。若</w:t>
      </w:r>
      <w:r>
        <w:rPr>
          <w:rFonts w:hint="eastAsia" w:ascii="宋体" w:hAnsi="宋体" w:cs="宋体"/>
          <w:kern w:val="0"/>
          <w:szCs w:val="21"/>
          <w:lang w:eastAsia="zh-CN"/>
        </w:rPr>
        <w:t>供应商</w:t>
      </w:r>
      <w:r>
        <w:rPr>
          <w:rFonts w:hint="eastAsia" w:ascii="宋体" w:hAnsi="宋体" w:cs="宋体"/>
          <w:kern w:val="0"/>
          <w:szCs w:val="21"/>
        </w:rPr>
        <w:t>参与投标，自行承担投标一切费用。</w:t>
      </w:r>
    </w:p>
    <w:p>
      <w:pPr>
        <w:widowControl/>
        <w:spacing w:line="336" w:lineRule="auto"/>
        <w:ind w:firstLine="420" w:firstLineChars="200"/>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2</w:t>
      </w:r>
      <w:r>
        <w:rPr>
          <w:rFonts w:hint="eastAsia" w:ascii="宋体" w:hAnsi="宋体" w:cs="宋体"/>
          <w:kern w:val="0"/>
          <w:szCs w:val="21"/>
        </w:rPr>
        <w:t>.2标前准备：各</w:t>
      </w:r>
      <w:r>
        <w:rPr>
          <w:rFonts w:hint="eastAsia" w:ascii="宋体" w:hAnsi="宋体" w:cs="宋体"/>
          <w:kern w:val="0"/>
          <w:szCs w:val="21"/>
          <w:lang w:eastAsia="zh-CN"/>
        </w:rPr>
        <w:t>供应商</w:t>
      </w:r>
      <w:r>
        <w:rPr>
          <w:rFonts w:hint="eastAsia" w:ascii="宋体" w:hAnsi="宋体" w:cs="宋体"/>
          <w:kern w:val="0"/>
          <w:szCs w:val="21"/>
        </w:rPr>
        <w:t>应在开标前确保成为浙江政府采购网正式注册入库</w:t>
      </w:r>
      <w:r>
        <w:rPr>
          <w:rFonts w:hint="eastAsia" w:ascii="宋体" w:hAnsi="宋体" w:cs="宋体"/>
          <w:kern w:val="0"/>
          <w:szCs w:val="21"/>
          <w:lang w:eastAsia="zh-CN"/>
        </w:rPr>
        <w:t>供应商</w:t>
      </w:r>
      <w:r>
        <w:rPr>
          <w:rFonts w:hint="eastAsia" w:ascii="宋体" w:hAnsi="宋体" w:cs="宋体"/>
          <w:kern w:val="0"/>
          <w:szCs w:val="21"/>
        </w:rPr>
        <w:t>，并完成CA数字证书办理。因未注册入库、未办理CA数字证书等原因造成无法投标或投标失败等后果由</w:t>
      </w:r>
      <w:r>
        <w:rPr>
          <w:rFonts w:hint="eastAsia" w:ascii="宋体" w:hAnsi="宋体" w:cs="宋体"/>
          <w:kern w:val="0"/>
          <w:szCs w:val="21"/>
          <w:lang w:eastAsia="zh-CN"/>
        </w:rPr>
        <w:t>供应商</w:t>
      </w:r>
      <w:r>
        <w:rPr>
          <w:rFonts w:hint="eastAsia" w:ascii="宋体" w:hAnsi="宋体" w:cs="宋体"/>
          <w:kern w:val="0"/>
          <w:szCs w:val="21"/>
        </w:rPr>
        <w:t>自行承担。</w:t>
      </w:r>
    </w:p>
    <w:p>
      <w:pPr>
        <w:widowControl/>
        <w:spacing w:line="336" w:lineRule="auto"/>
        <w:ind w:firstLine="420" w:firstLineChars="200"/>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2</w:t>
      </w:r>
      <w:r>
        <w:rPr>
          <w:rFonts w:hint="eastAsia" w:ascii="宋体" w:hAnsi="宋体" w:cs="宋体"/>
          <w:kern w:val="0"/>
          <w:szCs w:val="21"/>
        </w:rPr>
        <w:t>.3投标文件制作：</w:t>
      </w:r>
    </w:p>
    <w:p>
      <w:pPr>
        <w:widowControl/>
        <w:spacing w:line="336" w:lineRule="auto"/>
        <w:ind w:firstLine="420" w:firstLineChars="200"/>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2</w:t>
      </w:r>
      <w:r>
        <w:rPr>
          <w:rFonts w:hint="eastAsia" w:ascii="宋体" w:hAnsi="宋体" w:cs="宋体"/>
          <w:kern w:val="0"/>
          <w:szCs w:val="21"/>
        </w:rPr>
        <w:t>.3.1应按照本项目招标文件和政府采购云平台的要求编制、加密并递交投标文件。</w:t>
      </w:r>
      <w:r>
        <w:rPr>
          <w:rFonts w:hint="eastAsia" w:ascii="宋体" w:hAnsi="宋体" w:cs="宋体"/>
          <w:kern w:val="0"/>
          <w:szCs w:val="21"/>
          <w:lang w:eastAsia="zh-CN"/>
        </w:rPr>
        <w:t>供应商</w:t>
      </w:r>
      <w:r>
        <w:rPr>
          <w:rFonts w:hint="eastAsia" w:ascii="宋体" w:hAnsi="宋体" w:cs="宋体"/>
          <w:kern w:val="0"/>
          <w:szCs w:val="21"/>
        </w:rPr>
        <w:t>在使用系统进行投标的过程中遇到涉及平台使用的任何问题，可致电政府采购云平台技术支持热线咨询，联系方式：400-8817190。</w:t>
      </w:r>
    </w:p>
    <w:p>
      <w:pPr>
        <w:widowControl/>
        <w:spacing w:line="336" w:lineRule="auto"/>
        <w:ind w:firstLine="420" w:firstLineChars="200"/>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2</w:t>
      </w:r>
      <w:r>
        <w:rPr>
          <w:rFonts w:hint="eastAsia" w:ascii="宋体" w:hAnsi="宋体" w:cs="宋体"/>
          <w:kern w:val="0"/>
          <w:szCs w:val="21"/>
        </w:rPr>
        <w:t>.3.2</w:t>
      </w:r>
      <w:r>
        <w:rPr>
          <w:rFonts w:hint="eastAsia" w:ascii="宋体" w:hAnsi="宋体" w:cs="宋体"/>
          <w:kern w:val="0"/>
          <w:szCs w:val="21"/>
          <w:lang w:eastAsia="zh-CN"/>
        </w:rPr>
        <w:t>供应商</w:t>
      </w:r>
      <w:r>
        <w:rPr>
          <w:rFonts w:hint="eastAsia" w:ascii="宋体" w:hAnsi="宋体" w:cs="宋体"/>
          <w:kern w:val="0"/>
          <w:szCs w:val="21"/>
        </w:rPr>
        <w:t>通过政府采购云平台电子投标工具制作投标文件，电子投标工具请</w:t>
      </w:r>
      <w:r>
        <w:rPr>
          <w:rFonts w:hint="eastAsia" w:ascii="宋体" w:hAnsi="宋体" w:cs="宋体"/>
          <w:kern w:val="0"/>
          <w:szCs w:val="21"/>
          <w:lang w:eastAsia="zh-CN"/>
        </w:rPr>
        <w:t>供应商</w:t>
      </w:r>
      <w:r>
        <w:rPr>
          <w:rFonts w:hint="eastAsia" w:ascii="宋体" w:hAnsi="宋体" w:cs="宋体"/>
          <w:kern w:val="0"/>
          <w:szCs w:val="21"/>
        </w:rPr>
        <w:t>自行前往浙江政府采购网下载并安装，投标文件制作具体流程详见政府采购云平台。</w:t>
      </w:r>
    </w:p>
    <w:p>
      <w:pPr>
        <w:widowControl/>
        <w:spacing w:line="336" w:lineRule="auto"/>
        <w:ind w:firstLine="420" w:firstLineChars="200"/>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2</w:t>
      </w:r>
      <w:r>
        <w:rPr>
          <w:rFonts w:hint="eastAsia" w:ascii="宋体" w:hAnsi="宋体" w:cs="宋体"/>
          <w:kern w:val="0"/>
          <w:szCs w:val="21"/>
        </w:rPr>
        <w:t>.3.3以U盘存储的电子备份投标文件1份，按政府采购云平台要求</w:t>
      </w:r>
      <w:r>
        <w:rPr>
          <w:rFonts w:hint="eastAsia" w:ascii="宋体" w:hAnsi="宋体" w:cs="宋体"/>
          <w:szCs w:val="21"/>
        </w:rPr>
        <w:t>制作的电子备份文件</w:t>
      </w:r>
      <w:r>
        <w:rPr>
          <w:rFonts w:hint="eastAsia" w:ascii="宋体" w:hAnsi="宋体" w:cs="宋体"/>
          <w:kern w:val="0"/>
          <w:szCs w:val="21"/>
        </w:rPr>
        <w:t>，以用于异常情况处理。</w:t>
      </w:r>
    </w:p>
    <w:p>
      <w:pPr>
        <w:snapToGrid w:val="0"/>
        <w:spacing w:line="360" w:lineRule="auto"/>
        <w:ind w:firstLine="420"/>
        <w:rPr>
          <w:rFonts w:ascii="宋体" w:hAnsi="宋体" w:cs="宋体"/>
          <w:bCs/>
          <w:szCs w:val="21"/>
        </w:rPr>
      </w:pPr>
      <w:r>
        <w:rPr>
          <w:rFonts w:hint="eastAsia" w:ascii="宋体" w:hAnsi="宋体" w:cs="宋体"/>
          <w:kern w:val="0"/>
          <w:szCs w:val="21"/>
        </w:rPr>
        <w:t>2.</w:t>
      </w:r>
      <w:r>
        <w:rPr>
          <w:rFonts w:hint="eastAsia" w:ascii="宋体" w:hAnsi="宋体" w:cs="宋体"/>
          <w:kern w:val="0"/>
          <w:szCs w:val="21"/>
          <w:lang w:val="en-US" w:eastAsia="zh-CN"/>
        </w:rPr>
        <w:t>3</w:t>
      </w:r>
      <w:r>
        <w:rPr>
          <w:rFonts w:hint="eastAsia" w:ascii="宋体" w:hAnsi="宋体" w:cs="宋体"/>
          <w:kern w:val="0"/>
          <w:szCs w:val="21"/>
        </w:rPr>
        <w:t>本招标公告附件中的招标文件仅供阅览使用，</w:t>
      </w:r>
      <w:r>
        <w:rPr>
          <w:rFonts w:hint="eastAsia" w:ascii="宋体" w:hAnsi="宋体" w:cs="宋体"/>
          <w:kern w:val="0"/>
          <w:szCs w:val="21"/>
          <w:lang w:eastAsia="zh-CN"/>
        </w:rPr>
        <w:t>供应商</w:t>
      </w:r>
      <w:r>
        <w:rPr>
          <w:rFonts w:hint="eastAsia" w:ascii="宋体" w:hAnsi="宋体" w:cs="宋体"/>
          <w:kern w:val="0"/>
          <w:szCs w:val="21"/>
        </w:rPr>
        <w:t>应在规定的招标文件获取期限内在政采云平台登录</w:t>
      </w:r>
      <w:r>
        <w:rPr>
          <w:rFonts w:hint="eastAsia" w:ascii="宋体" w:hAnsi="宋体" w:cs="宋体"/>
          <w:kern w:val="0"/>
          <w:szCs w:val="21"/>
          <w:lang w:eastAsia="zh-CN"/>
        </w:rPr>
        <w:t>供应商</w:t>
      </w:r>
      <w:r>
        <w:rPr>
          <w:rFonts w:hint="eastAsia" w:ascii="宋体" w:hAnsi="宋体" w:cs="宋体"/>
          <w:kern w:val="0"/>
          <w:szCs w:val="21"/>
        </w:rPr>
        <w:t>注册的账号后获取招标文件，未按上述方式获取招标文件的，不得对招标文件提起质疑投诉。</w:t>
      </w:r>
    </w:p>
    <w:p>
      <w:pPr>
        <w:widowControl/>
        <w:spacing w:line="336" w:lineRule="auto"/>
        <w:ind w:firstLine="420" w:firstLineChars="200"/>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4</w:t>
      </w:r>
      <w:r>
        <w:rPr>
          <w:rFonts w:hint="eastAsia" w:ascii="宋体" w:hAnsi="宋体" w:cs="宋体"/>
          <w:kern w:val="0"/>
          <w:szCs w:val="21"/>
          <w:lang w:eastAsia="zh-CN"/>
        </w:rPr>
        <w:t>供应商</w:t>
      </w:r>
      <w:r>
        <w:rPr>
          <w:rFonts w:hint="eastAsia" w:ascii="宋体" w:hAnsi="宋体" w:cs="宋体"/>
          <w:kern w:val="0"/>
          <w:szCs w:val="21"/>
        </w:rPr>
        <w:t>应于投标截止时间前将电子投标文件上传到政府采购云平台www.zcygov.cn，未上传电子投标文件，视为</w:t>
      </w:r>
      <w:r>
        <w:rPr>
          <w:rFonts w:hint="eastAsia" w:ascii="宋体" w:hAnsi="宋体" w:cs="宋体"/>
          <w:kern w:val="0"/>
          <w:szCs w:val="21"/>
          <w:lang w:eastAsia="zh-CN"/>
        </w:rPr>
        <w:t>供应商</w:t>
      </w:r>
      <w:r>
        <w:rPr>
          <w:rFonts w:hint="eastAsia" w:ascii="宋体" w:hAnsi="宋体" w:cs="宋体"/>
          <w:kern w:val="0"/>
          <w:szCs w:val="21"/>
        </w:rPr>
        <w:t>放弃投标。</w:t>
      </w:r>
    </w:p>
    <w:p>
      <w:pPr>
        <w:widowControl/>
        <w:spacing w:line="336" w:lineRule="auto"/>
        <w:ind w:firstLine="420" w:firstLineChars="200"/>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5</w:t>
      </w:r>
      <w:r>
        <w:rPr>
          <w:rFonts w:hint="eastAsia" w:ascii="宋体" w:hAnsi="宋体" w:cs="宋体"/>
          <w:kern w:val="0"/>
          <w:szCs w:val="21"/>
          <w:lang w:eastAsia="zh-CN"/>
        </w:rPr>
        <w:t>供应商</w:t>
      </w:r>
      <w:r>
        <w:rPr>
          <w:rFonts w:hint="eastAsia" w:ascii="宋体" w:hAnsi="宋体" w:cs="宋体"/>
          <w:kern w:val="0"/>
          <w:szCs w:val="21"/>
        </w:rPr>
        <w:t>如提供备份投标文件的，应于提交投标文件截止时间前，将以U盘存储的电子备份投标文件密封，递交至</w:t>
      </w:r>
      <w:r>
        <w:rPr>
          <w:rFonts w:hint="eastAsia" w:ascii="宋体" w:hAnsi="宋体" w:cs="宋体"/>
          <w:szCs w:val="21"/>
          <w:u w:val="single"/>
        </w:rPr>
        <w:t>宁海县公共资源交易中心（宁海县桃源街道金水东路5号五楼，详见五楼大厅公告）</w:t>
      </w:r>
      <w:r>
        <w:rPr>
          <w:rFonts w:hint="eastAsia" w:ascii="宋体" w:hAnsi="宋体" w:cs="宋体"/>
          <w:kern w:val="0"/>
          <w:szCs w:val="21"/>
        </w:rPr>
        <w:t>，逾期送达或未密封将予以拒收。</w:t>
      </w:r>
      <w:r>
        <w:rPr>
          <w:rFonts w:hint="eastAsia" w:ascii="宋体" w:hAnsi="宋体" w:cs="宋体"/>
          <w:kern w:val="0"/>
          <w:szCs w:val="21"/>
          <w:lang w:eastAsia="zh-CN"/>
        </w:rPr>
        <w:t>供应商</w:t>
      </w:r>
      <w:r>
        <w:rPr>
          <w:rFonts w:hint="eastAsia" w:ascii="宋体" w:hAnsi="宋体" w:cs="宋体"/>
          <w:kern w:val="0"/>
          <w:szCs w:val="21"/>
        </w:rPr>
        <w:t>仅提供以U盘存储的电子备份投标文件的，投标无效。</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6</w:t>
      </w:r>
      <w:r>
        <w:rPr>
          <w:rFonts w:hint="eastAsia" w:ascii="宋体" w:hAnsi="宋体" w:cs="宋体"/>
          <w:kern w:val="0"/>
          <w:szCs w:val="21"/>
        </w:rPr>
        <w:t>采购代理机构将在招标文件规定的开标时间通过政府采购云平台组织开标、开启投标文件，所有</w:t>
      </w:r>
      <w:r>
        <w:rPr>
          <w:rFonts w:hint="eastAsia" w:ascii="宋体" w:hAnsi="宋体" w:cs="宋体"/>
          <w:kern w:val="0"/>
          <w:szCs w:val="21"/>
          <w:lang w:eastAsia="zh-CN"/>
        </w:rPr>
        <w:t>供应商</w:t>
      </w:r>
      <w:r>
        <w:rPr>
          <w:rFonts w:hint="eastAsia" w:ascii="宋体" w:hAnsi="宋体" w:cs="宋体"/>
          <w:kern w:val="0"/>
          <w:szCs w:val="21"/>
        </w:rPr>
        <w:t>均应准时在线参加。开标时间后30分钟内</w:t>
      </w:r>
      <w:r>
        <w:rPr>
          <w:rFonts w:hint="eastAsia" w:ascii="宋体" w:hAnsi="宋体" w:cs="宋体"/>
          <w:kern w:val="0"/>
          <w:szCs w:val="21"/>
          <w:lang w:eastAsia="zh-CN"/>
        </w:rPr>
        <w:t>供应商</w:t>
      </w:r>
      <w:r>
        <w:rPr>
          <w:rFonts w:hint="eastAsia" w:ascii="宋体" w:hAnsi="宋体" w:cs="宋体"/>
          <w:kern w:val="0"/>
          <w:szCs w:val="21"/>
        </w:rPr>
        <w:t>可以登录政府采购云平台www.zcygov.cn，用“项目采购-开标评标”功能进行解密投标文件。若</w:t>
      </w:r>
      <w:r>
        <w:rPr>
          <w:rFonts w:hint="eastAsia" w:ascii="宋体" w:hAnsi="宋体" w:cs="宋体"/>
          <w:kern w:val="0"/>
          <w:szCs w:val="21"/>
          <w:lang w:eastAsia="zh-CN"/>
        </w:rPr>
        <w:t>供应商</w:t>
      </w:r>
      <w:r>
        <w:rPr>
          <w:rFonts w:hint="eastAsia" w:ascii="宋体" w:hAnsi="宋体" w:cs="宋体"/>
          <w:kern w:val="0"/>
          <w:szCs w:val="21"/>
        </w:rPr>
        <w:t>在开标时间后30分钟内无法解密或解密失败，可使用备份电子投标文件进行。</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7</w:t>
      </w:r>
      <w:r>
        <w:rPr>
          <w:rFonts w:hint="eastAsia" w:ascii="宋体" w:hAnsi="宋体" w:cs="宋体"/>
          <w:kern w:val="0"/>
          <w:szCs w:val="21"/>
          <w:lang w:eastAsia="zh-CN"/>
        </w:rPr>
        <w:t>供应商</w:t>
      </w:r>
      <w:r>
        <w:rPr>
          <w:rFonts w:hint="eastAsia" w:ascii="宋体" w:hAnsi="宋体" w:cs="宋体"/>
          <w:kern w:val="0"/>
          <w:szCs w:val="21"/>
        </w:rPr>
        <w:t>可采用邮寄（含快递）方式或现场方式递交备份投标文件。</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7</w:t>
      </w:r>
      <w:r>
        <w:rPr>
          <w:rFonts w:hint="eastAsia" w:ascii="宋体" w:hAnsi="宋体" w:cs="宋体"/>
          <w:kern w:val="0"/>
          <w:szCs w:val="21"/>
        </w:rPr>
        <w:t>.1采用邮寄方式递交备份投标文件，需按以下要求递交：</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各</w:t>
      </w:r>
      <w:r>
        <w:rPr>
          <w:rFonts w:hint="eastAsia" w:ascii="宋体" w:hAnsi="宋体" w:cs="宋体"/>
          <w:kern w:val="0"/>
          <w:szCs w:val="21"/>
          <w:lang w:eastAsia="zh-CN"/>
        </w:rPr>
        <w:t>供应商</w:t>
      </w:r>
      <w:r>
        <w:rPr>
          <w:rFonts w:hint="eastAsia" w:ascii="宋体" w:hAnsi="宋体" w:cs="宋体"/>
          <w:kern w:val="0"/>
          <w:szCs w:val="21"/>
        </w:rPr>
        <w:t>在投标截止时间前将备份投标文件邮寄至规定地点，由采购代理工作人员进行签收，各</w:t>
      </w:r>
      <w:r>
        <w:rPr>
          <w:rFonts w:hint="eastAsia" w:ascii="宋体" w:hAnsi="宋体" w:cs="宋体"/>
          <w:kern w:val="0"/>
          <w:szCs w:val="21"/>
          <w:lang w:eastAsia="zh-CN"/>
        </w:rPr>
        <w:t>供应商</w:t>
      </w:r>
      <w:r>
        <w:rPr>
          <w:rFonts w:hint="eastAsia" w:ascii="宋体" w:hAnsi="宋体" w:cs="宋体"/>
          <w:kern w:val="0"/>
          <w:szCs w:val="21"/>
        </w:rPr>
        <w:t>自行考虑邮寄在途时间，邮寄过程中无论何种因素导致备份投标文件未按时递交的后果，均由</w:t>
      </w:r>
      <w:r>
        <w:rPr>
          <w:rFonts w:hint="eastAsia" w:ascii="宋体" w:hAnsi="宋体" w:cs="宋体"/>
          <w:kern w:val="0"/>
          <w:szCs w:val="21"/>
          <w:lang w:eastAsia="zh-CN"/>
        </w:rPr>
        <w:t>供应商</w:t>
      </w:r>
      <w:r>
        <w:rPr>
          <w:rFonts w:hint="eastAsia" w:ascii="宋体" w:hAnsi="宋体" w:cs="宋体"/>
          <w:kern w:val="0"/>
          <w:szCs w:val="21"/>
        </w:rPr>
        <w:t>自行负责。备份投标文件递交时间以采购代理实际收到备份投标文件的时间为准。</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拟在2023年</w:t>
      </w:r>
      <w:r>
        <w:rPr>
          <w:rFonts w:hint="eastAsia" w:ascii="宋体" w:hAnsi="宋体" w:cs="宋体"/>
          <w:kern w:val="0"/>
          <w:szCs w:val="21"/>
          <w:lang w:val="en-US" w:eastAsia="zh-CN"/>
        </w:rPr>
        <w:t>5</w:t>
      </w:r>
      <w:r>
        <w:rPr>
          <w:rFonts w:hint="eastAsia" w:ascii="宋体" w:hAnsi="宋体" w:cs="宋体"/>
          <w:kern w:val="0"/>
          <w:szCs w:val="21"/>
        </w:rPr>
        <w:t>月</w:t>
      </w:r>
      <w:r>
        <w:rPr>
          <w:rFonts w:hint="eastAsia" w:ascii="宋体" w:hAnsi="宋体" w:cs="宋体"/>
          <w:kern w:val="0"/>
          <w:szCs w:val="21"/>
          <w:lang w:val="en-US" w:eastAsia="zh-CN"/>
        </w:rPr>
        <w:t>30</w:t>
      </w:r>
      <w:r>
        <w:rPr>
          <w:rFonts w:hint="eastAsia" w:ascii="宋体" w:hAnsi="宋体" w:cs="宋体"/>
          <w:kern w:val="0"/>
          <w:szCs w:val="21"/>
        </w:rPr>
        <w:t>日16:00（含）前到件的邮寄地址为：宁海县桃源街道兴工三路69号宁波工建工程造价咨询有限公司二楼招标代理部；</w:t>
      </w:r>
    </w:p>
    <w:p>
      <w:pPr>
        <w:widowControl/>
        <w:tabs>
          <w:tab w:val="left" w:pos="5153"/>
        </w:tabs>
        <w:spacing w:line="360" w:lineRule="auto"/>
        <w:ind w:firstLine="420" w:firstLineChars="200"/>
        <w:rPr>
          <w:rFonts w:ascii="宋体" w:hAnsi="宋体" w:cs="宋体"/>
          <w:kern w:val="0"/>
          <w:szCs w:val="21"/>
        </w:rPr>
      </w:pPr>
      <w:r>
        <w:rPr>
          <w:rFonts w:hint="eastAsia" w:ascii="宋体" w:hAnsi="宋体" w:cs="宋体"/>
          <w:kern w:val="0"/>
          <w:szCs w:val="21"/>
        </w:rPr>
        <w:t>收件人：王老师   联系方式：0574-65250961</w:t>
      </w:r>
      <w:r>
        <w:rPr>
          <w:rFonts w:hint="eastAsia" w:ascii="宋体" w:hAnsi="宋体" w:cs="宋体"/>
          <w:kern w:val="0"/>
          <w:szCs w:val="21"/>
        </w:rPr>
        <w:tab/>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请各</w:t>
      </w:r>
      <w:r>
        <w:rPr>
          <w:rFonts w:hint="eastAsia" w:ascii="宋体" w:hAnsi="宋体" w:cs="宋体"/>
          <w:kern w:val="0"/>
          <w:szCs w:val="21"/>
          <w:lang w:eastAsia="zh-CN"/>
        </w:rPr>
        <w:t>供应商</w:t>
      </w:r>
      <w:r>
        <w:rPr>
          <w:rFonts w:hint="eastAsia" w:ascii="宋体" w:hAnsi="宋体" w:cs="宋体"/>
          <w:kern w:val="0"/>
          <w:szCs w:val="21"/>
        </w:rPr>
        <w:t>确保密封包装在邮寄过程密封包装完好，因邮寄过程的密封破损造成不符合开标要求的，本采购代理及采购人概不负责。</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7</w:t>
      </w:r>
      <w:r>
        <w:rPr>
          <w:rFonts w:hint="eastAsia" w:ascii="宋体" w:hAnsi="宋体" w:cs="宋体"/>
          <w:kern w:val="0"/>
          <w:szCs w:val="21"/>
        </w:rPr>
        <w:t>.2采用现场方式送达备份投标文件，需按以下要求递交：</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在投标截止时间前将备份投标文件送至：</w:t>
      </w:r>
      <w:r>
        <w:rPr>
          <w:rFonts w:hint="eastAsia" w:ascii="宋体" w:hAnsi="宋体" w:cs="宋体"/>
          <w:szCs w:val="21"/>
          <w:u w:val="single"/>
        </w:rPr>
        <w:t>宁海县公共资源交易中心（宁海县桃源街道金水东路5号五楼，详见五楼大厅公告）</w:t>
      </w:r>
      <w:r>
        <w:rPr>
          <w:rFonts w:hint="eastAsia" w:ascii="宋体" w:hAnsi="宋体" w:cs="宋体"/>
          <w:kern w:val="0"/>
          <w:szCs w:val="21"/>
        </w:rPr>
        <w:t>。</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8</w:t>
      </w:r>
      <w:r>
        <w:rPr>
          <w:rFonts w:hint="eastAsia" w:ascii="宋体" w:hAnsi="宋体" w:cs="宋体"/>
          <w:kern w:val="0"/>
          <w:szCs w:val="21"/>
        </w:rPr>
        <w:t>开标过程全程视频监控记录。</w:t>
      </w:r>
    </w:p>
    <w:p>
      <w:pPr>
        <w:pStyle w:val="2"/>
        <w:spacing w:line="360" w:lineRule="auto"/>
        <w:ind w:left="452" w:leftChars="100" w:hanging="242" w:hangingChars="115"/>
        <w:rPr>
          <w:rFonts w:ascii="宋体" w:hAnsi="宋体" w:eastAsia="宋体" w:cs="宋体"/>
          <w:bCs w:val="0"/>
          <w:sz w:val="21"/>
          <w:szCs w:val="21"/>
        </w:rPr>
      </w:pPr>
      <w:bookmarkStart w:id="24" w:name="_Toc35393796"/>
      <w:bookmarkStart w:id="25" w:name="_Toc35393627"/>
      <w:bookmarkStart w:id="26" w:name="_Toc28359008"/>
      <w:bookmarkStart w:id="27" w:name="_Toc28359085"/>
      <w:r>
        <w:rPr>
          <w:rFonts w:hint="eastAsia" w:ascii="宋体" w:hAnsi="宋体" w:eastAsia="宋体" w:cs="宋体"/>
          <w:bCs w:val="0"/>
          <w:sz w:val="21"/>
          <w:szCs w:val="21"/>
        </w:rPr>
        <w:t>七、对本次采购提出询问、质疑、投诉，请按以下方式联系。</w:t>
      </w:r>
      <w:bookmarkEnd w:id="24"/>
      <w:bookmarkEnd w:id="25"/>
      <w:bookmarkEnd w:id="26"/>
      <w:bookmarkEnd w:id="27"/>
    </w:p>
    <w:p>
      <w:pPr>
        <w:widowControl/>
        <w:spacing w:line="360" w:lineRule="auto"/>
        <w:ind w:firstLine="420" w:firstLineChars="200"/>
        <w:jc w:val="left"/>
        <w:rPr>
          <w:rFonts w:ascii="宋体" w:cs="宋体"/>
        </w:rPr>
      </w:pPr>
      <w:r>
        <w:rPr>
          <w:rFonts w:hint="eastAsia" w:ascii="宋体" w:hAnsi="宋体" w:cs="宋体"/>
        </w:rPr>
        <w:t>采购人：</w:t>
      </w:r>
      <w:r>
        <w:rPr>
          <w:rFonts w:hint="eastAsia" w:ascii="宋体" w:hAnsi="宋体" w:cs="宋体"/>
          <w:lang w:eastAsia="zh-CN"/>
        </w:rPr>
        <w:t>宁海县人民政府桥头胡街道办事处</w:t>
      </w:r>
      <w:r>
        <w:rPr>
          <w:rFonts w:hint="eastAsia" w:ascii="宋体" w:hAnsi="宋体" w:cs="宋体"/>
        </w:rPr>
        <w:t xml:space="preserve"> </w:t>
      </w:r>
    </w:p>
    <w:p>
      <w:pPr>
        <w:widowControl/>
        <w:spacing w:line="360" w:lineRule="auto"/>
        <w:ind w:firstLine="420" w:firstLineChars="200"/>
        <w:jc w:val="left"/>
        <w:rPr>
          <w:rFonts w:ascii="宋体" w:cs="宋体"/>
        </w:rPr>
      </w:pPr>
      <w:r>
        <w:rPr>
          <w:rFonts w:hint="eastAsia" w:ascii="宋体" w:hAnsi="宋体" w:cs="宋体"/>
        </w:rPr>
        <w:t>联系人：</w:t>
      </w:r>
      <w:r>
        <w:rPr>
          <w:rFonts w:hint="eastAsia" w:ascii="宋体" w:hAnsi="宋体" w:eastAsia="宋体" w:cs="宋体"/>
          <w:color w:val="000000"/>
          <w:sz w:val="21"/>
          <w:szCs w:val="21"/>
          <w:highlight w:val="none"/>
          <w:lang w:eastAsia="zh-CN"/>
        </w:rPr>
        <w:t>叶科</w:t>
      </w:r>
      <w:r>
        <w:rPr>
          <w:rFonts w:hint="eastAsia" w:ascii="宋体" w:hAnsi="宋体" w:cs="宋体"/>
        </w:rPr>
        <w:t xml:space="preserve"> </w:t>
      </w:r>
    </w:p>
    <w:p>
      <w:pPr>
        <w:widowControl/>
        <w:spacing w:line="360" w:lineRule="auto"/>
        <w:ind w:firstLine="420" w:firstLineChars="200"/>
        <w:jc w:val="left"/>
        <w:rPr>
          <w:rFonts w:ascii="宋体" w:hAnsi="宋体" w:cs="宋体"/>
        </w:rPr>
      </w:pPr>
      <w:r>
        <w:rPr>
          <w:rFonts w:hint="eastAsia" w:ascii="宋体" w:hAnsi="宋体" w:cs="宋体"/>
        </w:rPr>
        <w:t>联系电话：</w:t>
      </w:r>
      <w:r>
        <w:rPr>
          <w:rFonts w:hint="eastAsia" w:ascii="宋体" w:hAnsi="宋体" w:eastAsia="宋体" w:cs="宋体"/>
          <w:color w:val="000000"/>
          <w:sz w:val="21"/>
          <w:szCs w:val="21"/>
          <w:highlight w:val="none"/>
          <w:lang w:val="en-US" w:eastAsia="zh-CN"/>
        </w:rPr>
        <w:t>0574-59958544</w:t>
      </w:r>
      <w:r>
        <w:rPr>
          <w:rFonts w:hint="eastAsia" w:ascii="宋体" w:hAnsi="宋体" w:cs="宋体"/>
          <w:lang w:val="en-US" w:eastAsia="zh-CN"/>
        </w:rPr>
        <w:t xml:space="preserve"> </w:t>
      </w:r>
      <w:r>
        <w:rPr>
          <w:rFonts w:hint="eastAsia" w:ascii="宋体" w:hAnsi="宋体" w:cs="宋体"/>
          <w:color w:val="000000" w:themeColor="text1"/>
          <w14:textFill>
            <w14:solidFill>
              <w14:schemeClr w14:val="tx1"/>
            </w14:solidFill>
          </w14:textFill>
        </w:rPr>
        <w:t xml:space="preserve"> </w:t>
      </w:r>
      <w:r>
        <w:rPr>
          <w:rFonts w:hint="eastAsia" w:ascii="宋体" w:hAnsi="宋体" w:cs="宋体"/>
        </w:rPr>
        <w:t xml:space="preserve">   </w:t>
      </w:r>
    </w:p>
    <w:p>
      <w:pPr>
        <w:widowControl/>
        <w:spacing w:line="360" w:lineRule="auto"/>
        <w:ind w:firstLine="420" w:firstLineChars="200"/>
        <w:jc w:val="left"/>
        <w:rPr>
          <w:rFonts w:ascii="宋体" w:cs="宋体"/>
        </w:rPr>
      </w:pPr>
    </w:p>
    <w:p>
      <w:pPr>
        <w:widowControl/>
        <w:spacing w:line="360" w:lineRule="auto"/>
        <w:ind w:firstLine="420" w:firstLineChars="200"/>
        <w:jc w:val="left"/>
        <w:rPr>
          <w:rFonts w:ascii="宋体" w:cs="宋体"/>
        </w:rPr>
      </w:pPr>
      <w:r>
        <w:rPr>
          <w:rFonts w:hint="eastAsia" w:ascii="宋体" w:hAnsi="宋体" w:cs="宋体"/>
        </w:rPr>
        <w:t>代理机构：宁波工建工程造价咨询有限公司</w:t>
      </w:r>
    </w:p>
    <w:p>
      <w:pPr>
        <w:widowControl/>
        <w:spacing w:line="360" w:lineRule="auto"/>
        <w:ind w:firstLine="420" w:firstLineChars="200"/>
        <w:jc w:val="left"/>
        <w:rPr>
          <w:rFonts w:ascii="宋体" w:cs="宋体"/>
        </w:rPr>
      </w:pPr>
      <w:r>
        <w:rPr>
          <w:rFonts w:hint="eastAsia" w:ascii="宋体" w:hAnsi="宋体" w:cs="宋体"/>
        </w:rPr>
        <w:t>地址：宁海县桃源街道兴工三路</w:t>
      </w:r>
      <w:r>
        <w:rPr>
          <w:rFonts w:ascii="宋体" w:hAnsi="宋体" w:cs="宋体"/>
        </w:rPr>
        <w:t>69</w:t>
      </w:r>
      <w:r>
        <w:rPr>
          <w:rFonts w:hint="eastAsia" w:ascii="宋体" w:hAnsi="宋体" w:cs="宋体"/>
        </w:rPr>
        <w:t>号二楼</w:t>
      </w:r>
    </w:p>
    <w:p>
      <w:pPr>
        <w:widowControl/>
        <w:spacing w:line="360" w:lineRule="auto"/>
        <w:ind w:firstLine="420" w:firstLineChars="200"/>
        <w:jc w:val="left"/>
        <w:rPr>
          <w:rFonts w:ascii="宋体" w:cs="宋体"/>
        </w:rPr>
      </w:pPr>
      <w:r>
        <w:rPr>
          <w:rFonts w:hint="eastAsia" w:ascii="宋体" w:hAnsi="宋体" w:cs="宋体"/>
        </w:rPr>
        <w:t>联系人：王洋</w:t>
      </w:r>
      <w:r>
        <w:rPr>
          <w:rFonts w:hint="eastAsia" w:ascii="宋体" w:hAnsi="宋体" w:cs="宋体"/>
          <w:lang w:eastAsia="zh-CN"/>
        </w:rPr>
        <w:t>、</w:t>
      </w:r>
      <w:r>
        <w:rPr>
          <w:rFonts w:hint="eastAsia" w:ascii="宋体" w:hAnsi="宋体" w:cs="宋体"/>
        </w:rPr>
        <w:t>周聪燕</w:t>
      </w:r>
    </w:p>
    <w:p>
      <w:pPr>
        <w:widowControl/>
        <w:spacing w:line="360" w:lineRule="auto"/>
        <w:ind w:firstLine="420" w:firstLineChars="200"/>
        <w:jc w:val="left"/>
        <w:rPr>
          <w:rFonts w:ascii="宋体" w:cs="宋体"/>
        </w:rPr>
      </w:pPr>
      <w:r>
        <w:rPr>
          <w:rFonts w:hint="eastAsia" w:ascii="宋体" w:hAnsi="宋体" w:cs="宋体"/>
        </w:rPr>
        <w:t>联系电话（传真）：</w:t>
      </w:r>
      <w:r>
        <w:rPr>
          <w:rFonts w:ascii="宋体" w:hAnsi="宋体" w:cs="宋体"/>
        </w:rPr>
        <w:t>0574-65250961</w:t>
      </w:r>
    </w:p>
    <w:p>
      <w:pPr>
        <w:widowControl/>
        <w:spacing w:line="360" w:lineRule="auto"/>
        <w:ind w:firstLine="420" w:firstLineChars="200"/>
        <w:jc w:val="left"/>
        <w:rPr>
          <w:rFonts w:ascii="宋体" w:cs="宋体"/>
        </w:rPr>
      </w:pPr>
    </w:p>
    <w:p>
      <w:pPr>
        <w:widowControl/>
        <w:spacing w:line="360" w:lineRule="auto"/>
        <w:ind w:firstLine="420" w:firstLineChars="200"/>
        <w:jc w:val="left"/>
        <w:rPr>
          <w:rFonts w:ascii="宋体" w:cs="宋体"/>
        </w:rPr>
      </w:pPr>
      <w:r>
        <w:rPr>
          <w:rFonts w:hint="eastAsia" w:ascii="宋体" w:hAnsi="宋体" w:cs="宋体"/>
        </w:rPr>
        <w:t>财政部门：宁海县政府采购管理办公室</w:t>
      </w:r>
    </w:p>
    <w:p>
      <w:pPr>
        <w:widowControl/>
        <w:spacing w:line="360" w:lineRule="auto"/>
        <w:ind w:firstLine="420" w:firstLineChars="200"/>
        <w:jc w:val="left"/>
        <w:rPr>
          <w:rFonts w:ascii="宋体" w:cs="宋体"/>
        </w:rPr>
      </w:pPr>
      <w:r>
        <w:rPr>
          <w:rFonts w:hint="eastAsia" w:ascii="宋体" w:hAnsi="宋体" w:cs="宋体"/>
        </w:rPr>
        <w:t>地址：宁海县桃源中路</w:t>
      </w:r>
      <w:r>
        <w:rPr>
          <w:rFonts w:ascii="宋体" w:hAnsi="宋体" w:cs="宋体"/>
        </w:rPr>
        <w:t>218</w:t>
      </w:r>
      <w:r>
        <w:rPr>
          <w:rFonts w:hint="eastAsia" w:ascii="宋体" w:hAnsi="宋体" w:cs="宋体"/>
        </w:rPr>
        <w:t>号</w:t>
      </w:r>
    </w:p>
    <w:p>
      <w:pPr>
        <w:widowControl/>
        <w:spacing w:line="360" w:lineRule="auto"/>
        <w:ind w:firstLine="420" w:firstLineChars="200"/>
        <w:jc w:val="left"/>
        <w:rPr>
          <w:rFonts w:ascii="宋体" w:cs="宋体"/>
        </w:rPr>
      </w:pPr>
      <w:r>
        <w:rPr>
          <w:rFonts w:hint="eastAsia" w:ascii="宋体" w:hAnsi="宋体" w:cs="宋体"/>
        </w:rPr>
        <w:t>联系人：王老师</w:t>
      </w:r>
    </w:p>
    <w:p>
      <w:pPr>
        <w:widowControl/>
        <w:spacing w:line="360" w:lineRule="auto"/>
        <w:ind w:firstLine="420" w:firstLineChars="200"/>
        <w:jc w:val="left"/>
        <w:rPr>
          <w:rFonts w:ascii="宋体" w:hAnsi="宋体" w:cs="宋体"/>
        </w:rPr>
      </w:pPr>
      <w:r>
        <w:rPr>
          <w:rFonts w:hint="eastAsia" w:ascii="宋体" w:hAnsi="宋体" w:cs="宋体"/>
        </w:rPr>
        <w:t>联系电话：</w:t>
      </w:r>
      <w:r>
        <w:rPr>
          <w:rFonts w:ascii="宋体" w:hAnsi="宋体" w:cs="宋体"/>
        </w:rPr>
        <w:t>0574-65265668</w:t>
      </w:r>
    </w:p>
    <w:p>
      <w:pPr>
        <w:spacing w:line="360" w:lineRule="auto"/>
        <w:ind w:firstLine="420" w:firstLineChars="200"/>
        <w:rPr>
          <w:rFonts w:ascii="宋体" w:hAnsi="宋体" w:cs="宋体"/>
        </w:rPr>
      </w:pPr>
      <w:r>
        <w:rPr>
          <w:rFonts w:hint="eastAsia" w:ascii="宋体" w:hAnsi="宋体" w:cs="宋体"/>
        </w:rPr>
        <w:t>若对项目采购电子交易系统操作有疑问，可登录政采云（https://www.zcygov.cn/），点击右侧咨询小采，获取采小蜜智能服务管家帮助，或拨打政采云服务热线400-881-7190获取热线服务帮助。</w:t>
      </w:r>
    </w:p>
    <w:p>
      <w:pPr>
        <w:pStyle w:val="29"/>
        <w:spacing w:line="360" w:lineRule="auto"/>
        <w:ind w:firstLine="344"/>
        <w:rPr>
          <w:rFonts w:hAnsi="宋体" w:cs="宋体"/>
        </w:rPr>
      </w:pPr>
      <w:r>
        <w:rPr>
          <w:rFonts w:hint="eastAsia" w:hAnsi="宋体" w:cs="宋体"/>
        </w:rPr>
        <w:t>CA问题联系电话（人工）：汇信CA 400-888-4636；天谷CA 400-087-8198。</w:t>
      </w: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pStyle w:val="29"/>
        <w:spacing w:line="360" w:lineRule="auto"/>
        <w:ind w:firstLine="344"/>
        <w:rPr>
          <w:rFonts w:hAnsi="宋体" w:cs="宋体"/>
        </w:rPr>
      </w:pPr>
    </w:p>
    <w:p>
      <w:pPr>
        <w:snapToGrid w:val="0"/>
        <w:spacing w:after="120"/>
        <w:ind w:firstLine="3313" w:firstLineChars="1100"/>
        <w:outlineLvl w:val="0"/>
        <w:rPr>
          <w:rFonts w:asciiTheme="minorEastAsia" w:hAnsiTheme="minorEastAsia" w:eastAsiaTheme="minorEastAsia" w:cstheme="minorEastAsia"/>
          <w:b/>
          <w:szCs w:val="21"/>
        </w:rPr>
      </w:pPr>
      <w:r>
        <w:rPr>
          <w:rFonts w:hint="eastAsia" w:hAnsi="宋体" w:cs="宋体"/>
          <w:b/>
          <w:sz w:val="30"/>
          <w:szCs w:val="30"/>
        </w:rPr>
        <w:t>第二章 招标需求</w:t>
      </w:r>
    </w:p>
    <w:p>
      <w:pPr>
        <w:spacing w:line="36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前附表</w:t>
      </w:r>
    </w:p>
    <w:tbl>
      <w:tblPr>
        <w:tblStyle w:val="30"/>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399"/>
        <w:gridCol w:w="6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blHeader/>
          <w:jc w:val="center"/>
        </w:trPr>
        <w:tc>
          <w:tcPr>
            <w:tcW w:w="740" w:type="dxa"/>
            <w:noWrap w:val="0"/>
            <w:vAlign w:val="center"/>
          </w:tcPr>
          <w:p>
            <w:pPr>
              <w:spacing w:line="24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序号</w:t>
            </w:r>
          </w:p>
        </w:tc>
        <w:tc>
          <w:tcPr>
            <w:tcW w:w="2399" w:type="dxa"/>
            <w:noWrap w:val="0"/>
            <w:vAlign w:val="center"/>
          </w:tcPr>
          <w:p>
            <w:pPr>
              <w:spacing w:line="24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项目</w:t>
            </w:r>
          </w:p>
        </w:tc>
        <w:tc>
          <w:tcPr>
            <w:tcW w:w="6000" w:type="dxa"/>
            <w:noWrap w:val="0"/>
            <w:vAlign w:val="center"/>
          </w:tcPr>
          <w:p>
            <w:pPr>
              <w:spacing w:line="240" w:lineRule="auto"/>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2399"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采购内容</w:t>
            </w:r>
          </w:p>
        </w:tc>
        <w:tc>
          <w:tcPr>
            <w:tcW w:w="6000" w:type="dxa"/>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bCs/>
                <w:color w:val="000000"/>
                <w:sz w:val="21"/>
                <w:szCs w:val="21"/>
                <w:highlight w:val="none"/>
              </w:rPr>
              <w:t>详见</w:t>
            </w:r>
            <w:r>
              <w:rPr>
                <w:rFonts w:hint="eastAsia" w:ascii="宋体" w:hAnsi="宋体" w:eastAsia="宋体" w:cs="宋体"/>
                <w:color w:val="000000"/>
                <w:sz w:val="21"/>
                <w:szCs w:val="21"/>
                <w:highlight w:val="none"/>
              </w:rPr>
              <w:t>第一章 《公开招标公告》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c>
          <w:tcPr>
            <w:tcW w:w="2399"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单位及数量</w:t>
            </w:r>
          </w:p>
        </w:tc>
        <w:tc>
          <w:tcPr>
            <w:tcW w:w="6000" w:type="dxa"/>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bCs/>
                <w:color w:val="000000"/>
                <w:sz w:val="21"/>
                <w:szCs w:val="21"/>
                <w:highlight w:val="none"/>
              </w:rPr>
              <w:t>详见</w:t>
            </w:r>
            <w:r>
              <w:rPr>
                <w:rFonts w:hint="eastAsia" w:ascii="宋体" w:hAnsi="宋体" w:eastAsia="宋体" w:cs="宋体"/>
                <w:color w:val="000000"/>
                <w:sz w:val="21"/>
                <w:szCs w:val="21"/>
                <w:highlight w:val="none"/>
              </w:rPr>
              <w:t>第一章 《公开招标公告》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p>
        </w:tc>
        <w:tc>
          <w:tcPr>
            <w:tcW w:w="2399" w:type="dxa"/>
            <w:noWrap w:val="0"/>
            <w:vAlign w:val="center"/>
          </w:tcPr>
          <w:p>
            <w:pPr>
              <w:adjustRightInd w:val="0"/>
              <w:spacing w:line="240" w:lineRule="auto"/>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交付或者实施的时间和地点</w:t>
            </w:r>
          </w:p>
        </w:tc>
        <w:tc>
          <w:tcPr>
            <w:tcW w:w="6000" w:type="dxa"/>
            <w:noWrap w:val="0"/>
            <w:vAlign w:val="center"/>
          </w:tcPr>
          <w:p>
            <w:pPr>
              <w:numPr>
                <w:ilvl w:val="0"/>
                <w:numId w:val="5"/>
              </w:num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服务期限：</w:t>
            </w:r>
            <w:r>
              <w:rPr>
                <w:rFonts w:hint="eastAsia" w:ascii="宋体" w:hAnsi="宋体" w:eastAsia="宋体" w:cs="宋体"/>
                <w:bCs/>
                <w:color w:val="000000"/>
                <w:sz w:val="21"/>
                <w:szCs w:val="21"/>
                <w:highlight w:val="none"/>
              </w:rPr>
              <w:t>详见</w:t>
            </w:r>
            <w:r>
              <w:rPr>
                <w:rFonts w:hint="eastAsia" w:ascii="宋体" w:hAnsi="宋体" w:eastAsia="宋体" w:cs="宋体"/>
                <w:color w:val="000000"/>
                <w:sz w:val="21"/>
                <w:szCs w:val="21"/>
                <w:highlight w:val="none"/>
              </w:rPr>
              <w:t>第一章 《公开招标公告》</w:t>
            </w:r>
          </w:p>
          <w:p>
            <w:pPr>
              <w:numPr>
                <w:ilvl w:val="0"/>
                <w:numId w:val="5"/>
              </w:num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实施地点：</w:t>
            </w:r>
            <w:r>
              <w:rPr>
                <w:rFonts w:hint="eastAsia" w:ascii="宋体" w:hAnsi="宋体" w:eastAsia="宋体" w:cs="宋体"/>
                <w:color w:val="000000"/>
                <w:sz w:val="21"/>
                <w:szCs w:val="21"/>
                <w:highlight w:val="none"/>
              </w:rPr>
              <w:t>详见本章</w:t>
            </w:r>
            <w:r>
              <w:rPr>
                <w:rFonts w:hint="eastAsia" w:ascii="宋体" w:hAnsi="宋体" w:eastAsia="宋体" w:cs="宋体"/>
                <w:color w:val="000000"/>
                <w:sz w:val="21"/>
                <w:szCs w:val="21"/>
                <w:highlight w:val="none"/>
                <w:lang w:val="en-US" w:eastAsia="zh-CN"/>
              </w:rPr>
              <w:t xml:space="preserve"> 内容</w:t>
            </w:r>
            <w:r>
              <w:rPr>
                <w:rFonts w:hint="eastAsia" w:ascii="宋体" w:hAnsi="宋体" w:eastAsia="宋体" w:cs="宋体"/>
                <w:color w:val="000000"/>
                <w:sz w:val="21"/>
                <w:szCs w:val="21"/>
                <w:highlight w:val="none"/>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2399" w:type="dxa"/>
            <w:noWrap w:val="0"/>
            <w:vAlign w:val="center"/>
          </w:tcPr>
          <w:p>
            <w:pPr>
              <w:adjustRightInd w:val="0"/>
              <w:spacing w:line="240" w:lineRule="auto"/>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需实现的功能或者目标</w:t>
            </w:r>
          </w:p>
        </w:tc>
        <w:tc>
          <w:tcPr>
            <w:tcW w:w="6000" w:type="dxa"/>
            <w:noWrap w:val="0"/>
            <w:vAlign w:val="center"/>
          </w:tcPr>
          <w:p>
            <w:pPr>
              <w:numPr>
                <w:ilvl w:val="0"/>
                <w:numId w:val="6"/>
              </w:num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通过本次公开招标，促进保洁质量考核体系的完善。一是各类保洁项目作业要求的标准化，二是考核内容的标准量化，三是考核分与保洁经费的挂钩。</w:t>
            </w:r>
          </w:p>
          <w:p>
            <w:pPr>
              <w:numPr>
                <w:ilvl w:val="0"/>
                <w:numId w:val="6"/>
              </w:numPr>
              <w:spacing w:line="360" w:lineRule="auto"/>
              <w:jc w:val="left"/>
              <w:rPr>
                <w:rFonts w:hint="eastAsia" w:ascii="宋体" w:hAnsi="宋体" w:cs="宋体"/>
                <w:color w:val="auto"/>
                <w:kern w:val="2"/>
                <w:sz w:val="21"/>
                <w:szCs w:val="21"/>
                <w:highlight w:val="none"/>
                <w:lang w:val="en-US" w:eastAsia="zh-CN" w:bidi="ar-SA"/>
              </w:rPr>
            </w:pPr>
            <w:r>
              <w:rPr>
                <w:rFonts w:hint="eastAsia" w:ascii="宋体" w:hAnsi="宋体" w:cs="宋体"/>
                <w:color w:val="auto"/>
                <w:szCs w:val="21"/>
                <w:highlight w:val="none"/>
              </w:rPr>
              <w:t>通过本次公开招标，促进各保洁公司建立完善的安全管理体系。安全管理体系要全面落实保险保障、健全安全作业规范、加强宿舍安全管理。</w:t>
            </w:r>
          </w:p>
          <w:p>
            <w:pPr>
              <w:spacing w:line="240" w:lineRule="auto"/>
              <w:jc w:val="both"/>
              <w:rPr>
                <w:rFonts w:hint="eastAsia" w:ascii="宋体" w:hAnsi="宋体" w:eastAsia="宋体" w:cs="宋体"/>
                <w:color w:val="000000"/>
                <w:sz w:val="21"/>
                <w:szCs w:val="21"/>
                <w:highlight w:val="none"/>
              </w:rPr>
            </w:pPr>
            <w:r>
              <w:rPr>
                <w:rFonts w:hint="eastAsia" w:ascii="宋体" w:hAnsi="宋体" w:cs="宋体"/>
                <w:color w:val="auto"/>
                <w:szCs w:val="21"/>
                <w:highlight w:val="none"/>
              </w:rPr>
              <w:t>要求中标保洁公司必须按本章保洁作业要求进行道路人工清扫、</w:t>
            </w:r>
            <w:r>
              <w:rPr>
                <w:rFonts w:hint="eastAsia" w:ascii="宋体" w:hAnsi="宋体" w:cs="宋体"/>
                <w:color w:val="auto"/>
                <w:szCs w:val="21"/>
                <w:highlight w:val="none"/>
                <w:lang w:eastAsia="zh-CN"/>
              </w:rPr>
              <w:t>垃圾清运</w:t>
            </w:r>
            <w:r>
              <w:rPr>
                <w:rFonts w:hint="eastAsia" w:ascii="宋体" w:hAnsi="宋体" w:cs="宋体"/>
                <w:color w:val="auto"/>
                <w:szCs w:val="21"/>
                <w:highlight w:val="none"/>
              </w:rPr>
              <w:t>等环卫保洁工作，并遵守相关的安全生产制度和管理考核制度。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w:t>
            </w:r>
          </w:p>
        </w:tc>
        <w:tc>
          <w:tcPr>
            <w:tcW w:w="2399" w:type="dxa"/>
            <w:noWrap w:val="0"/>
            <w:vAlign w:val="center"/>
          </w:tcPr>
          <w:p>
            <w:pPr>
              <w:adjustRightInd w:val="0"/>
              <w:spacing w:line="240" w:lineRule="auto"/>
              <w:jc w:val="center"/>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执行的国家相关标准、行业标准、地方标准或者其它标准、规范</w:t>
            </w:r>
          </w:p>
        </w:tc>
        <w:tc>
          <w:tcPr>
            <w:tcW w:w="6000" w:type="dxa"/>
            <w:noWrap w:val="0"/>
            <w:vAlign w:val="center"/>
          </w:tcPr>
          <w:p>
            <w:pPr>
              <w:numPr>
                <w:ilvl w:val="0"/>
                <w:numId w:val="0"/>
              </w:numPr>
              <w:adjustRightInd w:val="0"/>
              <w:spacing w:line="240" w:lineRule="auto"/>
              <w:ind w:leftChars="0"/>
              <w:jc w:val="both"/>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执行的国家相关标准、行业标准、地方标准或者其它标准、规范（如有）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p>
        </w:tc>
        <w:tc>
          <w:tcPr>
            <w:tcW w:w="2399"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技术规格要求</w:t>
            </w:r>
          </w:p>
        </w:tc>
        <w:tc>
          <w:tcPr>
            <w:tcW w:w="6000" w:type="dxa"/>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w:t>
            </w:r>
          </w:p>
        </w:tc>
        <w:tc>
          <w:tcPr>
            <w:tcW w:w="2399"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物理特性要求</w:t>
            </w:r>
          </w:p>
        </w:tc>
        <w:tc>
          <w:tcPr>
            <w:tcW w:w="6000" w:type="dxa"/>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w:t>
            </w:r>
          </w:p>
        </w:tc>
        <w:tc>
          <w:tcPr>
            <w:tcW w:w="2399"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质量、安全要求</w:t>
            </w:r>
          </w:p>
        </w:tc>
        <w:tc>
          <w:tcPr>
            <w:tcW w:w="6000" w:type="dxa"/>
            <w:noWrap w:val="0"/>
            <w:vAlign w:val="center"/>
          </w:tcPr>
          <w:p>
            <w:pPr>
              <w:numPr>
                <w:ilvl w:val="0"/>
                <w:numId w:val="0"/>
              </w:numPr>
              <w:spacing w:line="360" w:lineRule="auto"/>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质量要求：</w:t>
            </w:r>
            <w:r>
              <w:rPr>
                <w:rFonts w:hint="eastAsia" w:ascii="宋体" w:hAnsi="宋体" w:eastAsia="宋体" w:cs="宋体"/>
                <w:color w:val="auto"/>
                <w:szCs w:val="21"/>
                <w:highlight w:val="none"/>
              </w:rPr>
              <w:t>详见本章内容</w:t>
            </w:r>
          </w:p>
          <w:p>
            <w:pPr>
              <w:spacing w:line="240" w:lineRule="auto"/>
              <w:jc w:val="both"/>
              <w:rPr>
                <w:rFonts w:hint="eastAsia" w:ascii="宋体" w:hAnsi="宋体" w:eastAsia="宋体" w:cs="宋体"/>
                <w:color w:val="000000"/>
                <w:sz w:val="21"/>
                <w:szCs w:val="21"/>
                <w:highlight w:val="none"/>
              </w:rPr>
            </w:pPr>
            <w:r>
              <w:rPr>
                <w:rFonts w:hint="eastAsia" w:ascii="宋体" w:hAnsi="宋体" w:cs="宋体"/>
                <w:color w:val="auto"/>
                <w:szCs w:val="21"/>
                <w:highlight w:val="none"/>
                <w:lang w:val="en-US" w:eastAsia="zh-CN"/>
              </w:rPr>
              <w:t>安全要求：中标人</w:t>
            </w:r>
            <w:r>
              <w:rPr>
                <w:rFonts w:hint="eastAsia" w:ascii="宋体" w:hAnsi="宋体" w:cs="宋体"/>
                <w:color w:val="auto"/>
                <w:szCs w:val="21"/>
                <w:highlight w:val="none"/>
              </w:rPr>
              <w:t>应严格按照《浙江省落实生产经营单位安全生产主体责任暂行规定》承担安全生产主体责任。</w:t>
            </w:r>
            <w:r>
              <w:rPr>
                <w:rFonts w:hint="eastAsia" w:ascii="宋体" w:hAnsi="宋体" w:cs="宋体"/>
                <w:color w:val="auto"/>
                <w:szCs w:val="21"/>
                <w:highlight w:val="none"/>
                <w:lang w:val="en-US" w:eastAsia="zh-CN"/>
              </w:rPr>
              <w:t>中标人的</w:t>
            </w:r>
            <w:r>
              <w:rPr>
                <w:rFonts w:hint="eastAsia" w:ascii="宋体" w:hAnsi="宋体" w:cs="宋体"/>
                <w:color w:val="auto"/>
                <w:szCs w:val="21"/>
                <w:highlight w:val="none"/>
              </w:rPr>
              <w:t>法定代表人是本项目安全生产的第一责任人，应对本单位的安全生产负全部责任。对单位所发生的一切安全事故（包括由于作业受伤等引起的全部事故内容），全部责任由</w:t>
            </w:r>
            <w:r>
              <w:rPr>
                <w:rFonts w:hint="eastAsia" w:ascii="宋体" w:hAnsi="宋体" w:cs="宋体"/>
                <w:color w:val="auto"/>
                <w:szCs w:val="21"/>
                <w:highlight w:val="none"/>
                <w:lang w:val="en-US" w:eastAsia="zh-CN"/>
              </w:rPr>
              <w:t>中标人</w:t>
            </w:r>
            <w:r>
              <w:rPr>
                <w:rFonts w:hint="eastAsia" w:ascii="宋体" w:hAnsi="宋体" w:cs="宋体"/>
                <w:color w:val="auto"/>
                <w:szCs w:val="21"/>
                <w:highlight w:val="none"/>
              </w:rPr>
              <w:t>自行承担，自主负责处理解决并承担相关费用。</w:t>
            </w:r>
            <w:r>
              <w:rPr>
                <w:rFonts w:hint="eastAsia" w:ascii="宋体" w:hAnsi="宋体" w:cs="宋体"/>
                <w:color w:val="auto"/>
                <w:szCs w:val="21"/>
                <w:highlight w:val="none"/>
                <w:lang w:val="en-US" w:eastAsia="zh-CN"/>
              </w:rPr>
              <w:t>中标人</w:t>
            </w:r>
            <w:r>
              <w:rPr>
                <w:rFonts w:hint="eastAsia" w:ascii="宋体" w:hAnsi="宋体" w:cs="宋体"/>
                <w:color w:val="auto"/>
                <w:szCs w:val="21"/>
                <w:highlight w:val="none"/>
              </w:rPr>
              <w:t>的职工在法律规定的工伤认定范围内发生事故的应按工伤赔偿标准赔偿。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9</w:t>
            </w:r>
          </w:p>
        </w:tc>
        <w:tc>
          <w:tcPr>
            <w:tcW w:w="2399"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服务标准、期限、效率(培训等）</w:t>
            </w:r>
          </w:p>
        </w:tc>
        <w:tc>
          <w:tcPr>
            <w:tcW w:w="6000" w:type="dxa"/>
            <w:noWrap w:val="0"/>
            <w:vAlign w:val="center"/>
          </w:tcPr>
          <w:p>
            <w:pPr>
              <w:spacing w:line="240" w:lineRule="auto"/>
              <w:jc w:val="both"/>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详见本章</w:t>
            </w:r>
            <w:r>
              <w:rPr>
                <w:rFonts w:hint="eastAsia" w:ascii="宋体" w:hAnsi="宋体" w:eastAsia="宋体" w:cs="宋体"/>
                <w:color w:val="000000"/>
                <w:sz w:val="21"/>
                <w:szCs w:val="21"/>
                <w:highlight w:val="no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w:t>
            </w:r>
          </w:p>
        </w:tc>
        <w:tc>
          <w:tcPr>
            <w:tcW w:w="2399"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验收标准</w:t>
            </w:r>
          </w:p>
        </w:tc>
        <w:tc>
          <w:tcPr>
            <w:tcW w:w="6000" w:type="dxa"/>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详见本章</w:t>
            </w:r>
            <w:r>
              <w:rPr>
                <w:rFonts w:hint="eastAsia" w:ascii="宋体" w:hAnsi="宋体" w:eastAsia="宋体" w:cs="宋体"/>
                <w:color w:val="000000"/>
                <w:sz w:val="21"/>
                <w:szCs w:val="21"/>
                <w:highlight w:val="no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7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11</w:t>
            </w:r>
          </w:p>
        </w:tc>
        <w:tc>
          <w:tcPr>
            <w:tcW w:w="2399"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现场踏勘</w:t>
            </w:r>
          </w:p>
        </w:tc>
        <w:tc>
          <w:tcPr>
            <w:tcW w:w="6000" w:type="dxa"/>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本项目不统一组织现场勘察，</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可自行对本项目现场和周围环境进行勘察。勘察现场所发生的费用由</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自己承担。不论何种原因所造成，在勘察过程中，</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740" w:type="dxa"/>
            <w:noWrap w:val="0"/>
            <w:vAlign w:val="center"/>
          </w:tcPr>
          <w:p>
            <w:pPr>
              <w:spacing w:line="240" w:lineRule="auto"/>
              <w:jc w:val="center"/>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12</w:t>
            </w:r>
          </w:p>
        </w:tc>
        <w:tc>
          <w:tcPr>
            <w:tcW w:w="2399"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本项目的核心产品</w:t>
            </w:r>
          </w:p>
        </w:tc>
        <w:tc>
          <w:tcPr>
            <w:tcW w:w="6000" w:type="dxa"/>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无</w:t>
            </w:r>
          </w:p>
        </w:tc>
      </w:tr>
    </w:tbl>
    <w:p>
      <w:pPr>
        <w:spacing w:line="360" w:lineRule="auto"/>
        <w:jc w:val="left"/>
        <w:rPr>
          <w:rFonts w:hint="eastAsia" w:ascii="宋体" w:hAnsi="宋体" w:eastAsia="宋体" w:cs="宋体"/>
          <w:b/>
          <w:color w:val="000000"/>
          <w:sz w:val="21"/>
          <w:szCs w:val="21"/>
          <w:highlight w:val="none"/>
          <w:lang w:bidi="ar"/>
        </w:rPr>
      </w:pPr>
      <w:r>
        <w:rPr>
          <w:rFonts w:hint="eastAsia" w:ascii="宋体" w:hAnsi="宋体" w:eastAsia="宋体" w:cs="宋体"/>
          <w:b/>
          <w:color w:val="000000"/>
          <w:sz w:val="21"/>
          <w:szCs w:val="21"/>
          <w:highlight w:val="none"/>
        </w:rPr>
        <w:br w:type="page"/>
      </w:r>
      <w:r>
        <w:rPr>
          <w:rFonts w:hint="eastAsia" w:ascii="宋体" w:hAnsi="宋体" w:eastAsia="宋体" w:cs="宋体"/>
          <w:b/>
          <w:color w:val="000000"/>
          <w:sz w:val="21"/>
          <w:szCs w:val="21"/>
          <w:highlight w:val="none"/>
        </w:rPr>
        <w:t>一、商务要求表</w:t>
      </w:r>
    </w:p>
    <w:tbl>
      <w:tblPr>
        <w:tblStyle w:val="3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03"/>
        <w:gridCol w:w="73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160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bCs/>
                <w:color w:val="000000"/>
                <w:sz w:val="21"/>
                <w:szCs w:val="21"/>
                <w:highlight w:val="none"/>
              </w:rPr>
            </w:pPr>
            <w:bookmarkStart w:id="28" w:name="_Toc513103337"/>
            <w:r>
              <w:rPr>
                <w:rFonts w:hint="eastAsia" w:ascii="宋体" w:hAnsi="宋体" w:eastAsia="宋体" w:cs="宋体"/>
                <w:b/>
                <w:bCs/>
                <w:color w:val="000000"/>
                <w:sz w:val="21"/>
                <w:szCs w:val="21"/>
                <w:highlight w:val="none"/>
              </w:rPr>
              <w:t>项目</w:t>
            </w:r>
          </w:p>
        </w:tc>
        <w:tc>
          <w:tcPr>
            <w:tcW w:w="73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160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1、服务期限</w:t>
            </w:r>
          </w:p>
        </w:tc>
        <w:tc>
          <w:tcPr>
            <w:tcW w:w="73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both"/>
              <w:textAlignment w:val="baseline"/>
              <w:rPr>
                <w:rFonts w:hint="eastAsia" w:ascii="宋体" w:hAnsi="宋体" w:eastAsia="宋体" w:cs="宋体"/>
                <w:color w:val="000000"/>
                <w:sz w:val="21"/>
                <w:szCs w:val="21"/>
                <w:highlight w:val="none"/>
              </w:rPr>
            </w:pPr>
            <w:r>
              <w:rPr>
                <w:rFonts w:hint="eastAsia" w:ascii="宋体" w:hAnsi="宋体" w:eastAsia="宋体" w:cs="宋体"/>
                <w:szCs w:val="21"/>
              </w:rPr>
              <w:t>本服务项目一招暂定三年，合同必须为一年一签。合同应符合政府采购预算安排要求，经批准，并经采购人考核验收，双方同意后，方可续签订下一年度的合同。合同续签后，应经原政府采购代理机构见证及备案，并报宁海县政府采购管理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41" w:hRule="atLeast"/>
          <w:jc w:val="center"/>
        </w:trPr>
        <w:tc>
          <w:tcPr>
            <w:tcW w:w="160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2、付款方式</w:t>
            </w:r>
          </w:p>
        </w:tc>
        <w:tc>
          <w:tcPr>
            <w:tcW w:w="731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textAlignment w:val="baseline"/>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1</w:t>
            </w:r>
            <w:r>
              <w:rPr>
                <w:rFonts w:hint="eastAsia" w:ascii="宋体" w:hAnsi="宋体" w:eastAsia="宋体" w:cs="宋体"/>
                <w:szCs w:val="21"/>
                <w:lang w:eastAsia="zh-CN"/>
              </w:rPr>
              <w:t>）</w:t>
            </w:r>
            <w:r>
              <w:rPr>
                <w:rFonts w:hint="eastAsia" w:ascii="宋体" w:hAnsi="宋体" w:eastAsia="宋体" w:cs="宋体"/>
                <w:szCs w:val="21"/>
              </w:rPr>
              <w:t>在确认完成当月工作并通过考核后，按月支付给中标人。</w:t>
            </w:r>
          </w:p>
          <w:p>
            <w:pPr>
              <w:adjustRightInd w:val="0"/>
              <w:spacing w:line="240" w:lineRule="auto"/>
              <w:textAlignment w:val="baseline"/>
              <w:rPr>
                <w:rFonts w:hint="eastAsia" w:eastAsia="黑体"/>
                <w:lang w:eastAsia="zh-CN"/>
              </w:rPr>
            </w:pPr>
            <w:r>
              <w:rPr>
                <w:rFonts w:hint="eastAsia" w:ascii="宋体" w:hAnsi="宋体" w:eastAsia="宋体" w:cs="宋体"/>
                <w:color w:val="auto"/>
                <w:szCs w:val="21"/>
                <w:highlight w:val="none"/>
                <w:lang w:val="en-US" w:eastAsia="zh-CN"/>
              </w:rPr>
              <w:t>（2）如采购人出具书面整改意见要求进行整改，在出具整改意见后七天内中标人未按规定整改的，将延迟拨付月服务经费的30%。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01" w:hRule="atLeast"/>
          <w:jc w:val="center"/>
        </w:trPr>
        <w:tc>
          <w:tcPr>
            <w:tcW w:w="160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3、履约保证金</w:t>
            </w:r>
          </w:p>
        </w:tc>
        <w:tc>
          <w:tcPr>
            <w:tcW w:w="7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both"/>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履约保证金金额：</w:t>
            </w:r>
            <w:r>
              <w:rPr>
                <w:rFonts w:hint="eastAsia" w:ascii="宋体" w:hAnsi="宋体" w:eastAsia="宋体" w:cs="宋体"/>
                <w:color w:val="000000"/>
                <w:sz w:val="21"/>
                <w:szCs w:val="21"/>
                <w:highlight w:val="none"/>
                <w:lang w:eastAsia="zh-CN"/>
              </w:rPr>
              <w:t>年度</w:t>
            </w:r>
            <w:r>
              <w:rPr>
                <w:rFonts w:hint="eastAsia" w:ascii="宋体" w:hAnsi="宋体" w:eastAsia="宋体" w:cs="宋体"/>
                <w:color w:val="000000"/>
                <w:sz w:val="21"/>
                <w:szCs w:val="21"/>
                <w:highlight w:val="none"/>
              </w:rPr>
              <w:t>合同金额的</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w:t>
            </w:r>
          </w:p>
          <w:p>
            <w:pPr>
              <w:adjustRightInd w:val="0"/>
              <w:snapToGrid w:val="0"/>
              <w:spacing w:line="240" w:lineRule="auto"/>
              <w:jc w:val="both"/>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履约保证金形式：支票、汇票、本票等非现金形式提交。</w:t>
            </w:r>
          </w:p>
          <w:p>
            <w:pPr>
              <w:adjustRightInd w:val="0"/>
              <w:snapToGrid w:val="0"/>
              <w:spacing w:line="240" w:lineRule="auto"/>
              <w:jc w:val="both"/>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在签订合同</w:t>
            </w:r>
            <w:r>
              <w:rPr>
                <w:rFonts w:hint="eastAsia" w:ascii="宋体" w:hAnsi="宋体" w:eastAsia="宋体" w:cs="宋体"/>
                <w:color w:val="000000"/>
                <w:sz w:val="21"/>
                <w:szCs w:val="21"/>
                <w:highlight w:val="none"/>
                <w:lang w:eastAsia="zh-CN"/>
              </w:rPr>
              <w:t>后</w:t>
            </w:r>
            <w:r>
              <w:rPr>
                <w:rFonts w:hint="eastAsia" w:ascii="宋体" w:hAnsi="宋体" w:eastAsia="宋体" w:cs="宋体"/>
                <w:color w:val="000000"/>
                <w:sz w:val="21"/>
                <w:szCs w:val="21"/>
                <w:highlight w:val="none"/>
                <w:lang w:val="en-US" w:eastAsia="zh-CN"/>
              </w:rPr>
              <w:t>5个工作日内</w:t>
            </w:r>
            <w:r>
              <w:rPr>
                <w:rFonts w:hint="eastAsia" w:ascii="宋体" w:hAnsi="宋体" w:eastAsia="宋体" w:cs="宋体"/>
                <w:color w:val="000000"/>
                <w:sz w:val="21"/>
                <w:szCs w:val="21"/>
                <w:highlight w:val="none"/>
              </w:rPr>
              <w:t>支付。履约保证金在</w:t>
            </w:r>
            <w:r>
              <w:rPr>
                <w:rFonts w:hint="eastAsia" w:ascii="宋体" w:hAnsi="宋体" w:eastAsia="宋体" w:cs="宋体"/>
                <w:color w:val="000000"/>
                <w:sz w:val="21"/>
                <w:szCs w:val="21"/>
                <w:highlight w:val="none"/>
                <w:lang w:eastAsia="zh-CN"/>
              </w:rPr>
              <w:t>中标人</w:t>
            </w:r>
            <w:r>
              <w:rPr>
                <w:rFonts w:hint="eastAsia" w:ascii="宋体" w:hAnsi="宋体" w:eastAsia="宋体" w:cs="宋体"/>
                <w:color w:val="000000"/>
                <w:sz w:val="21"/>
                <w:szCs w:val="21"/>
                <w:highlight w:val="none"/>
              </w:rPr>
              <w:t>完成合同履约后无息退还（但如</w:t>
            </w:r>
            <w:r>
              <w:rPr>
                <w:rFonts w:hint="eastAsia" w:ascii="宋体" w:hAnsi="宋体" w:eastAsia="宋体" w:cs="宋体"/>
                <w:color w:val="000000"/>
                <w:sz w:val="21"/>
                <w:szCs w:val="21"/>
                <w:highlight w:val="none"/>
                <w:lang w:eastAsia="zh-CN"/>
              </w:rPr>
              <w:t>中标人</w:t>
            </w:r>
            <w:r>
              <w:rPr>
                <w:rFonts w:hint="eastAsia" w:ascii="宋体" w:hAnsi="宋体" w:eastAsia="宋体" w:cs="宋体"/>
                <w:color w:val="000000"/>
                <w:sz w:val="21"/>
                <w:szCs w:val="21"/>
                <w:highlight w:val="none"/>
              </w:rPr>
              <w:t>未能履行合同规定的任何义务，采购单位有权从履约保证金中得到补偿）。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9" w:hRule="atLeast"/>
          <w:jc w:val="center"/>
        </w:trPr>
        <w:tc>
          <w:tcPr>
            <w:tcW w:w="1603" w:type="dxa"/>
            <w:tcBorders>
              <w:top w:val="single" w:color="auto" w:sz="4" w:space="0"/>
              <w:left w:val="single" w:color="auto" w:sz="4" w:space="0"/>
              <w:bottom w:val="single" w:color="auto" w:sz="4" w:space="0"/>
              <w:right w:val="single" w:color="auto" w:sz="4" w:space="0"/>
            </w:tcBorders>
            <w:noWrap w:val="0"/>
            <w:vAlign w:val="center"/>
          </w:tcPr>
          <w:p>
            <w:pPr>
              <w:tabs>
                <w:tab w:val="left" w:pos="3234"/>
              </w:tabs>
              <w:spacing w:line="240" w:lineRule="auto"/>
              <w:ind w:right="-105" w:rightChars="-50"/>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4、合同终止</w:t>
            </w:r>
          </w:p>
        </w:tc>
        <w:tc>
          <w:tcPr>
            <w:tcW w:w="7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both"/>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中标人</w:t>
            </w:r>
            <w:r>
              <w:rPr>
                <w:rFonts w:hint="eastAsia" w:ascii="宋体" w:hAnsi="宋体" w:eastAsia="宋体" w:cs="宋体"/>
                <w:color w:val="000000"/>
                <w:sz w:val="21"/>
                <w:szCs w:val="21"/>
                <w:highlight w:val="none"/>
              </w:rPr>
              <w:t>在合同有效期内，不得以任何理由终止合同，确有特殊情况的，须提前两个月向采购单位提出书面申请，经采购单位同意后，方可终止合同，同时酌情扣除履约保证金。因</w:t>
            </w:r>
            <w:r>
              <w:rPr>
                <w:rFonts w:hint="eastAsia" w:ascii="宋体" w:hAnsi="宋体" w:eastAsia="宋体" w:cs="宋体"/>
                <w:color w:val="000000"/>
                <w:sz w:val="21"/>
                <w:szCs w:val="21"/>
                <w:highlight w:val="none"/>
                <w:lang w:eastAsia="zh-CN"/>
              </w:rPr>
              <w:t>中标人</w:t>
            </w:r>
            <w:r>
              <w:rPr>
                <w:rFonts w:hint="eastAsia" w:ascii="宋体" w:hAnsi="宋体" w:eastAsia="宋体" w:cs="宋体"/>
                <w:color w:val="000000"/>
                <w:sz w:val="21"/>
                <w:szCs w:val="21"/>
                <w:highlight w:val="none"/>
              </w:rPr>
              <w:t>不能保证工作质量，或发生重大差错事故的，采购单位可有权终止协议，</w:t>
            </w:r>
            <w:r>
              <w:rPr>
                <w:rFonts w:hint="eastAsia" w:ascii="宋体" w:hAnsi="宋体" w:eastAsia="宋体" w:cs="宋体"/>
                <w:color w:val="000000"/>
                <w:sz w:val="21"/>
                <w:szCs w:val="21"/>
                <w:highlight w:val="none"/>
                <w:lang w:eastAsia="zh-CN"/>
              </w:rPr>
              <w:t>中标人</w:t>
            </w:r>
            <w:r>
              <w:rPr>
                <w:rFonts w:hint="eastAsia" w:ascii="宋体" w:hAnsi="宋体" w:eastAsia="宋体" w:cs="宋体"/>
                <w:color w:val="000000"/>
                <w:sz w:val="21"/>
                <w:szCs w:val="21"/>
                <w:highlight w:val="none"/>
              </w:rPr>
              <w:t>承担全部责任。</w:t>
            </w:r>
          </w:p>
          <w:p>
            <w:pPr>
              <w:adjustRightInd w:val="0"/>
              <w:snapToGrid w:val="0"/>
              <w:spacing w:line="240" w:lineRule="auto"/>
              <w:jc w:val="both"/>
              <w:textAlignment w:val="baseline"/>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（2）由于</w:t>
            </w:r>
            <w:r>
              <w:rPr>
                <w:rFonts w:hint="eastAsia" w:ascii="宋体" w:hAnsi="宋体" w:eastAsia="宋体" w:cs="宋体"/>
                <w:color w:val="000000"/>
                <w:sz w:val="21"/>
                <w:szCs w:val="21"/>
                <w:highlight w:val="none"/>
                <w:lang w:eastAsia="zh-CN"/>
              </w:rPr>
              <w:t>中标人</w:t>
            </w:r>
            <w:r>
              <w:rPr>
                <w:rFonts w:hint="eastAsia" w:ascii="宋体" w:hAnsi="宋体" w:eastAsia="宋体" w:cs="宋体"/>
                <w:color w:val="000000"/>
                <w:sz w:val="21"/>
                <w:szCs w:val="21"/>
                <w:highlight w:val="none"/>
                <w:lang w:val="en-US" w:eastAsia="zh-CN"/>
              </w:rPr>
              <w:t>与上一年度保洁单位交接协商不妥，影响日常保洁工作无法正常运行，甲方有权终止合同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57" w:hRule="atLeast"/>
          <w:jc w:val="center"/>
        </w:trPr>
        <w:tc>
          <w:tcPr>
            <w:tcW w:w="160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jc w:val="both"/>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5、对采购内容进行变更的处理</w:t>
            </w:r>
          </w:p>
        </w:tc>
        <w:tc>
          <w:tcPr>
            <w:tcW w:w="73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baseline"/>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（1）合同期内，因故致使本合同保洁项目面积发生变更的，由采购人根据实际变更量，按中标综合单价进行增减，按实结算保洁服务费（核增金额不超过年度合同总金额的10%），采购人出具</w:t>
            </w:r>
            <w:r>
              <w:rPr>
                <w:rFonts w:hint="eastAsia" w:ascii="宋体" w:hAnsi="宋体" w:cs="宋体"/>
                <w:color w:val="000000"/>
                <w:szCs w:val="21"/>
                <w:highlight w:val="none"/>
                <w:lang w:val="en-US" w:eastAsia="zh-CN"/>
              </w:rPr>
              <w:t>的</w:t>
            </w:r>
            <w:r>
              <w:rPr>
                <w:rFonts w:hint="eastAsia" w:ascii="宋体" w:hAnsi="宋体" w:eastAsia="宋体" w:cs="宋体"/>
                <w:color w:val="000000"/>
                <w:szCs w:val="21"/>
                <w:highlight w:val="none"/>
                <w:lang w:val="en-US" w:eastAsia="zh-CN"/>
              </w:rPr>
              <w:t>联系单</w:t>
            </w:r>
            <w:r>
              <w:rPr>
                <w:rFonts w:hint="eastAsia" w:ascii="宋体" w:hAnsi="宋体" w:cs="宋体"/>
                <w:color w:val="000000"/>
                <w:szCs w:val="21"/>
                <w:highlight w:val="none"/>
                <w:lang w:val="en-US" w:eastAsia="zh-CN"/>
              </w:rPr>
              <w:t>将</w:t>
            </w:r>
            <w:r>
              <w:rPr>
                <w:rFonts w:hint="eastAsia" w:ascii="宋体" w:hAnsi="宋体" w:eastAsia="宋体" w:cs="宋体"/>
                <w:color w:val="000000"/>
                <w:szCs w:val="21"/>
                <w:highlight w:val="none"/>
                <w:lang w:val="en-US" w:eastAsia="zh-CN"/>
              </w:rPr>
              <w:t>作为保洁费用调整结算的依据。</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baseline"/>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（2）</w:t>
            </w:r>
            <w:r>
              <w:rPr>
                <w:rFonts w:hint="eastAsia" w:ascii="宋体" w:hAnsi="宋体" w:eastAsia="宋体" w:cs="宋体"/>
                <w:color w:val="000000"/>
                <w:szCs w:val="21"/>
                <w:highlight w:val="none"/>
              </w:rPr>
              <w:t>国家上调最低工资标准和养老保险标准的，按实际上调额及税收另行追加保洁服务费。</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baseline"/>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w:t>
            </w:r>
            <w:r>
              <w:rPr>
                <w:rFonts w:hint="eastAsia" w:ascii="宋体" w:hAnsi="宋体" w:cs="宋体"/>
                <w:color w:val="000000"/>
                <w:szCs w:val="21"/>
                <w:highlight w:val="none"/>
                <w:lang w:val="en-US" w:eastAsia="zh-CN"/>
              </w:rPr>
              <w:t>3</w:t>
            </w:r>
            <w:r>
              <w:rPr>
                <w:rFonts w:hint="eastAsia" w:ascii="宋体" w:hAnsi="宋体" w:eastAsia="宋体" w:cs="宋体"/>
                <w:color w:val="000000"/>
                <w:szCs w:val="21"/>
                <w:highlight w:val="none"/>
                <w:lang w:val="en-US" w:eastAsia="zh-CN"/>
              </w:rPr>
              <w:t>）因工作需要调整保洁标准的，中标人须按新保洁标准执行，保洁费用予</w:t>
            </w:r>
            <w:r>
              <w:rPr>
                <w:rFonts w:hint="eastAsia" w:ascii="宋体" w:hAnsi="宋体" w:cs="宋体"/>
                <w:color w:val="000000"/>
                <w:szCs w:val="21"/>
                <w:highlight w:val="none"/>
                <w:lang w:val="en-US" w:eastAsia="zh-CN"/>
              </w:rPr>
              <w:t>以</w:t>
            </w:r>
            <w:r>
              <w:rPr>
                <w:rFonts w:hint="eastAsia" w:ascii="宋体" w:hAnsi="宋体" w:eastAsia="宋体" w:cs="宋体"/>
                <w:color w:val="000000"/>
                <w:szCs w:val="21"/>
                <w:highlight w:val="none"/>
                <w:lang w:val="en-US" w:eastAsia="zh-CN"/>
              </w:rPr>
              <w:t>调整。</w:t>
            </w:r>
          </w:p>
          <w:p>
            <w:pPr>
              <w:adjustRightInd w:val="0"/>
              <w:snapToGrid w:val="0"/>
              <w:spacing w:line="240" w:lineRule="auto"/>
              <w:jc w:val="both"/>
              <w:textAlignment w:val="baseline"/>
              <w:rPr>
                <w:rFonts w:hint="eastAsia" w:ascii="宋体" w:hAnsi="宋体" w:eastAsia="宋体" w:cs="宋体"/>
                <w:color w:val="000000"/>
                <w:sz w:val="21"/>
                <w:szCs w:val="21"/>
                <w:highlight w:val="none"/>
              </w:rPr>
            </w:pPr>
            <w:r>
              <w:rPr>
                <w:rFonts w:hint="eastAsia" w:ascii="宋体" w:hAnsi="宋体" w:eastAsia="宋体" w:cs="宋体"/>
                <w:color w:val="000000"/>
                <w:szCs w:val="21"/>
                <w:highlight w:val="none"/>
                <w:lang w:val="en-US" w:eastAsia="zh-CN"/>
              </w:rPr>
              <w:t>（</w:t>
            </w:r>
            <w:r>
              <w:rPr>
                <w:rFonts w:hint="eastAsia" w:ascii="宋体" w:hAnsi="宋体" w:cs="宋体"/>
                <w:color w:val="000000"/>
                <w:szCs w:val="21"/>
                <w:highlight w:val="none"/>
                <w:lang w:val="en-US" w:eastAsia="zh-CN"/>
              </w:rPr>
              <w:t>4</w:t>
            </w:r>
            <w:r>
              <w:rPr>
                <w:rFonts w:hint="eastAsia" w:ascii="宋体" w:hAnsi="宋体" w:eastAsia="宋体" w:cs="宋体"/>
                <w:color w:val="000000"/>
                <w:szCs w:val="21"/>
                <w:highlight w:val="none"/>
                <w:lang w:val="en-US" w:eastAsia="zh-CN"/>
              </w:rPr>
              <w:t>）除因重大政策要求外，合同期内，因故致使本合同保洁项目设施量发生变更的，保洁费用不予调整。</w:t>
            </w:r>
          </w:p>
        </w:tc>
      </w:tr>
      <w:bookmarkEnd w:id="28"/>
    </w:tbl>
    <w:p>
      <w:pPr>
        <w:numPr>
          <w:ilvl w:val="0"/>
          <w:numId w:val="0"/>
        </w:numPr>
        <w:tabs>
          <w:tab w:val="center" w:pos="4156"/>
        </w:tabs>
        <w:spacing w:line="360" w:lineRule="auto"/>
        <w:rPr>
          <w:rFonts w:hint="eastAsia" w:ascii="宋体" w:hAnsi="宋体" w:eastAsia="宋体" w:cs="宋体"/>
          <w:b/>
          <w:color w:val="000000"/>
          <w:sz w:val="21"/>
          <w:szCs w:val="21"/>
          <w:highlight w:val="none"/>
        </w:rPr>
      </w:pPr>
    </w:p>
    <w:p>
      <w:pPr>
        <w:numPr>
          <w:ilvl w:val="0"/>
          <w:numId w:val="0"/>
        </w:numPr>
        <w:tabs>
          <w:tab w:val="center" w:pos="4156"/>
        </w:tabs>
        <w:spacing w:line="360" w:lineRule="auto"/>
        <w:rPr>
          <w:rFonts w:hint="eastAsia" w:ascii="宋体" w:hAnsi="宋体" w:eastAsia="宋体" w:cs="宋体"/>
          <w:b/>
          <w:color w:val="000000"/>
          <w:sz w:val="21"/>
          <w:szCs w:val="21"/>
          <w:highlight w:val="none"/>
        </w:rPr>
      </w:pPr>
    </w:p>
    <w:p>
      <w:pPr>
        <w:numPr>
          <w:ilvl w:val="0"/>
          <w:numId w:val="0"/>
        </w:numPr>
        <w:tabs>
          <w:tab w:val="center" w:pos="4156"/>
        </w:tabs>
        <w:spacing w:line="360" w:lineRule="auto"/>
        <w:rPr>
          <w:rFonts w:hint="eastAsia" w:ascii="宋体" w:hAnsi="宋体" w:eastAsia="宋体" w:cs="宋体"/>
          <w:b/>
          <w:color w:val="000000"/>
          <w:sz w:val="21"/>
          <w:szCs w:val="21"/>
          <w:highlight w:val="none"/>
        </w:rPr>
      </w:pPr>
    </w:p>
    <w:p>
      <w:pPr>
        <w:numPr>
          <w:ilvl w:val="0"/>
          <w:numId w:val="0"/>
        </w:numPr>
        <w:tabs>
          <w:tab w:val="center" w:pos="4156"/>
        </w:tabs>
        <w:spacing w:line="360" w:lineRule="auto"/>
        <w:rPr>
          <w:rFonts w:hint="eastAsia" w:ascii="宋体" w:hAnsi="宋体" w:eastAsia="宋体" w:cs="宋体"/>
          <w:b/>
          <w:color w:val="000000"/>
          <w:sz w:val="21"/>
          <w:szCs w:val="21"/>
          <w:highlight w:val="none"/>
        </w:rPr>
      </w:pPr>
    </w:p>
    <w:p>
      <w:pPr>
        <w:pStyle w:val="2"/>
        <w:rPr>
          <w:rFonts w:hint="eastAsia" w:ascii="宋体" w:hAnsi="宋体" w:eastAsia="宋体" w:cs="宋体"/>
          <w:b/>
          <w:color w:val="000000"/>
          <w:sz w:val="21"/>
          <w:szCs w:val="21"/>
          <w:highlight w:val="none"/>
        </w:rPr>
      </w:pPr>
    </w:p>
    <w:p>
      <w:pPr>
        <w:pStyle w:val="3"/>
        <w:rPr>
          <w:rFonts w:hint="eastAsia" w:ascii="宋体" w:hAnsi="宋体" w:eastAsia="宋体" w:cs="宋体"/>
          <w:b/>
          <w:color w:val="000000"/>
          <w:sz w:val="21"/>
          <w:szCs w:val="21"/>
          <w:highlight w:val="none"/>
        </w:rPr>
      </w:pPr>
    </w:p>
    <w:p>
      <w:pPr>
        <w:rPr>
          <w:rFonts w:hint="eastAsia" w:ascii="宋体" w:hAnsi="宋体" w:eastAsia="宋体" w:cs="宋体"/>
          <w:b/>
          <w:color w:val="000000"/>
          <w:sz w:val="21"/>
          <w:szCs w:val="21"/>
          <w:highlight w:val="none"/>
        </w:rPr>
      </w:pPr>
    </w:p>
    <w:p>
      <w:pPr>
        <w:pStyle w:val="2"/>
        <w:rPr>
          <w:rFonts w:hint="eastAsia"/>
        </w:rPr>
      </w:pPr>
    </w:p>
    <w:p>
      <w:pPr>
        <w:pStyle w:val="9"/>
        <w:rPr>
          <w:rFonts w:hint="eastAsia" w:ascii="宋体" w:hAnsi="宋体" w:eastAsia="宋体" w:cs="宋体"/>
          <w:b/>
          <w:color w:val="000000"/>
          <w:sz w:val="21"/>
          <w:szCs w:val="21"/>
          <w:highlight w:val="none"/>
        </w:rPr>
      </w:pPr>
    </w:p>
    <w:p>
      <w:pPr>
        <w:pStyle w:val="9"/>
        <w:rPr>
          <w:rFonts w:hint="eastAsia" w:ascii="宋体" w:hAnsi="宋体" w:eastAsia="宋体" w:cs="宋体"/>
          <w:b/>
          <w:color w:val="000000"/>
          <w:sz w:val="21"/>
          <w:szCs w:val="21"/>
          <w:highlight w:val="none"/>
        </w:rPr>
      </w:pPr>
    </w:p>
    <w:p>
      <w:pPr>
        <w:pStyle w:val="9"/>
        <w:rPr>
          <w:rFonts w:hint="eastAsia" w:ascii="宋体" w:hAnsi="宋体" w:eastAsia="宋体" w:cs="宋体"/>
          <w:b/>
          <w:color w:val="000000"/>
          <w:sz w:val="21"/>
          <w:szCs w:val="21"/>
          <w:highlight w:val="none"/>
        </w:rPr>
      </w:pPr>
    </w:p>
    <w:p>
      <w:pPr>
        <w:pStyle w:val="9"/>
        <w:rPr>
          <w:rFonts w:hint="eastAsia" w:ascii="宋体" w:hAnsi="宋体" w:eastAsia="宋体" w:cs="宋体"/>
          <w:b/>
          <w:color w:val="000000"/>
          <w:sz w:val="21"/>
          <w:szCs w:val="21"/>
          <w:highlight w:val="none"/>
        </w:rPr>
      </w:pPr>
    </w:p>
    <w:p>
      <w:pPr>
        <w:pStyle w:val="9"/>
        <w:rPr>
          <w:rFonts w:hint="eastAsia" w:ascii="宋体" w:hAnsi="宋体" w:eastAsia="宋体" w:cs="宋体"/>
          <w:b/>
          <w:color w:val="000000"/>
          <w:sz w:val="21"/>
          <w:szCs w:val="21"/>
          <w:highlight w:val="none"/>
        </w:rPr>
      </w:pPr>
    </w:p>
    <w:p>
      <w:pPr>
        <w:pStyle w:val="9"/>
        <w:spacing w:line="360" w:lineRule="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b/>
          <w:color w:val="000000"/>
          <w:kern w:val="2"/>
          <w:sz w:val="21"/>
          <w:szCs w:val="21"/>
          <w:highlight w:val="none"/>
          <w:lang w:val="en-US" w:eastAsia="zh-CN" w:bidi="ar-SA"/>
        </w:rPr>
        <w:t>二、项目概况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0" w:firstLineChars="0"/>
        <w:textAlignment w:val="auto"/>
        <w:rPr>
          <w:rFonts w:hint="eastAsia" w:ascii="宋体" w:hAnsi="宋体" w:eastAsia="宋体" w:cs="宋体"/>
          <w:b w:val="0"/>
          <w:bCs/>
          <w:color w:val="000000"/>
          <w:sz w:val="21"/>
          <w:szCs w:val="21"/>
          <w:highlight w:val="none"/>
          <w:lang w:val="en-US" w:eastAsia="zh-CN"/>
        </w:rPr>
      </w:pPr>
      <w:r>
        <w:rPr>
          <w:rFonts w:hint="eastAsia" w:ascii="宋体" w:hAnsi="宋体" w:eastAsia="宋体" w:cs="宋体"/>
          <w:b w:val="0"/>
          <w:bCs/>
          <w:color w:val="000000"/>
          <w:sz w:val="21"/>
          <w:szCs w:val="21"/>
          <w:highlight w:val="none"/>
          <w:lang w:val="en-US" w:eastAsia="zh-CN"/>
        </w:rPr>
        <w:t>（一）服务范围</w:t>
      </w:r>
    </w:p>
    <w:p>
      <w:pPr>
        <w:numPr>
          <w:ilvl w:val="0"/>
          <w:numId w:val="0"/>
        </w:numPr>
        <w:spacing w:before="0" w:line="360" w:lineRule="auto"/>
        <w:ind w:left="0" w:right="0" w:firstLine="420" w:firstLineChars="200"/>
        <w:rPr>
          <w:rFonts w:hint="eastAsia" w:ascii="宋体" w:hAnsi="宋体" w:eastAsia="宋体" w:cs="宋体"/>
          <w:bCs/>
          <w:color w:val="000000"/>
          <w:sz w:val="21"/>
          <w:szCs w:val="21"/>
          <w:highlight w:val="none"/>
        </w:rPr>
      </w:pPr>
      <w:r>
        <w:rPr>
          <w:rFonts w:hint="eastAsia" w:ascii="宋体" w:hAnsi="宋体" w:eastAsia="宋体" w:cs="宋体"/>
          <w:bCs/>
          <w:color w:val="000000"/>
          <w:spacing w:val="0"/>
          <w:sz w:val="21"/>
          <w:szCs w:val="21"/>
          <w:highlight w:val="none"/>
        </w:rPr>
        <w:t>宁海县桥头胡街道环卫保洁服务的区域范围主要包括街道道路保洁、店面垃圾收运、河道保洁 、黄墩社区与桥头胡市场周边卫生保洁</w:t>
      </w:r>
      <w:r>
        <w:rPr>
          <w:rFonts w:hint="eastAsia" w:ascii="宋体" w:hAnsi="宋体" w:cs="宋体"/>
          <w:bCs/>
          <w:color w:val="000000"/>
          <w:spacing w:val="0"/>
          <w:sz w:val="21"/>
          <w:szCs w:val="21"/>
          <w:highlight w:val="none"/>
          <w:lang w:eastAsia="zh-CN"/>
        </w:rPr>
        <w:t>、黄墩社区的垃圾分类</w:t>
      </w:r>
      <w:r>
        <w:rPr>
          <w:rFonts w:hint="eastAsia" w:ascii="宋体" w:hAnsi="宋体" w:eastAsia="宋体" w:cs="宋体"/>
          <w:bCs/>
          <w:color w:val="000000"/>
          <w:spacing w:val="0"/>
          <w:sz w:val="21"/>
          <w:szCs w:val="21"/>
          <w:highlight w:val="none"/>
        </w:rPr>
        <w:t>以及街道范围内的各自然村生活垃圾清运等内容。</w:t>
      </w:r>
    </w:p>
    <w:p>
      <w:pPr>
        <w:numPr>
          <w:ilvl w:val="0"/>
          <w:numId w:val="0"/>
        </w:numPr>
        <w:spacing w:before="0" w:line="360" w:lineRule="auto"/>
        <w:ind w:left="0" w:right="0" w:firstLine="420" w:firstLineChars="200"/>
        <w:rPr>
          <w:rFonts w:hint="eastAsia" w:ascii="宋体" w:hAnsi="宋体" w:eastAsia="宋体" w:cs="宋体"/>
          <w:bCs/>
          <w:color w:val="000000"/>
          <w:sz w:val="21"/>
          <w:szCs w:val="21"/>
          <w:highlight w:val="none"/>
        </w:rPr>
      </w:pPr>
      <w:r>
        <w:rPr>
          <w:rFonts w:hint="eastAsia" w:ascii="宋体" w:hAnsi="宋体" w:eastAsia="宋体" w:cs="宋体"/>
          <w:bCs/>
          <w:color w:val="000000"/>
          <w:spacing w:val="0"/>
          <w:sz w:val="21"/>
          <w:szCs w:val="21"/>
          <w:highlight w:val="none"/>
        </w:rPr>
        <w:t>宁海县桥头胡街道道路保洁服务范围共计29条道路，包含一级道路8条，二级道路21条。保洁服务范围总面积共计183907平方米，其中包含绿化带面积 18792平方米。</w:t>
      </w:r>
      <w:r>
        <w:rPr>
          <w:rFonts w:hint="eastAsia" w:ascii="宋体" w:hAnsi="宋体" w:eastAsia="宋体" w:cs="宋体"/>
          <w:bCs/>
          <w:color w:val="000000"/>
          <w:spacing w:val="0"/>
          <w:sz w:val="21"/>
          <w:szCs w:val="21"/>
          <w:highlight w:val="none"/>
          <w:lang w:eastAsia="zh-CN"/>
        </w:rPr>
        <w:t>详见表</w:t>
      </w:r>
      <w:r>
        <w:rPr>
          <w:rFonts w:hint="eastAsia" w:ascii="宋体" w:hAnsi="宋体" w:eastAsia="宋体" w:cs="宋体"/>
          <w:bCs/>
          <w:color w:val="000000"/>
          <w:spacing w:val="0"/>
          <w:sz w:val="21"/>
          <w:szCs w:val="21"/>
          <w:highlight w:val="none"/>
          <w:lang w:val="en-US" w:eastAsia="zh-CN"/>
        </w:rPr>
        <w:t>1：《</w:t>
      </w:r>
      <w:r>
        <w:rPr>
          <w:rFonts w:hint="eastAsia" w:ascii="宋体" w:hAnsi="宋体" w:eastAsia="宋体" w:cs="宋体"/>
          <w:bCs/>
          <w:color w:val="000000"/>
          <w:spacing w:val="0"/>
          <w:sz w:val="21"/>
          <w:szCs w:val="21"/>
          <w:highlight w:val="none"/>
        </w:rPr>
        <w:t>宁海县桥头胡</w:t>
      </w:r>
      <w:r>
        <w:rPr>
          <w:rFonts w:hint="eastAsia" w:ascii="宋体" w:hAnsi="宋体" w:eastAsia="宋体" w:cs="宋体"/>
          <w:bCs/>
          <w:color w:val="000000"/>
          <w:sz w:val="21"/>
          <w:szCs w:val="21"/>
          <w:highlight w:val="none"/>
        </w:rPr>
        <w:t>街道道路保洁面积统计</w:t>
      </w:r>
      <w:r>
        <w:rPr>
          <w:rFonts w:hint="eastAsia" w:ascii="宋体" w:hAnsi="宋体" w:eastAsia="宋体" w:cs="宋体"/>
          <w:bCs/>
          <w:color w:val="000000"/>
          <w:spacing w:val="0"/>
          <w:sz w:val="21"/>
          <w:szCs w:val="21"/>
          <w:highlight w:val="none"/>
          <w:lang w:val="en-US" w:eastAsia="zh-CN"/>
        </w:rPr>
        <w:t>》</w:t>
      </w:r>
    </w:p>
    <w:p>
      <w:pPr>
        <w:numPr>
          <w:ilvl w:val="0"/>
          <w:numId w:val="0"/>
        </w:numPr>
        <w:spacing w:before="0" w:line="360" w:lineRule="auto"/>
        <w:ind w:left="0" w:right="0" w:firstLine="420" w:firstLineChars="200"/>
        <w:rPr>
          <w:rFonts w:hint="eastAsia" w:ascii="宋体" w:hAnsi="宋体" w:eastAsia="宋体" w:cs="宋体"/>
          <w:bCs/>
          <w:color w:val="000000"/>
          <w:sz w:val="21"/>
          <w:szCs w:val="21"/>
          <w:highlight w:val="none"/>
        </w:rPr>
      </w:pPr>
      <w:r>
        <w:rPr>
          <w:rFonts w:hint="eastAsia" w:ascii="宋体" w:hAnsi="宋体" w:eastAsia="宋体" w:cs="宋体"/>
          <w:bCs/>
          <w:color w:val="000000"/>
          <w:spacing w:val="0"/>
          <w:sz w:val="21"/>
          <w:szCs w:val="21"/>
          <w:highlight w:val="none"/>
        </w:rPr>
        <w:t>黄墩社区的保洁区域主要为林家和桥头胡村。其中林家的保洁面积为1.5万平方米，桥头胡村保洁区域为其未拆建的部分</w:t>
      </w:r>
      <w:r>
        <w:rPr>
          <w:rFonts w:hint="eastAsia" w:ascii="宋体" w:hAnsi="宋体" w:eastAsia="宋体" w:cs="宋体"/>
          <w:bCs/>
          <w:color w:val="000000"/>
          <w:sz w:val="21"/>
          <w:szCs w:val="21"/>
          <w:highlight w:val="none"/>
        </w:rPr>
        <w:t>道</w:t>
      </w:r>
      <w:r>
        <w:rPr>
          <w:rFonts w:hint="eastAsia" w:ascii="宋体" w:hAnsi="宋体" w:eastAsia="宋体" w:cs="宋体"/>
          <w:bCs/>
          <w:color w:val="000000"/>
          <w:spacing w:val="0"/>
          <w:sz w:val="21"/>
          <w:szCs w:val="21"/>
          <w:highlight w:val="none"/>
        </w:rPr>
        <w:t>路，保洁面积约为7.87万平方米。此外，桥头胡菜场前面一块停车场动态保洁，面积为0.78万平方米。</w:t>
      </w:r>
    </w:p>
    <w:p>
      <w:pPr>
        <w:pStyle w:val="13"/>
        <w:snapToGrid w:val="0"/>
        <w:spacing w:beforeLines="0" w:after="120"/>
        <w:ind w:firstLine="0" w:firstLineChars="0"/>
        <w:outlineLvl w:val="0"/>
        <w:rPr>
          <w:rFonts w:hint="eastAsia"/>
        </w:rPr>
      </w:pPr>
      <w:r>
        <w:rPr>
          <w:rFonts w:hint="eastAsia" w:ascii="宋体" w:hAnsi="宋体" w:eastAsia="宋体" w:cs="宋体"/>
          <w:bCs/>
          <w:color w:val="000000"/>
          <w:spacing w:val="0"/>
          <w:sz w:val="21"/>
          <w:szCs w:val="21"/>
          <w:highlight w:val="none"/>
        </w:rPr>
        <w:t>桥头胡街道河道保洁项目的作业范围为辖区内6条河道(4条县级河道、2条街道级河道)的日常保洁，具体河道清单</w:t>
      </w:r>
      <w:r>
        <w:rPr>
          <w:rFonts w:hint="eastAsia" w:hAnsi="宋体" w:cs="宋体"/>
          <w:bCs/>
          <w:color w:val="000000"/>
          <w:spacing w:val="0"/>
          <w:sz w:val="21"/>
          <w:szCs w:val="21"/>
          <w:highlight w:val="none"/>
          <w:lang w:eastAsia="zh-CN"/>
        </w:rPr>
        <w:t>详</w:t>
      </w:r>
      <w:r>
        <w:rPr>
          <w:rFonts w:hint="eastAsia" w:ascii="宋体" w:hAnsi="宋体" w:eastAsia="宋体" w:cs="宋体"/>
          <w:bCs/>
          <w:color w:val="000000"/>
          <w:spacing w:val="0"/>
          <w:sz w:val="21"/>
          <w:szCs w:val="21"/>
          <w:highlight w:val="none"/>
        </w:rPr>
        <w:t>见</w:t>
      </w:r>
      <w:r>
        <w:rPr>
          <w:rFonts w:hint="eastAsia" w:ascii="宋体" w:hAnsi="宋体" w:eastAsia="宋体" w:cs="宋体"/>
          <w:bCs/>
          <w:color w:val="000000"/>
          <w:spacing w:val="0"/>
          <w:sz w:val="21"/>
          <w:szCs w:val="21"/>
          <w:highlight w:val="none"/>
          <w:lang w:eastAsia="zh-CN"/>
        </w:rPr>
        <w:t>表</w:t>
      </w:r>
      <w:r>
        <w:rPr>
          <w:rFonts w:hint="eastAsia" w:hAnsi="宋体" w:cs="宋体"/>
          <w:bCs/>
          <w:color w:val="000000"/>
          <w:spacing w:val="0"/>
          <w:sz w:val="21"/>
          <w:szCs w:val="21"/>
          <w:highlight w:val="none"/>
          <w:lang w:val="en-US" w:eastAsia="zh-CN"/>
        </w:rPr>
        <w:t>2</w:t>
      </w:r>
      <w:r>
        <w:rPr>
          <w:rFonts w:hint="eastAsia" w:ascii="宋体" w:hAnsi="宋体" w:eastAsia="宋体" w:cs="宋体"/>
          <w:bCs/>
          <w:color w:val="000000"/>
          <w:spacing w:val="0"/>
          <w:sz w:val="21"/>
          <w:szCs w:val="21"/>
          <w:highlight w:val="none"/>
          <w:lang w:val="en-US" w:eastAsia="zh-CN"/>
        </w:rPr>
        <w:t>：</w:t>
      </w:r>
      <w:r>
        <w:rPr>
          <w:rFonts w:hint="eastAsia" w:hAnsi="宋体" w:cs="宋体"/>
          <w:bCs/>
          <w:color w:val="000000"/>
          <w:sz w:val="21"/>
          <w:szCs w:val="21"/>
          <w:highlight w:val="none"/>
          <w:lang w:eastAsia="zh-CN"/>
        </w:rPr>
        <w:t>《</w:t>
      </w:r>
      <w:r>
        <w:rPr>
          <w:rFonts w:hint="eastAsia" w:ascii="宋体" w:hAnsi="宋体" w:eastAsia="宋体" w:cs="宋体"/>
          <w:bCs/>
          <w:color w:val="000000"/>
          <w:spacing w:val="0"/>
          <w:sz w:val="21"/>
          <w:szCs w:val="21"/>
          <w:highlight w:val="none"/>
        </w:rPr>
        <w:t>宁海县桥头胡</w:t>
      </w:r>
      <w:r>
        <w:rPr>
          <w:rFonts w:hint="eastAsia" w:ascii="宋体" w:hAnsi="宋体" w:eastAsia="宋体" w:cs="宋体"/>
          <w:bCs/>
          <w:color w:val="000000"/>
          <w:sz w:val="21"/>
          <w:szCs w:val="21"/>
          <w:highlight w:val="none"/>
        </w:rPr>
        <w:t>街道道路保洁面积统计</w:t>
      </w:r>
      <w:r>
        <w:rPr>
          <w:rFonts w:hint="eastAsia" w:hAnsi="宋体" w:cs="宋体"/>
          <w:bCs/>
          <w:color w:val="000000"/>
          <w:sz w:val="21"/>
          <w:szCs w:val="21"/>
          <w:highlight w:val="none"/>
          <w:lang w:eastAsia="zh-CN"/>
        </w:rPr>
        <w:t>》</w:t>
      </w:r>
      <w:r>
        <w:rPr>
          <w:rFonts w:hint="eastAsia" w:ascii="宋体" w:hAnsi="宋体" w:eastAsia="宋体" w:cs="宋体"/>
          <w:bCs/>
          <w:color w:val="000000"/>
          <w:spacing w:val="0"/>
          <w:sz w:val="21"/>
          <w:szCs w:val="21"/>
          <w:highlight w:val="none"/>
        </w:rPr>
        <w:t>。</w:t>
      </w:r>
    </w:p>
    <w:p>
      <w:pPr>
        <w:numPr>
          <w:ilvl w:val="0"/>
          <w:numId w:val="0"/>
        </w:numPr>
        <w:spacing w:before="0" w:line="360" w:lineRule="auto"/>
        <w:ind w:left="0" w:right="0" w:firstLine="420" w:firstLineChars="200"/>
        <w:rPr>
          <w:rFonts w:hint="eastAsia" w:ascii="宋体" w:hAnsi="宋体" w:eastAsia="宋体" w:cs="宋体"/>
          <w:bCs/>
          <w:color w:val="000000"/>
          <w:sz w:val="21"/>
          <w:szCs w:val="21"/>
          <w:highlight w:val="none"/>
        </w:rPr>
      </w:pPr>
      <w:r>
        <w:rPr>
          <w:rFonts w:hint="eastAsia" w:ascii="宋体" w:hAnsi="宋体" w:eastAsia="宋体" w:cs="宋体"/>
          <w:bCs/>
          <w:color w:val="000000"/>
          <w:spacing w:val="0"/>
          <w:sz w:val="21"/>
          <w:szCs w:val="21"/>
          <w:highlight w:val="none"/>
        </w:rPr>
        <w:t>桥头胡街道市场周边卫生保洁主要包括桥头胡菜场周边、小商品市场周边以及菜场周边公共厕所的三部分保洁。</w:t>
      </w:r>
    </w:p>
    <w:p>
      <w:pPr>
        <w:numPr>
          <w:ilvl w:val="0"/>
          <w:numId w:val="0"/>
        </w:numPr>
        <w:spacing w:line="360" w:lineRule="auto"/>
        <w:ind w:firstLine="420" w:firstLineChars="200"/>
        <w:rPr>
          <w:rFonts w:hint="eastAsia" w:ascii="宋体" w:hAnsi="宋体" w:eastAsia="宋体" w:cs="宋体"/>
          <w:bCs/>
          <w:color w:val="000000"/>
          <w:spacing w:val="0"/>
          <w:sz w:val="21"/>
          <w:szCs w:val="21"/>
          <w:highlight w:val="none"/>
        </w:rPr>
      </w:pPr>
      <w:r>
        <w:rPr>
          <w:rFonts w:hint="eastAsia" w:ascii="宋体" w:hAnsi="宋体" w:eastAsia="宋体" w:cs="宋体"/>
          <w:bCs/>
          <w:color w:val="000000"/>
          <w:spacing w:val="0"/>
          <w:sz w:val="21"/>
          <w:szCs w:val="21"/>
          <w:highlight w:val="none"/>
        </w:rPr>
        <w:t>桥头胡街道范围自然村生活垃圾统一收集和运输，收运范围包括全街道15个行政村和1个社区。</w:t>
      </w:r>
    </w:p>
    <w:p>
      <w:pPr>
        <w:numPr>
          <w:ilvl w:val="0"/>
          <w:numId w:val="0"/>
        </w:numPr>
        <w:spacing w:line="360" w:lineRule="auto"/>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（二）基本服务内容</w:t>
      </w:r>
    </w:p>
    <w:p>
      <w:pPr>
        <w:pStyle w:val="29"/>
        <w:spacing w:line="360" w:lineRule="auto"/>
        <w:rPr>
          <w:rFonts w:hint="eastAsia" w:ascii="宋体" w:hAnsi="宋体" w:eastAsia="宋体" w:cs="宋体"/>
          <w:sz w:val="21"/>
          <w:szCs w:val="21"/>
          <w:highlight w:val="none"/>
          <w:lang w:val="en-US" w:eastAsia="zh-CN"/>
        </w:rPr>
      </w:pPr>
      <w:r>
        <w:rPr>
          <w:rFonts w:hint="eastAsia" w:ascii="宋体" w:hAnsi="宋体" w:eastAsia="宋体" w:cs="宋体"/>
          <w:color w:val="000000"/>
          <w:sz w:val="21"/>
          <w:szCs w:val="21"/>
          <w:highlight w:val="none"/>
          <w:lang w:val="en-US" w:eastAsia="zh-CN"/>
        </w:rPr>
        <w:t>1、道路保洁：</w:t>
      </w:r>
      <w:r>
        <w:rPr>
          <w:rFonts w:hint="eastAsia" w:ascii="宋体" w:hAnsi="宋体" w:eastAsia="宋体" w:cs="宋体"/>
          <w:sz w:val="21"/>
          <w:szCs w:val="21"/>
          <w:highlight w:val="none"/>
          <w:lang w:val="en-US" w:eastAsia="zh-CN"/>
        </w:rPr>
        <w:t xml:space="preserve">包括人工保洁和机械洒水。道路人工保洁主要作业内容包括：工具准备，使用清扫工具清扫路面尘土、废弃物，清除“三乱”（主要指：乱涂写、乱刻画、乱张贴，下同），对清扫后的路面进行巡回保洁，工具清洁保养。     </w:t>
      </w:r>
    </w:p>
    <w:p>
      <w:pPr>
        <w:pStyle w:val="29"/>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2、河道保洁：槐路河、梅林溪采用动态保洁模式，每天保洁时间不低于6小时。店前王溪每天保洁不少于2次，其他河道每天保洁不少于1次。</w:t>
      </w:r>
    </w:p>
    <w:p>
      <w:pPr>
        <w:pStyle w:val="29"/>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3、堆积物清理：负责承包区域范围内路边各种零星建筑垃圾、堆积物清理。</w:t>
      </w:r>
    </w:p>
    <w:p>
      <w:pPr>
        <w:pStyle w:val="29"/>
        <w:numPr>
          <w:ilvl w:val="0"/>
          <w:numId w:val="7"/>
        </w:numPr>
        <w:spacing w:before="189" w:line="360" w:lineRule="auto"/>
        <w:ind w:left="30" w:right="158" w:firstLine="644"/>
        <w:rPr>
          <w:rFonts w:hint="eastAsia" w:ascii="宋体" w:hAnsi="宋体" w:eastAsia="宋体" w:cs="宋体"/>
          <w:color w:val="000000"/>
          <w:spacing w:val="0"/>
          <w:sz w:val="21"/>
          <w:szCs w:val="21"/>
          <w:highlight w:val="none"/>
        </w:rPr>
      </w:pPr>
      <w:r>
        <w:rPr>
          <w:rFonts w:hint="eastAsia" w:ascii="宋体" w:hAnsi="宋体" w:eastAsia="宋体" w:cs="宋体"/>
          <w:color w:val="000000"/>
          <w:sz w:val="21"/>
          <w:szCs w:val="21"/>
          <w:highlight w:val="none"/>
          <w:lang w:val="en-US" w:eastAsia="zh-CN"/>
        </w:rPr>
        <w:t>店面垃圾收运</w:t>
      </w:r>
      <w:r>
        <w:rPr>
          <w:rFonts w:hint="eastAsia" w:ascii="宋体" w:hAnsi="宋体" w:eastAsia="宋体" w:cs="宋体"/>
          <w:color w:val="000000"/>
          <w:spacing w:val="0"/>
          <w:sz w:val="21"/>
          <w:szCs w:val="21"/>
          <w:highlight w:val="none"/>
        </w:rPr>
        <w:t>对桥头胡街道的沿街商铺的垃圾收集并运送至垃圾中转站。作业频次为每天3次，上午、中午、下午各一次。</w:t>
      </w:r>
    </w:p>
    <w:p>
      <w:pPr>
        <w:pStyle w:val="29"/>
        <w:spacing w:before="0" w:line="360" w:lineRule="auto"/>
        <w:ind w:right="0" w:firstLine="0"/>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lang w:val="en-US" w:eastAsia="zh-CN"/>
        </w:rPr>
        <w:t>5、</w:t>
      </w:r>
      <w:r>
        <w:rPr>
          <w:rFonts w:hint="eastAsia" w:ascii="宋体" w:hAnsi="宋体" w:eastAsia="宋体" w:cs="宋体"/>
          <w:color w:val="000000"/>
          <w:spacing w:val="-4"/>
          <w:sz w:val="21"/>
          <w:szCs w:val="21"/>
          <w:highlight w:val="none"/>
        </w:rPr>
        <w:t>厨余垃圾清运</w:t>
      </w:r>
      <w:r>
        <w:rPr>
          <w:rFonts w:hint="eastAsia" w:ascii="宋体" w:hAnsi="宋体" w:eastAsia="宋体" w:cs="宋体"/>
          <w:color w:val="000000"/>
          <w:spacing w:val="-4"/>
          <w:sz w:val="21"/>
          <w:szCs w:val="21"/>
          <w:highlight w:val="none"/>
          <w:lang w:eastAsia="zh-CN"/>
        </w:rPr>
        <w:t>：</w:t>
      </w:r>
      <w:r>
        <w:rPr>
          <w:rFonts w:hint="eastAsia" w:ascii="宋体" w:hAnsi="宋体" w:eastAsia="宋体" w:cs="宋体"/>
          <w:color w:val="000000"/>
          <w:spacing w:val="-4"/>
          <w:sz w:val="21"/>
          <w:szCs w:val="21"/>
          <w:highlight w:val="none"/>
        </w:rPr>
        <w:t>对桥头胡街道范围内自然村的厨余垃圾进行清运，采用“以桶换桶”的形式对责任范围内的垃圾桶进行</w:t>
      </w:r>
      <w:r>
        <w:rPr>
          <w:rFonts w:hint="eastAsia" w:ascii="宋体" w:hAnsi="宋体" w:eastAsia="宋体" w:cs="宋体"/>
          <w:color w:val="000000"/>
          <w:sz w:val="21"/>
          <w:szCs w:val="21"/>
          <w:highlight w:val="none"/>
        </w:rPr>
        <w:t>清</w:t>
      </w:r>
      <w:r>
        <w:rPr>
          <w:rFonts w:hint="eastAsia" w:ascii="宋体" w:hAnsi="宋体" w:eastAsia="宋体" w:cs="宋体"/>
          <w:color w:val="000000"/>
          <w:spacing w:val="-4"/>
          <w:sz w:val="21"/>
          <w:szCs w:val="21"/>
          <w:highlight w:val="none"/>
        </w:rPr>
        <w:t>运，垃圾桶每天清运次数为2次，同时保持每天垃圾桶干净 、整洁、无满溢现象。</w:t>
      </w:r>
    </w:p>
    <w:p>
      <w:pPr>
        <w:pStyle w:val="29"/>
        <w:spacing w:before="3" w:line="360" w:lineRule="auto"/>
        <w:ind w:right="2" w:firstLine="636"/>
        <w:rPr>
          <w:rFonts w:hint="eastAsia" w:ascii="宋体" w:hAnsi="宋体" w:eastAsia="宋体" w:cs="宋体"/>
          <w:color w:val="000000"/>
          <w:sz w:val="21"/>
          <w:szCs w:val="21"/>
          <w:highlight w:val="none"/>
        </w:rPr>
        <w:sectPr>
          <w:footerReference r:id="rId10" w:type="default"/>
          <w:pgSz w:w="11906" w:h="16839"/>
          <w:pgMar w:top="1431" w:right="1439" w:bottom="1153" w:left="1456" w:header="0" w:footer="990" w:gutter="0"/>
          <w:pgNumType w:fmt="decimal" w:start="1"/>
          <w:cols w:space="720" w:num="1"/>
        </w:sectPr>
      </w:pPr>
      <w:r>
        <w:rPr>
          <w:rFonts w:hint="eastAsia" w:ascii="宋体" w:hAnsi="宋体" w:eastAsia="宋体" w:cs="宋体"/>
          <w:color w:val="000000"/>
          <w:spacing w:val="-4"/>
          <w:sz w:val="21"/>
          <w:szCs w:val="21"/>
          <w:highlight w:val="none"/>
          <w:lang w:eastAsia="zh-CN"/>
        </w:rPr>
        <w:t>6、</w:t>
      </w:r>
      <w:r>
        <w:rPr>
          <w:rFonts w:hint="eastAsia" w:ascii="宋体" w:hAnsi="宋体" w:eastAsia="宋体" w:cs="宋体"/>
          <w:color w:val="000000"/>
          <w:spacing w:val="-4"/>
          <w:sz w:val="21"/>
          <w:szCs w:val="21"/>
          <w:highlight w:val="none"/>
        </w:rPr>
        <w:t>其他垃圾清运</w:t>
      </w:r>
      <w:r>
        <w:rPr>
          <w:rFonts w:hint="eastAsia" w:ascii="宋体" w:hAnsi="宋体" w:eastAsia="宋体" w:cs="宋体"/>
          <w:color w:val="000000"/>
          <w:spacing w:val="-4"/>
          <w:sz w:val="21"/>
          <w:szCs w:val="21"/>
          <w:highlight w:val="none"/>
          <w:lang w:eastAsia="zh-CN"/>
        </w:rPr>
        <w:t>：</w:t>
      </w:r>
      <w:r>
        <w:rPr>
          <w:rFonts w:hint="eastAsia" w:ascii="宋体" w:hAnsi="宋体" w:eastAsia="宋体" w:cs="宋体"/>
          <w:color w:val="000000"/>
          <w:spacing w:val="-4"/>
          <w:sz w:val="21"/>
          <w:szCs w:val="21"/>
          <w:highlight w:val="none"/>
        </w:rPr>
        <w:t>镇区的其他垃圾采用 8 吨垃圾压缩车到各</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pacing w:val="-4"/>
          <w:sz w:val="21"/>
          <w:szCs w:val="21"/>
          <w:highlight w:val="none"/>
        </w:rPr>
        <w:t>个垃圾收集点收集垃圾的模式，同时保持垃圾收集点附近干净 、整洁；部分社区和村庄采用“以桶换桶”的形式对责任范围内</w:t>
      </w:r>
      <w:r>
        <w:rPr>
          <w:rFonts w:hint="eastAsia" w:ascii="宋体" w:hAnsi="宋体" w:eastAsia="宋体" w:cs="宋体"/>
          <w:color w:val="000000"/>
          <w:sz w:val="21"/>
          <w:szCs w:val="21"/>
          <w:highlight w:val="none"/>
        </w:rPr>
        <w:t>的</w:t>
      </w:r>
      <w:r>
        <w:rPr>
          <w:rFonts w:hint="eastAsia" w:ascii="宋体" w:hAnsi="宋体" w:eastAsia="宋体" w:cs="宋体"/>
          <w:color w:val="000000"/>
          <w:spacing w:val="-4"/>
          <w:sz w:val="21"/>
          <w:szCs w:val="21"/>
          <w:highlight w:val="none"/>
        </w:rPr>
        <w:t>垃圾桶进行清运，垃圾桶每天清运次数为2次，同时保持每天垃圾桶干净、整洁、无满溢现象。黄墩社区环卫保洁采用“上门收集”模式，每天上门收集2次，垃圾收集完成后，确保收集容器归位整齐排放周边无垃圾抛洒，做到车走地</w:t>
      </w:r>
      <w:r>
        <w:rPr>
          <w:rFonts w:hint="eastAsia" w:ascii="宋体" w:hAnsi="宋体" w:eastAsia="宋体" w:cs="宋体"/>
          <w:color w:val="000000"/>
          <w:sz w:val="21"/>
          <w:szCs w:val="21"/>
          <w:highlight w:val="none"/>
        </w:rPr>
        <w:t>净。</w:t>
      </w:r>
    </w:p>
    <w:p>
      <w:pPr>
        <w:pStyle w:val="29"/>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7、桥头胡市场</w:t>
      </w:r>
      <w:r>
        <w:rPr>
          <w:rFonts w:hint="eastAsia" w:hAnsi="宋体" w:cs="宋体"/>
          <w:color w:val="000000"/>
          <w:sz w:val="21"/>
          <w:szCs w:val="21"/>
          <w:highlight w:val="none"/>
          <w:lang w:val="en-US" w:eastAsia="zh-CN"/>
        </w:rPr>
        <w:t>周边</w:t>
      </w:r>
      <w:r>
        <w:rPr>
          <w:rFonts w:hint="eastAsia" w:ascii="宋体" w:hAnsi="宋体" w:eastAsia="宋体" w:cs="宋体"/>
          <w:color w:val="000000"/>
          <w:sz w:val="21"/>
          <w:szCs w:val="21"/>
          <w:highlight w:val="none"/>
          <w:lang w:val="en-US" w:eastAsia="zh-CN"/>
        </w:rPr>
        <w:t>卫生保洁：</w:t>
      </w:r>
      <w:r>
        <w:rPr>
          <w:rFonts w:hint="eastAsia" w:ascii="宋体" w:hAnsi="宋体" w:eastAsia="宋体" w:cs="宋体"/>
          <w:bCs/>
          <w:color w:val="000000"/>
          <w:spacing w:val="0"/>
          <w:sz w:val="21"/>
          <w:szCs w:val="21"/>
          <w:highlight w:val="none"/>
        </w:rPr>
        <w:t>桥头胡菜场周边、小商品市场周边以及菜场周边公共厕所</w:t>
      </w:r>
      <w:r>
        <w:rPr>
          <w:rFonts w:hint="eastAsia" w:hAnsi="宋体" w:cs="宋体"/>
          <w:color w:val="000000"/>
          <w:sz w:val="21"/>
          <w:szCs w:val="21"/>
          <w:highlight w:val="none"/>
          <w:lang w:val="en-US" w:eastAsia="zh-CN"/>
        </w:rPr>
        <w:t>日常保洁</w:t>
      </w:r>
      <w:r>
        <w:rPr>
          <w:rFonts w:hint="eastAsia" w:ascii="宋体" w:hAnsi="宋体" w:eastAsia="宋体" w:cs="宋体"/>
          <w:color w:val="000000"/>
          <w:sz w:val="21"/>
          <w:szCs w:val="21"/>
          <w:highlight w:val="none"/>
          <w:lang w:val="en-US" w:eastAsia="zh-CN"/>
        </w:rPr>
        <w:t>。</w:t>
      </w:r>
    </w:p>
    <w:p>
      <w:pPr>
        <w:pStyle w:val="29"/>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8、应急保障：考虑到宁海县位于中国大陆海岸线中段，浙江省东部沿海，易受台风天气影响，台风影响期间，道路保洁需增加人员投入，提供应急保障工作。</w:t>
      </w:r>
    </w:p>
    <w:p>
      <w:pPr>
        <w:numPr>
          <w:ilvl w:val="0"/>
          <w:numId w:val="0"/>
        </w:numPr>
        <w:spacing w:line="360" w:lineRule="auto"/>
        <w:ind w:lef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三、服务经费测算</w:t>
      </w:r>
    </w:p>
    <w:p>
      <w:pPr>
        <w:pStyle w:val="29"/>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（一）</w:t>
      </w:r>
      <w:r>
        <w:rPr>
          <w:rFonts w:hint="eastAsia" w:hAnsi="宋体" w:cs="宋体"/>
          <w:color w:val="000000"/>
          <w:sz w:val="21"/>
          <w:szCs w:val="21"/>
          <w:highlight w:val="none"/>
          <w:lang w:val="en-US" w:eastAsia="zh-CN"/>
        </w:rPr>
        <w:t>工人工资福利计算表</w:t>
      </w:r>
    </w:p>
    <w:p>
      <w:pPr>
        <w:pStyle w:val="29"/>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浙江省人民政府办公厅关于进一步改善环卫工人生活条件的促进环卫事业持续健康发展的若干意见》（浙政办〔2009〕190号）、《宁波市城市管理局关于开展环卫工人“爱心早餐”工作的通知》（甬城管〔2015〕12号）、《宁波市2021年度人力资源市场部分职位工资价位及2020年度行业人工成本信息》、《关于公布社会保险有关基数的通知》（浙人社发〔2021〕54号）、《浙江省人民政府关于调整全省最低工资标准的通知》（浙政发〔2021〕22号）、《关于调整宁波市最低工资标准的通知》（甬人社发〔2021〕25号）等测算如下：</w:t>
      </w:r>
    </w:p>
    <w:tbl>
      <w:tblPr>
        <w:tblStyle w:val="105"/>
        <w:tblW w:w="911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8"/>
        <w:gridCol w:w="1693"/>
        <w:gridCol w:w="1956"/>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trPr>
        <w:tc>
          <w:tcPr>
            <w:tcW w:w="818" w:type="dxa"/>
            <w:vAlign w:val="center"/>
          </w:tcPr>
          <w:p>
            <w:pPr>
              <w:pStyle w:val="29"/>
              <w:spacing w:before="113" w:line="360" w:lineRule="auto"/>
              <w:ind w:left="0" w:firstLine="0" w:firstLineChars="0"/>
              <w:jc w:val="center"/>
              <w:rPr>
                <w:rFonts w:hint="eastAsia" w:ascii="宋体" w:hAnsi="宋体" w:eastAsia="宋体" w:cs="宋体"/>
                <w:color w:val="auto"/>
                <w:spacing w:val="-4"/>
                <w:sz w:val="21"/>
                <w:szCs w:val="21"/>
                <w:highlight w:val="none"/>
                <w14:textOutline w14:w="4358" w14:cap="sq" w14:cmpd="sng">
                  <w14:solidFill>
                    <w14:srgbClr w14:val="000000"/>
                  </w14:solidFill>
                  <w14:prstDash w14:val="solid"/>
                  <w14:bevel/>
                </w14:textOutline>
              </w:rPr>
            </w:pPr>
            <w:r>
              <w:rPr>
                <w:rFonts w:hint="eastAsia" w:ascii="宋体" w:hAnsi="宋体" w:eastAsia="宋体" w:cs="宋体"/>
                <w:color w:val="auto"/>
                <w:spacing w:val="-4"/>
                <w:sz w:val="21"/>
                <w:szCs w:val="21"/>
                <w:highlight w:val="none"/>
                <w:lang w:val="en-US" w:eastAsia="zh-CN"/>
              </w:rPr>
              <w:t>序号</w:t>
            </w:r>
          </w:p>
        </w:tc>
        <w:tc>
          <w:tcPr>
            <w:tcW w:w="1693" w:type="dxa"/>
            <w:vAlign w:val="center"/>
          </w:tcPr>
          <w:p>
            <w:pPr>
              <w:pStyle w:val="29"/>
              <w:spacing w:line="36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费用名称</w:t>
            </w:r>
          </w:p>
        </w:tc>
        <w:tc>
          <w:tcPr>
            <w:tcW w:w="1956" w:type="dxa"/>
            <w:vAlign w:val="center"/>
          </w:tcPr>
          <w:p>
            <w:pPr>
              <w:pStyle w:val="29"/>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标准</w:t>
            </w:r>
          </w:p>
        </w:tc>
        <w:tc>
          <w:tcPr>
            <w:tcW w:w="4643" w:type="dxa"/>
            <w:vAlign w:val="center"/>
          </w:tcPr>
          <w:p>
            <w:pPr>
              <w:pStyle w:val="29"/>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trPr>
        <w:tc>
          <w:tcPr>
            <w:tcW w:w="9110" w:type="dxa"/>
            <w:gridSpan w:val="4"/>
            <w:vAlign w:val="center"/>
          </w:tcPr>
          <w:p>
            <w:pPr>
              <w:pStyle w:val="29"/>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pacing w:val="-4"/>
                <w:position w:val="0"/>
                <w:sz w:val="21"/>
                <w:szCs w:val="21"/>
                <w:highlight w:val="none"/>
              </w:rPr>
              <w:t>一</w:t>
            </w:r>
            <w:r>
              <w:rPr>
                <w:rFonts w:hint="eastAsia" w:ascii="宋体" w:hAnsi="宋体" w:eastAsia="宋体" w:cs="宋体"/>
                <w:color w:val="auto"/>
                <w:spacing w:val="-4"/>
                <w:position w:val="0"/>
                <w:sz w:val="21"/>
                <w:szCs w:val="21"/>
                <w:highlight w:val="none"/>
                <w:lang w:eastAsia="zh-CN"/>
              </w:rPr>
              <w:t>、</w:t>
            </w:r>
            <w:r>
              <w:rPr>
                <w:rFonts w:hint="eastAsia" w:ascii="宋体" w:hAnsi="宋体" w:eastAsia="宋体" w:cs="宋体"/>
                <w:color w:val="auto"/>
                <w:spacing w:val="-4"/>
                <w:sz w:val="21"/>
                <w:szCs w:val="21"/>
                <w:highlight w:val="none"/>
              </w:rPr>
              <w:t>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4" w:hRule="atLeast"/>
        </w:trPr>
        <w:tc>
          <w:tcPr>
            <w:tcW w:w="818" w:type="dxa"/>
            <w:vMerge w:val="restart"/>
            <w:vAlign w:val="top"/>
          </w:tcPr>
          <w:p>
            <w:pPr>
              <w:pStyle w:val="29"/>
              <w:spacing w:line="360" w:lineRule="auto"/>
              <w:rPr>
                <w:rFonts w:hint="eastAsia" w:ascii="宋体" w:hAnsi="宋体" w:eastAsia="宋体" w:cs="宋体"/>
                <w:color w:val="auto"/>
                <w:sz w:val="21"/>
                <w:szCs w:val="21"/>
                <w:highlight w:val="none"/>
              </w:rPr>
            </w:pPr>
          </w:p>
        </w:tc>
        <w:tc>
          <w:tcPr>
            <w:tcW w:w="1693" w:type="dxa"/>
            <w:vAlign w:val="top"/>
          </w:tcPr>
          <w:p>
            <w:pPr>
              <w:pStyle w:val="29"/>
              <w:spacing w:line="360" w:lineRule="auto"/>
              <w:rPr>
                <w:rFonts w:hint="eastAsia" w:ascii="宋体" w:hAnsi="宋体" w:eastAsia="宋体" w:cs="宋体"/>
                <w:color w:val="auto"/>
                <w:sz w:val="21"/>
                <w:szCs w:val="21"/>
                <w:highlight w:val="none"/>
              </w:rPr>
            </w:pPr>
          </w:p>
          <w:p>
            <w:pPr>
              <w:pStyle w:val="29"/>
              <w:spacing w:line="360" w:lineRule="auto"/>
              <w:rPr>
                <w:rFonts w:hint="eastAsia" w:ascii="宋体" w:hAnsi="宋体" w:eastAsia="宋体" w:cs="宋体"/>
                <w:color w:val="auto"/>
                <w:sz w:val="21"/>
                <w:szCs w:val="21"/>
                <w:highlight w:val="none"/>
              </w:rPr>
            </w:pPr>
          </w:p>
          <w:p>
            <w:pPr>
              <w:pStyle w:val="29"/>
              <w:spacing w:before="98" w:line="360" w:lineRule="auto"/>
              <w:ind w:lef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其中：1.基本工资</w:t>
            </w:r>
          </w:p>
        </w:tc>
        <w:tc>
          <w:tcPr>
            <w:tcW w:w="1956" w:type="dxa"/>
            <w:vAlign w:val="top"/>
          </w:tcPr>
          <w:p>
            <w:pPr>
              <w:pStyle w:val="29"/>
              <w:spacing w:line="360" w:lineRule="auto"/>
              <w:jc w:val="center"/>
              <w:rPr>
                <w:rFonts w:hint="eastAsia" w:ascii="宋体" w:hAnsi="宋体" w:eastAsia="宋体" w:cs="宋体"/>
                <w:color w:val="auto"/>
                <w:sz w:val="21"/>
                <w:szCs w:val="21"/>
                <w:highlight w:val="none"/>
              </w:rPr>
            </w:pPr>
          </w:p>
          <w:p>
            <w:pPr>
              <w:pStyle w:val="29"/>
              <w:spacing w:line="360" w:lineRule="auto"/>
              <w:jc w:val="center"/>
              <w:rPr>
                <w:rFonts w:hint="eastAsia" w:ascii="宋体" w:hAnsi="宋体" w:eastAsia="宋体" w:cs="宋体"/>
                <w:color w:val="auto"/>
                <w:sz w:val="21"/>
                <w:szCs w:val="21"/>
                <w:highlight w:val="none"/>
              </w:rPr>
            </w:pPr>
          </w:p>
          <w:p>
            <w:pPr>
              <w:pStyle w:val="29"/>
              <w:spacing w:before="99" w:line="360" w:lineRule="auto"/>
              <w:ind w:left="0" w:right="328"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保洁员/操作工：  27324 元/</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人·年；</w:t>
            </w:r>
          </w:p>
          <w:p>
            <w:pPr>
              <w:pStyle w:val="29"/>
              <w:spacing w:before="1" w:line="360" w:lineRule="auto"/>
              <w:ind w:left="0" w:firstLine="0" w:firstLineChars="0"/>
              <w:jc w:val="both"/>
              <w:rPr>
                <w:rFonts w:hint="eastAsia" w:ascii="宋体" w:hAnsi="宋体" w:eastAsia="宋体" w:cs="宋体"/>
                <w:color w:val="auto"/>
                <w:sz w:val="21"/>
                <w:szCs w:val="21"/>
                <w:highlight w:val="none"/>
              </w:rPr>
            </w:pPr>
          </w:p>
        </w:tc>
        <w:tc>
          <w:tcPr>
            <w:tcW w:w="4643" w:type="dxa"/>
            <w:vAlign w:val="top"/>
          </w:tcPr>
          <w:p>
            <w:pPr>
              <w:pStyle w:val="29"/>
              <w:spacing w:before="113" w:line="360" w:lineRule="auto"/>
              <w:ind w:left="0" w:right="108" w:firstLine="0" w:firstLineChars="0"/>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保洁员</w:t>
            </w:r>
            <w:r>
              <w:rPr>
                <w:rFonts w:hint="eastAsia" w:ascii="宋体" w:hAnsi="宋体" w:eastAsia="宋体" w:cs="宋体"/>
                <w:color w:val="auto"/>
                <w:spacing w:val="-4"/>
                <w:sz w:val="21"/>
                <w:szCs w:val="21"/>
                <w:highlight w:val="none"/>
                <w:lang w:val="en-US" w:eastAsia="zh-CN"/>
              </w:rPr>
              <w:t>/</w:t>
            </w:r>
            <w:r>
              <w:rPr>
                <w:rFonts w:hint="eastAsia" w:ascii="宋体" w:hAnsi="宋体" w:eastAsia="宋体" w:cs="宋体"/>
                <w:color w:val="auto"/>
                <w:spacing w:val="-4"/>
                <w:sz w:val="21"/>
                <w:szCs w:val="21"/>
                <w:highlight w:val="none"/>
              </w:rPr>
              <w:t>操作工的基本工资按照宁波市最低工 资标准第二档2070元/月的1.1倍计，即27324元/人·年。</w:t>
            </w:r>
          </w:p>
          <w:p>
            <w:pPr>
              <w:pStyle w:val="29"/>
              <w:spacing w:before="4" w:line="360" w:lineRule="auto"/>
              <w:ind w:left="0" w:right="106" w:firstLine="0" w:firstLineChars="0"/>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由于指导工资价位中已经包含加班工资和各类津贴，  所以除了与环</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卫行业特殊性相关的津贴以外，加班工资及高温津贴等不再另行测算。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3" w:hRule="atLeast"/>
        </w:trPr>
        <w:tc>
          <w:tcPr>
            <w:tcW w:w="818" w:type="dxa"/>
            <w:vMerge w:val="continue"/>
            <w:vAlign w:val="top"/>
          </w:tcPr>
          <w:p>
            <w:pPr>
              <w:pStyle w:val="29"/>
              <w:spacing w:line="360" w:lineRule="auto"/>
              <w:rPr>
                <w:rFonts w:hint="eastAsia" w:ascii="宋体" w:hAnsi="宋体" w:eastAsia="宋体" w:cs="宋体"/>
                <w:color w:val="auto"/>
                <w:sz w:val="21"/>
                <w:szCs w:val="21"/>
                <w:highlight w:val="none"/>
              </w:rPr>
            </w:pPr>
          </w:p>
        </w:tc>
        <w:tc>
          <w:tcPr>
            <w:tcW w:w="1693" w:type="dxa"/>
            <w:vAlign w:val="top"/>
          </w:tcPr>
          <w:p>
            <w:pPr>
              <w:pStyle w:val="29"/>
              <w:spacing w:line="360" w:lineRule="auto"/>
              <w:rPr>
                <w:rFonts w:hint="eastAsia" w:ascii="宋体" w:hAnsi="宋体" w:eastAsia="宋体" w:cs="宋体"/>
                <w:color w:val="auto"/>
                <w:sz w:val="21"/>
                <w:szCs w:val="21"/>
                <w:highlight w:val="none"/>
              </w:rPr>
            </w:pPr>
          </w:p>
          <w:p>
            <w:pPr>
              <w:pStyle w:val="29"/>
              <w:spacing w:line="360" w:lineRule="auto"/>
              <w:rPr>
                <w:rFonts w:hint="eastAsia" w:ascii="宋体" w:hAnsi="宋体" w:eastAsia="宋体" w:cs="宋体"/>
                <w:color w:val="auto"/>
                <w:sz w:val="21"/>
                <w:szCs w:val="21"/>
                <w:highlight w:val="none"/>
              </w:rPr>
            </w:pPr>
          </w:p>
          <w:p>
            <w:pPr>
              <w:pStyle w:val="29"/>
              <w:spacing w:before="98" w:line="360" w:lineRule="auto"/>
              <w:ind w:left="0" w:firstLine="0" w:firstLineChars="0"/>
              <w:rPr>
                <w:rFonts w:hint="eastAsia" w:ascii="宋体" w:hAnsi="宋体" w:eastAsia="宋体" w:cs="宋体"/>
                <w:color w:val="auto"/>
                <w:spacing w:val="-4"/>
                <w:sz w:val="21"/>
                <w:szCs w:val="21"/>
                <w:highlight w:val="none"/>
              </w:rPr>
            </w:pPr>
          </w:p>
          <w:p>
            <w:pPr>
              <w:pStyle w:val="29"/>
              <w:spacing w:before="98" w:line="360" w:lineRule="auto"/>
              <w:ind w:lef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2.社会保险</w:t>
            </w:r>
          </w:p>
        </w:tc>
        <w:tc>
          <w:tcPr>
            <w:tcW w:w="1956" w:type="dxa"/>
            <w:vAlign w:val="top"/>
          </w:tcPr>
          <w:p>
            <w:pPr>
              <w:pStyle w:val="29"/>
              <w:spacing w:line="360" w:lineRule="auto"/>
              <w:jc w:val="center"/>
              <w:rPr>
                <w:rFonts w:hint="eastAsia" w:ascii="宋体" w:hAnsi="宋体" w:eastAsia="宋体" w:cs="宋体"/>
                <w:color w:val="auto"/>
                <w:sz w:val="21"/>
                <w:szCs w:val="21"/>
                <w:highlight w:val="none"/>
              </w:rPr>
            </w:pPr>
          </w:p>
          <w:p>
            <w:pPr>
              <w:pStyle w:val="29"/>
              <w:spacing w:line="360" w:lineRule="auto"/>
              <w:jc w:val="center"/>
              <w:rPr>
                <w:rFonts w:hint="eastAsia" w:ascii="宋体" w:hAnsi="宋体" w:eastAsia="宋体" w:cs="宋体"/>
                <w:color w:val="auto"/>
                <w:sz w:val="21"/>
                <w:szCs w:val="21"/>
                <w:highlight w:val="none"/>
              </w:rPr>
            </w:pPr>
          </w:p>
          <w:p>
            <w:pPr>
              <w:pStyle w:val="29"/>
              <w:spacing w:before="99" w:line="360" w:lineRule="auto"/>
              <w:ind w:left="0" w:firstLine="0" w:firstLineChars="0"/>
              <w:jc w:val="center"/>
              <w:rPr>
                <w:rFonts w:hint="eastAsia" w:ascii="宋体" w:hAnsi="宋体" w:eastAsia="宋体" w:cs="宋体"/>
                <w:color w:val="auto"/>
                <w:sz w:val="21"/>
                <w:szCs w:val="21"/>
                <w:highlight w:val="none"/>
              </w:rPr>
            </w:pPr>
          </w:p>
          <w:p>
            <w:pPr>
              <w:pStyle w:val="29"/>
              <w:spacing w:before="99" w:line="360" w:lineRule="auto"/>
              <w:ind w:left="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11016 元/人 ·年。</w:t>
            </w:r>
          </w:p>
        </w:tc>
        <w:tc>
          <w:tcPr>
            <w:tcW w:w="4643" w:type="dxa"/>
            <w:vAlign w:val="top"/>
          </w:tcPr>
          <w:p>
            <w:pPr>
              <w:pStyle w:val="29"/>
              <w:spacing w:before="117" w:line="360" w:lineRule="auto"/>
              <w:ind w:lef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根据《宁波市关于申报2021年度社会保险费个人缴费基数的通告》，</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目前社保缴费基数下限调整为 3957 元，  养老、医疗 ( 生育保险合并</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医疗里 ) 、失业、工伤企业缴费费率分别按 14%、8.5%、0.5%、0.2%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“五险”缴费标准为 918.02 元/月，  即 11016 元/人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8" w:hRule="atLeast"/>
        </w:trPr>
        <w:tc>
          <w:tcPr>
            <w:tcW w:w="818" w:type="dxa"/>
            <w:vMerge w:val="continue"/>
            <w:vAlign w:val="top"/>
          </w:tcPr>
          <w:p>
            <w:pPr>
              <w:pStyle w:val="29"/>
              <w:spacing w:line="360" w:lineRule="auto"/>
              <w:rPr>
                <w:rFonts w:hint="eastAsia" w:ascii="宋体" w:hAnsi="宋体" w:eastAsia="宋体" w:cs="宋体"/>
                <w:color w:val="auto"/>
                <w:sz w:val="21"/>
                <w:szCs w:val="21"/>
                <w:highlight w:val="none"/>
              </w:rPr>
            </w:pPr>
          </w:p>
        </w:tc>
        <w:tc>
          <w:tcPr>
            <w:tcW w:w="1693" w:type="dxa"/>
            <w:vAlign w:val="top"/>
          </w:tcPr>
          <w:p>
            <w:pPr>
              <w:pStyle w:val="29"/>
              <w:spacing w:line="360" w:lineRule="auto"/>
              <w:rPr>
                <w:rFonts w:hint="eastAsia" w:ascii="宋体" w:hAnsi="宋体" w:eastAsia="宋体" w:cs="宋体"/>
                <w:color w:val="auto"/>
                <w:sz w:val="21"/>
                <w:szCs w:val="21"/>
                <w:highlight w:val="none"/>
              </w:rPr>
            </w:pPr>
          </w:p>
          <w:p>
            <w:pPr>
              <w:pStyle w:val="29"/>
              <w:spacing w:before="99" w:line="360" w:lineRule="auto"/>
              <w:ind w:lef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3.住房公积金</w:t>
            </w:r>
          </w:p>
        </w:tc>
        <w:tc>
          <w:tcPr>
            <w:tcW w:w="1956" w:type="dxa"/>
            <w:vAlign w:val="top"/>
          </w:tcPr>
          <w:p>
            <w:pPr>
              <w:pStyle w:val="29"/>
              <w:spacing w:line="360" w:lineRule="auto"/>
              <w:jc w:val="center"/>
              <w:rPr>
                <w:rFonts w:hint="eastAsia" w:ascii="宋体" w:hAnsi="宋体" w:eastAsia="宋体" w:cs="宋体"/>
                <w:color w:val="auto"/>
                <w:sz w:val="21"/>
                <w:szCs w:val="21"/>
                <w:highlight w:val="none"/>
              </w:rPr>
            </w:pPr>
          </w:p>
          <w:p>
            <w:pPr>
              <w:pStyle w:val="29"/>
              <w:spacing w:before="99" w:line="360" w:lineRule="auto"/>
              <w:ind w:left="0" w:firstLine="0" w:firstLineChars="0"/>
              <w:jc w:val="both"/>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1366 元/人 ·年。</w:t>
            </w:r>
          </w:p>
        </w:tc>
        <w:tc>
          <w:tcPr>
            <w:tcW w:w="4643" w:type="dxa"/>
            <w:vAlign w:val="top"/>
          </w:tcPr>
          <w:p>
            <w:pPr>
              <w:pStyle w:val="29"/>
              <w:spacing w:before="113" w:line="360" w:lineRule="auto"/>
              <w:ind w:left="0" w:right="108" w:firstLine="0" w:firstLineChars="0"/>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住房公积金缴存基数按照最低基本工 资 2277 元/人·月标准测算 ，缴存比例按照5%的最低缴费比例标准测算， 住房公积金缴存标准</w:t>
            </w:r>
            <w:r>
              <w:rPr>
                <w:rFonts w:hint="eastAsia" w:ascii="宋体" w:hAnsi="宋体" w:eastAsia="宋体" w:cs="宋体"/>
                <w:color w:val="auto"/>
                <w:sz w:val="21"/>
                <w:szCs w:val="21"/>
                <w:highlight w:val="none"/>
              </w:rPr>
              <w:t>为</w:t>
            </w:r>
            <w:r>
              <w:rPr>
                <w:rFonts w:hint="eastAsia" w:ascii="宋体" w:hAnsi="宋体" w:eastAsia="宋体" w:cs="宋体"/>
                <w:color w:val="auto"/>
                <w:spacing w:val="-4"/>
                <w:sz w:val="21"/>
                <w:szCs w:val="21"/>
                <w:highlight w:val="none"/>
              </w:rPr>
              <w:t>1366 元/人·年。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9" w:hRule="atLeast"/>
        </w:trPr>
        <w:tc>
          <w:tcPr>
            <w:tcW w:w="818" w:type="dxa"/>
            <w:vMerge w:val="continue"/>
            <w:vAlign w:val="top"/>
          </w:tcPr>
          <w:p>
            <w:pPr>
              <w:pStyle w:val="29"/>
              <w:spacing w:line="360" w:lineRule="auto"/>
              <w:rPr>
                <w:rFonts w:hint="eastAsia" w:ascii="宋体" w:hAnsi="宋体" w:eastAsia="宋体" w:cs="宋体"/>
                <w:color w:val="auto"/>
                <w:sz w:val="21"/>
                <w:szCs w:val="21"/>
                <w:highlight w:val="none"/>
              </w:rPr>
            </w:pPr>
          </w:p>
        </w:tc>
        <w:tc>
          <w:tcPr>
            <w:tcW w:w="1693" w:type="dxa"/>
            <w:vAlign w:val="top"/>
          </w:tcPr>
          <w:p>
            <w:pPr>
              <w:pStyle w:val="29"/>
              <w:spacing w:line="360" w:lineRule="auto"/>
              <w:rPr>
                <w:rFonts w:hint="eastAsia" w:ascii="宋体" w:hAnsi="宋体" w:eastAsia="宋体" w:cs="宋体"/>
                <w:color w:val="auto"/>
                <w:sz w:val="21"/>
                <w:szCs w:val="21"/>
                <w:highlight w:val="none"/>
              </w:rPr>
            </w:pPr>
          </w:p>
          <w:p>
            <w:pPr>
              <w:pStyle w:val="29"/>
              <w:spacing w:before="99" w:line="360" w:lineRule="auto"/>
              <w:ind w:lef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4.爱心早餐补贴</w:t>
            </w:r>
          </w:p>
        </w:tc>
        <w:tc>
          <w:tcPr>
            <w:tcW w:w="1956" w:type="dxa"/>
            <w:vAlign w:val="top"/>
          </w:tcPr>
          <w:p>
            <w:pPr>
              <w:pStyle w:val="29"/>
              <w:spacing w:line="360" w:lineRule="auto"/>
              <w:jc w:val="center"/>
              <w:rPr>
                <w:rFonts w:hint="eastAsia" w:ascii="宋体" w:hAnsi="宋体" w:eastAsia="宋体" w:cs="宋体"/>
                <w:color w:val="auto"/>
                <w:sz w:val="21"/>
                <w:szCs w:val="21"/>
                <w:highlight w:val="none"/>
              </w:rPr>
            </w:pPr>
          </w:p>
          <w:p>
            <w:pPr>
              <w:pStyle w:val="29"/>
              <w:spacing w:before="99" w:line="360" w:lineRule="auto"/>
              <w:ind w:left="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2128 元/人 ·年。</w:t>
            </w:r>
          </w:p>
        </w:tc>
        <w:tc>
          <w:tcPr>
            <w:tcW w:w="4643" w:type="dxa"/>
            <w:vAlign w:val="top"/>
          </w:tcPr>
          <w:p>
            <w:pPr>
              <w:pStyle w:val="29"/>
              <w:spacing w:before="176" w:line="360" w:lineRule="auto"/>
              <w:ind w:left="0" w:right="108" w:firstLine="0" w:firstLineChars="0"/>
              <w:rPr>
                <w:rFonts w:hint="eastAsia" w:ascii="宋体" w:hAnsi="宋体" w:eastAsia="宋体" w:cs="宋体"/>
                <w:color w:val="auto"/>
                <w:sz w:val="21"/>
                <w:szCs w:val="21"/>
                <w:highlight w:val="none"/>
              </w:rPr>
            </w:pPr>
            <w:r>
              <w:rPr>
                <w:rFonts w:hint="eastAsia" w:ascii="宋体" w:hAnsi="宋体" w:eastAsia="宋体" w:cs="宋体"/>
                <w:color w:val="auto"/>
                <w:spacing w:val="-4"/>
                <w:sz w:val="21"/>
                <w:szCs w:val="21"/>
                <w:highlight w:val="none"/>
              </w:rPr>
              <w:t>按照出勤天数计算，标准为7元/天，计：2432小时/年÷8 小时/天×7 元/天=2128 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9" w:hRule="atLeast"/>
        </w:trPr>
        <w:tc>
          <w:tcPr>
            <w:tcW w:w="818" w:type="dxa"/>
            <w:vMerge w:val="continue"/>
            <w:vAlign w:val="top"/>
          </w:tcPr>
          <w:p>
            <w:pPr>
              <w:pStyle w:val="29"/>
              <w:spacing w:line="360" w:lineRule="auto"/>
              <w:rPr>
                <w:rFonts w:hint="eastAsia" w:ascii="宋体" w:hAnsi="宋体" w:eastAsia="宋体" w:cs="宋体"/>
                <w:color w:val="auto"/>
                <w:sz w:val="21"/>
                <w:szCs w:val="21"/>
                <w:highlight w:val="none"/>
              </w:rPr>
            </w:pPr>
          </w:p>
        </w:tc>
        <w:tc>
          <w:tcPr>
            <w:tcW w:w="1693" w:type="dxa"/>
            <w:vAlign w:val="top"/>
          </w:tcPr>
          <w:p>
            <w:pPr>
              <w:pStyle w:val="29"/>
              <w:spacing w:line="360" w:lineRule="auto"/>
              <w:rPr>
                <w:rFonts w:hint="eastAsia" w:ascii="宋体" w:hAnsi="宋体" w:eastAsia="宋体" w:cs="宋体"/>
                <w:color w:val="auto"/>
                <w:sz w:val="21"/>
                <w:szCs w:val="21"/>
                <w:highlight w:val="none"/>
              </w:rPr>
            </w:pPr>
          </w:p>
          <w:p>
            <w:pPr>
              <w:pStyle w:val="29"/>
              <w:spacing w:before="99" w:line="360" w:lineRule="auto"/>
              <w:ind w:left="0" w:lef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5.加班补贴</w:t>
            </w:r>
          </w:p>
        </w:tc>
        <w:tc>
          <w:tcPr>
            <w:tcW w:w="1956" w:type="dxa"/>
            <w:vAlign w:val="top"/>
          </w:tcPr>
          <w:p>
            <w:pPr>
              <w:pStyle w:val="29"/>
              <w:spacing w:line="360" w:lineRule="auto"/>
              <w:jc w:val="center"/>
              <w:rPr>
                <w:rFonts w:hint="eastAsia" w:ascii="宋体" w:hAnsi="宋体" w:eastAsia="宋体" w:cs="宋体"/>
                <w:color w:val="auto"/>
                <w:sz w:val="21"/>
                <w:szCs w:val="21"/>
                <w:highlight w:val="none"/>
              </w:rPr>
            </w:pPr>
          </w:p>
          <w:p>
            <w:pPr>
              <w:pStyle w:val="29"/>
              <w:spacing w:before="99" w:line="360" w:lineRule="auto"/>
              <w:ind w:left="0" w:leftChars="0" w:firstLine="0" w:firstLineChars="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根据实际加班情况测算。</w:t>
            </w:r>
          </w:p>
        </w:tc>
        <w:tc>
          <w:tcPr>
            <w:tcW w:w="4643" w:type="dxa"/>
            <w:vAlign w:val="top"/>
          </w:tcPr>
          <w:p>
            <w:pPr>
              <w:pStyle w:val="29"/>
              <w:spacing w:before="117" w:line="360" w:lineRule="auto"/>
              <w:ind w:left="0" w:leftChars="0" w:right="108" w:righ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加班基数按月最低工资标准计，即：2070 元/月÷21.75 天/月÷8 小</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时/天=11.9 元/小时 。其中法定节假日按 3 倍工资计算，延长工作时</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间根据综合工 时制，按 1.5 倍工资计算；应急保障期间按 2 倍工资计算。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9" w:hRule="atLeast"/>
        </w:trPr>
        <w:tc>
          <w:tcPr>
            <w:tcW w:w="818" w:type="dxa"/>
            <w:vMerge w:val="continue"/>
            <w:vAlign w:val="top"/>
          </w:tcPr>
          <w:p>
            <w:pPr>
              <w:pStyle w:val="29"/>
              <w:spacing w:line="360" w:lineRule="auto"/>
              <w:rPr>
                <w:rFonts w:hint="eastAsia" w:ascii="宋体" w:hAnsi="宋体" w:eastAsia="宋体" w:cs="宋体"/>
                <w:color w:val="auto"/>
                <w:sz w:val="21"/>
                <w:szCs w:val="21"/>
                <w:highlight w:val="none"/>
              </w:rPr>
            </w:pPr>
          </w:p>
        </w:tc>
        <w:tc>
          <w:tcPr>
            <w:tcW w:w="1693" w:type="dxa"/>
            <w:vAlign w:val="top"/>
          </w:tcPr>
          <w:p>
            <w:pPr>
              <w:pStyle w:val="29"/>
              <w:spacing w:line="360" w:lineRule="auto"/>
              <w:rPr>
                <w:rFonts w:hint="eastAsia" w:ascii="宋体" w:hAnsi="宋体" w:eastAsia="宋体" w:cs="宋体"/>
                <w:color w:val="auto"/>
                <w:sz w:val="21"/>
                <w:szCs w:val="21"/>
                <w:highlight w:val="none"/>
              </w:rPr>
            </w:pPr>
          </w:p>
          <w:p>
            <w:pPr>
              <w:pStyle w:val="29"/>
              <w:spacing w:before="99" w:line="360" w:lineRule="auto"/>
              <w:ind w:left="0" w:lef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6.高温津贴</w:t>
            </w:r>
          </w:p>
        </w:tc>
        <w:tc>
          <w:tcPr>
            <w:tcW w:w="1956" w:type="dxa"/>
            <w:vAlign w:val="top"/>
          </w:tcPr>
          <w:p>
            <w:pPr>
              <w:pStyle w:val="29"/>
              <w:spacing w:line="360" w:lineRule="auto"/>
              <w:jc w:val="center"/>
              <w:rPr>
                <w:rFonts w:hint="eastAsia" w:ascii="宋体" w:hAnsi="宋体" w:eastAsia="宋体" w:cs="宋体"/>
                <w:color w:val="auto"/>
                <w:sz w:val="21"/>
                <w:szCs w:val="21"/>
                <w:highlight w:val="none"/>
              </w:rPr>
            </w:pPr>
          </w:p>
          <w:p>
            <w:pPr>
              <w:pStyle w:val="29"/>
              <w:spacing w:before="99" w:line="360" w:lineRule="auto"/>
              <w:ind w:left="0" w:leftChars="0" w:firstLine="202" w:firstLineChars="1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1200 元/人 ·年。</w:t>
            </w:r>
          </w:p>
        </w:tc>
        <w:tc>
          <w:tcPr>
            <w:tcW w:w="4643" w:type="dxa"/>
            <w:vAlign w:val="top"/>
          </w:tcPr>
          <w:p>
            <w:pPr>
              <w:pStyle w:val="29"/>
              <w:spacing w:before="113" w:line="360" w:lineRule="auto"/>
              <w:ind w:left="0" w:leftChars="0" w:right="106" w:righ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根据《浙江省人力资源和社会保障厅关于调整企业夏季高温津贴标</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准有关问题的通知》 ( 浙人社发〔2018〕65 号 )， 高温补贴每年发放 4 个月，每月发放标准为 300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9" w:hRule="atLeast"/>
        </w:trPr>
        <w:tc>
          <w:tcPr>
            <w:tcW w:w="818" w:type="dxa"/>
            <w:vMerge w:val="continue"/>
            <w:vAlign w:val="top"/>
          </w:tcPr>
          <w:p>
            <w:pPr>
              <w:pStyle w:val="29"/>
              <w:spacing w:line="360" w:lineRule="auto"/>
              <w:rPr>
                <w:rFonts w:hint="eastAsia" w:ascii="宋体" w:hAnsi="宋体" w:eastAsia="宋体" w:cs="宋体"/>
                <w:color w:val="auto"/>
                <w:sz w:val="21"/>
                <w:szCs w:val="21"/>
                <w:highlight w:val="none"/>
              </w:rPr>
            </w:pPr>
          </w:p>
        </w:tc>
        <w:tc>
          <w:tcPr>
            <w:tcW w:w="1693" w:type="dxa"/>
            <w:vAlign w:val="top"/>
          </w:tcPr>
          <w:p>
            <w:pPr>
              <w:pStyle w:val="29"/>
              <w:spacing w:before="315" w:line="360" w:lineRule="auto"/>
              <w:ind w:left="0" w:lef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7.人身意外伤害保险</w:t>
            </w:r>
          </w:p>
        </w:tc>
        <w:tc>
          <w:tcPr>
            <w:tcW w:w="1956" w:type="dxa"/>
            <w:vAlign w:val="top"/>
          </w:tcPr>
          <w:p>
            <w:pPr>
              <w:pStyle w:val="29"/>
              <w:spacing w:before="316" w:line="360" w:lineRule="auto"/>
              <w:ind w:left="0" w:leftChars="0" w:firstLine="202" w:firstLineChars="1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550 元/人 ·年。</w:t>
            </w:r>
          </w:p>
        </w:tc>
        <w:tc>
          <w:tcPr>
            <w:tcW w:w="4643" w:type="dxa"/>
            <w:vAlign w:val="top"/>
          </w:tcPr>
          <w:p>
            <w:pPr>
              <w:pStyle w:val="29"/>
              <w:spacing w:before="116" w:line="360" w:lineRule="auto"/>
              <w:ind w:left="0" w:leftChars="0" w:right="106" w:righ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参照交通运输业中的自用货车司机 、随车工人、搬家工，包括意</w:t>
            </w:r>
            <w:r>
              <w:rPr>
                <w:rFonts w:hint="eastAsia" w:ascii="宋体" w:hAnsi="宋体" w:eastAsia="宋体" w:cs="宋体"/>
                <w:color w:val="auto"/>
                <w:sz w:val="21"/>
                <w:szCs w:val="21"/>
                <w:highlight w:val="none"/>
              </w:rPr>
              <w:t>外</w:t>
            </w:r>
            <w:r>
              <w:rPr>
                <w:rFonts w:hint="eastAsia" w:ascii="宋体" w:hAnsi="宋体" w:eastAsia="宋体" w:cs="宋体"/>
                <w:color w:val="auto"/>
                <w:spacing w:val="-4"/>
                <w:sz w:val="21"/>
                <w:szCs w:val="21"/>
                <w:highlight w:val="none"/>
              </w:rPr>
              <w:t>事故和意外残疾 2 个主要险种，  保额均为20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9" w:hRule="atLeast"/>
        </w:trPr>
        <w:tc>
          <w:tcPr>
            <w:tcW w:w="818" w:type="dxa"/>
            <w:vMerge w:val="continue"/>
            <w:vAlign w:val="top"/>
          </w:tcPr>
          <w:p>
            <w:pPr>
              <w:pStyle w:val="29"/>
              <w:spacing w:line="360" w:lineRule="auto"/>
              <w:rPr>
                <w:rFonts w:hint="eastAsia" w:ascii="宋体" w:hAnsi="宋体" w:eastAsia="宋体" w:cs="宋体"/>
                <w:color w:val="auto"/>
                <w:sz w:val="21"/>
                <w:szCs w:val="21"/>
                <w:highlight w:val="none"/>
              </w:rPr>
            </w:pPr>
          </w:p>
        </w:tc>
        <w:tc>
          <w:tcPr>
            <w:tcW w:w="1693" w:type="dxa"/>
            <w:vAlign w:val="top"/>
          </w:tcPr>
          <w:p>
            <w:pPr>
              <w:pStyle w:val="29"/>
              <w:spacing w:before="117" w:line="360" w:lineRule="auto"/>
              <w:ind w:left="0" w:lef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8.特殊岗位津贴</w:t>
            </w:r>
          </w:p>
        </w:tc>
        <w:tc>
          <w:tcPr>
            <w:tcW w:w="1956" w:type="dxa"/>
            <w:vAlign w:val="top"/>
          </w:tcPr>
          <w:p>
            <w:pPr>
              <w:pStyle w:val="29"/>
              <w:spacing w:before="117" w:line="360" w:lineRule="auto"/>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 xml:space="preserve">10 元/人 · </w:t>
            </w:r>
            <w:r>
              <w:rPr>
                <w:rFonts w:hint="eastAsia" w:ascii="宋体" w:hAnsi="宋体" w:eastAsia="宋体" w:cs="宋体"/>
                <w:color w:val="auto"/>
                <w:sz w:val="21"/>
                <w:szCs w:val="21"/>
                <w:highlight w:val="none"/>
              </w:rPr>
              <w:t>天。</w:t>
            </w:r>
          </w:p>
        </w:tc>
        <w:tc>
          <w:tcPr>
            <w:tcW w:w="4643" w:type="dxa"/>
            <w:vAlign w:val="top"/>
          </w:tcPr>
          <w:p>
            <w:pPr>
              <w:pStyle w:val="29"/>
              <w:spacing w:before="117" w:line="360" w:lineRule="auto"/>
              <w:ind w:left="0" w:lef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特殊岗位津贴根据实际出勤率，  按照每人每天10 元发放。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9" w:hRule="atLeast"/>
        </w:trPr>
        <w:tc>
          <w:tcPr>
            <w:tcW w:w="818" w:type="dxa"/>
            <w:vMerge w:val="continue"/>
            <w:vAlign w:val="top"/>
          </w:tcPr>
          <w:p>
            <w:pPr>
              <w:pStyle w:val="29"/>
              <w:spacing w:line="360" w:lineRule="auto"/>
              <w:rPr>
                <w:rFonts w:hint="eastAsia" w:ascii="宋体" w:hAnsi="宋体" w:eastAsia="宋体" w:cs="宋体"/>
                <w:color w:val="auto"/>
                <w:sz w:val="21"/>
                <w:szCs w:val="21"/>
                <w:highlight w:val="none"/>
              </w:rPr>
            </w:pPr>
          </w:p>
        </w:tc>
        <w:tc>
          <w:tcPr>
            <w:tcW w:w="1693" w:type="dxa"/>
            <w:vAlign w:val="top"/>
          </w:tcPr>
          <w:p>
            <w:pPr>
              <w:pStyle w:val="29"/>
              <w:spacing w:line="360" w:lineRule="auto"/>
              <w:rPr>
                <w:rFonts w:hint="eastAsia" w:ascii="宋体" w:hAnsi="宋体" w:eastAsia="宋体" w:cs="宋体"/>
                <w:color w:val="auto"/>
                <w:sz w:val="21"/>
                <w:szCs w:val="21"/>
                <w:highlight w:val="none"/>
              </w:rPr>
            </w:pPr>
          </w:p>
          <w:p>
            <w:pPr>
              <w:pStyle w:val="29"/>
              <w:spacing w:line="360" w:lineRule="auto"/>
              <w:rPr>
                <w:rFonts w:hint="eastAsia" w:ascii="宋体" w:hAnsi="宋体" w:eastAsia="宋体" w:cs="宋体"/>
                <w:color w:val="auto"/>
                <w:sz w:val="21"/>
                <w:szCs w:val="21"/>
                <w:highlight w:val="none"/>
              </w:rPr>
            </w:pPr>
          </w:p>
          <w:p>
            <w:pPr>
              <w:pStyle w:val="29"/>
              <w:spacing w:line="360" w:lineRule="auto"/>
              <w:rPr>
                <w:rFonts w:hint="eastAsia" w:ascii="宋体" w:hAnsi="宋体" w:eastAsia="宋体" w:cs="宋体"/>
                <w:color w:val="auto"/>
                <w:sz w:val="21"/>
                <w:szCs w:val="21"/>
                <w:highlight w:val="none"/>
              </w:rPr>
            </w:pPr>
          </w:p>
          <w:p>
            <w:pPr>
              <w:pStyle w:val="29"/>
              <w:spacing w:line="360" w:lineRule="auto"/>
              <w:rPr>
                <w:rFonts w:hint="eastAsia" w:ascii="宋体" w:hAnsi="宋体" w:eastAsia="宋体" w:cs="宋体"/>
                <w:color w:val="auto"/>
                <w:sz w:val="21"/>
                <w:szCs w:val="21"/>
                <w:highlight w:val="none"/>
              </w:rPr>
            </w:pPr>
          </w:p>
          <w:p>
            <w:pPr>
              <w:pStyle w:val="29"/>
              <w:spacing w:before="99" w:line="360" w:lineRule="auto"/>
              <w:ind w:left="0" w:lef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9.环卫工人福利及体检</w:t>
            </w:r>
          </w:p>
        </w:tc>
        <w:tc>
          <w:tcPr>
            <w:tcW w:w="1956" w:type="dxa"/>
            <w:vAlign w:val="top"/>
          </w:tcPr>
          <w:p>
            <w:pPr>
              <w:pStyle w:val="29"/>
              <w:spacing w:line="360" w:lineRule="auto"/>
              <w:jc w:val="center"/>
              <w:rPr>
                <w:rFonts w:hint="eastAsia" w:ascii="宋体" w:hAnsi="宋体" w:eastAsia="宋体" w:cs="宋体"/>
                <w:color w:val="auto"/>
                <w:sz w:val="21"/>
                <w:szCs w:val="21"/>
                <w:highlight w:val="none"/>
              </w:rPr>
            </w:pPr>
          </w:p>
          <w:p>
            <w:pPr>
              <w:pStyle w:val="29"/>
              <w:spacing w:line="360" w:lineRule="auto"/>
              <w:jc w:val="center"/>
              <w:rPr>
                <w:rFonts w:hint="eastAsia" w:ascii="宋体" w:hAnsi="宋体" w:eastAsia="宋体" w:cs="宋体"/>
                <w:color w:val="auto"/>
                <w:sz w:val="21"/>
                <w:szCs w:val="21"/>
                <w:highlight w:val="none"/>
              </w:rPr>
            </w:pPr>
          </w:p>
          <w:p>
            <w:pPr>
              <w:pStyle w:val="29"/>
              <w:spacing w:line="360" w:lineRule="auto"/>
              <w:jc w:val="center"/>
              <w:rPr>
                <w:rFonts w:hint="eastAsia" w:ascii="宋体" w:hAnsi="宋体" w:eastAsia="宋体" w:cs="宋体"/>
                <w:color w:val="auto"/>
                <w:sz w:val="21"/>
                <w:szCs w:val="21"/>
                <w:highlight w:val="none"/>
              </w:rPr>
            </w:pPr>
          </w:p>
          <w:p>
            <w:pPr>
              <w:pStyle w:val="29"/>
              <w:spacing w:line="360" w:lineRule="auto"/>
              <w:jc w:val="center"/>
              <w:rPr>
                <w:rFonts w:hint="eastAsia" w:ascii="宋体" w:hAnsi="宋体" w:eastAsia="宋体" w:cs="宋体"/>
                <w:color w:val="auto"/>
                <w:sz w:val="21"/>
                <w:szCs w:val="21"/>
                <w:highlight w:val="none"/>
              </w:rPr>
            </w:pPr>
          </w:p>
          <w:p>
            <w:pPr>
              <w:pStyle w:val="29"/>
              <w:spacing w:before="99" w:line="360" w:lineRule="auto"/>
              <w:ind w:left="0" w:leftChars="0" w:firstLine="0" w:firstLine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1800 元/人 ·年。</w:t>
            </w:r>
          </w:p>
        </w:tc>
        <w:tc>
          <w:tcPr>
            <w:tcW w:w="4643" w:type="dxa"/>
            <w:vAlign w:val="top"/>
          </w:tcPr>
          <w:p>
            <w:pPr>
              <w:pStyle w:val="29"/>
              <w:spacing w:before="115" w:line="360" w:lineRule="auto"/>
              <w:ind w:left="0" w:leftChars="0" w:right="108" w:righ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 xml:space="preserve">根据《关于印发进一步加强市容环卫行业管理实施意见的通知》( </w:t>
            </w:r>
            <w:r>
              <w:rPr>
                <w:rFonts w:hint="eastAsia" w:ascii="宋体" w:hAnsi="宋体" w:eastAsia="宋体" w:cs="宋体"/>
                <w:color w:val="auto"/>
                <w:sz w:val="21"/>
                <w:szCs w:val="21"/>
                <w:highlight w:val="none"/>
              </w:rPr>
              <w:t xml:space="preserve">甬 </w:t>
            </w:r>
            <w:r>
              <w:rPr>
                <w:rFonts w:hint="eastAsia" w:ascii="宋体" w:hAnsi="宋体" w:eastAsia="宋体" w:cs="宋体"/>
                <w:color w:val="auto"/>
                <w:spacing w:val="-4"/>
                <w:sz w:val="21"/>
                <w:szCs w:val="21"/>
                <w:highlight w:val="none"/>
              </w:rPr>
              <w:t>政办发〔2014〕70 号 ) 、《浙江省政府办公厅关于进一步改善环卫</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工人工作生活条件促进环卫事业持续健康发展的若干意见》(浙政办</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发〔2009〕190 号)，建立健全环卫工人定期健康体检制度，并适当保障环卫工人福利待遇。按照历年</w:t>
            </w:r>
            <w:r>
              <w:rPr>
                <w:rFonts w:hint="eastAsia" w:ascii="宋体" w:hAnsi="宋体" w:eastAsia="宋体" w:cs="宋体"/>
                <w:color w:val="auto"/>
                <w:sz w:val="21"/>
                <w:szCs w:val="21"/>
                <w:highlight w:val="none"/>
              </w:rPr>
              <w:t xml:space="preserve">实际标准， 每年每人1500元福利 </w:t>
            </w:r>
            <w:r>
              <w:rPr>
                <w:rFonts w:hint="eastAsia" w:ascii="宋体" w:hAnsi="宋体" w:eastAsia="宋体" w:cs="宋体"/>
                <w:color w:val="auto"/>
                <w:spacing w:val="-4"/>
                <w:sz w:val="21"/>
                <w:szCs w:val="21"/>
                <w:highlight w:val="none"/>
              </w:rPr>
              <w:t>费以及每年进行一次体检 (300 元 ) ，共计 18</w:t>
            </w:r>
            <w:r>
              <w:rPr>
                <w:rFonts w:hint="eastAsia" w:ascii="宋体" w:hAnsi="宋体" w:eastAsia="宋体" w:cs="宋体"/>
                <w:color w:val="auto"/>
                <w:sz w:val="21"/>
                <w:szCs w:val="21"/>
                <w:highlight w:val="none"/>
              </w:rPr>
              <w:t>00 元/人·年。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9" w:hRule="atLeast"/>
        </w:trPr>
        <w:tc>
          <w:tcPr>
            <w:tcW w:w="9110" w:type="dxa"/>
            <w:gridSpan w:val="4"/>
            <w:vAlign w:val="top"/>
          </w:tcPr>
          <w:p>
            <w:pPr>
              <w:pStyle w:val="29"/>
              <w:spacing w:line="360" w:lineRule="auto"/>
              <w:ind w:firstLine="0" w:firstLineChars="0"/>
              <w:jc w:val="left"/>
              <w:rPr>
                <w:rFonts w:hint="eastAsia" w:ascii="宋体" w:hAnsi="宋体" w:eastAsia="宋体" w:cs="宋体"/>
                <w:color w:val="auto"/>
                <w:spacing w:val="-4"/>
                <w:sz w:val="21"/>
                <w:szCs w:val="21"/>
                <w:highlight w:val="none"/>
                <w:lang w:eastAsia="zh-CN"/>
              </w:rPr>
            </w:pPr>
          </w:p>
          <w:p>
            <w:pPr>
              <w:pStyle w:val="29"/>
              <w:spacing w:line="360" w:lineRule="auto"/>
              <w:ind w:firstLine="0" w:firstLine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lang w:eastAsia="zh-CN"/>
              </w:rPr>
              <w:t>二、</w:t>
            </w:r>
            <w:r>
              <w:rPr>
                <w:rFonts w:hint="eastAsia" w:ascii="宋体" w:hAnsi="宋体" w:eastAsia="宋体" w:cs="宋体"/>
                <w:color w:val="auto"/>
                <w:spacing w:val="-4"/>
                <w:sz w:val="21"/>
                <w:szCs w:val="21"/>
                <w:highlight w:val="none"/>
              </w:rPr>
              <w:t>材料工具费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9" w:hRule="atLeast"/>
        </w:trPr>
        <w:tc>
          <w:tcPr>
            <w:tcW w:w="818" w:type="dxa"/>
            <w:vAlign w:val="top"/>
          </w:tcPr>
          <w:p>
            <w:pPr>
              <w:pStyle w:val="29"/>
              <w:spacing w:line="360" w:lineRule="auto"/>
              <w:rPr>
                <w:rFonts w:hint="eastAsia" w:ascii="宋体" w:hAnsi="宋体" w:eastAsia="宋体" w:cs="宋体"/>
                <w:color w:val="auto"/>
                <w:sz w:val="21"/>
                <w:szCs w:val="21"/>
                <w:highlight w:val="none"/>
              </w:rPr>
            </w:pPr>
          </w:p>
        </w:tc>
        <w:tc>
          <w:tcPr>
            <w:tcW w:w="1693" w:type="dxa"/>
            <w:vAlign w:val="top"/>
          </w:tcPr>
          <w:p>
            <w:pPr>
              <w:pStyle w:val="29"/>
              <w:spacing w:before="316" w:line="360" w:lineRule="auto"/>
              <w:ind w:left="0" w:leftChars="0" w:firstLine="0" w:firstLineChars="0"/>
              <w:rPr>
                <w:rFonts w:hint="eastAsia" w:ascii="宋体" w:hAnsi="宋体" w:eastAsia="宋体" w:cs="宋体"/>
                <w:color w:val="auto"/>
                <w:spacing w:val="-4"/>
                <w:sz w:val="21"/>
                <w:szCs w:val="21"/>
                <w:highlight w:val="none"/>
              </w:rPr>
            </w:pPr>
          </w:p>
          <w:p>
            <w:pPr>
              <w:pStyle w:val="29"/>
              <w:spacing w:before="316" w:line="360" w:lineRule="auto"/>
              <w:ind w:left="0" w:lef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其中：  1.工具材料</w:t>
            </w:r>
          </w:p>
        </w:tc>
        <w:tc>
          <w:tcPr>
            <w:tcW w:w="1956" w:type="dxa"/>
            <w:vAlign w:val="top"/>
          </w:tcPr>
          <w:p>
            <w:pPr>
              <w:pStyle w:val="29"/>
              <w:spacing w:before="317" w:line="360" w:lineRule="auto"/>
              <w:ind w:left="114" w:leftChars="0"/>
              <w:jc w:val="center"/>
              <w:rPr>
                <w:rFonts w:hint="eastAsia" w:ascii="宋体" w:hAnsi="宋体" w:eastAsia="宋体" w:cs="宋体"/>
                <w:color w:val="auto"/>
                <w:spacing w:val="-4"/>
                <w:sz w:val="21"/>
                <w:szCs w:val="21"/>
                <w:highlight w:val="none"/>
              </w:rPr>
            </w:pPr>
          </w:p>
          <w:p>
            <w:pPr>
              <w:pStyle w:val="29"/>
              <w:spacing w:before="317" w:line="360" w:lineRule="auto"/>
              <w:ind w:left="0" w:leftChars="0" w:firstLine="0" w:firstLineChars="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2920 元/人 ·年。</w:t>
            </w:r>
          </w:p>
        </w:tc>
        <w:tc>
          <w:tcPr>
            <w:tcW w:w="4643" w:type="dxa"/>
            <w:vAlign w:val="top"/>
          </w:tcPr>
          <w:p>
            <w:pPr>
              <w:pStyle w:val="29"/>
              <w:spacing w:before="117" w:line="360" w:lineRule="auto"/>
              <w:ind w:left="0" w:leftChars="0" w:right="20" w:righ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主要包括：扫帚、铁锹、铁钳、畚斗 、抹布 、刷子等保洁用品，消毒水等保洁材料和设施的消耗，共计 2920 元/年 ·人</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9" w:hRule="atLeast"/>
        </w:trPr>
        <w:tc>
          <w:tcPr>
            <w:tcW w:w="818" w:type="dxa"/>
            <w:vAlign w:val="top"/>
          </w:tcPr>
          <w:p>
            <w:pPr>
              <w:pStyle w:val="29"/>
              <w:spacing w:line="360" w:lineRule="auto"/>
              <w:rPr>
                <w:rFonts w:hint="eastAsia" w:ascii="宋体" w:hAnsi="宋体" w:eastAsia="宋体" w:cs="宋体"/>
                <w:color w:val="auto"/>
                <w:sz w:val="21"/>
                <w:szCs w:val="21"/>
                <w:highlight w:val="none"/>
              </w:rPr>
            </w:pPr>
          </w:p>
        </w:tc>
        <w:tc>
          <w:tcPr>
            <w:tcW w:w="1693" w:type="dxa"/>
            <w:vAlign w:val="top"/>
          </w:tcPr>
          <w:p>
            <w:pPr>
              <w:pStyle w:val="29"/>
              <w:spacing w:line="360" w:lineRule="auto"/>
              <w:rPr>
                <w:rFonts w:hint="eastAsia" w:ascii="宋体" w:hAnsi="宋体" w:eastAsia="宋体" w:cs="宋体"/>
                <w:color w:val="auto"/>
                <w:sz w:val="21"/>
                <w:szCs w:val="21"/>
                <w:highlight w:val="none"/>
              </w:rPr>
            </w:pPr>
          </w:p>
          <w:p>
            <w:pPr>
              <w:pStyle w:val="29"/>
              <w:spacing w:before="99" w:line="360" w:lineRule="auto"/>
              <w:ind w:left="0" w:lef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2. 劳保用品</w:t>
            </w:r>
          </w:p>
        </w:tc>
        <w:tc>
          <w:tcPr>
            <w:tcW w:w="1956" w:type="dxa"/>
            <w:vAlign w:val="top"/>
          </w:tcPr>
          <w:p>
            <w:pPr>
              <w:pStyle w:val="29"/>
              <w:spacing w:line="360" w:lineRule="auto"/>
              <w:jc w:val="center"/>
              <w:rPr>
                <w:rFonts w:hint="eastAsia" w:ascii="宋体" w:hAnsi="宋体" w:eastAsia="宋体" w:cs="宋体"/>
                <w:color w:val="auto"/>
                <w:sz w:val="21"/>
                <w:szCs w:val="21"/>
                <w:highlight w:val="none"/>
              </w:rPr>
            </w:pPr>
          </w:p>
          <w:p>
            <w:pPr>
              <w:pStyle w:val="29"/>
              <w:spacing w:before="98" w:line="360" w:lineRule="auto"/>
              <w:ind w:left="0" w:leftChars="0" w:firstLine="0" w:firstLineChars="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1423 元/人 ·年。</w:t>
            </w:r>
          </w:p>
        </w:tc>
        <w:tc>
          <w:tcPr>
            <w:tcW w:w="4643" w:type="dxa"/>
            <w:vAlign w:val="top"/>
          </w:tcPr>
          <w:p>
            <w:pPr>
              <w:pStyle w:val="29"/>
              <w:spacing w:before="118" w:line="360" w:lineRule="auto"/>
              <w:ind w:left="119" w:leftChars="0" w:right="15" w:rightChars="0" w:firstLine="11"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4"/>
                <w:sz w:val="21"/>
                <w:szCs w:val="21"/>
                <w:highlight w:val="none"/>
              </w:rPr>
              <w:t>主要包括：各类保洁作业中须使用的工作服， 工作鞋，雨衣、雨鞋、</w:t>
            </w:r>
            <w:r>
              <w:rPr>
                <w:rFonts w:hint="eastAsia" w:ascii="宋体" w:hAnsi="宋体" w:eastAsia="宋体" w:cs="宋体"/>
                <w:color w:val="auto"/>
                <w:sz w:val="21"/>
                <w:szCs w:val="21"/>
                <w:highlight w:val="none"/>
              </w:rPr>
              <w:t xml:space="preserve"> </w:t>
            </w:r>
            <w:r>
              <w:rPr>
                <w:rFonts w:hint="eastAsia" w:ascii="宋体" w:hAnsi="宋体" w:eastAsia="宋体" w:cs="宋体"/>
                <w:color w:val="auto"/>
                <w:spacing w:val="-4"/>
                <w:sz w:val="21"/>
                <w:szCs w:val="21"/>
                <w:highlight w:val="none"/>
              </w:rPr>
              <w:t>工作帽、手套、香皂、洗衣粉等劳保品的消耗，共计 1423 元/年 ·人。</w:t>
            </w:r>
          </w:p>
        </w:tc>
      </w:tr>
    </w:tbl>
    <w:p>
      <w:pPr>
        <w:spacing w:line="360" w:lineRule="auto"/>
        <w:jc w:val="left"/>
        <w:rPr>
          <w:rFonts w:hint="eastAsia" w:ascii="宋体" w:hAnsi="宋体" w:cs="宋体"/>
          <w:b/>
          <w:szCs w:val="21"/>
          <w:highlight w:val="none"/>
          <w:lang w:val="en-US" w:eastAsia="zh-CN"/>
        </w:rPr>
      </w:pPr>
      <w:r>
        <w:rPr>
          <w:rFonts w:hint="eastAsia" w:ascii="宋体" w:hAnsi="宋体" w:cs="宋体"/>
          <w:b/>
          <w:szCs w:val="21"/>
          <w:highlight w:val="none"/>
        </w:rPr>
        <w:t>注：★1.供应商拟投入本项目人员工资福利低于上表标准的作无效标处理。</w:t>
      </w:r>
      <w:r>
        <w:rPr>
          <w:rFonts w:hint="eastAsia" w:ascii="宋体" w:hAnsi="宋体" w:cs="宋体"/>
          <w:b/>
          <w:szCs w:val="21"/>
          <w:highlight w:val="none"/>
          <w:lang w:val="en-US" w:eastAsia="zh-CN"/>
        </w:rPr>
        <w:t>其中社会保险、住房公积金仅适用于未达到法定退休年龄的人员（男性：60周岁以下；女性：50周岁以下）。</w:t>
      </w:r>
    </w:p>
    <w:p>
      <w:pPr>
        <w:spacing w:line="360" w:lineRule="auto"/>
        <w:jc w:val="left"/>
        <w:rPr>
          <w:rFonts w:hint="eastAsia" w:ascii="宋体" w:hAnsi="宋体" w:cs="宋体"/>
          <w:b/>
          <w:szCs w:val="21"/>
          <w:highlight w:val="none"/>
        </w:rPr>
      </w:pPr>
      <w:r>
        <w:rPr>
          <w:rFonts w:hint="eastAsia" w:ascii="宋体" w:hAnsi="宋体" w:cs="宋体"/>
          <w:b/>
          <w:szCs w:val="21"/>
          <w:highlight w:val="none"/>
        </w:rPr>
        <w:t>2.合同履行期限内，如有最新政策要求，人员费用及福利等应按照最新标准执行。</w:t>
      </w:r>
    </w:p>
    <w:p>
      <w:pPr>
        <w:spacing w:line="360" w:lineRule="auto"/>
        <w:jc w:val="left"/>
        <w:rPr>
          <w:rFonts w:hint="eastAsia" w:ascii="宋体" w:hAnsi="宋体" w:cs="宋体"/>
          <w:b/>
          <w:szCs w:val="21"/>
          <w:highlight w:val="none"/>
        </w:rPr>
      </w:pPr>
      <w:r>
        <w:rPr>
          <w:rFonts w:hint="eastAsia" w:ascii="宋体" w:hAnsi="宋体" w:cs="宋体"/>
          <w:b/>
          <w:szCs w:val="21"/>
          <w:highlight w:val="none"/>
        </w:rPr>
        <w:t>★3.拟投入本项目的所有人员的人员经费均需含入投标总价内。</w:t>
      </w:r>
    </w:p>
    <w:p>
      <w:pPr>
        <w:numPr>
          <w:ilvl w:val="-1"/>
          <w:numId w:val="0"/>
        </w:numPr>
        <w:tabs>
          <w:tab w:val="center" w:pos="4156"/>
        </w:tabs>
        <w:spacing w:line="360" w:lineRule="auto"/>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四、</w:t>
      </w:r>
      <w:r>
        <w:rPr>
          <w:rFonts w:hint="eastAsia" w:ascii="宋体" w:hAnsi="宋体" w:cs="宋体"/>
          <w:b/>
          <w:color w:val="auto"/>
          <w:szCs w:val="21"/>
          <w:highlight w:val="none"/>
        </w:rPr>
        <w:t>人员和车辆</w:t>
      </w:r>
      <w:r>
        <w:rPr>
          <w:rFonts w:hint="eastAsia" w:ascii="宋体" w:hAnsi="宋体" w:cs="宋体"/>
          <w:b/>
          <w:color w:val="auto"/>
          <w:szCs w:val="21"/>
          <w:highlight w:val="none"/>
          <w:lang w:val="en-US" w:eastAsia="zh-CN"/>
        </w:rPr>
        <w:t>设备等</w:t>
      </w:r>
      <w:r>
        <w:rPr>
          <w:rFonts w:hint="eastAsia" w:ascii="宋体" w:hAnsi="宋体" w:cs="宋体"/>
          <w:b/>
          <w:color w:val="auto"/>
          <w:szCs w:val="21"/>
          <w:highlight w:val="none"/>
        </w:rPr>
        <w:t>配置要求</w:t>
      </w:r>
    </w:p>
    <w:p>
      <w:pPr>
        <w:numPr>
          <w:ilvl w:val="0"/>
          <w:numId w:val="8"/>
        </w:numPr>
        <w:spacing w:line="360" w:lineRule="auto"/>
        <w:ind w:firstLine="0"/>
        <w:rPr>
          <w:rFonts w:hint="eastAsia" w:ascii="宋体" w:hAnsi="宋体" w:cs="宋体"/>
          <w:b/>
          <w:bCs/>
          <w:color w:val="auto"/>
          <w:szCs w:val="21"/>
          <w:highlight w:val="none"/>
        </w:rPr>
      </w:pPr>
      <w:r>
        <w:rPr>
          <w:rFonts w:hint="eastAsia" w:ascii="宋体" w:hAnsi="宋体" w:cs="宋体"/>
          <w:b/>
          <w:bCs/>
          <w:color w:val="auto"/>
          <w:szCs w:val="21"/>
          <w:highlight w:val="none"/>
          <w:lang w:val="en-US" w:eastAsia="zh-CN"/>
        </w:rPr>
        <w:t>总体要求</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（1）人员、车辆、机械设备等允许在中标后进行配置。</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★（2）供应商需承诺：（投标文件中须提供相关承诺书）</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1.拟投入本项目的人员应按投标文件中承诺的人数，在进驻日前应全部配置完</w:t>
      </w:r>
      <w:r>
        <w:rPr>
          <w:rFonts w:hint="eastAsia" w:ascii="宋体" w:hAnsi="宋体" w:eastAsia="宋体" w:cs="宋体"/>
          <w:color w:val="auto"/>
          <w:szCs w:val="21"/>
          <w:highlight w:val="none"/>
        </w:rPr>
        <w:t>毕</w:t>
      </w:r>
      <w:r>
        <w:rPr>
          <w:rFonts w:hint="eastAsia" w:ascii="宋体" w:hAnsi="宋体" w:eastAsia="宋体" w:cs="宋体"/>
          <w:color w:val="auto"/>
          <w:szCs w:val="21"/>
          <w:highlight w:val="none"/>
          <w:lang w:eastAsia="zh-CN"/>
        </w:rPr>
        <w:t>。</w:t>
      </w:r>
    </w:p>
    <w:p>
      <w:pPr>
        <w:spacing w:line="360" w:lineRule="auto"/>
        <w:ind w:firstLine="420" w:firstLineChars="200"/>
        <w:rPr>
          <w:rFonts w:hint="eastAsia" w:ascii="宋体" w:hAnsi="宋体" w:cs="宋体"/>
          <w:color w:val="auto"/>
          <w:szCs w:val="21"/>
          <w:highlight w:val="none"/>
          <w:lang w:val="en-US" w:eastAsia="zh-CN"/>
        </w:rPr>
      </w:pPr>
      <w:r>
        <w:rPr>
          <w:rFonts w:hint="eastAsia" w:ascii="宋体" w:hAnsi="宋体" w:eastAsia="宋体" w:cs="宋体"/>
          <w:color w:val="auto"/>
          <w:szCs w:val="21"/>
          <w:highlight w:val="none"/>
          <w:lang w:val="en-US" w:eastAsia="zh-CN"/>
        </w:rPr>
        <w:t>在进驻日，如存在人数未达到投标承诺的：采购人将</w:t>
      </w:r>
      <w:r>
        <w:rPr>
          <w:rFonts w:hint="eastAsia" w:ascii="宋体" w:hAnsi="宋体" w:eastAsia="宋体" w:cs="宋体"/>
          <w:color w:val="auto"/>
          <w:szCs w:val="21"/>
          <w:highlight w:val="none"/>
        </w:rPr>
        <w:t>下达整改通知</w:t>
      </w:r>
      <w:r>
        <w:rPr>
          <w:rFonts w:hint="eastAsia" w:ascii="宋体" w:hAnsi="宋体" w:eastAsia="宋体" w:cs="宋体"/>
          <w:color w:val="auto"/>
          <w:szCs w:val="21"/>
          <w:highlight w:val="none"/>
          <w:lang w:val="en-US" w:eastAsia="zh-CN"/>
        </w:rPr>
        <w:t>，同时按1万元/天进行扣罚；如在进驻日起15日（含进驻日）内中标人未按规定整改完成的，次日起，采购人将按3万元/天进行扣罚；扣罚费用在服务经费中支出。如在进驻日起60日（含进驻日）内中标人仍未按规定整改完成的，采购人将有权单方面解除合同，并不予支付保洁服务经费。</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2.在投标文件中承诺投入本项目的车辆、机械设备等在进驻日前应全部配置完</w:t>
      </w:r>
      <w:r>
        <w:rPr>
          <w:rFonts w:hint="eastAsia" w:ascii="宋体" w:hAnsi="宋体" w:eastAsia="宋体" w:cs="宋体"/>
          <w:color w:val="auto"/>
          <w:szCs w:val="21"/>
          <w:highlight w:val="none"/>
        </w:rPr>
        <w:t>毕</w:t>
      </w:r>
      <w:r>
        <w:rPr>
          <w:rFonts w:hint="eastAsia" w:ascii="宋体" w:hAnsi="宋体" w:eastAsia="宋体" w:cs="宋体"/>
          <w:color w:val="auto"/>
          <w:szCs w:val="21"/>
          <w:highlight w:val="none"/>
          <w:lang w:eastAsia="zh-CN"/>
        </w:rPr>
        <w:t>。</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在进驻日，如存在数量未达到投标承诺的：采购人将</w:t>
      </w:r>
      <w:r>
        <w:rPr>
          <w:rFonts w:hint="eastAsia" w:ascii="宋体" w:hAnsi="宋体" w:eastAsia="宋体" w:cs="宋体"/>
          <w:color w:val="auto"/>
          <w:szCs w:val="21"/>
          <w:highlight w:val="none"/>
        </w:rPr>
        <w:t>下达整改通知</w:t>
      </w:r>
      <w:r>
        <w:rPr>
          <w:rFonts w:hint="eastAsia" w:ascii="宋体" w:hAnsi="宋体" w:eastAsia="宋体" w:cs="宋体"/>
          <w:color w:val="auto"/>
          <w:szCs w:val="21"/>
          <w:highlight w:val="none"/>
          <w:lang w:val="en-US" w:eastAsia="zh-CN"/>
        </w:rPr>
        <w:t>，同时按1万元/天进行扣罚；如在进驻日起15日（含进驻日）内中标人未按规定整改完成的，次日起，采购人将按3万元/天进行扣罚；扣罚费用在服务经费中支出。如在进驻日起60日（含进驻日）内中标人仍未按规定整改完成的，采购人将有权单方面解除合同，并不予支付保洁服务经费。</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在进驻日，如投标文件中列明的拟投入本项目的车辆（或其他机械设备）与实际投入车辆（或其他机械设备）不一致的：采购人将</w:t>
      </w:r>
      <w:r>
        <w:rPr>
          <w:rFonts w:hint="eastAsia" w:ascii="宋体" w:hAnsi="宋体" w:eastAsia="宋体" w:cs="宋体"/>
          <w:color w:val="auto"/>
          <w:szCs w:val="21"/>
          <w:highlight w:val="none"/>
        </w:rPr>
        <w:t>下达整改通知</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中标人需提供同规格、型号车辆（或其他机械设备）或经采购人认可的优于投标文件承诺规格、型号车辆（或其他机械设备）</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同时按1万元/天进行扣罚；如在进驻日起15日（含进驻日）内中标人未按规定整改完成的，次日起，采购人将按3万元/天进行扣罚；扣罚费用在服务经费中支出。如在进驻日起60日（含进驻日）内中标人仍未按规定整改完成的，采购人将有权单方面解除合同，并不予支付保洁服务经费。</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注：优于投标文件承诺规格、型号车辆（或其他机械设备）认定：</w:t>
      </w:r>
    </w:p>
    <w:p>
      <w:pPr>
        <w:numPr>
          <w:ilvl w:val="-1"/>
          <w:numId w:val="0"/>
        </w:numPr>
        <w:spacing w:line="360" w:lineRule="auto"/>
        <w:ind w:left="420" w:leftChars="200" w:firstLine="0" w:firstLine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①购置金额需高于投标文件中拟投入设备购置金额。【提供替换车辆（或其他机械设备）的购置发票与原拟投入车辆（或其他机械设备）的购置发票。】</w:t>
      </w:r>
    </w:p>
    <w:p>
      <w:pPr>
        <w:pStyle w:val="29"/>
        <w:spacing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②保洁作业功能需高于原拟投入车辆（或其他机械设备）：提供相关证明材料。</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color w:val="000000"/>
          <w:sz w:val="21"/>
          <w:szCs w:val="21"/>
          <w:highlight w:val="none"/>
          <w:lang w:eastAsia="zh-CN"/>
        </w:rPr>
      </w:pPr>
      <w:r>
        <w:rPr>
          <w:rFonts w:hint="eastAsia" w:ascii="宋体" w:hAnsi="宋体" w:eastAsia="宋体" w:cs="宋体"/>
          <w:b/>
          <w:bCs/>
          <w:color w:val="000000"/>
          <w:sz w:val="21"/>
          <w:szCs w:val="21"/>
          <w:highlight w:val="none"/>
          <w:lang w:eastAsia="zh-CN"/>
        </w:rPr>
        <w:t>（</w:t>
      </w:r>
      <w:r>
        <w:rPr>
          <w:rFonts w:hint="eastAsia" w:hAnsi="宋体" w:cs="宋体"/>
          <w:b/>
          <w:bCs/>
          <w:color w:val="000000"/>
          <w:sz w:val="21"/>
          <w:szCs w:val="21"/>
          <w:highlight w:val="none"/>
          <w:lang w:val="en-US" w:eastAsia="zh-CN"/>
        </w:rPr>
        <w:t>二</w:t>
      </w:r>
      <w:r>
        <w:rPr>
          <w:rFonts w:hint="eastAsia" w:ascii="宋体" w:hAnsi="宋体" w:eastAsia="宋体" w:cs="宋体"/>
          <w:b/>
          <w:bCs/>
          <w:color w:val="000000"/>
          <w:sz w:val="21"/>
          <w:szCs w:val="21"/>
          <w:highlight w:val="none"/>
          <w:lang w:eastAsia="zh-CN"/>
        </w:rPr>
        <w:t>）人员配置要求</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6" w:firstLineChars="200"/>
        <w:textAlignment w:val="auto"/>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1、基本要求</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bCs/>
          <w:color w:val="000000"/>
          <w:sz w:val="21"/>
          <w:szCs w:val="21"/>
          <w:highlight w:val="none"/>
          <w:lang w:val="en-US" w:eastAsia="zh-CN"/>
        </w:rPr>
      </w:pPr>
      <w:r>
        <w:rPr>
          <w:rFonts w:hint="eastAsia" w:ascii="宋体" w:hAnsi="宋体" w:cs="宋体"/>
          <w:color w:val="auto"/>
          <w:sz w:val="21"/>
          <w:szCs w:val="21"/>
          <w:highlight w:val="none"/>
          <w:lang w:val="en-US" w:eastAsia="zh-CN"/>
        </w:rPr>
        <w:t>宁海县</w:t>
      </w:r>
      <w:r>
        <w:rPr>
          <w:rFonts w:hint="eastAsia" w:hAnsi="宋体" w:cs="宋体"/>
          <w:color w:val="auto"/>
          <w:sz w:val="21"/>
          <w:szCs w:val="21"/>
          <w:highlight w:val="none"/>
          <w:lang w:val="en-US" w:eastAsia="zh-CN"/>
        </w:rPr>
        <w:t>桥头胡街道</w:t>
      </w:r>
      <w:r>
        <w:rPr>
          <w:rFonts w:hint="eastAsia" w:ascii="宋体" w:hAnsi="宋体" w:cs="宋体"/>
          <w:color w:val="auto"/>
          <w:sz w:val="21"/>
          <w:szCs w:val="21"/>
          <w:highlight w:val="none"/>
          <w:lang w:val="en-US" w:eastAsia="zh-CN"/>
        </w:rPr>
        <w:t>环卫保洁</w:t>
      </w:r>
      <w:r>
        <w:rPr>
          <w:rFonts w:hint="eastAsia" w:ascii="宋体" w:hAnsi="宋体" w:cs="宋体"/>
          <w:color w:val="auto"/>
          <w:sz w:val="21"/>
          <w:szCs w:val="21"/>
          <w:highlight w:val="none"/>
          <w:lang w:val="en-US" w:eastAsia="zh-Hans"/>
        </w:rPr>
        <w:t>及垃圾清运</w:t>
      </w:r>
      <w:r>
        <w:rPr>
          <w:rFonts w:hint="eastAsia" w:ascii="宋体" w:hAnsi="宋体" w:cs="宋体"/>
          <w:color w:val="auto"/>
          <w:sz w:val="21"/>
          <w:szCs w:val="21"/>
          <w:highlight w:val="none"/>
          <w:lang w:val="en-US" w:eastAsia="zh-CN"/>
        </w:rPr>
        <w:t xml:space="preserve">服务共需至少配置人员 </w:t>
      </w:r>
      <w:r>
        <w:rPr>
          <w:rFonts w:hint="eastAsia" w:hAnsi="宋体" w:cs="宋体"/>
          <w:color w:val="auto"/>
          <w:sz w:val="21"/>
          <w:szCs w:val="21"/>
          <w:highlight w:val="none"/>
          <w:lang w:val="en-US" w:eastAsia="zh-CN"/>
        </w:rPr>
        <w:t>57</w:t>
      </w:r>
      <w:r>
        <w:rPr>
          <w:rFonts w:hint="eastAsia" w:ascii="宋体" w:hAnsi="宋体" w:cs="宋体"/>
          <w:color w:val="auto"/>
          <w:sz w:val="21"/>
          <w:szCs w:val="21"/>
          <w:highlight w:val="none"/>
          <w:lang w:val="en-US" w:eastAsia="zh-CN"/>
        </w:rPr>
        <w:t>人，</w:t>
      </w:r>
      <w:r>
        <w:rPr>
          <w:rFonts w:hint="eastAsia" w:ascii="宋体" w:hAnsi="宋体" w:cs="宋体"/>
          <w:color w:val="auto"/>
          <w:sz w:val="21"/>
          <w:szCs w:val="21"/>
          <w:highlight w:val="none"/>
          <w:lang w:val="en-US" w:eastAsia="zh-Hans"/>
        </w:rPr>
        <w:t>其中：驾驶员</w:t>
      </w:r>
      <w:r>
        <w:rPr>
          <w:rFonts w:hint="eastAsia" w:hAnsi="宋体" w:cs="宋体"/>
          <w:color w:val="auto"/>
          <w:sz w:val="21"/>
          <w:szCs w:val="21"/>
          <w:highlight w:val="none"/>
          <w:lang w:val="en-US" w:eastAsia="zh-CN"/>
        </w:rPr>
        <w:t>6</w:t>
      </w:r>
      <w:r>
        <w:rPr>
          <w:rFonts w:hint="eastAsia" w:ascii="宋体" w:hAnsi="宋体" w:cs="宋体"/>
          <w:color w:val="auto"/>
          <w:sz w:val="21"/>
          <w:szCs w:val="21"/>
          <w:highlight w:val="none"/>
          <w:lang w:val="en-US" w:eastAsia="zh-Hans"/>
        </w:rPr>
        <w:t>人，</w:t>
      </w:r>
      <w:r>
        <w:rPr>
          <w:rFonts w:hint="eastAsia" w:ascii="宋体" w:hAnsi="宋体" w:eastAsia="宋体" w:cs="宋体"/>
          <w:color w:val="auto"/>
          <w:spacing w:val="-4"/>
          <w:sz w:val="21"/>
          <w:szCs w:val="21"/>
          <w:highlight w:val="none"/>
        </w:rPr>
        <w:t>普通保洁工人及操作工 51 人</w:t>
      </w:r>
      <w:r>
        <w:rPr>
          <w:rFonts w:hint="eastAsia" w:ascii="宋体" w:hAnsi="宋体" w:cs="宋体"/>
          <w:color w:val="auto"/>
          <w:sz w:val="21"/>
          <w:szCs w:val="21"/>
          <w:highlight w:val="none"/>
          <w:lang w:val="en-US" w:eastAsia="zh-CN"/>
        </w:rPr>
        <w:t>。</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6" w:firstLineChars="200"/>
        <w:textAlignment w:val="auto"/>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2、其他要求</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6"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cs="宋体"/>
          <w:b/>
          <w:color w:val="auto"/>
          <w:sz w:val="21"/>
          <w:szCs w:val="21"/>
          <w:highlight w:val="none"/>
        </w:rPr>
        <w:t>★</w:t>
      </w:r>
      <w:r>
        <w:rPr>
          <w:rFonts w:hint="eastAsia" w:ascii="宋体" w:hAnsi="宋体" w:eastAsia="宋体" w:cs="宋体"/>
          <w:b w:val="0"/>
          <w:bCs w:val="0"/>
          <w:color w:val="000000"/>
          <w:sz w:val="21"/>
          <w:szCs w:val="21"/>
          <w:highlight w:val="none"/>
          <w:lang w:val="en-US" w:eastAsia="zh-CN"/>
        </w:rPr>
        <w:t>（1）投标人拟投入本项目的人员数量不得低于上述要求的最低人员配置数量，否则作无效标处理。</w:t>
      </w:r>
      <w:r>
        <w:rPr>
          <w:rFonts w:hint="eastAsia" w:ascii="宋体" w:hAnsi="宋体" w:cs="宋体"/>
          <w:color w:val="auto"/>
          <w:sz w:val="21"/>
          <w:szCs w:val="21"/>
          <w:highlight w:val="none"/>
        </w:rPr>
        <w:t>（投标文件中须提供相关承诺书）</w:t>
      </w:r>
    </w:p>
    <w:p>
      <w:pPr>
        <w:spacing w:line="360" w:lineRule="auto"/>
        <w:ind w:firstLine="422" w:firstLineChars="200"/>
        <w:rPr>
          <w:rFonts w:hint="eastAsia" w:ascii="宋体" w:hAnsi="宋体" w:eastAsia="宋体" w:cs="宋体"/>
          <w:b w:val="0"/>
          <w:bCs w:val="0"/>
          <w:color w:val="000000"/>
          <w:sz w:val="21"/>
          <w:szCs w:val="21"/>
          <w:highlight w:val="none"/>
          <w:lang w:val="en-US" w:eastAsia="zh-CN"/>
        </w:rPr>
      </w:pPr>
      <w:r>
        <w:rPr>
          <w:rFonts w:hint="eastAsia" w:ascii="宋体" w:hAnsi="宋体" w:cs="宋体"/>
          <w:b/>
          <w:color w:val="auto"/>
          <w:szCs w:val="21"/>
          <w:highlight w:val="none"/>
        </w:rPr>
        <w:t>★</w:t>
      </w:r>
      <w:r>
        <w:rPr>
          <w:rFonts w:hint="eastAsia" w:ascii="宋体" w:hAnsi="宋体" w:eastAsia="宋体" w:cs="宋体"/>
          <w:b w:val="0"/>
          <w:bCs w:val="0"/>
          <w:color w:val="000000"/>
          <w:sz w:val="21"/>
          <w:szCs w:val="21"/>
          <w:highlight w:val="none"/>
          <w:lang w:val="en-US" w:eastAsia="zh-CN"/>
        </w:rPr>
        <w:t>（2）</w:t>
      </w:r>
      <w:r>
        <w:rPr>
          <w:rFonts w:hint="eastAsia" w:ascii="宋体" w:hAnsi="宋体" w:cs="宋体"/>
          <w:bCs/>
          <w:color w:val="auto"/>
          <w:kern w:val="0"/>
          <w:szCs w:val="21"/>
          <w:highlight w:val="none"/>
          <w:lang w:val="en-US" w:eastAsia="zh-CN"/>
        </w:rPr>
        <w:t>供应商需承诺投入本项目的项目负责人须与投标文件所列举的一致。服务期间</w:t>
      </w:r>
      <w:r>
        <w:rPr>
          <w:rFonts w:hint="eastAsia" w:ascii="宋体" w:hAnsi="宋体" w:eastAsia="宋体" w:cs="宋体"/>
          <w:bCs/>
          <w:color w:val="auto"/>
          <w:kern w:val="0"/>
          <w:szCs w:val="21"/>
          <w:highlight w:val="none"/>
          <w:lang w:val="en-US" w:eastAsia="zh-CN"/>
        </w:rPr>
        <w:t>一般不得更换项目负责人，特殊情况必须更换项目负责人的，须在满足工作需求的情况下，经采购人书面同意后方可更换，无正当理由擅自更换项目负责人的须向采购人支付每人次50000元的违约金。（投标文件中须提供相关承诺书）</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（3）中标人原则上应优先聘用原保洁作业人员。</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（4）要求投标人在投标方案中根据保洁明细表单独列出各项保洁人员配置数量及其他环卫考核管理工作人员数量。</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（5）驾驶员、操作员应具备相应工种资格证，带证上岗，并定时接受培训。</w:t>
      </w:r>
      <w:r>
        <w:rPr>
          <w:rFonts w:hint="eastAsia" w:ascii="宋体" w:hAnsi="宋体" w:cs="宋体"/>
          <w:color w:val="auto"/>
          <w:sz w:val="21"/>
          <w:szCs w:val="21"/>
          <w:highlight w:val="none"/>
        </w:rPr>
        <w:t>（投标文件中须提供相关承诺书）</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（6）本项目配备的从业人员基本要求：</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①身体健康，无品质性疾病；</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②思想端正，无不良记录；</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③保洁人员规范、服装统一、整治着装，佩戴上岗证或胸牌，注意仪表；</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④不得擅自离岗，如有特殊原因需向单位请假，且由单位安排专人代岗；</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⑤工作期间禁止饮酒、文明用餐。</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（7）岗位培训要求：</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①根据法律法规规定，新入职员工必须经过入职培训合格后方可上岗；</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②人员培训的内容包括公司规章制度、保洁操作流程、保洁质量要求、清洁工具的使用、要注意的事项及安全责任。</w:t>
      </w:r>
    </w:p>
    <w:p>
      <w:pPr>
        <w:spacing w:line="360" w:lineRule="auto"/>
        <w:ind w:firstLine="210" w:firstLineChars="100"/>
        <w:rPr>
          <w:rFonts w:hint="eastAsia"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（8）</w:t>
      </w:r>
      <w:r>
        <w:rPr>
          <w:rFonts w:hint="eastAsia" w:ascii="宋体" w:hAnsi="宋体" w:eastAsia="宋体" w:cs="宋体"/>
          <w:bCs/>
          <w:color w:val="auto"/>
          <w:szCs w:val="21"/>
          <w:highlight w:val="none"/>
          <w:lang w:val="en-US" w:eastAsia="zh-CN"/>
        </w:rPr>
        <w:t>供应商对现场作业人员应配备电子轨迹巡查系统，以确保作业人员在作业过程中的人身安全。采购人可通过电子轨迹巡查系统进行日常检查监督。由此产生的所有费用包含在投标报价中，采购人不另行支付。</w:t>
      </w:r>
    </w:p>
    <w:p>
      <w:pPr>
        <w:numPr>
          <w:ilvl w:val="0"/>
          <w:numId w:val="0"/>
        </w:numPr>
        <w:spacing w:line="360" w:lineRule="auto"/>
        <w:ind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lang w:val="en-US" w:eastAsia="zh-CN"/>
        </w:rPr>
        <w:t>供应商需承诺投入本项目的一线作业人员的劳动合同时间必须跟本合同时间相一致。（投标文件中须提供相关承诺书）</w:t>
      </w:r>
    </w:p>
    <w:p>
      <w:pPr>
        <w:numPr>
          <w:ilvl w:val="0"/>
          <w:numId w:val="0"/>
        </w:numPr>
        <w:spacing w:line="360" w:lineRule="auto"/>
        <w:ind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（10）</w:t>
      </w:r>
      <w:r>
        <w:rPr>
          <w:rFonts w:hint="eastAsia" w:ascii="宋体" w:hAnsi="宋体" w:eastAsia="宋体" w:cs="宋体"/>
          <w:color w:val="auto"/>
          <w:szCs w:val="21"/>
          <w:highlight w:val="none"/>
          <w:lang w:val="en-US" w:eastAsia="zh-CN"/>
        </w:rPr>
        <w:t>供应商须严格按照《宁波市人民政府办公厅关于印发进一步加强市容环卫行业管理实施意见的通知》（甬政办发【2014】70号）的规定执行。（投标文件中须提供相关承诺书）</w:t>
      </w:r>
    </w:p>
    <w:p>
      <w:pPr>
        <w:numPr>
          <w:ilvl w:val="0"/>
          <w:numId w:val="0"/>
        </w:numPr>
        <w:spacing w:line="360" w:lineRule="auto"/>
        <w:ind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（11）</w:t>
      </w:r>
      <w:r>
        <w:rPr>
          <w:rFonts w:hint="eastAsia" w:ascii="宋体" w:hAnsi="宋体" w:eastAsia="宋体" w:cs="宋体"/>
          <w:color w:val="auto"/>
          <w:szCs w:val="21"/>
          <w:highlight w:val="none"/>
          <w:lang w:val="en-US" w:eastAsia="zh-CN"/>
        </w:rPr>
        <w:t>供应商须对所有符合参加人身意外伤害保险条件的人员统一进行参保。（投标文件中须提供相关承诺书《特殊承诺》）</w:t>
      </w:r>
    </w:p>
    <w:p>
      <w:pPr>
        <w:numPr>
          <w:ilvl w:val="0"/>
          <w:numId w:val="0"/>
        </w:numPr>
        <w:spacing w:line="360" w:lineRule="auto"/>
        <w:ind w:leftChars="0"/>
        <w:rPr>
          <w:rFonts w:hint="eastAsia" w:ascii="宋体" w:hAnsi="宋体" w:cs="宋体"/>
          <w:color w:val="auto"/>
          <w:highlight w:val="none"/>
        </w:rPr>
      </w:pPr>
      <w:r>
        <w:rPr>
          <w:rFonts w:hint="eastAsia" w:ascii="宋体" w:hAnsi="宋体" w:cs="宋体"/>
          <w:b w:val="0"/>
          <w:bCs w:val="0"/>
          <w:color w:val="000000"/>
          <w:sz w:val="21"/>
          <w:szCs w:val="21"/>
          <w:highlight w:val="none"/>
          <w:lang w:val="en-US" w:eastAsia="zh-CN"/>
        </w:rPr>
        <w:t>（三）</w:t>
      </w:r>
      <w:r>
        <w:rPr>
          <w:rFonts w:hint="eastAsia" w:ascii="宋体" w:hAnsi="宋体" w:eastAsia="宋体" w:cs="宋体"/>
          <w:b w:val="0"/>
          <w:bCs w:val="0"/>
          <w:color w:val="000000"/>
          <w:sz w:val="21"/>
          <w:szCs w:val="21"/>
          <w:highlight w:val="none"/>
          <w:lang w:val="en-US" w:eastAsia="zh-CN"/>
        </w:rPr>
        <w:t>车辆配置要求</w:t>
      </w:r>
      <w:r>
        <w:rPr>
          <w:rFonts w:hint="eastAsia" w:ascii="宋体" w:hAnsi="宋体" w:cs="宋体"/>
          <w:b/>
          <w:color w:val="auto"/>
          <w:szCs w:val="21"/>
          <w:highlight w:val="none"/>
          <w:lang w:eastAsia="zh-CN"/>
        </w:rPr>
        <w:t>（</w:t>
      </w:r>
      <w:r>
        <w:rPr>
          <w:rFonts w:hint="eastAsia" w:ascii="宋体" w:hAnsi="宋体" w:cs="宋体"/>
          <w:b/>
          <w:color w:val="auto"/>
          <w:szCs w:val="21"/>
          <w:highlight w:val="none"/>
          <w:lang w:val="en-US" w:eastAsia="zh-CN"/>
        </w:rPr>
        <w:t>车辆吨位认定以行驶证标注的总质量为准</w:t>
      </w:r>
      <w:r>
        <w:rPr>
          <w:rFonts w:hint="eastAsia" w:ascii="宋体" w:hAnsi="宋体" w:cs="宋体"/>
          <w:b/>
          <w:color w:val="auto"/>
          <w:szCs w:val="21"/>
          <w:highlight w:val="none"/>
          <w:lang w:eastAsia="zh-CN"/>
        </w:rPr>
        <w:t>）</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1、基本数量要求</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3531"/>
        <w:gridCol w:w="3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263"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序号</w:t>
            </w:r>
          </w:p>
        </w:tc>
        <w:tc>
          <w:tcPr>
            <w:tcW w:w="3531"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车辆种类</w:t>
            </w:r>
          </w:p>
        </w:tc>
        <w:tc>
          <w:tcPr>
            <w:tcW w:w="3145"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车辆配置最低数量（辆）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263"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一</w:t>
            </w:r>
          </w:p>
        </w:tc>
        <w:tc>
          <w:tcPr>
            <w:tcW w:w="3531"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洗扫一体车</w:t>
            </w:r>
          </w:p>
        </w:tc>
        <w:tc>
          <w:tcPr>
            <w:tcW w:w="3145"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263"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二</w:t>
            </w:r>
          </w:p>
        </w:tc>
        <w:tc>
          <w:tcPr>
            <w:tcW w:w="3531"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洒水车</w:t>
            </w:r>
          </w:p>
        </w:tc>
        <w:tc>
          <w:tcPr>
            <w:tcW w:w="3145"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263"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三</w:t>
            </w:r>
          </w:p>
        </w:tc>
        <w:tc>
          <w:tcPr>
            <w:tcW w:w="3531"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路面养护车(高压冲洗）</w:t>
            </w:r>
          </w:p>
        </w:tc>
        <w:tc>
          <w:tcPr>
            <w:tcW w:w="3145"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263"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四</w:t>
            </w:r>
          </w:p>
        </w:tc>
        <w:tc>
          <w:tcPr>
            <w:tcW w:w="3531"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hAnsi="宋体" w:cs="宋体"/>
                <w:b w:val="0"/>
                <w:bCs w:val="0"/>
                <w:color w:val="000000"/>
                <w:sz w:val="21"/>
                <w:szCs w:val="21"/>
                <w:highlight w:val="none"/>
                <w:vertAlign w:val="baseline"/>
                <w:lang w:val="en-US" w:eastAsia="zh-CN"/>
              </w:rPr>
              <w:t>0.75吨</w:t>
            </w:r>
            <w:r>
              <w:rPr>
                <w:rFonts w:hint="eastAsia" w:ascii="宋体" w:hAnsi="宋体" w:eastAsia="宋体" w:cs="宋体"/>
                <w:b w:val="0"/>
                <w:bCs w:val="0"/>
                <w:color w:val="000000"/>
                <w:sz w:val="21"/>
                <w:szCs w:val="21"/>
                <w:highlight w:val="none"/>
                <w:vertAlign w:val="baseline"/>
                <w:lang w:val="en-US" w:eastAsia="zh-CN"/>
              </w:rPr>
              <w:t>垃圾收运车（桶装垃圾运输车</w:t>
            </w:r>
            <w:r>
              <w:rPr>
                <w:rFonts w:hint="eastAsia" w:hAnsi="宋体" w:cs="宋体"/>
                <w:b w:val="0"/>
                <w:bCs w:val="0"/>
                <w:color w:val="000000"/>
                <w:sz w:val="21"/>
                <w:szCs w:val="21"/>
                <w:highlight w:val="none"/>
                <w:vertAlign w:val="baseline"/>
                <w:lang w:val="en-US" w:eastAsia="zh-CN"/>
              </w:rPr>
              <w:t>，用于店面生活垃圾收运</w:t>
            </w:r>
            <w:r>
              <w:rPr>
                <w:rFonts w:hint="eastAsia" w:ascii="宋体" w:hAnsi="宋体" w:eastAsia="宋体" w:cs="宋体"/>
                <w:b w:val="0"/>
                <w:bCs w:val="0"/>
                <w:color w:val="000000"/>
                <w:sz w:val="21"/>
                <w:szCs w:val="21"/>
                <w:highlight w:val="none"/>
                <w:vertAlign w:val="baseline"/>
                <w:lang w:val="en-US" w:eastAsia="zh-CN"/>
              </w:rPr>
              <w:t>）</w:t>
            </w:r>
          </w:p>
        </w:tc>
        <w:tc>
          <w:tcPr>
            <w:tcW w:w="3145"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hAnsi="宋体" w:cs="宋体"/>
                <w:b w:val="0"/>
                <w:bCs w:val="0"/>
                <w:color w:val="000000"/>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263"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五</w:t>
            </w:r>
          </w:p>
        </w:tc>
        <w:tc>
          <w:tcPr>
            <w:tcW w:w="3531"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1"/>
                <w:szCs w:val="21"/>
                <w:highlight w:val="none"/>
                <w:vertAlign w:val="baseline"/>
                <w:lang w:val="en-US" w:eastAsia="zh-CN"/>
              </w:rPr>
            </w:pPr>
            <w:r>
              <w:rPr>
                <w:rFonts w:hint="eastAsia" w:hAnsi="宋体" w:cs="宋体"/>
                <w:b w:val="0"/>
                <w:bCs w:val="0"/>
                <w:color w:val="000000"/>
                <w:sz w:val="21"/>
                <w:szCs w:val="21"/>
                <w:highlight w:val="none"/>
                <w:vertAlign w:val="baseline"/>
                <w:lang w:val="en-US" w:eastAsia="zh-CN"/>
              </w:rPr>
              <w:t>8吨垃圾压缩车</w:t>
            </w:r>
          </w:p>
        </w:tc>
        <w:tc>
          <w:tcPr>
            <w:tcW w:w="3145"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color w:val="000000"/>
                <w:sz w:val="21"/>
                <w:szCs w:val="21"/>
                <w:highlight w:val="none"/>
                <w:vertAlign w:val="baseline"/>
                <w:lang w:val="en-US" w:eastAsia="zh-CN"/>
              </w:rPr>
            </w:pPr>
            <w:r>
              <w:rPr>
                <w:rFonts w:hint="eastAsia" w:ascii="宋体" w:hAnsi="宋体" w:eastAsia="宋体" w:cs="宋体"/>
                <w:b w:val="0"/>
                <w:bCs w:val="0"/>
                <w:color w:val="000000"/>
                <w:sz w:val="21"/>
                <w:szCs w:val="21"/>
                <w:highlight w:val="none"/>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263"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1"/>
                <w:szCs w:val="21"/>
                <w:highlight w:val="none"/>
                <w:vertAlign w:val="baseline"/>
                <w:lang w:val="en-US" w:eastAsia="zh-CN"/>
              </w:rPr>
            </w:pPr>
            <w:r>
              <w:rPr>
                <w:rFonts w:hint="eastAsia" w:hAnsi="宋体" w:cs="宋体"/>
                <w:b w:val="0"/>
                <w:bCs w:val="0"/>
                <w:color w:val="000000"/>
                <w:sz w:val="21"/>
                <w:szCs w:val="21"/>
                <w:highlight w:val="none"/>
                <w:vertAlign w:val="baseline"/>
                <w:lang w:val="en-US" w:eastAsia="zh-CN"/>
              </w:rPr>
              <w:t>六</w:t>
            </w:r>
          </w:p>
        </w:tc>
        <w:tc>
          <w:tcPr>
            <w:tcW w:w="3531"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1"/>
                <w:szCs w:val="21"/>
                <w:highlight w:val="none"/>
                <w:vertAlign w:val="baseline"/>
                <w:lang w:val="en-US" w:eastAsia="zh-CN"/>
              </w:rPr>
            </w:pPr>
            <w:r>
              <w:rPr>
                <w:rFonts w:hint="eastAsia" w:hAnsi="宋体" w:cs="宋体"/>
                <w:b w:val="0"/>
                <w:bCs w:val="0"/>
                <w:color w:val="000000"/>
                <w:sz w:val="21"/>
                <w:szCs w:val="21"/>
                <w:highlight w:val="none"/>
                <w:vertAlign w:val="baseline"/>
                <w:lang w:val="en-US" w:eastAsia="zh-CN"/>
              </w:rPr>
              <w:t>平板式垃圾运输车（用于生活垃圾、其他垃圾清运）</w:t>
            </w:r>
          </w:p>
        </w:tc>
        <w:tc>
          <w:tcPr>
            <w:tcW w:w="3145"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1"/>
                <w:szCs w:val="21"/>
                <w:highlight w:val="none"/>
                <w:vertAlign w:val="baseline"/>
                <w:lang w:val="en-US" w:eastAsia="zh-CN"/>
              </w:rPr>
            </w:pPr>
            <w:r>
              <w:rPr>
                <w:rFonts w:hint="eastAsia" w:hAnsi="宋体" w:cs="宋体"/>
                <w:b w:val="0"/>
                <w:bCs w:val="0"/>
                <w:color w:val="000000"/>
                <w:sz w:val="21"/>
                <w:szCs w:val="21"/>
                <w:highlight w:val="none"/>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263"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1"/>
                <w:szCs w:val="21"/>
                <w:highlight w:val="none"/>
                <w:vertAlign w:val="baseline"/>
                <w:lang w:val="en-US" w:eastAsia="zh-CN"/>
              </w:rPr>
            </w:pPr>
            <w:r>
              <w:rPr>
                <w:rFonts w:hint="eastAsia" w:hAnsi="宋体" w:cs="宋体"/>
                <w:b w:val="0"/>
                <w:bCs w:val="0"/>
                <w:color w:val="000000"/>
                <w:sz w:val="21"/>
                <w:szCs w:val="21"/>
                <w:highlight w:val="none"/>
                <w:vertAlign w:val="baseline"/>
                <w:lang w:val="en-US" w:eastAsia="zh-CN"/>
              </w:rPr>
              <w:t>七</w:t>
            </w:r>
          </w:p>
        </w:tc>
        <w:tc>
          <w:tcPr>
            <w:tcW w:w="3531"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hAnsi="宋体" w:cs="宋体"/>
                <w:b w:val="0"/>
                <w:bCs w:val="0"/>
                <w:color w:val="000000"/>
                <w:sz w:val="21"/>
                <w:szCs w:val="21"/>
                <w:highlight w:val="none"/>
                <w:vertAlign w:val="baseline"/>
                <w:lang w:val="en-US" w:eastAsia="zh-CN"/>
              </w:rPr>
            </w:pPr>
            <w:r>
              <w:rPr>
                <w:rFonts w:hint="eastAsia" w:hAnsi="宋体" w:cs="宋体"/>
                <w:b w:val="0"/>
                <w:bCs w:val="0"/>
                <w:color w:val="000000"/>
                <w:sz w:val="21"/>
                <w:szCs w:val="21"/>
                <w:highlight w:val="none"/>
                <w:vertAlign w:val="baseline"/>
                <w:lang w:val="en-US" w:eastAsia="zh-CN"/>
              </w:rPr>
              <w:t>电动三轮车（用于黄墩社区垃圾清运）</w:t>
            </w:r>
          </w:p>
        </w:tc>
        <w:tc>
          <w:tcPr>
            <w:tcW w:w="3145" w:type="dxa"/>
            <w:noWrap w:val="0"/>
            <w:vAlign w:val="center"/>
          </w:tcPr>
          <w:p>
            <w:pPr>
              <w:pStyle w:val="29"/>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color w:val="000000"/>
                <w:sz w:val="21"/>
                <w:szCs w:val="21"/>
                <w:highlight w:val="none"/>
                <w:vertAlign w:val="baseline"/>
                <w:lang w:val="en-US" w:eastAsia="zh-CN"/>
              </w:rPr>
            </w:pPr>
            <w:r>
              <w:rPr>
                <w:rFonts w:hint="eastAsia" w:hAnsi="宋体" w:cs="宋体"/>
                <w:b w:val="0"/>
                <w:bCs w:val="0"/>
                <w:color w:val="000000"/>
                <w:sz w:val="21"/>
                <w:szCs w:val="21"/>
                <w:highlight w:val="none"/>
                <w:vertAlign w:val="baseline"/>
                <w:lang w:val="en-US" w:eastAsia="zh-CN"/>
              </w:rPr>
              <w:t>4</w:t>
            </w:r>
          </w:p>
        </w:tc>
      </w:tr>
    </w:tbl>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2、其他要求</w:t>
      </w:r>
    </w:p>
    <w:p>
      <w:pPr>
        <w:spacing w:line="360" w:lineRule="auto"/>
        <w:rPr>
          <w:rFonts w:hint="eastAsia" w:ascii="宋体" w:hAnsi="宋体" w:cs="宋体"/>
          <w:color w:val="auto"/>
          <w:szCs w:val="21"/>
          <w:highlight w:val="none"/>
        </w:rPr>
      </w:pPr>
      <w:r>
        <w:rPr>
          <w:rFonts w:hint="eastAsia" w:ascii="宋体" w:hAnsi="宋体" w:cs="宋体"/>
          <w:b/>
          <w:color w:val="auto"/>
          <w:szCs w:val="21"/>
          <w:highlight w:val="none"/>
        </w:rPr>
        <w:t>★</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供应商拟投入本项目的</w:t>
      </w:r>
      <w:r>
        <w:rPr>
          <w:rFonts w:hint="eastAsia" w:ascii="宋体" w:hAnsi="宋体" w:cs="宋体"/>
          <w:color w:val="auto"/>
          <w:szCs w:val="21"/>
          <w:highlight w:val="none"/>
          <w:lang w:val="en-US" w:eastAsia="zh-CN"/>
        </w:rPr>
        <w:t>车辆</w:t>
      </w:r>
      <w:r>
        <w:rPr>
          <w:rFonts w:hint="eastAsia" w:ascii="宋体" w:hAnsi="宋体" w:cs="宋体"/>
          <w:color w:val="auto"/>
          <w:szCs w:val="21"/>
          <w:highlight w:val="none"/>
        </w:rPr>
        <w:t>数量不得低于上述要求的车辆配置最低数量</w:t>
      </w:r>
      <w:r>
        <w:rPr>
          <w:rFonts w:hint="eastAsia" w:ascii="宋体" w:hAnsi="宋体" w:cs="宋体"/>
          <w:color w:val="auto"/>
          <w:szCs w:val="21"/>
          <w:highlight w:val="none"/>
          <w:lang w:eastAsia="zh-CN"/>
        </w:rPr>
        <w:t>，所有车辆必须提供应急备用车辆防止原车辆故障导致无法正常完成保洁工作</w:t>
      </w:r>
      <w:r>
        <w:rPr>
          <w:rFonts w:hint="eastAsia" w:ascii="宋体" w:hAnsi="宋体" w:cs="宋体"/>
          <w:color w:val="auto"/>
          <w:szCs w:val="21"/>
          <w:highlight w:val="none"/>
        </w:rPr>
        <w:t>，否则作无效标处理。（投标文件中须提供相关承诺书）</w:t>
      </w:r>
    </w:p>
    <w:p>
      <w:pPr>
        <w:spacing w:line="360" w:lineRule="auto"/>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（2）</w:t>
      </w:r>
      <w:r>
        <w:rPr>
          <w:rFonts w:hint="eastAsia" w:ascii="宋体" w:hAnsi="宋体" w:cs="宋体"/>
          <w:color w:val="auto"/>
          <w:highlight w:val="none"/>
        </w:rPr>
        <w:t>中标人对所需车辆全部自行出资购置，</w:t>
      </w:r>
      <w:r>
        <w:rPr>
          <w:rFonts w:hint="eastAsia" w:ascii="宋体" w:hAnsi="宋体" w:cs="宋体"/>
          <w:color w:val="auto"/>
          <w:highlight w:val="none"/>
          <w:lang w:val="en-US" w:eastAsia="zh-CN"/>
        </w:rPr>
        <w:t>投标文件中需明确拟投入本项目已购置车辆清单（明确车辆规格、型号、品牌、车牌号）。</w:t>
      </w:r>
      <w:r>
        <w:rPr>
          <w:rFonts w:hint="eastAsia" w:ascii="宋体" w:hAnsi="宋体" w:cs="宋体"/>
          <w:color w:val="auto"/>
          <w:highlight w:val="none"/>
        </w:rPr>
        <w:t>新购车辆规格、型号、品牌应经采购人核准。在合同期内车辆使用期限达到国家标准要求，超过使用年限的车辆中标人需及时更新换代，另外现有作业车辆配置不能满足日常作业需求时，中标人须增购作业车辆，弥补机械作</w:t>
      </w:r>
      <w:r>
        <w:rPr>
          <w:rFonts w:hint="eastAsia" w:ascii="宋体" w:hAnsi="宋体" w:eastAsia="宋体" w:cs="宋体"/>
          <w:color w:val="auto"/>
          <w:highlight w:val="none"/>
          <w:lang w:val="en-US" w:eastAsia="zh-CN"/>
        </w:rPr>
        <w:t>业量不足，费用不作调整。</w:t>
      </w:r>
    </w:p>
    <w:p>
      <w:pPr>
        <w:spacing w:line="360" w:lineRule="auto"/>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供应商应选用新科技、高性能、低能耗的机械车辆，并加强保养和维护。</w:t>
      </w:r>
    </w:p>
    <w:p>
      <w:pPr>
        <w:spacing w:line="360" w:lineRule="auto"/>
        <w:rPr>
          <w:rFonts w:hint="eastAsia" w:ascii="宋体" w:hAnsi="宋体" w:eastAsia="宋体" w:cs="宋体"/>
          <w:b w:val="0"/>
          <w:bCs w:val="0"/>
          <w:color w:val="000000"/>
          <w:sz w:val="21"/>
          <w:szCs w:val="21"/>
          <w:highlight w:val="none"/>
          <w:lang w:val="en-US" w:eastAsia="zh-CN"/>
        </w:rPr>
      </w:pPr>
      <w:r>
        <w:rPr>
          <w:rFonts w:hint="eastAsia" w:ascii="宋体" w:hAnsi="宋体" w:cs="宋体"/>
          <w:color w:val="auto"/>
          <w:highlight w:val="none"/>
          <w:lang w:val="en-US" w:eastAsia="zh-CN"/>
        </w:rPr>
        <w:t>（4）</w:t>
      </w:r>
      <w:r>
        <w:rPr>
          <w:rFonts w:hint="eastAsia" w:ascii="宋体" w:hAnsi="宋体" w:eastAsia="宋体" w:cs="宋体"/>
          <w:color w:val="auto"/>
          <w:highlight w:val="none"/>
          <w:lang w:val="en-US" w:eastAsia="zh-CN"/>
        </w:rPr>
        <w:t>供应商拟投入的所有车辆应符合《中华人民共和国道路交通安全法》以及省、市、县等关于道路通行的相关规定。若出现因违反道路通行规定被依法查处等情况，由中标人自行承担所有责任及后果。</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五、作业标准</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（一）道路清扫保洁质量要求</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1、道路清扫保洁的通用质量要求应达到路面整洁，排水口清洁，无残留污水，无残积沙土，道路收集容器等环卫设施无明显污迹的要求，大面积落叶季节可适当延长滞留时间。</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lang w:val="en-US" w:eastAsia="zh-CN"/>
        </w:rPr>
        <w:t>2、道路路面首次普扫质量应符合下表规定。</w:t>
      </w:r>
    </w:p>
    <w:p>
      <w:pPr>
        <w:jc w:val="center"/>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路面普扫质量要求</w:t>
      </w:r>
    </w:p>
    <w:tbl>
      <w:tblPr>
        <w:tblStyle w:val="30"/>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2411"/>
        <w:gridCol w:w="5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172" w:type="dxa"/>
            <w:noWrap w:val="0"/>
            <w:vAlign w:val="center"/>
          </w:tcPr>
          <w:p>
            <w:pPr>
              <w:jc w:val="center"/>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保洁等级</w:t>
            </w:r>
          </w:p>
        </w:tc>
        <w:tc>
          <w:tcPr>
            <w:tcW w:w="8203" w:type="dxa"/>
            <w:gridSpan w:val="2"/>
            <w:noWrap w:val="0"/>
            <w:vAlign w:val="center"/>
          </w:tcPr>
          <w:p>
            <w:pPr>
              <w:jc w:val="center"/>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72" w:type="dxa"/>
            <w:noWrap w:val="0"/>
            <w:vAlign w:val="center"/>
          </w:tcPr>
          <w:p>
            <w:pPr>
              <w:jc w:val="center"/>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一级</w:t>
            </w:r>
          </w:p>
        </w:tc>
        <w:tc>
          <w:tcPr>
            <w:tcW w:w="2411" w:type="dxa"/>
            <w:noWrap w:val="0"/>
            <w:vAlign w:val="center"/>
          </w:tcPr>
          <w:p>
            <w:pPr>
              <w:jc w:val="center"/>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路面见本色</w:t>
            </w:r>
          </w:p>
        </w:tc>
        <w:tc>
          <w:tcPr>
            <w:tcW w:w="5792" w:type="dxa"/>
            <w:vMerge w:val="restart"/>
            <w:noWrap w:val="0"/>
            <w:vAlign w:val="center"/>
          </w:tcPr>
          <w:p>
            <w:pPr>
              <w:jc w:val="center"/>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（五无五净）：无果皮纸屑、无土石杂草、无积水积泥、无痰迹烟蒂、无堆积物，路面干净、道路绿地树圈干净、边角侧石干净、窨井沟槽畅通干净、果壳箱等环卫设施整齐干净。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172"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二级</w:t>
            </w:r>
          </w:p>
        </w:tc>
        <w:tc>
          <w:tcPr>
            <w:tcW w:w="2411"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路面基本见本色</w:t>
            </w:r>
          </w:p>
        </w:tc>
        <w:tc>
          <w:tcPr>
            <w:tcW w:w="5792" w:type="dxa"/>
            <w:vMerge w:val="continue"/>
            <w:noWrap w:val="0"/>
            <w:vAlign w:val="center"/>
          </w:tcPr>
          <w:p>
            <w:pPr>
              <w:jc w:val="center"/>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172" w:type="dxa"/>
            <w:noWrap w:val="0"/>
            <w:vAlign w:val="center"/>
          </w:tcPr>
          <w:p>
            <w:pPr>
              <w:jc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三级</w:t>
            </w:r>
          </w:p>
        </w:tc>
        <w:tc>
          <w:tcPr>
            <w:tcW w:w="8203" w:type="dxa"/>
            <w:gridSpan w:val="2"/>
            <w:noWrap w:val="0"/>
            <w:vAlign w:val="center"/>
          </w:tcPr>
          <w:p>
            <w:pPr>
              <w:jc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（四无四净）：无果皮纸屑、无土石杂草、无积泥堆积物、无痰迹烟蒂，路面干净、道路绿地树圈干净、窨井沟槽畅通侧石干净、环卫设施整齐干净。</w:t>
            </w:r>
          </w:p>
        </w:tc>
      </w:tr>
    </w:tbl>
    <w:p>
      <w:pPr>
        <w:spacing w:line="360" w:lineRule="auto"/>
        <w:jc w:val="both"/>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3、路面废弃物控制指标应符合下表规定，但在同一单位面积内，不得超过各单项废弃物总量的50%。</w:t>
      </w:r>
    </w:p>
    <w:p>
      <w:pPr>
        <w:spacing w:line="360" w:lineRule="auto"/>
        <w:jc w:val="both"/>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路面废弃物控制指标</w:t>
      </w:r>
    </w:p>
    <w:tbl>
      <w:tblPr>
        <w:tblStyle w:val="30"/>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302"/>
        <w:gridCol w:w="1298"/>
        <w:gridCol w:w="1283"/>
        <w:gridCol w:w="1387"/>
        <w:gridCol w:w="1332"/>
        <w:gridCol w:w="1340"/>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627"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保洁</w:t>
            </w:r>
          </w:p>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等级</w:t>
            </w:r>
          </w:p>
        </w:tc>
        <w:tc>
          <w:tcPr>
            <w:tcW w:w="1302" w:type="dxa"/>
            <w:noWrap w:val="0"/>
            <w:vAlign w:val="center"/>
          </w:tcPr>
          <w:p>
            <w:pPr>
              <w:spacing w:line="240" w:lineRule="auto"/>
              <w:ind w:firstLine="420" w:firstLineChars="200"/>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果皮</w:t>
            </w:r>
          </w:p>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（片/1000m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w:t>
            </w:r>
          </w:p>
        </w:tc>
        <w:tc>
          <w:tcPr>
            <w:tcW w:w="1298" w:type="dxa"/>
            <w:noWrap w:val="0"/>
            <w:vAlign w:val="center"/>
          </w:tcPr>
          <w:p>
            <w:pPr>
              <w:spacing w:line="240" w:lineRule="auto"/>
              <w:ind w:firstLine="210" w:firstLineChars="100"/>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纸屑塑膜</w:t>
            </w:r>
          </w:p>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（片/1000m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w:t>
            </w:r>
          </w:p>
        </w:tc>
        <w:tc>
          <w:tcPr>
            <w:tcW w:w="1283" w:type="dxa"/>
            <w:noWrap w:val="0"/>
            <w:vAlign w:val="center"/>
          </w:tcPr>
          <w:p>
            <w:pPr>
              <w:spacing w:line="240" w:lineRule="auto"/>
              <w:ind w:firstLine="420" w:firstLineChars="200"/>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烟蒂</w:t>
            </w:r>
          </w:p>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（个/1000m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w:t>
            </w:r>
          </w:p>
        </w:tc>
        <w:tc>
          <w:tcPr>
            <w:tcW w:w="1387" w:type="dxa"/>
            <w:noWrap w:val="0"/>
            <w:vAlign w:val="center"/>
          </w:tcPr>
          <w:p>
            <w:pPr>
              <w:spacing w:line="240" w:lineRule="auto"/>
              <w:ind w:firstLine="420" w:firstLineChars="200"/>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痰迹</w:t>
            </w:r>
          </w:p>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（处/1000m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w:t>
            </w:r>
          </w:p>
        </w:tc>
        <w:tc>
          <w:tcPr>
            <w:tcW w:w="1332" w:type="dxa"/>
            <w:noWrap w:val="0"/>
            <w:vAlign w:val="center"/>
          </w:tcPr>
          <w:p>
            <w:pPr>
              <w:spacing w:line="240" w:lineRule="auto"/>
              <w:ind w:firstLine="420" w:firstLineChars="200"/>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污水</w:t>
            </w:r>
          </w:p>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/1000m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w:t>
            </w:r>
          </w:p>
        </w:tc>
        <w:tc>
          <w:tcPr>
            <w:tcW w:w="13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其它</w:t>
            </w:r>
          </w:p>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（处/1000m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w:t>
            </w:r>
          </w:p>
        </w:tc>
        <w:tc>
          <w:tcPr>
            <w:tcW w:w="906" w:type="dxa"/>
            <w:noWrap w:val="0"/>
            <w:vAlign w:val="center"/>
          </w:tcPr>
          <w:p>
            <w:pPr>
              <w:spacing w:line="240" w:lineRule="auto"/>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滞留时间（分）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627"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一级</w:t>
            </w:r>
          </w:p>
        </w:tc>
        <w:tc>
          <w:tcPr>
            <w:tcW w:w="1302"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1298" w:type="dxa"/>
            <w:noWrap w:val="0"/>
            <w:vAlign w:val="center"/>
          </w:tcPr>
          <w:p>
            <w:pPr>
              <w:spacing w:line="240" w:lineRule="auto"/>
              <w:jc w:val="center"/>
              <w:rPr>
                <w:rFonts w:hint="eastAsia" w:ascii="宋体" w:hAnsi="宋体" w:eastAsia="宋体" w:cs="宋体"/>
                <w:b/>
                <w:color w:val="000000"/>
                <w:sz w:val="21"/>
                <w:szCs w:val="21"/>
                <w:highlight w:val="none"/>
              </w:rPr>
            </w:pPr>
            <w:r>
              <w:rPr>
                <w:rFonts w:hint="eastAsia" w:ascii="宋体" w:hAnsi="宋体" w:eastAsia="宋体" w:cs="宋体"/>
                <w:color w:val="000000"/>
                <w:sz w:val="21"/>
                <w:szCs w:val="21"/>
                <w:highlight w:val="none"/>
              </w:rPr>
              <w:t>≤4</w:t>
            </w:r>
          </w:p>
        </w:tc>
        <w:tc>
          <w:tcPr>
            <w:tcW w:w="1283"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1387"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1332"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无</w:t>
            </w:r>
          </w:p>
        </w:tc>
        <w:tc>
          <w:tcPr>
            <w:tcW w:w="13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无</w:t>
            </w:r>
          </w:p>
        </w:tc>
        <w:tc>
          <w:tcPr>
            <w:tcW w:w="906"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27"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二级</w:t>
            </w:r>
          </w:p>
        </w:tc>
        <w:tc>
          <w:tcPr>
            <w:tcW w:w="1302"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p>
        </w:tc>
        <w:tc>
          <w:tcPr>
            <w:tcW w:w="1298"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p>
        </w:tc>
        <w:tc>
          <w:tcPr>
            <w:tcW w:w="1283"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w:t>
            </w:r>
          </w:p>
        </w:tc>
        <w:tc>
          <w:tcPr>
            <w:tcW w:w="1387"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w:t>
            </w:r>
          </w:p>
        </w:tc>
        <w:tc>
          <w:tcPr>
            <w:tcW w:w="1332"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≤0.5</w:t>
            </w:r>
          </w:p>
        </w:tc>
        <w:tc>
          <w:tcPr>
            <w:tcW w:w="1340"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c>
          <w:tcPr>
            <w:tcW w:w="906" w:type="dxa"/>
            <w:noWrap w:val="0"/>
            <w:vAlign w:val="center"/>
          </w:tcPr>
          <w:p>
            <w:pPr>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27" w:type="dxa"/>
            <w:noWrap w:val="0"/>
            <w:vAlign w:val="center"/>
          </w:tcPr>
          <w:p>
            <w:pPr>
              <w:jc w:val="center"/>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三级</w:t>
            </w:r>
          </w:p>
        </w:tc>
        <w:tc>
          <w:tcPr>
            <w:tcW w:w="1302"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w:t>
            </w:r>
          </w:p>
        </w:tc>
        <w:tc>
          <w:tcPr>
            <w:tcW w:w="1298"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w:t>
            </w:r>
          </w:p>
        </w:tc>
        <w:tc>
          <w:tcPr>
            <w:tcW w:w="1283"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w:t>
            </w:r>
          </w:p>
        </w:tc>
        <w:tc>
          <w:tcPr>
            <w:tcW w:w="1387"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w:t>
            </w:r>
          </w:p>
        </w:tc>
        <w:tc>
          <w:tcPr>
            <w:tcW w:w="1332"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≤1.5</w:t>
            </w:r>
          </w:p>
        </w:tc>
        <w:tc>
          <w:tcPr>
            <w:tcW w:w="1340"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p>
        </w:tc>
        <w:tc>
          <w:tcPr>
            <w:tcW w:w="906" w:type="dxa"/>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≤50</w:t>
            </w:r>
          </w:p>
        </w:tc>
      </w:tr>
    </w:tbl>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4、道路保洁应符合下列规定：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(1)二级以上道路应符合下列要求：</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①对人流量大的繁华路段，应全天18小时循环保洁，首次普遍清扫应在清晨7时前结束；在11:00-13:00,20:00-22:00这两个时间段采用4小时快速流动保洁。</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②路面清洗每周冲洗1-2次（市级、县级示范路必须每周2次）；</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③气温30℃以上时，每天洒水不应少于3次。</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(2)二级道路应符合下列要求：</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default"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①主要路段应巡回保洁，首次普遍清扫应在清晨7时00分前结束；在11:00-13:00,20:00-22:00这两个时间段采用4小时快速流动保洁。</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②路面清洗每周不应少于1次；</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③气温30℃以上时，每天洒水不应少于2次。</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（3）三级以上道路应符合下列要求：</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①应全天16小时单班保洁，首次普遍清扫应在清晨7时前结束；</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5、大桥桥面的保洁质量应与所连接的道路保洁质量标准相同，阶梯、扶手、栏杆等附属物应干净整洁，无乱贴、乱画。</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6、道路保洁作业与安全要求：</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(1)道路保洁人员必须穿着反光安全工作服执证上岗，作业时，应按车行线反方向清扫，保洁车辆停放应地点适宜，不能太靠近车行线，车容应整洁。特殊情况作业时，需在来车方向设置醒目的路障，并做好防护措施。</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(2)道路保洁人员清洗、冲刷道路以及冬季雪天作业时应注意自身安全，谨防跌倒。</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(3)道路保洁人员应文明作业，不得将垃圾、污水扫到、溅到行人身上，禁止将垃圾堆放或停留在窨井盖上，禁止将垃圾扫入或倒入窨井、道路绿地、河道等处，必须运送指定地点。</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(4)驾驶员、操作员应具备相应工种资格证，带证上岗，并定时接受培训。</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(5)车辆应有序停放在指定场地指定位置，并服从场地管理员的统一调配。</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(6)机械化清扫车和洒水车出车前必须进行车辆检查，发现故障及时排除。禁止带故障运行。</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(7)驾驶员在工作过程中，要遵守道路交通安全法，礼让行车，注意行人的安全。</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jc w:val="left"/>
        <w:textAlignment w:val="auto"/>
        <w:rPr>
          <w:rFonts w:hint="eastAsia" w:ascii="宋体" w:hAnsi="宋体" w:eastAsia="宋体" w:cs="宋体"/>
          <w:b w:val="0"/>
          <w:bCs w:val="0"/>
          <w:color w:val="000000"/>
          <w:spacing w:val="-4"/>
          <w:kern w:val="2"/>
          <w:sz w:val="21"/>
          <w:szCs w:val="21"/>
          <w:highlight w:val="none"/>
          <w:lang w:val="en-US" w:eastAsia="zh-CN" w:bidi="ar-SA"/>
        </w:rPr>
      </w:pPr>
      <w:r>
        <w:rPr>
          <w:rFonts w:hint="eastAsia" w:ascii="宋体" w:hAnsi="宋体" w:eastAsia="宋体" w:cs="宋体"/>
          <w:b w:val="0"/>
          <w:bCs w:val="0"/>
          <w:color w:val="000000"/>
          <w:spacing w:val="-4"/>
          <w:kern w:val="2"/>
          <w:sz w:val="21"/>
          <w:szCs w:val="21"/>
          <w:highlight w:val="none"/>
          <w:lang w:val="en-US" w:eastAsia="zh-CN" w:bidi="ar-SA"/>
        </w:rPr>
        <w:t>(8)机械化清扫车和洒水车作业时必须开警示灯或发送警示信号；机扫作业时，应喷水压尘。冲洒水作业时应适当控制水压和车速，避免把水溅到路边的行人。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val="en-US" w:eastAsia="zh-CN"/>
        </w:rPr>
        <w:t>(二）</w:t>
      </w:r>
      <w:r>
        <w:rPr>
          <w:rFonts w:hint="eastAsia" w:ascii="宋体" w:hAnsi="宋体" w:eastAsia="宋体" w:cs="宋体"/>
          <w:b/>
          <w:color w:val="000000"/>
          <w:sz w:val="21"/>
          <w:szCs w:val="21"/>
          <w:highlight w:val="none"/>
        </w:rPr>
        <w:t>各项目具体保洁要求：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color w:val="000000"/>
          <w:kern w:val="0"/>
          <w:sz w:val="21"/>
          <w:szCs w:val="21"/>
          <w:highlight w:val="none"/>
        </w:rPr>
      </w:pPr>
      <w:r>
        <w:rPr>
          <w:rFonts w:hint="eastAsia" w:ascii="宋体" w:hAnsi="宋体" w:eastAsia="宋体" w:cs="宋体"/>
          <w:b/>
          <w:color w:val="000000"/>
          <w:kern w:val="0"/>
          <w:sz w:val="21"/>
          <w:szCs w:val="21"/>
          <w:highlight w:val="none"/>
          <w:lang w:val="en-US" w:eastAsia="zh-CN"/>
        </w:rPr>
        <w:t>1、</w:t>
      </w:r>
      <w:r>
        <w:rPr>
          <w:rFonts w:hint="eastAsia" w:ascii="宋体" w:hAnsi="宋体" w:eastAsia="宋体" w:cs="宋体"/>
          <w:b/>
          <w:color w:val="000000"/>
          <w:kern w:val="0"/>
          <w:sz w:val="21"/>
          <w:szCs w:val="21"/>
          <w:highlight w:val="none"/>
        </w:rPr>
        <w:t>街巷道路人工清扫保洁</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单班循环制道路早上全面普扫应在7：00之前完成，下午应在15：00前完成。普扫结束后做好巡回保洁工作。</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道路清扫后达到无零星垃圾、瓦砾；无果皮、纸屑、烟头、塑料袋；无积泥、水；路面、非机动车道、喇叭口净；树穴、花坛周围净。</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街、巷、弄达到无零星垃圾、瓦砾、杂草。</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对于道路两旁明沟应每日清理，做到沟内无垃圾、杂物，沟底无淤泥（明沟指宽度少于30厘米的屋前小沟，不包括河道）。</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每日要对绿化带（含车道绿化带、树穴人行道绿地）进行清理保洁，保持绿化区域土地平整，无杂物，无枯枝烂叶、砖石、有色垃圾、煤饼、瓦砾、纸屑、果皮、烟头、塑料袋，除下的杂草、修剪的树枝应及时清理。</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 xml:space="preserve">路面、路牙（垫板、雨水口、巷口、井盖）、便道（包括：树坑、公交车站）及隔离墩（栅）、周围的地面无污物（无积泥、积沙、积水、油污），露出道路本色。保洁路牙时要站在牙下依次顺序作业，并带扫1米宽的路面。人工清扫保洁作业时，道路、非机动车道（含店前道路）不得漏扫、反扫，垃圾应归拢、归堆并清除彻底，清扫保洁时不得将垃圾扫入窨井中或向道路两侧反扫，人工清雪作业时不得向路面洒雪。垃圾应倾倒在规定地点，不得焚烧垃圾、树叶。落叶旺季做到及时清扫和转运处理。 绿地和绿地内无烟头、瓜果皮核、纸屑、包装框、箱、盒、袋等污物。  </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保洁作业人员和作业工具管理：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①清扫保洁工作人员上岗按照规定统一着作业装，上装须有安全反光标志，并佩带胸卡，头戴工作帽。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②清扫保洁工作人员着装要干净整齐，无破损，不得赤膊作业，作业时不得穿拖鞋，不得随地大小便。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③不得利用工作之便捡卖物品、干私活等。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4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④</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清扫保洁工作人员要遵纪守法、遵守社会公德。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5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⑤</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保持作业车辆安全正常运转，车体干净整洁（不准安装外挂袋），定期维护，每天擦拭或清洗作业工具。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6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⑥</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保洁员不得逆向行驶、闯红灯、横穿马路。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color w:val="000000"/>
          <w:kern w:val="0"/>
          <w:sz w:val="21"/>
          <w:szCs w:val="21"/>
          <w:highlight w:val="none"/>
        </w:rPr>
      </w:pPr>
      <w:r>
        <w:rPr>
          <w:rFonts w:hint="eastAsia" w:ascii="宋体" w:hAnsi="宋体" w:eastAsia="宋体" w:cs="宋体"/>
          <w:b/>
          <w:color w:val="000000"/>
          <w:kern w:val="0"/>
          <w:sz w:val="21"/>
          <w:szCs w:val="21"/>
          <w:highlight w:val="none"/>
          <w:lang w:val="en-US" w:eastAsia="zh-CN"/>
        </w:rPr>
        <w:t>2、</w:t>
      </w:r>
      <w:r>
        <w:rPr>
          <w:rFonts w:hint="eastAsia" w:ascii="宋体" w:hAnsi="宋体" w:eastAsia="宋体" w:cs="宋体"/>
          <w:b/>
          <w:color w:val="000000"/>
          <w:kern w:val="0"/>
          <w:sz w:val="21"/>
          <w:szCs w:val="21"/>
          <w:highlight w:val="none"/>
        </w:rPr>
        <w:t>道路保洁车辆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机械化清扫车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①车辆外观整洁、无破损；性能良好、无故障；车身印刷公司名称、编号，字迹清晰、整洁。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②作业时先检查主刷子落地高度，一般降至刷苗稍压地面为合适，吸口调整到不遗漏为宜，并开启双跳灯。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③作业不扬尘、不漏土，清扫后路牙无浮土，地面干净整洁无污物。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4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④</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 xml:space="preserve">作业时注意清扫速度，清扫路牙子时不得超过12公里/小时；清扫路面时不得超过20公里/小时，微型机扫车不超过8公里/小时。清扫时必须启用警示灯，清扫时须喷水压尘。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5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⑤</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 xml:space="preserve">驾驶员要到指定地点及时加水、卸土。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6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⑥</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完成清扫作业后，要对车辆进行清洗和日常保养、加油、填路单，有故障及时报修，保证次日的正常用车。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7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⑦</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如因故障、年检等原因不能正常作业的，应及时安排应急备用车辆。因特殊情况暂停作业的，应及时上报采购人，采购人同意后方可执行。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洒水车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①车辆外观整洁、无破损；性能良好、无故障；车身印刷公司名称、编号，字迹清晰、整洁。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②每日凌晨道路普扫前要落实洒水作业，交通早晚高峰期间（上午7:15－8:45，晚上17:30－18:45）,禁止洒水（有特殊情况除外）。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③洒水车应有提示音乐音量调节装置，警示灯完好，22：00-7：00期间洒水作业时不得播放提示音乐，应使用警示灯光。洒水车作业时车速≤25km/h，洒水车通过十字路口、人行横道、机动车道与非机动车道混行的路段时要控制好水幅，以防止将水洒到行人。气温低于3度时暂停洒水，冰冻天气禁止洒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4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④</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驾驶员要到指定地点加水。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5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⑤</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完成洒水作业后，要对车辆进行清洗和日常保养、加油、填路单，有故障及时报修，保证次日的正常用车。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垃圾运输车辆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①作业车辆干净整洁（不准安装外挂袋），保持安全正常运转，定期维护。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②垃圾运输车车身应印刷公司名称、编号，字迹清晰、整洁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③作业时车辆应靠边停放，不能太靠近车行线。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4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④</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车辆上的作业工具应摆放整齐，不能对交通安全产生影响。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 5 \* GB3 \* MERGEFORMAT </w:instrText>
      </w:r>
      <w:r>
        <w:rPr>
          <w:rFonts w:hint="eastAsia" w:ascii="宋体" w:hAnsi="宋体" w:eastAsia="宋体" w:cs="宋体"/>
          <w:color w:val="000000"/>
          <w:sz w:val="21"/>
          <w:szCs w:val="21"/>
          <w:highlight w:val="none"/>
        </w:rPr>
        <w:fldChar w:fldCharType="separate"/>
      </w:r>
      <w:r>
        <w:rPr>
          <w:rFonts w:hint="eastAsia" w:ascii="宋体" w:hAnsi="宋体" w:eastAsia="宋体" w:cs="宋体"/>
          <w:sz w:val="21"/>
          <w:szCs w:val="21"/>
        </w:rPr>
        <w:t>⑤</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文明作业，作业时不得有超载、随时停车、噪音、滴漏撒等现象。</w:t>
      </w:r>
    </w:p>
    <w:p>
      <w:pPr>
        <w:numPr>
          <w:ilvl w:val="-1"/>
          <w:numId w:val="0"/>
        </w:numPr>
        <w:spacing w:line="360" w:lineRule="auto"/>
        <w:ind w:left="0" w:firstLine="422" w:firstLineChars="200"/>
        <w:rPr>
          <w:rFonts w:hint="eastAsia"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lang w:val="en-US" w:eastAsia="zh-CN"/>
        </w:rPr>
        <w:t>3、</w:t>
      </w:r>
      <w:r>
        <w:rPr>
          <w:rFonts w:hint="eastAsia" w:ascii="宋体" w:hAnsi="宋体" w:eastAsia="宋体" w:cs="宋体"/>
          <w:b/>
          <w:color w:val="auto"/>
          <w:kern w:val="0"/>
          <w:szCs w:val="21"/>
          <w:highlight w:val="none"/>
        </w:rPr>
        <w:t>公厕保洁</w:t>
      </w:r>
    </w:p>
    <w:p>
      <w:pPr>
        <w:spacing w:line="360" w:lineRule="auto"/>
        <w:ind w:firstLine="420" w:firstLineChars="200"/>
        <w:rPr>
          <w:rFonts w:hint="eastAsia" w:ascii="宋体" w:hAnsi="宋体" w:eastAsia="宋体" w:cs="宋体"/>
          <w:b w:val="0"/>
          <w:bCs/>
          <w:color w:val="auto"/>
          <w:kern w:val="0"/>
          <w:szCs w:val="21"/>
          <w:highlight w:val="none"/>
        </w:rPr>
      </w:pPr>
      <w:r>
        <w:rPr>
          <w:rFonts w:hint="eastAsia" w:ascii="宋体" w:hAnsi="宋体" w:eastAsia="宋体" w:cs="宋体"/>
          <w:b w:val="0"/>
          <w:bCs/>
          <w:color w:val="auto"/>
          <w:kern w:val="0"/>
          <w:szCs w:val="21"/>
          <w:highlight w:val="none"/>
          <w:lang w:eastAsia="zh-CN"/>
        </w:rPr>
        <w:t>（</w:t>
      </w:r>
      <w:r>
        <w:rPr>
          <w:rFonts w:hint="eastAsia" w:ascii="宋体" w:hAnsi="宋体" w:eastAsia="宋体" w:cs="宋体"/>
          <w:b w:val="0"/>
          <w:bCs/>
          <w:color w:val="auto"/>
          <w:kern w:val="0"/>
          <w:szCs w:val="21"/>
          <w:highlight w:val="none"/>
        </w:rPr>
        <w:t>1）实行动态保洁服务，每天工作8小时，</w:t>
      </w:r>
      <w:r>
        <w:rPr>
          <w:rFonts w:hint="eastAsia" w:ascii="宋体" w:hAnsi="宋体" w:eastAsia="宋体" w:cs="宋体"/>
          <w:b w:val="0"/>
          <w:bCs/>
          <w:color w:val="auto"/>
          <w:kern w:val="0"/>
          <w:szCs w:val="21"/>
          <w:highlight w:val="none"/>
          <w:lang w:val="en-US" w:eastAsia="zh-CN"/>
        </w:rPr>
        <w:t>定期清理</w:t>
      </w:r>
      <w:r>
        <w:rPr>
          <w:rFonts w:hint="eastAsia" w:ascii="宋体" w:hAnsi="宋体" w:eastAsia="宋体" w:cs="宋体"/>
          <w:b w:val="0"/>
          <w:bCs/>
          <w:color w:val="auto"/>
          <w:kern w:val="0"/>
          <w:szCs w:val="21"/>
          <w:highlight w:val="none"/>
        </w:rPr>
        <w:t>化粪池</w:t>
      </w:r>
      <w:r>
        <w:rPr>
          <w:rFonts w:hint="eastAsia" w:ascii="宋体" w:hAnsi="宋体" w:eastAsia="宋体" w:cs="宋体"/>
          <w:b w:val="0"/>
          <w:bCs/>
          <w:color w:val="auto"/>
          <w:kern w:val="0"/>
          <w:szCs w:val="21"/>
          <w:highlight w:val="none"/>
          <w:lang w:val="en-US" w:eastAsia="zh-CN"/>
        </w:rPr>
        <w:t>及吸粪作业</w:t>
      </w:r>
      <w:r>
        <w:rPr>
          <w:rFonts w:hint="eastAsia" w:ascii="宋体" w:hAnsi="宋体" w:eastAsia="宋体" w:cs="宋体"/>
          <w:b w:val="0"/>
          <w:bCs/>
          <w:color w:val="auto"/>
          <w:kern w:val="0"/>
          <w:szCs w:val="21"/>
          <w:highlight w:val="none"/>
        </w:rPr>
        <w:t>，保持化粪池不满溢。</w:t>
      </w:r>
    </w:p>
    <w:p>
      <w:pPr>
        <w:spacing w:line="360" w:lineRule="auto"/>
        <w:ind w:firstLine="420" w:firstLineChars="200"/>
        <w:rPr>
          <w:rFonts w:hint="eastAsia" w:ascii="宋体" w:hAnsi="宋体" w:eastAsia="宋体" w:cs="宋体"/>
          <w:b w:val="0"/>
          <w:bCs/>
          <w:color w:val="auto"/>
          <w:kern w:val="0"/>
          <w:szCs w:val="21"/>
          <w:highlight w:val="none"/>
        </w:rPr>
      </w:pPr>
      <w:r>
        <w:rPr>
          <w:rFonts w:hint="eastAsia" w:ascii="宋体" w:hAnsi="宋体" w:eastAsia="宋体" w:cs="宋体"/>
          <w:b w:val="0"/>
          <w:bCs/>
          <w:color w:val="auto"/>
          <w:kern w:val="0"/>
          <w:szCs w:val="21"/>
          <w:highlight w:val="none"/>
          <w:lang w:eastAsia="zh-CN"/>
        </w:rPr>
        <w:t>（</w:t>
      </w:r>
      <w:r>
        <w:rPr>
          <w:rFonts w:hint="eastAsia" w:ascii="宋体" w:hAnsi="宋体" w:eastAsia="宋体" w:cs="宋体"/>
          <w:b w:val="0"/>
          <w:bCs/>
          <w:color w:val="auto"/>
          <w:kern w:val="0"/>
          <w:szCs w:val="21"/>
          <w:highlight w:val="none"/>
          <w:lang w:val="en-US" w:eastAsia="zh-CN"/>
        </w:rPr>
        <w:t>2</w:t>
      </w:r>
      <w:r>
        <w:rPr>
          <w:rFonts w:hint="eastAsia" w:ascii="宋体" w:hAnsi="宋体" w:eastAsia="宋体" w:cs="宋体"/>
          <w:b w:val="0"/>
          <w:bCs/>
          <w:color w:val="auto"/>
          <w:kern w:val="0"/>
          <w:szCs w:val="21"/>
          <w:highlight w:val="none"/>
        </w:rPr>
        <w:t>）公厕管理制度上墙，厕所标志明显、齐全、规范，厕所内外设施、设备完好无损。</w:t>
      </w:r>
    </w:p>
    <w:p>
      <w:pPr>
        <w:spacing w:line="360" w:lineRule="auto"/>
        <w:ind w:firstLine="420" w:firstLineChars="200"/>
        <w:rPr>
          <w:rFonts w:hint="eastAsia" w:ascii="宋体" w:hAnsi="宋体" w:eastAsia="宋体" w:cs="宋体"/>
          <w:b w:val="0"/>
          <w:bCs/>
          <w:color w:val="auto"/>
          <w:kern w:val="0"/>
          <w:szCs w:val="21"/>
          <w:highlight w:val="none"/>
        </w:rPr>
      </w:pPr>
      <w:r>
        <w:rPr>
          <w:rFonts w:hint="eastAsia" w:ascii="宋体" w:hAnsi="宋体" w:eastAsia="宋体" w:cs="宋体"/>
          <w:b w:val="0"/>
          <w:bCs/>
          <w:color w:val="auto"/>
          <w:kern w:val="0"/>
          <w:szCs w:val="21"/>
          <w:highlight w:val="none"/>
          <w:lang w:eastAsia="zh-CN"/>
        </w:rPr>
        <w:t>（</w:t>
      </w:r>
      <w:r>
        <w:rPr>
          <w:rFonts w:hint="eastAsia" w:ascii="宋体" w:hAnsi="宋体" w:eastAsia="宋体" w:cs="宋体"/>
          <w:b w:val="0"/>
          <w:bCs/>
          <w:color w:val="auto"/>
          <w:kern w:val="0"/>
          <w:szCs w:val="21"/>
          <w:highlight w:val="none"/>
          <w:lang w:val="en-US" w:eastAsia="zh-CN"/>
        </w:rPr>
        <w:t>3</w:t>
      </w:r>
      <w:r>
        <w:rPr>
          <w:rFonts w:hint="eastAsia" w:ascii="宋体" w:hAnsi="宋体" w:eastAsia="宋体" w:cs="宋体"/>
          <w:b w:val="0"/>
          <w:bCs/>
          <w:color w:val="auto"/>
          <w:kern w:val="0"/>
          <w:szCs w:val="21"/>
          <w:highlight w:val="none"/>
        </w:rPr>
        <w:t>）公厕卫生质量应达到：</w:t>
      </w:r>
    </w:p>
    <w:p>
      <w:pPr>
        <w:numPr>
          <w:ilvl w:val="0"/>
          <w:numId w:val="9"/>
        </w:numPr>
        <w:spacing w:line="360" w:lineRule="auto"/>
        <w:ind w:left="420" w:leftChars="0" w:firstLine="420" w:firstLineChars="200"/>
        <w:rPr>
          <w:rFonts w:hint="eastAsia" w:ascii="宋体" w:hAnsi="宋体"/>
          <w:color w:val="auto"/>
          <w:highlight w:val="none"/>
        </w:rPr>
      </w:pPr>
      <w:r>
        <w:rPr>
          <w:rFonts w:hint="eastAsia" w:ascii="宋体" w:hAnsi="宋体"/>
          <w:color w:val="auto"/>
          <w:highlight w:val="none"/>
        </w:rPr>
        <w:t>公厕外环境：</w:t>
      </w:r>
    </w:p>
    <w:p>
      <w:pPr>
        <w:numPr>
          <w:ilvl w:val="0"/>
          <w:numId w:val="10"/>
        </w:numPr>
        <w:spacing w:line="360" w:lineRule="auto"/>
        <w:ind w:left="1685"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公共厕所外环境整洁美观，无吊挂，四周3-5m范围内，无积灰，无可见垃圾。</w:t>
      </w:r>
    </w:p>
    <w:p>
      <w:pPr>
        <w:numPr>
          <w:ilvl w:val="0"/>
          <w:numId w:val="10"/>
        </w:numPr>
        <w:spacing w:line="360" w:lineRule="auto"/>
        <w:ind w:left="1685"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化粪池盖实，无污迹，无渗漏。</w:t>
      </w:r>
    </w:p>
    <w:p>
      <w:pPr>
        <w:numPr>
          <w:ilvl w:val="0"/>
          <w:numId w:val="10"/>
        </w:numPr>
        <w:spacing w:line="360" w:lineRule="auto"/>
        <w:ind w:left="1685"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无障碍设施完好无损，牢固整洁。</w:t>
      </w:r>
    </w:p>
    <w:p>
      <w:pPr>
        <w:numPr>
          <w:ilvl w:val="0"/>
          <w:numId w:val="9"/>
        </w:numPr>
        <w:spacing w:line="360" w:lineRule="auto"/>
        <w:ind w:left="420" w:leftChars="0" w:firstLine="420" w:firstLineChars="200"/>
        <w:rPr>
          <w:rFonts w:hint="eastAsia" w:ascii="宋体" w:hAnsi="宋体"/>
          <w:color w:val="auto"/>
          <w:highlight w:val="none"/>
        </w:rPr>
      </w:pPr>
      <w:r>
        <w:rPr>
          <w:rFonts w:hint="eastAsia" w:ascii="宋体" w:hAnsi="宋体"/>
          <w:color w:val="auto"/>
          <w:highlight w:val="none"/>
        </w:rPr>
        <w:t>公厕内环境要求：</w:t>
      </w:r>
    </w:p>
    <w:p>
      <w:pPr>
        <w:numPr>
          <w:ilvl w:val="0"/>
          <w:numId w:val="11"/>
        </w:numPr>
        <w:spacing w:line="360" w:lineRule="auto"/>
        <w:ind w:left="1685"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工具间存放保洁工具，干净整洁无杂物堆放。</w:t>
      </w:r>
    </w:p>
    <w:p>
      <w:pPr>
        <w:numPr>
          <w:ilvl w:val="0"/>
          <w:numId w:val="11"/>
        </w:numPr>
        <w:spacing w:line="360" w:lineRule="auto"/>
        <w:ind w:left="1685"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地面无纸屑、烟蒂、干燥无积水、无污渍、无破损。</w:t>
      </w:r>
    </w:p>
    <w:p>
      <w:pPr>
        <w:numPr>
          <w:ilvl w:val="0"/>
          <w:numId w:val="11"/>
        </w:numPr>
        <w:spacing w:line="360" w:lineRule="auto"/>
        <w:ind w:left="1685"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室内墙面门窗干净，无涂写张贴，无破损，无蛛网积灰，蚊蝇滋生季节，定时喷蚊蝇药物，厕内无蚊蝇，无虫蛆。</w:t>
      </w:r>
    </w:p>
    <w:p>
      <w:pPr>
        <w:numPr>
          <w:ilvl w:val="0"/>
          <w:numId w:val="9"/>
        </w:numPr>
        <w:spacing w:line="360" w:lineRule="auto"/>
        <w:ind w:left="420" w:leftChars="0" w:firstLine="420" w:firstLineChars="200"/>
        <w:rPr>
          <w:rFonts w:hint="eastAsia" w:ascii="宋体" w:hAnsi="宋体"/>
          <w:color w:val="auto"/>
          <w:highlight w:val="none"/>
        </w:rPr>
      </w:pPr>
      <w:r>
        <w:rPr>
          <w:rFonts w:hint="eastAsia" w:ascii="宋体" w:hAnsi="宋体"/>
          <w:color w:val="auto"/>
          <w:highlight w:val="none"/>
        </w:rPr>
        <w:t>室内</w:t>
      </w:r>
      <w:r>
        <w:rPr>
          <w:rFonts w:hint="eastAsia" w:ascii="宋体" w:hAnsi="宋体" w:eastAsia="宋体" w:cs="Times New Roman"/>
          <w:color w:val="auto"/>
          <w:highlight w:val="none"/>
        </w:rPr>
        <w:t>设施</w:t>
      </w:r>
      <w:r>
        <w:rPr>
          <w:rFonts w:hint="eastAsia" w:ascii="宋体" w:hAnsi="宋体"/>
          <w:color w:val="auto"/>
          <w:highlight w:val="none"/>
        </w:rPr>
        <w:t>要求：</w:t>
      </w:r>
    </w:p>
    <w:p>
      <w:pPr>
        <w:numPr>
          <w:ilvl w:val="0"/>
          <w:numId w:val="12"/>
        </w:numPr>
        <w:spacing w:line="360" w:lineRule="auto"/>
        <w:ind w:left="1685"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洗手槽清洁，无积水。</w:t>
      </w:r>
    </w:p>
    <w:p>
      <w:pPr>
        <w:numPr>
          <w:ilvl w:val="0"/>
          <w:numId w:val="12"/>
        </w:numPr>
        <w:spacing w:line="360" w:lineRule="auto"/>
        <w:ind w:left="1685"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小便斗无黄迹尿碱，无痰迹，不堵塞。</w:t>
      </w:r>
    </w:p>
    <w:p>
      <w:pPr>
        <w:numPr>
          <w:ilvl w:val="0"/>
          <w:numId w:val="12"/>
        </w:numPr>
        <w:spacing w:line="360" w:lineRule="auto"/>
        <w:ind w:left="1685"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蹲便器、座便器内外侧无粪便污物，洁净见底，沟槽无阻塞。</w:t>
      </w:r>
    </w:p>
    <w:p>
      <w:pPr>
        <w:numPr>
          <w:ilvl w:val="0"/>
          <w:numId w:val="12"/>
        </w:numPr>
        <w:spacing w:line="360" w:lineRule="auto"/>
        <w:ind w:left="1685"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公厕水箱完好，无漏水、堵塞。</w:t>
      </w:r>
    </w:p>
    <w:p>
      <w:pPr>
        <w:numPr>
          <w:ilvl w:val="0"/>
          <w:numId w:val="12"/>
        </w:numPr>
        <w:spacing w:line="360" w:lineRule="auto"/>
        <w:ind w:left="1685"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各类设施冲水设备、水龙头、下水管道完好无损，无漏水。</w:t>
      </w:r>
    </w:p>
    <w:p>
      <w:pPr>
        <w:numPr>
          <w:ilvl w:val="0"/>
          <w:numId w:val="12"/>
        </w:numPr>
        <w:spacing w:line="360" w:lineRule="auto"/>
        <w:ind w:left="1685"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挂衣钩齐全。</w:t>
      </w:r>
    </w:p>
    <w:p>
      <w:pPr>
        <w:numPr>
          <w:ilvl w:val="0"/>
          <w:numId w:val="12"/>
        </w:numPr>
        <w:spacing w:line="360" w:lineRule="auto"/>
        <w:ind w:left="1685"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灯具完整，可照明。</w:t>
      </w:r>
    </w:p>
    <w:p>
      <w:pPr>
        <w:numPr>
          <w:ilvl w:val="0"/>
          <w:numId w:val="12"/>
        </w:numPr>
        <w:spacing w:line="360" w:lineRule="auto"/>
        <w:ind w:left="1685"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标识牌完好，无缺损。</w:t>
      </w:r>
    </w:p>
    <w:p>
      <w:pPr>
        <w:numPr>
          <w:ilvl w:val="0"/>
          <w:numId w:val="12"/>
        </w:numPr>
        <w:spacing w:line="360" w:lineRule="auto"/>
        <w:ind w:left="1685"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面镜无明显水迹、积灰。</w:t>
      </w:r>
    </w:p>
    <w:p>
      <w:pPr>
        <w:numPr>
          <w:ilvl w:val="0"/>
          <w:numId w:val="12"/>
        </w:numPr>
        <w:spacing w:line="360" w:lineRule="auto"/>
        <w:ind w:left="1685"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隔断板无字迹，无破损。</w:t>
      </w:r>
    </w:p>
    <w:p>
      <w:pPr>
        <w:numPr>
          <w:ilvl w:val="0"/>
          <w:numId w:val="12"/>
        </w:numPr>
        <w:spacing w:line="360" w:lineRule="auto"/>
        <w:ind w:left="1685" w:leftChars="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废纸篓保持清洁。</w:t>
      </w:r>
    </w:p>
    <w:p>
      <w:pPr>
        <w:numPr>
          <w:ilvl w:val="0"/>
          <w:numId w:val="12"/>
        </w:numPr>
        <w:spacing w:line="360" w:lineRule="auto"/>
        <w:ind w:left="1685" w:leftChars="0"/>
        <w:rPr>
          <w:rFonts w:hint="eastAsia" w:ascii="宋体" w:hAnsi="宋体"/>
          <w:color w:val="auto"/>
          <w:highlight w:val="none"/>
        </w:rPr>
      </w:pPr>
      <w:r>
        <w:rPr>
          <w:rFonts w:hint="eastAsia" w:ascii="宋体" w:hAnsi="宋体" w:eastAsia="宋体" w:cs="宋体"/>
          <w:color w:val="auto"/>
          <w:szCs w:val="21"/>
          <w:highlight w:val="none"/>
          <w:lang w:val="en-US" w:eastAsia="zh-CN"/>
        </w:rPr>
        <w:t>拖把池整洁，无积灰，无积水，无污物沉淀。</w:t>
      </w:r>
    </w:p>
    <w:p>
      <w:pPr>
        <w:spacing w:line="360" w:lineRule="auto"/>
        <w:ind w:firstLine="420" w:firstLineChars="200"/>
        <w:rPr>
          <w:rFonts w:hint="eastAsia" w:ascii="宋体" w:hAnsi="宋体" w:eastAsia="宋体" w:cs="宋体"/>
          <w:b w:val="0"/>
          <w:bCs/>
          <w:color w:val="auto"/>
          <w:kern w:val="0"/>
          <w:szCs w:val="21"/>
          <w:highlight w:val="none"/>
        </w:rPr>
      </w:pPr>
      <w:r>
        <w:rPr>
          <w:rFonts w:hint="eastAsia" w:ascii="宋体" w:hAnsi="宋体" w:eastAsia="宋体" w:cs="宋体"/>
          <w:b w:val="0"/>
          <w:bCs/>
          <w:color w:val="auto"/>
          <w:kern w:val="0"/>
          <w:szCs w:val="21"/>
          <w:highlight w:val="none"/>
          <w:lang w:eastAsia="zh-CN"/>
        </w:rPr>
        <w:t>（</w:t>
      </w:r>
      <w:r>
        <w:rPr>
          <w:rFonts w:hint="eastAsia" w:ascii="宋体" w:hAnsi="宋体" w:eastAsia="宋体" w:cs="宋体"/>
          <w:b w:val="0"/>
          <w:bCs/>
          <w:color w:val="auto"/>
          <w:kern w:val="0"/>
          <w:szCs w:val="21"/>
          <w:highlight w:val="none"/>
          <w:lang w:val="en-US" w:eastAsia="zh-CN"/>
        </w:rPr>
        <w:t>4</w:t>
      </w:r>
      <w:r>
        <w:rPr>
          <w:rFonts w:hint="eastAsia" w:ascii="宋体" w:hAnsi="宋体" w:eastAsia="宋体" w:cs="宋体"/>
          <w:b w:val="0"/>
          <w:bCs/>
          <w:color w:val="auto"/>
          <w:kern w:val="0"/>
          <w:szCs w:val="21"/>
          <w:highlight w:val="none"/>
        </w:rPr>
        <w:t>）管理公厕作业人员应在规定的时间内开放公厕，且坚守岗位、着装整齐、配证上岗，使用文明礼貌用语、文明服务。</w:t>
      </w:r>
    </w:p>
    <w:p>
      <w:pPr>
        <w:spacing w:line="360" w:lineRule="auto"/>
        <w:ind w:firstLine="420" w:firstLineChars="200"/>
        <w:rPr>
          <w:rFonts w:hint="eastAsia" w:ascii="宋体" w:hAnsi="宋体" w:eastAsia="宋体" w:cs="宋体"/>
          <w:b w:val="0"/>
          <w:bCs/>
          <w:color w:val="auto"/>
          <w:kern w:val="0"/>
          <w:szCs w:val="21"/>
          <w:highlight w:val="none"/>
        </w:rPr>
      </w:pPr>
      <w:r>
        <w:rPr>
          <w:rFonts w:hint="eastAsia" w:ascii="宋体" w:hAnsi="宋体" w:eastAsia="宋体" w:cs="宋体"/>
          <w:b w:val="0"/>
          <w:bCs/>
          <w:color w:val="auto"/>
          <w:kern w:val="0"/>
          <w:szCs w:val="21"/>
          <w:highlight w:val="none"/>
          <w:lang w:eastAsia="zh-CN"/>
        </w:rPr>
        <w:t>（</w:t>
      </w:r>
      <w:r>
        <w:rPr>
          <w:rFonts w:hint="eastAsia" w:ascii="宋体" w:hAnsi="宋体" w:eastAsia="宋体" w:cs="宋体"/>
          <w:b w:val="0"/>
          <w:bCs/>
          <w:color w:val="auto"/>
          <w:kern w:val="0"/>
          <w:szCs w:val="21"/>
          <w:highlight w:val="none"/>
          <w:lang w:val="en-US" w:eastAsia="zh-CN"/>
        </w:rPr>
        <w:t>5</w:t>
      </w:r>
      <w:r>
        <w:rPr>
          <w:rFonts w:hint="eastAsia" w:ascii="宋体" w:hAnsi="宋体" w:eastAsia="宋体" w:cs="宋体"/>
          <w:b w:val="0"/>
          <w:bCs/>
          <w:color w:val="auto"/>
          <w:kern w:val="0"/>
          <w:szCs w:val="21"/>
          <w:highlight w:val="none"/>
        </w:rPr>
        <w:t>）公厕保洁做到：环境见脏就扫，地面见水就擦，便器用后就冲，管道不畅就通，管理房内整洁，工具摆放整齐。</w:t>
      </w:r>
    </w:p>
    <w:p>
      <w:pPr>
        <w:spacing w:line="360" w:lineRule="auto"/>
        <w:ind w:firstLine="420" w:firstLineChars="200"/>
        <w:rPr>
          <w:rFonts w:hint="eastAsia" w:ascii="宋体" w:hAnsi="宋体" w:eastAsia="宋体" w:cs="宋体"/>
          <w:b w:val="0"/>
          <w:bCs/>
          <w:color w:val="auto"/>
          <w:kern w:val="0"/>
          <w:szCs w:val="21"/>
          <w:highlight w:val="none"/>
        </w:rPr>
      </w:pPr>
      <w:r>
        <w:rPr>
          <w:rFonts w:hint="eastAsia" w:ascii="宋体" w:hAnsi="宋体" w:eastAsia="宋体" w:cs="宋体"/>
          <w:b w:val="0"/>
          <w:bCs/>
          <w:color w:val="auto"/>
          <w:kern w:val="0"/>
          <w:szCs w:val="21"/>
          <w:highlight w:val="none"/>
          <w:lang w:eastAsia="zh-CN"/>
        </w:rPr>
        <w:t>（</w:t>
      </w:r>
      <w:r>
        <w:rPr>
          <w:rFonts w:hint="eastAsia" w:ascii="宋体" w:hAnsi="宋体" w:eastAsia="宋体" w:cs="宋体"/>
          <w:b w:val="0"/>
          <w:bCs/>
          <w:color w:val="auto"/>
          <w:kern w:val="0"/>
          <w:szCs w:val="21"/>
          <w:highlight w:val="none"/>
          <w:lang w:val="en-US" w:eastAsia="zh-CN"/>
        </w:rPr>
        <w:t>6</w:t>
      </w:r>
      <w:r>
        <w:rPr>
          <w:rFonts w:hint="eastAsia" w:ascii="宋体" w:hAnsi="宋体" w:eastAsia="宋体" w:cs="宋体"/>
          <w:b w:val="0"/>
          <w:bCs/>
          <w:color w:val="auto"/>
          <w:kern w:val="0"/>
          <w:szCs w:val="21"/>
          <w:highlight w:val="none"/>
        </w:rPr>
        <w:t>）发现公厕、便斗设施设备损坏应立即维修或上报。</w:t>
      </w:r>
    </w:p>
    <w:p>
      <w:pPr>
        <w:spacing w:line="360" w:lineRule="auto"/>
        <w:ind w:firstLine="420" w:firstLineChars="200"/>
        <w:rPr>
          <w:rFonts w:hint="eastAsia" w:ascii="宋体" w:hAnsi="宋体" w:eastAsia="宋体" w:cs="宋体"/>
          <w:b w:val="0"/>
          <w:bCs/>
          <w:color w:val="auto"/>
          <w:kern w:val="0"/>
          <w:szCs w:val="21"/>
          <w:highlight w:val="none"/>
        </w:rPr>
      </w:pPr>
      <w:r>
        <w:rPr>
          <w:rFonts w:hint="eastAsia" w:ascii="宋体" w:hAnsi="宋体" w:eastAsia="宋体" w:cs="宋体"/>
          <w:b w:val="0"/>
          <w:bCs/>
          <w:color w:val="auto"/>
          <w:kern w:val="0"/>
          <w:szCs w:val="21"/>
          <w:highlight w:val="none"/>
          <w:lang w:eastAsia="zh-CN"/>
        </w:rPr>
        <w:t>（</w:t>
      </w:r>
      <w:r>
        <w:rPr>
          <w:rFonts w:hint="eastAsia" w:ascii="宋体" w:hAnsi="宋体" w:eastAsia="宋体" w:cs="宋体"/>
          <w:b w:val="0"/>
          <w:bCs/>
          <w:color w:val="auto"/>
          <w:kern w:val="0"/>
          <w:szCs w:val="21"/>
          <w:highlight w:val="none"/>
          <w:lang w:val="en-US" w:eastAsia="zh-CN"/>
        </w:rPr>
        <w:t>7</w:t>
      </w:r>
      <w:r>
        <w:rPr>
          <w:rFonts w:hint="eastAsia" w:ascii="宋体" w:hAnsi="宋体" w:eastAsia="宋体" w:cs="宋体"/>
          <w:b w:val="0"/>
          <w:bCs/>
          <w:color w:val="auto"/>
          <w:kern w:val="0"/>
          <w:szCs w:val="21"/>
          <w:highlight w:val="none"/>
        </w:rPr>
        <w:t>）消毒季节按规定要求消</w:t>
      </w:r>
      <w:r>
        <w:rPr>
          <w:rFonts w:hint="eastAsia" w:ascii="宋体" w:hAnsi="宋体" w:cs="宋体"/>
          <w:b w:val="0"/>
          <w:bCs/>
          <w:color w:val="auto"/>
          <w:kern w:val="0"/>
          <w:szCs w:val="21"/>
          <w:highlight w:val="none"/>
          <w:lang w:val="en-US" w:eastAsia="zh-CN"/>
        </w:rPr>
        <w:t>毒</w:t>
      </w:r>
      <w:r>
        <w:rPr>
          <w:rFonts w:hint="eastAsia" w:ascii="宋体" w:hAnsi="宋体" w:eastAsia="宋体" w:cs="宋体"/>
          <w:b w:val="0"/>
          <w:bCs/>
          <w:color w:val="auto"/>
          <w:kern w:val="0"/>
          <w:szCs w:val="21"/>
          <w:highlight w:val="none"/>
        </w:rPr>
        <w:t>：做到消杀彻底。公厕、便斗等核定范围内的蚊少于规定标准（3只以下），消毒后将死蚊等虫子及时清除干净。在蚊蝇孳生季节应定时喷洒药水，有效控蝇蛆孳生。</w:t>
      </w:r>
    </w:p>
    <w:p>
      <w:pPr>
        <w:spacing w:line="360" w:lineRule="auto"/>
        <w:ind w:firstLine="420" w:firstLineChars="200"/>
        <w:rPr>
          <w:rFonts w:hint="eastAsia" w:ascii="宋体" w:hAnsi="宋体" w:eastAsia="宋体" w:cs="宋体"/>
          <w:b w:val="0"/>
          <w:bCs/>
          <w:color w:val="auto"/>
          <w:kern w:val="0"/>
          <w:szCs w:val="21"/>
          <w:highlight w:val="none"/>
        </w:rPr>
      </w:pPr>
      <w:r>
        <w:rPr>
          <w:rFonts w:hint="eastAsia" w:ascii="宋体" w:hAnsi="宋体" w:eastAsia="宋体" w:cs="宋体"/>
          <w:b w:val="0"/>
          <w:bCs/>
          <w:color w:val="auto"/>
          <w:kern w:val="0"/>
          <w:szCs w:val="21"/>
          <w:highlight w:val="none"/>
          <w:lang w:eastAsia="zh-CN"/>
        </w:rPr>
        <w:t>（</w:t>
      </w:r>
      <w:r>
        <w:rPr>
          <w:rFonts w:hint="eastAsia" w:ascii="宋体" w:hAnsi="宋体" w:eastAsia="宋体" w:cs="宋体"/>
          <w:b w:val="0"/>
          <w:bCs/>
          <w:color w:val="auto"/>
          <w:kern w:val="0"/>
          <w:szCs w:val="21"/>
          <w:highlight w:val="none"/>
          <w:lang w:val="en-US" w:eastAsia="zh-CN"/>
        </w:rPr>
        <w:t>8</w:t>
      </w:r>
      <w:r>
        <w:rPr>
          <w:rFonts w:hint="eastAsia" w:ascii="宋体" w:hAnsi="宋体" w:eastAsia="宋体" w:cs="宋体"/>
          <w:b w:val="0"/>
          <w:bCs/>
          <w:color w:val="auto"/>
          <w:kern w:val="0"/>
          <w:szCs w:val="21"/>
          <w:highlight w:val="none"/>
        </w:rPr>
        <w:t>）消毒作业过程要注意消毒物品、工具安全存放，作业中不准吸烟、喝水进食，喷药时要戴口罩和胶皮手套，要注意如厕者和自身的安全，谨防药物中毒。作业结束必须用肥皂彻底洗手，消毒物品妥善保管，残留药物谨慎处理，不能乱丢乱放。</w:t>
      </w:r>
    </w:p>
    <w:p>
      <w:pPr>
        <w:spacing w:line="360" w:lineRule="auto"/>
        <w:ind w:firstLine="420" w:firstLineChars="200"/>
        <w:rPr>
          <w:rFonts w:hint="eastAsia" w:ascii="宋体" w:hAnsi="宋体" w:eastAsia="宋体" w:cs="宋体"/>
          <w:b w:val="0"/>
          <w:bCs/>
          <w:color w:val="auto"/>
          <w:kern w:val="0"/>
          <w:szCs w:val="21"/>
          <w:highlight w:val="none"/>
        </w:rPr>
      </w:pPr>
      <w:r>
        <w:rPr>
          <w:rFonts w:hint="eastAsia" w:ascii="宋体" w:hAnsi="宋体" w:eastAsia="宋体" w:cs="宋体"/>
          <w:b w:val="0"/>
          <w:bCs/>
          <w:color w:val="auto"/>
          <w:kern w:val="0"/>
          <w:szCs w:val="21"/>
          <w:highlight w:val="none"/>
          <w:lang w:eastAsia="zh-CN"/>
        </w:rPr>
        <w:t>（</w:t>
      </w:r>
      <w:r>
        <w:rPr>
          <w:rFonts w:hint="eastAsia" w:ascii="宋体" w:hAnsi="宋体" w:eastAsia="宋体" w:cs="宋体"/>
          <w:b w:val="0"/>
          <w:bCs/>
          <w:color w:val="auto"/>
          <w:kern w:val="0"/>
          <w:szCs w:val="21"/>
          <w:highlight w:val="none"/>
          <w:lang w:val="en-US" w:eastAsia="zh-CN"/>
        </w:rPr>
        <w:t>9</w:t>
      </w:r>
      <w:r>
        <w:rPr>
          <w:rFonts w:hint="eastAsia" w:ascii="宋体" w:hAnsi="宋体" w:eastAsia="宋体" w:cs="宋体"/>
          <w:b w:val="0"/>
          <w:bCs/>
          <w:color w:val="auto"/>
          <w:kern w:val="0"/>
          <w:szCs w:val="21"/>
          <w:highlight w:val="none"/>
        </w:rPr>
        <w:t>）清厕保洁作业结束，各种工具按规定地点存放，不能随意放在公厕、便斗附近。</w:t>
      </w:r>
    </w:p>
    <w:p>
      <w:pPr>
        <w:numPr>
          <w:ilvl w:val="0"/>
          <w:numId w:val="0"/>
        </w:numPr>
        <w:spacing w:line="360" w:lineRule="auto"/>
        <w:ind w:firstLine="422" w:firstLineChars="200"/>
        <w:rPr>
          <w:rFonts w:hint="default" w:ascii="宋体" w:hAnsi="宋体" w:eastAsia="宋体" w:cs="宋体"/>
          <w:b w:val="0"/>
          <w:bCs/>
          <w:color w:val="auto"/>
          <w:kern w:val="0"/>
          <w:szCs w:val="21"/>
          <w:highlight w:val="none"/>
          <w:lang w:val="en-US" w:eastAsia="zh-CN"/>
        </w:rPr>
      </w:pPr>
      <w:r>
        <w:rPr>
          <w:rFonts w:hint="eastAsia" w:ascii="宋体" w:hAnsi="宋体" w:cs="宋体"/>
          <w:b/>
          <w:color w:val="auto"/>
          <w:kern w:val="0"/>
          <w:szCs w:val="21"/>
          <w:highlight w:val="none"/>
          <w:lang w:val="en-US" w:eastAsia="zh-CN"/>
        </w:rPr>
        <w:t>4、桥头胡</w:t>
      </w:r>
      <w:r>
        <w:rPr>
          <w:rFonts w:hint="default" w:ascii="宋体" w:hAnsi="宋体" w:eastAsia="宋体" w:cs="宋体"/>
          <w:b/>
          <w:color w:val="auto"/>
          <w:kern w:val="0"/>
          <w:szCs w:val="21"/>
          <w:highlight w:val="none"/>
          <w:lang w:val="en-US" w:eastAsia="zh-CN"/>
        </w:rPr>
        <w:t>市场</w:t>
      </w:r>
      <w:r>
        <w:rPr>
          <w:rFonts w:hint="eastAsia" w:ascii="宋体" w:hAnsi="宋体" w:cs="宋体"/>
          <w:b/>
          <w:color w:val="auto"/>
          <w:kern w:val="0"/>
          <w:szCs w:val="21"/>
          <w:highlight w:val="none"/>
          <w:lang w:val="en-US" w:eastAsia="zh-CN"/>
        </w:rPr>
        <w:t>周边</w:t>
      </w:r>
      <w:r>
        <w:rPr>
          <w:rFonts w:hint="default" w:ascii="宋体" w:hAnsi="宋体" w:eastAsia="宋体" w:cs="宋体"/>
          <w:b/>
          <w:color w:val="auto"/>
          <w:kern w:val="0"/>
          <w:szCs w:val="21"/>
          <w:highlight w:val="none"/>
          <w:lang w:val="en-US" w:eastAsia="zh-CN"/>
        </w:rPr>
        <w:t>保洁作业标准</w:t>
      </w:r>
    </w:p>
    <w:p>
      <w:pPr>
        <w:spacing w:line="360" w:lineRule="auto"/>
        <w:ind w:firstLine="420" w:firstLineChars="200"/>
        <w:rPr>
          <w:rFonts w:hint="default" w:ascii="宋体" w:hAnsi="宋体" w:eastAsia="宋体" w:cs="宋体"/>
          <w:b w:val="0"/>
          <w:bCs/>
          <w:color w:val="auto"/>
          <w:kern w:val="0"/>
          <w:szCs w:val="21"/>
          <w:highlight w:val="none"/>
          <w:lang w:val="en-US" w:eastAsia="zh-CN"/>
        </w:rPr>
      </w:pPr>
      <w:r>
        <w:rPr>
          <w:rFonts w:hint="default" w:ascii="宋体" w:hAnsi="宋体" w:eastAsia="宋体" w:cs="宋体"/>
          <w:b w:val="0"/>
          <w:bCs/>
          <w:color w:val="auto"/>
          <w:kern w:val="0"/>
          <w:szCs w:val="21"/>
          <w:highlight w:val="none"/>
          <w:lang w:val="en-US" w:eastAsia="zh-CN"/>
        </w:rPr>
        <w:t>（1）地面无明显积水、无积存垃圾、无明显烟头、纸屑、果皮、果壳等杂物；</w:t>
      </w:r>
    </w:p>
    <w:p>
      <w:pPr>
        <w:spacing w:line="360" w:lineRule="auto"/>
        <w:ind w:firstLine="420" w:firstLineChars="200"/>
        <w:rPr>
          <w:rFonts w:hint="default" w:ascii="宋体" w:hAnsi="宋体" w:eastAsia="宋体" w:cs="宋体"/>
          <w:b w:val="0"/>
          <w:bCs/>
          <w:color w:val="auto"/>
          <w:kern w:val="0"/>
          <w:szCs w:val="21"/>
          <w:highlight w:val="none"/>
          <w:lang w:val="en-US" w:eastAsia="zh-CN"/>
        </w:rPr>
      </w:pPr>
      <w:r>
        <w:rPr>
          <w:rFonts w:hint="default" w:ascii="宋体" w:hAnsi="宋体" w:eastAsia="宋体" w:cs="宋体"/>
          <w:b w:val="0"/>
          <w:bCs/>
          <w:color w:val="auto"/>
          <w:kern w:val="0"/>
          <w:szCs w:val="21"/>
          <w:highlight w:val="none"/>
          <w:lang w:val="en-US" w:eastAsia="zh-CN"/>
        </w:rPr>
        <w:t>（</w:t>
      </w:r>
      <w:r>
        <w:rPr>
          <w:rFonts w:hint="eastAsia" w:ascii="宋体" w:hAnsi="宋体" w:cs="宋体"/>
          <w:b w:val="0"/>
          <w:bCs/>
          <w:color w:val="auto"/>
          <w:kern w:val="0"/>
          <w:szCs w:val="21"/>
          <w:highlight w:val="none"/>
          <w:lang w:val="en-US" w:eastAsia="zh-CN"/>
        </w:rPr>
        <w:t>2</w:t>
      </w:r>
      <w:r>
        <w:rPr>
          <w:rFonts w:hint="default" w:ascii="宋体" w:hAnsi="宋体" w:eastAsia="宋体" w:cs="宋体"/>
          <w:b w:val="0"/>
          <w:bCs/>
          <w:color w:val="auto"/>
          <w:kern w:val="0"/>
          <w:szCs w:val="21"/>
          <w:highlight w:val="none"/>
          <w:lang w:val="en-US" w:eastAsia="zh-CN"/>
        </w:rPr>
        <w:t>）垃圾日产日清，确保垃圾桶内无积存，直至送到垃圾中转站；</w:t>
      </w:r>
    </w:p>
    <w:p>
      <w:pPr>
        <w:spacing w:line="360" w:lineRule="auto"/>
        <w:ind w:firstLine="420" w:firstLineChars="200"/>
        <w:rPr>
          <w:rFonts w:hint="default" w:ascii="宋体" w:hAnsi="宋体" w:eastAsia="宋体" w:cs="宋体"/>
          <w:b w:val="0"/>
          <w:bCs/>
          <w:color w:val="auto"/>
          <w:kern w:val="0"/>
          <w:szCs w:val="21"/>
          <w:highlight w:val="none"/>
          <w:lang w:val="en-US" w:eastAsia="zh-CN"/>
        </w:rPr>
      </w:pPr>
      <w:r>
        <w:rPr>
          <w:rFonts w:hint="default" w:ascii="宋体" w:hAnsi="宋体" w:eastAsia="宋体" w:cs="宋体"/>
          <w:b w:val="0"/>
          <w:bCs/>
          <w:color w:val="auto"/>
          <w:kern w:val="0"/>
          <w:szCs w:val="21"/>
          <w:highlight w:val="none"/>
          <w:lang w:val="en-US" w:eastAsia="zh-CN"/>
        </w:rPr>
        <w:t>（</w:t>
      </w:r>
      <w:r>
        <w:rPr>
          <w:rFonts w:hint="eastAsia" w:ascii="宋体" w:hAnsi="宋体" w:cs="宋体"/>
          <w:b w:val="0"/>
          <w:bCs/>
          <w:color w:val="auto"/>
          <w:kern w:val="0"/>
          <w:szCs w:val="21"/>
          <w:highlight w:val="none"/>
          <w:lang w:val="en-US" w:eastAsia="zh-CN"/>
        </w:rPr>
        <w:t>3</w:t>
      </w:r>
      <w:r>
        <w:rPr>
          <w:rFonts w:hint="default" w:ascii="宋体" w:hAnsi="宋体" w:eastAsia="宋体" w:cs="宋体"/>
          <w:b w:val="0"/>
          <w:bCs/>
          <w:color w:val="auto"/>
          <w:kern w:val="0"/>
          <w:szCs w:val="21"/>
          <w:highlight w:val="none"/>
          <w:lang w:val="en-US" w:eastAsia="zh-CN"/>
        </w:rPr>
        <w:t>）确保下水道无积泥，畅通；</w:t>
      </w:r>
    </w:p>
    <w:p>
      <w:pPr>
        <w:spacing w:line="360" w:lineRule="auto"/>
        <w:ind w:firstLine="420" w:firstLineChars="200"/>
        <w:rPr>
          <w:rFonts w:hint="default" w:ascii="宋体" w:hAnsi="宋体" w:eastAsia="宋体" w:cs="宋体"/>
          <w:b w:val="0"/>
          <w:bCs/>
          <w:color w:val="auto"/>
          <w:kern w:val="0"/>
          <w:szCs w:val="21"/>
          <w:highlight w:val="none"/>
          <w:lang w:val="en-US" w:eastAsia="zh-CN"/>
        </w:rPr>
      </w:pPr>
      <w:r>
        <w:rPr>
          <w:rFonts w:hint="default" w:ascii="宋体" w:hAnsi="宋体" w:eastAsia="宋体" w:cs="宋体"/>
          <w:b w:val="0"/>
          <w:bCs/>
          <w:color w:val="auto"/>
          <w:kern w:val="0"/>
          <w:szCs w:val="21"/>
          <w:highlight w:val="none"/>
          <w:lang w:val="en-US" w:eastAsia="zh-CN"/>
        </w:rPr>
        <w:t>（</w:t>
      </w:r>
      <w:r>
        <w:rPr>
          <w:rFonts w:hint="eastAsia" w:ascii="宋体" w:hAnsi="宋体" w:cs="宋体"/>
          <w:b w:val="0"/>
          <w:bCs/>
          <w:color w:val="auto"/>
          <w:kern w:val="0"/>
          <w:szCs w:val="21"/>
          <w:highlight w:val="none"/>
          <w:lang w:val="en-US" w:eastAsia="zh-CN"/>
        </w:rPr>
        <w:t>4</w:t>
      </w:r>
      <w:r>
        <w:rPr>
          <w:rFonts w:hint="default" w:ascii="宋体" w:hAnsi="宋体" w:eastAsia="宋体" w:cs="宋体"/>
          <w:b w:val="0"/>
          <w:bCs/>
          <w:color w:val="auto"/>
          <w:kern w:val="0"/>
          <w:szCs w:val="21"/>
          <w:highlight w:val="none"/>
          <w:lang w:val="en-US" w:eastAsia="zh-CN"/>
        </w:rPr>
        <w:t>）车辆有序停放，车辆管理区域卫生保持干净；</w:t>
      </w:r>
    </w:p>
    <w:p>
      <w:pPr>
        <w:spacing w:line="360" w:lineRule="auto"/>
        <w:ind w:firstLine="420" w:firstLineChars="200"/>
        <w:rPr>
          <w:rFonts w:hint="default" w:ascii="宋体" w:hAnsi="宋体" w:eastAsia="宋体" w:cs="宋体"/>
          <w:b w:val="0"/>
          <w:bCs/>
          <w:color w:val="auto"/>
          <w:kern w:val="0"/>
          <w:szCs w:val="21"/>
          <w:highlight w:val="none"/>
          <w:lang w:val="en-US" w:eastAsia="zh-CN"/>
        </w:rPr>
      </w:pPr>
      <w:r>
        <w:rPr>
          <w:rFonts w:hint="default" w:ascii="宋体" w:hAnsi="宋体" w:eastAsia="宋体" w:cs="宋体"/>
          <w:b w:val="0"/>
          <w:bCs/>
          <w:color w:val="auto"/>
          <w:kern w:val="0"/>
          <w:szCs w:val="21"/>
          <w:highlight w:val="none"/>
          <w:lang w:val="en-US" w:eastAsia="zh-CN"/>
        </w:rPr>
        <w:t>（</w:t>
      </w:r>
      <w:r>
        <w:rPr>
          <w:rFonts w:hint="eastAsia" w:ascii="宋体" w:hAnsi="宋体" w:cs="宋体"/>
          <w:b w:val="0"/>
          <w:bCs/>
          <w:color w:val="auto"/>
          <w:kern w:val="0"/>
          <w:szCs w:val="21"/>
          <w:highlight w:val="none"/>
          <w:lang w:val="en-US" w:eastAsia="zh-CN"/>
        </w:rPr>
        <w:t>5</w:t>
      </w:r>
      <w:r>
        <w:rPr>
          <w:rFonts w:hint="default" w:ascii="宋体" w:hAnsi="宋体" w:eastAsia="宋体" w:cs="宋体"/>
          <w:b w:val="0"/>
          <w:bCs/>
          <w:color w:val="auto"/>
          <w:kern w:val="0"/>
          <w:szCs w:val="21"/>
          <w:highlight w:val="none"/>
          <w:lang w:val="en-US" w:eastAsia="zh-CN"/>
        </w:rPr>
        <w:t>）“四害”消杀工作按宁波市爱卫会要求。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cs="宋体"/>
          <w:b/>
          <w:color w:val="000000"/>
          <w:kern w:val="0"/>
          <w:sz w:val="21"/>
          <w:szCs w:val="21"/>
          <w:highlight w:val="none"/>
          <w:lang w:val="en-US" w:eastAsia="zh-CN"/>
        </w:rPr>
      </w:pPr>
      <w:r>
        <w:rPr>
          <w:rFonts w:hint="eastAsia" w:ascii="宋体" w:hAnsi="宋体" w:cs="宋体"/>
          <w:b/>
          <w:color w:val="000000"/>
          <w:kern w:val="0"/>
          <w:sz w:val="21"/>
          <w:szCs w:val="21"/>
          <w:highlight w:val="none"/>
          <w:lang w:val="en-US" w:eastAsia="zh-CN"/>
        </w:rPr>
        <w:t>5、河道保洁作业标准</w:t>
      </w:r>
    </w:p>
    <w:p>
      <w:pPr>
        <w:spacing w:line="360" w:lineRule="auto"/>
        <w:ind w:firstLine="420" w:firstLineChars="200"/>
        <w:jc w:val="left"/>
        <w:rPr>
          <w:rFonts w:hint="eastAsia" w:ascii="宋体" w:hAnsi="宋体"/>
        </w:rPr>
      </w:pPr>
      <w:r>
        <w:rPr>
          <w:rFonts w:hint="eastAsia" w:ascii="宋体" w:hAnsi="宋体"/>
        </w:rPr>
        <w:t>（1）河中无障碍物；</w:t>
      </w:r>
    </w:p>
    <w:p>
      <w:pPr>
        <w:spacing w:line="360" w:lineRule="auto"/>
        <w:ind w:firstLine="420" w:firstLineChars="200"/>
        <w:jc w:val="left"/>
        <w:rPr>
          <w:rFonts w:hint="eastAsia" w:ascii="宋体" w:hAnsi="宋体"/>
        </w:rPr>
      </w:pPr>
      <w:r>
        <w:rPr>
          <w:rFonts w:hint="eastAsia" w:ascii="宋体" w:hAnsi="宋体"/>
        </w:rPr>
        <w:t>（2）水面无影响水生态的杂草；</w:t>
      </w:r>
    </w:p>
    <w:p>
      <w:pPr>
        <w:spacing w:line="360" w:lineRule="auto"/>
        <w:ind w:firstLine="420" w:firstLineChars="200"/>
        <w:jc w:val="left"/>
        <w:rPr>
          <w:rFonts w:hint="eastAsia" w:ascii="宋体" w:hAnsi="宋体"/>
        </w:rPr>
      </w:pPr>
      <w:r>
        <w:rPr>
          <w:rFonts w:hint="eastAsia" w:ascii="宋体" w:hAnsi="宋体"/>
        </w:rPr>
        <w:t>（3）水面</w:t>
      </w:r>
      <w:r>
        <w:rPr>
          <w:rFonts w:hint="eastAsia" w:ascii="宋体" w:hAnsi="宋体"/>
          <w:lang w:eastAsia="zh-CN"/>
        </w:rPr>
        <w:t>无油污、</w:t>
      </w:r>
      <w:r>
        <w:rPr>
          <w:rFonts w:hint="eastAsia" w:ascii="宋体" w:hAnsi="宋体"/>
        </w:rPr>
        <w:t>无漂浮物废弃物；</w:t>
      </w:r>
    </w:p>
    <w:p>
      <w:pPr>
        <w:spacing w:line="360" w:lineRule="auto"/>
        <w:ind w:firstLine="420" w:firstLineChars="200"/>
        <w:jc w:val="left"/>
        <w:rPr>
          <w:rFonts w:ascii="宋体" w:hAnsi="宋体"/>
        </w:rPr>
      </w:pPr>
      <w:r>
        <w:rPr>
          <w:rFonts w:hint="eastAsia" w:ascii="宋体" w:hAnsi="宋体"/>
        </w:rPr>
        <w:t>（4）河岸无垃圾弃物、畜禽粪便等。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color w:val="000000"/>
          <w:kern w:val="0"/>
          <w:sz w:val="21"/>
          <w:szCs w:val="21"/>
          <w:highlight w:val="none"/>
        </w:rPr>
      </w:pPr>
      <w:r>
        <w:rPr>
          <w:rFonts w:hint="eastAsia" w:ascii="宋体" w:hAnsi="宋体" w:cs="宋体"/>
          <w:b/>
          <w:color w:val="000000"/>
          <w:kern w:val="0"/>
          <w:sz w:val="21"/>
          <w:szCs w:val="21"/>
          <w:highlight w:val="none"/>
          <w:lang w:val="en-US" w:eastAsia="zh-CN"/>
        </w:rPr>
        <w:t>6</w:t>
      </w:r>
      <w:r>
        <w:rPr>
          <w:rFonts w:hint="eastAsia" w:ascii="宋体" w:hAnsi="宋体" w:eastAsia="宋体" w:cs="宋体"/>
          <w:b/>
          <w:color w:val="000000"/>
          <w:kern w:val="0"/>
          <w:sz w:val="21"/>
          <w:szCs w:val="21"/>
          <w:highlight w:val="none"/>
          <w:lang w:val="en-US" w:eastAsia="zh-CN"/>
        </w:rPr>
        <w:t>、</w:t>
      </w:r>
      <w:r>
        <w:rPr>
          <w:rFonts w:hint="eastAsia" w:ascii="宋体" w:hAnsi="宋体" w:eastAsia="宋体" w:cs="宋体"/>
          <w:b/>
          <w:color w:val="000000"/>
          <w:kern w:val="0"/>
          <w:sz w:val="21"/>
          <w:szCs w:val="21"/>
          <w:highlight w:val="none"/>
        </w:rPr>
        <w:t>垃圾桶保洁质量要求</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垃圾桶应美观、实用，与周围环境协调，完好率应不低于98%，设施周围地面应无抛撒、存留垃圾。</w:t>
      </w:r>
      <w:r>
        <w:rPr>
          <w:rFonts w:hint="eastAsia" w:ascii="宋体" w:hAnsi="宋体" w:eastAsia="宋体" w:cs="宋体"/>
          <w:color w:val="000000"/>
          <w:sz w:val="21"/>
          <w:szCs w:val="21"/>
          <w:highlight w:val="none"/>
        </w:rPr>
        <w:br w:type="textWrapping"/>
      </w:r>
      <w:r>
        <w:rPr>
          <w:rFonts w:hint="eastAsia" w:ascii="宋体" w:hAnsi="宋体" w:eastAsia="宋体" w:cs="宋体"/>
          <w:color w:val="000000"/>
          <w:sz w:val="21"/>
          <w:szCs w:val="21"/>
          <w:highlight w:val="none"/>
        </w:rPr>
        <w:tab/>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垃圾桶应定位放置，摆放整齐，设置点及周围2-3米内应整洁，无散落、存留垃圾和污水。</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垃圾桶应无残缺、破损，封闭性好、外体干净。</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垃圾收集清运保洁人员对垃圾收集点的垃圾一天收集保洁二次，垃圾应直接送至垃圾转运站，做到垃圾不满溢，车走地净；垃圾收集点周围应整洁，无散落、存留垃圾和污水，清运垃圾时禁止沿途抛撒垃圾和滴漏污水。</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垃圾桶应每日清洗，保持经常性清洁、完整，不得有明显的污物，每日清运后要对垃圾桶周围地面进行冲洗。</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(6)</w:t>
      </w:r>
      <w:r>
        <w:rPr>
          <w:rFonts w:hint="eastAsia" w:ascii="宋体" w:hAnsi="宋体" w:eastAsia="宋体" w:cs="宋体"/>
          <w:color w:val="000000"/>
          <w:sz w:val="21"/>
          <w:szCs w:val="21"/>
          <w:highlight w:val="none"/>
        </w:rPr>
        <w:t>垃圾桶周围打扫干净，不得有建筑垃圾，不得焚烧垃圾，保持垃圾桶周边干净。</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(7)</w:t>
      </w:r>
      <w:r>
        <w:rPr>
          <w:rFonts w:hint="eastAsia" w:ascii="宋体" w:hAnsi="宋体" w:eastAsia="宋体" w:cs="宋体"/>
          <w:color w:val="000000"/>
          <w:sz w:val="21"/>
          <w:szCs w:val="21"/>
          <w:highlight w:val="none"/>
        </w:rPr>
        <w:t>对于损坏的塑料桶应按规定及时进行修理或调换，并在蚊蝇孳生季节定时喷洒灭蝇药物（4、5、6、7、8、9、10月）。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color w:val="000000"/>
          <w:kern w:val="0"/>
          <w:sz w:val="21"/>
          <w:szCs w:val="21"/>
          <w:highlight w:val="none"/>
        </w:rPr>
      </w:pPr>
      <w:r>
        <w:rPr>
          <w:rFonts w:hint="eastAsia" w:ascii="宋体" w:hAnsi="宋体" w:cs="宋体"/>
          <w:b/>
          <w:color w:val="000000"/>
          <w:kern w:val="0"/>
          <w:sz w:val="21"/>
          <w:szCs w:val="21"/>
          <w:highlight w:val="none"/>
          <w:lang w:val="en-US" w:eastAsia="zh-CN"/>
        </w:rPr>
        <w:t>7</w:t>
      </w:r>
      <w:r>
        <w:rPr>
          <w:rFonts w:hint="eastAsia" w:ascii="宋体" w:hAnsi="宋体" w:eastAsia="宋体" w:cs="宋体"/>
          <w:b/>
          <w:color w:val="000000"/>
          <w:kern w:val="0"/>
          <w:sz w:val="21"/>
          <w:szCs w:val="21"/>
          <w:highlight w:val="none"/>
          <w:lang w:val="en-US" w:eastAsia="zh-CN"/>
        </w:rPr>
        <w:t>、</w:t>
      </w:r>
      <w:r>
        <w:rPr>
          <w:rFonts w:hint="eastAsia" w:ascii="宋体" w:hAnsi="宋体" w:eastAsia="宋体" w:cs="宋体"/>
          <w:b/>
          <w:color w:val="000000"/>
          <w:kern w:val="0"/>
          <w:sz w:val="21"/>
          <w:szCs w:val="21"/>
          <w:highlight w:val="none"/>
        </w:rPr>
        <w:t>堆积物清理</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及时清理服务范围内路边的垃圾等堆积物。</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及时清理及回收服务范围内三米及以上硬化道路（含沟渠），各类废弃物必须统一回收至规定回收点。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color w:val="000000"/>
          <w:kern w:val="0"/>
          <w:sz w:val="21"/>
          <w:szCs w:val="21"/>
          <w:highlight w:val="none"/>
        </w:rPr>
      </w:pPr>
      <w:r>
        <w:rPr>
          <w:rFonts w:hint="eastAsia" w:ascii="宋体" w:hAnsi="宋体" w:cs="宋体"/>
          <w:b/>
          <w:color w:val="000000"/>
          <w:kern w:val="0"/>
          <w:sz w:val="21"/>
          <w:szCs w:val="21"/>
          <w:highlight w:val="none"/>
          <w:lang w:val="en-US" w:eastAsia="zh-CN"/>
        </w:rPr>
        <w:t>8</w:t>
      </w:r>
      <w:r>
        <w:rPr>
          <w:rFonts w:hint="eastAsia" w:ascii="宋体" w:hAnsi="宋体" w:eastAsia="宋体" w:cs="宋体"/>
          <w:b/>
          <w:color w:val="000000"/>
          <w:kern w:val="0"/>
          <w:sz w:val="21"/>
          <w:szCs w:val="21"/>
          <w:highlight w:val="none"/>
          <w:lang w:val="en-US" w:eastAsia="zh-CN"/>
        </w:rPr>
        <w:t>、垃圾桶、</w:t>
      </w:r>
      <w:r>
        <w:rPr>
          <w:rFonts w:hint="eastAsia" w:ascii="宋体" w:hAnsi="宋体" w:eastAsia="宋体" w:cs="宋体"/>
          <w:b/>
          <w:color w:val="000000"/>
          <w:kern w:val="0"/>
          <w:sz w:val="21"/>
          <w:szCs w:val="21"/>
          <w:highlight w:val="none"/>
        </w:rPr>
        <w:t>果壳箱的清洗和管理</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每天一次清洗保洁，每日更换垃圾袋。</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果壳箱无破损、无垃圾外溢，桶体、箱体整洁。</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收集人员故意损坏、破坏垃圾桶，由保洁公司全额赔偿。</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 xml:space="preserve">及时修理或更换破损、缺失的果壳箱。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color w:val="000000"/>
          <w:kern w:val="0"/>
          <w:sz w:val="21"/>
          <w:szCs w:val="21"/>
          <w:highlight w:val="none"/>
        </w:rPr>
      </w:pPr>
      <w:r>
        <w:rPr>
          <w:rFonts w:hint="eastAsia" w:ascii="宋体" w:hAnsi="宋体" w:cs="宋体"/>
          <w:b/>
          <w:color w:val="000000"/>
          <w:kern w:val="0"/>
          <w:sz w:val="21"/>
          <w:szCs w:val="21"/>
          <w:highlight w:val="none"/>
          <w:lang w:val="en-US" w:eastAsia="zh-CN"/>
        </w:rPr>
        <w:t>9</w:t>
      </w:r>
      <w:r>
        <w:rPr>
          <w:rFonts w:hint="eastAsia" w:ascii="宋体" w:hAnsi="宋体" w:eastAsia="宋体" w:cs="宋体"/>
          <w:b/>
          <w:color w:val="000000"/>
          <w:kern w:val="0"/>
          <w:sz w:val="21"/>
          <w:szCs w:val="21"/>
          <w:highlight w:val="none"/>
          <w:lang w:val="en-US" w:eastAsia="zh-CN"/>
        </w:rPr>
        <w:t>、</w:t>
      </w:r>
      <w:r>
        <w:rPr>
          <w:rFonts w:hint="eastAsia" w:ascii="宋体" w:hAnsi="宋体" w:eastAsia="宋体" w:cs="宋体"/>
          <w:b/>
          <w:color w:val="000000"/>
          <w:kern w:val="0"/>
          <w:sz w:val="21"/>
          <w:szCs w:val="21"/>
          <w:highlight w:val="none"/>
        </w:rPr>
        <w:t xml:space="preserve">垃圾收集及清运 </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pacing w:val="0"/>
          <w:sz w:val="21"/>
          <w:szCs w:val="21"/>
          <w:highlight w:val="none"/>
        </w:rPr>
        <w:t>行政村内的厨余垃圾以及少部分区域的其他垃圾清运，采用“以</w:t>
      </w:r>
      <w:r>
        <w:rPr>
          <w:rFonts w:hint="eastAsia" w:ascii="宋体" w:hAnsi="宋体" w:eastAsia="宋体" w:cs="宋体"/>
          <w:color w:val="000000"/>
          <w:sz w:val="21"/>
          <w:szCs w:val="21"/>
          <w:highlight w:val="none"/>
        </w:rPr>
        <w:t xml:space="preserve">桶 </w:t>
      </w:r>
      <w:r>
        <w:rPr>
          <w:rFonts w:hint="eastAsia" w:ascii="宋体" w:hAnsi="宋体" w:eastAsia="宋体" w:cs="宋体"/>
          <w:color w:val="000000"/>
          <w:spacing w:val="0"/>
          <w:sz w:val="21"/>
          <w:szCs w:val="21"/>
          <w:highlight w:val="none"/>
        </w:rPr>
        <w:t>换桶”的模式，即保洁单位负责将垃圾桶的垃圾运往桥头胡垃</w:t>
      </w:r>
      <w:r>
        <w:rPr>
          <w:rFonts w:hint="eastAsia" w:ascii="宋体" w:hAnsi="宋体" w:eastAsia="宋体" w:cs="宋体"/>
          <w:color w:val="000000"/>
          <w:sz w:val="21"/>
          <w:szCs w:val="21"/>
          <w:highlight w:val="none"/>
        </w:rPr>
        <w:t>圾</w:t>
      </w:r>
      <w:r>
        <w:rPr>
          <w:rFonts w:hint="eastAsia" w:ascii="宋体" w:hAnsi="宋体" w:eastAsia="宋体" w:cs="宋体"/>
          <w:color w:val="000000"/>
          <w:spacing w:val="0"/>
          <w:sz w:val="21"/>
          <w:szCs w:val="21"/>
          <w:highlight w:val="none"/>
        </w:rPr>
        <w:t>中转站；街道范围及行政村其他垃圾清运利用 8 吨垃圾</w:t>
      </w:r>
      <w:r>
        <w:rPr>
          <w:rFonts w:hint="eastAsia" w:ascii="宋体" w:hAnsi="宋体" w:eastAsia="宋体" w:cs="宋体"/>
          <w:color w:val="000000"/>
          <w:sz w:val="21"/>
          <w:szCs w:val="21"/>
          <w:highlight w:val="none"/>
        </w:rPr>
        <w:t>压缩</w:t>
      </w:r>
      <w:r>
        <w:rPr>
          <w:rFonts w:hint="eastAsia" w:ascii="宋体" w:hAnsi="宋体" w:eastAsia="宋体" w:cs="宋体"/>
          <w:color w:val="000000"/>
          <w:spacing w:val="0"/>
          <w:sz w:val="21"/>
          <w:szCs w:val="21"/>
          <w:highlight w:val="none"/>
        </w:rPr>
        <w:t>车直接运往光大环保能源</w:t>
      </w:r>
      <w:r>
        <w:rPr>
          <w:rFonts w:hint="eastAsia" w:ascii="宋体" w:hAnsi="宋体" w:cs="宋体"/>
          <w:color w:val="000000"/>
          <w:spacing w:val="0"/>
          <w:sz w:val="21"/>
          <w:szCs w:val="21"/>
          <w:highlight w:val="none"/>
          <w:lang w:eastAsia="zh-CN"/>
        </w:rPr>
        <w:t>（</w:t>
      </w:r>
      <w:r>
        <w:rPr>
          <w:rFonts w:hint="eastAsia" w:ascii="宋体" w:hAnsi="宋体" w:eastAsia="宋体" w:cs="宋体"/>
          <w:color w:val="000000"/>
          <w:spacing w:val="0"/>
          <w:sz w:val="21"/>
          <w:szCs w:val="21"/>
          <w:highlight w:val="none"/>
        </w:rPr>
        <w:t>宁海</w:t>
      </w:r>
      <w:r>
        <w:rPr>
          <w:rFonts w:hint="eastAsia" w:ascii="宋体" w:hAnsi="宋体" w:cs="宋体"/>
          <w:color w:val="000000"/>
          <w:spacing w:val="0"/>
          <w:sz w:val="21"/>
          <w:szCs w:val="21"/>
          <w:highlight w:val="none"/>
          <w:lang w:eastAsia="zh-CN"/>
        </w:rPr>
        <w:t>）</w:t>
      </w:r>
      <w:r>
        <w:rPr>
          <w:rFonts w:hint="eastAsia" w:ascii="宋体" w:hAnsi="宋体" w:eastAsia="宋体" w:cs="宋体"/>
          <w:color w:val="000000"/>
          <w:spacing w:val="0"/>
          <w:sz w:val="21"/>
          <w:szCs w:val="21"/>
          <w:highlight w:val="none"/>
        </w:rPr>
        <w:t>有限公司进行焚烧、填埋</w:t>
      </w:r>
      <w:r>
        <w:rPr>
          <w:rFonts w:hint="eastAsia" w:ascii="宋体" w:hAnsi="宋体" w:eastAsia="宋体" w:cs="宋体"/>
          <w:color w:val="000000"/>
          <w:sz w:val="21"/>
          <w:szCs w:val="21"/>
          <w:highlight w:val="none"/>
        </w:rPr>
        <w:t>。</w:t>
      </w:r>
      <w:r>
        <w:rPr>
          <w:rFonts w:hint="eastAsia" w:ascii="宋体" w:hAnsi="宋体" w:cs="宋体"/>
          <w:color w:val="000000"/>
          <w:sz w:val="21"/>
          <w:szCs w:val="21"/>
          <w:highlight w:val="none"/>
          <w:lang w:eastAsia="zh-CN"/>
        </w:rPr>
        <w:t>黄墩社区上门收取垃圾时，收集人员做好垃圾分类引导工作，并将垃圾按规定做好分类收集。</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有义务及时反馈营业垃圾产量的增减情况。</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作业中不得漏点、不得任意撤点、车离点前要清扫垃圾。禁止焚烧垃圾，禁止拾废品。</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作业结束后，车辆和垃圾桶须清洗干净、停放整齐。</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垃圾及时清运，不出现垃圾桶溢满现象。</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10</w:t>
      </w:r>
      <w:r>
        <w:rPr>
          <w:rFonts w:hint="eastAsia" w:ascii="宋体" w:hAnsi="宋体" w:eastAsia="宋体" w:cs="宋体"/>
          <w:color w:val="000000"/>
          <w:sz w:val="21"/>
          <w:szCs w:val="21"/>
          <w:highlight w:val="none"/>
          <w:lang w:val="en-US" w:eastAsia="zh-CN"/>
        </w:rPr>
        <w:t>、公交途径站的管理与维护</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（1）进行日常养护，确保站台设施清洁，乱张贴的小广告得到及时清理。</w:t>
      </w:r>
    </w:p>
    <w:p>
      <w:pPr>
        <w:keepNext w:val="0"/>
        <w:keepLines w:val="0"/>
        <w:pageBreakBefore w:val="0"/>
        <w:widowControl w:val="0"/>
        <w:kinsoku/>
        <w:wordWrap/>
        <w:overflowPunct/>
        <w:topLinePunct w:val="0"/>
        <w:autoSpaceDE/>
        <w:autoSpaceDN/>
        <w:bidi w:val="0"/>
        <w:adjustRightInd/>
        <w:snapToGrid/>
        <w:spacing w:line="360" w:lineRule="auto"/>
        <w:ind w:left="0" w:firstLine="420" w:firstLineChars="200"/>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（2）进行日常巡查，发现候车亭及站杆等设施损坏应及时通知相关主管部门，发现垃圾及时清理。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200"/>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lang w:eastAsia="zh-CN"/>
        </w:rPr>
        <w:t>六、</w:t>
      </w:r>
      <w:r>
        <w:rPr>
          <w:rFonts w:hint="eastAsia" w:ascii="宋体" w:hAnsi="宋体" w:eastAsia="宋体" w:cs="宋体"/>
          <w:b/>
          <w:bCs/>
          <w:color w:val="000000"/>
          <w:sz w:val="21"/>
          <w:szCs w:val="21"/>
          <w:highlight w:val="none"/>
        </w:rPr>
        <w:t>其它要求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若遇如突击检查、上级部门考核、各类创建活动等特殊情况，中标人须无条件做好服务范围内的相关工作，服从采购人指挥，增加或调配人员和调整作业时间，并组织完成突击性任务，所需一切费用由中标人自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中标人应在签订合同之日起一个月内向招标人提交保洁管理规定、保洁负责人岗位职责、保洁人员岗位职责等规章制度，并作为合同条款。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sz w:val="21"/>
          <w:szCs w:val="21"/>
          <w:highlight w:val="none"/>
        </w:rPr>
      </w:pP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环卫服务标准：如市、县、局有新要求，中标人必须按新要求执行，并对此进行承诺。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建立健全公司各项管理制度，包括岗位职责、考勤制度、考核及奖惩制度等。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做好人员安排、车辆管理等</w:t>
      </w:r>
      <w:r>
        <w:rPr>
          <w:rFonts w:hint="eastAsia" w:ascii="宋体" w:hAnsi="宋体" w:cs="宋体"/>
          <w:sz w:val="21"/>
          <w:szCs w:val="21"/>
          <w:highlight w:val="none"/>
          <w:lang w:eastAsia="zh-CN"/>
        </w:rPr>
        <w:t>台账</w:t>
      </w:r>
      <w:r>
        <w:rPr>
          <w:rFonts w:hint="eastAsia" w:ascii="宋体" w:hAnsi="宋体" w:eastAsia="宋体" w:cs="宋体"/>
          <w:sz w:val="21"/>
          <w:szCs w:val="21"/>
          <w:highlight w:val="none"/>
        </w:rPr>
        <w:t>的记录，积极落实投诉、通报情况，并以书面形式进行上报。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6</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制定重大活动、节庆假日、突击检查、创先评优、气象灾害和极端天气等特殊时期的应急保障措施，提供应急保洁人员安排表，并无条件配合县环卫处做好相关保障。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7</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选择聘用身体健康、思想端正的人员，加强管理并根据预算足额发放劳动报酬（含基本工资、特殊岗位津贴、节假日加班费、高温补贴以及购买社会保险、体检、节日慰问等福利）。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8</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划分科学合理的清扫区域，按要求配置足够的清扫保洁人员；制定科学节能的清扫路线，提高机械车辆的利用率。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9</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加强对公司管理人员及重要特殊岗位工作人员的相关业务培训。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10</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安全生产管理职责：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(1)</w:t>
      </w:r>
      <w:r>
        <w:rPr>
          <w:rFonts w:hint="eastAsia" w:ascii="宋体" w:hAnsi="宋体" w:eastAsia="宋体" w:cs="宋体"/>
          <w:bCs/>
          <w:color w:val="000000"/>
          <w:kern w:val="0"/>
          <w:sz w:val="21"/>
          <w:szCs w:val="21"/>
          <w:highlight w:val="none"/>
        </w:rPr>
        <w:t>成立安全生产领导小组，落实安全生产责任人，制定安全生产相关制度和应急预案。配备安全生产专员，合理开支安全生产专项管理经费。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(2)</w:t>
      </w:r>
      <w:r>
        <w:rPr>
          <w:rFonts w:hint="eastAsia" w:ascii="宋体" w:hAnsi="宋体" w:eastAsia="宋体" w:cs="宋体"/>
          <w:bCs/>
          <w:color w:val="000000"/>
          <w:kern w:val="0"/>
          <w:sz w:val="21"/>
          <w:szCs w:val="21"/>
          <w:highlight w:val="none"/>
        </w:rPr>
        <w:t>办公场所、宿舍、停车场地和车辆必须按标准配备灭火器等消防设备，安全用水用电，定期组织消防安全演练，宣传安全生产相关知识。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(3)</w:t>
      </w:r>
      <w:r>
        <w:rPr>
          <w:rFonts w:hint="eastAsia" w:ascii="宋体" w:hAnsi="宋体" w:eastAsia="宋体" w:cs="宋体"/>
          <w:bCs/>
          <w:color w:val="000000"/>
          <w:kern w:val="0"/>
          <w:sz w:val="21"/>
          <w:szCs w:val="21"/>
          <w:highlight w:val="none"/>
        </w:rPr>
        <w:t>加强巡查，加强安全隐患排查，发现问题及时整改，彻底杜绝安全事故的发生。如发生安全事故及时上报，不得瞒报。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(4)</w:t>
      </w:r>
      <w:r>
        <w:rPr>
          <w:rFonts w:hint="eastAsia" w:ascii="宋体" w:hAnsi="宋体" w:eastAsia="宋体" w:cs="宋体"/>
          <w:bCs/>
          <w:color w:val="000000"/>
          <w:kern w:val="0"/>
          <w:sz w:val="21"/>
          <w:szCs w:val="21"/>
          <w:highlight w:val="none"/>
        </w:rPr>
        <w:t>加强交通安全知识教育，督促清扫保洁人员和驾驶员遵守交通法规，注意自身和行人安全。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(5)</w:t>
      </w:r>
      <w:r>
        <w:rPr>
          <w:rFonts w:hint="eastAsia" w:ascii="宋体" w:hAnsi="宋体" w:eastAsia="宋体" w:cs="宋体"/>
          <w:bCs/>
          <w:color w:val="000000"/>
          <w:kern w:val="0"/>
          <w:sz w:val="21"/>
          <w:szCs w:val="21"/>
          <w:highlight w:val="none"/>
        </w:rPr>
        <w:t>每季度召开一次安全会议。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（6）</w:t>
      </w:r>
      <w:r>
        <w:rPr>
          <w:rFonts w:hint="eastAsia" w:ascii="宋体" w:hAnsi="宋体" w:eastAsia="宋体" w:cs="宋体"/>
          <w:bCs/>
          <w:color w:val="000000"/>
          <w:kern w:val="0"/>
          <w:sz w:val="21"/>
          <w:szCs w:val="21"/>
          <w:highlight w:val="none"/>
        </w:rPr>
        <w:t>车辆须按时年检，购买保险。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cs="宋体"/>
          <w:bCs/>
          <w:color w:val="000000"/>
          <w:kern w:val="0"/>
          <w:sz w:val="21"/>
          <w:szCs w:val="21"/>
          <w:highlight w:val="none"/>
          <w:lang w:val="en-US" w:eastAsia="zh-CN"/>
        </w:rPr>
        <w:t>11</w:t>
      </w:r>
      <w:r>
        <w:rPr>
          <w:rFonts w:hint="eastAsia" w:ascii="宋体" w:hAnsi="宋体" w:eastAsia="宋体" w:cs="宋体"/>
          <w:bCs/>
          <w:color w:val="000000"/>
          <w:kern w:val="0"/>
          <w:sz w:val="21"/>
          <w:szCs w:val="21"/>
          <w:highlight w:val="none"/>
          <w:lang w:val="en-US" w:eastAsia="zh-CN"/>
        </w:rPr>
        <w:t>、</w:t>
      </w:r>
      <w:r>
        <w:rPr>
          <w:rFonts w:hint="eastAsia" w:ascii="宋体" w:hAnsi="宋体" w:eastAsia="宋体" w:cs="宋体"/>
          <w:bCs/>
          <w:color w:val="000000"/>
          <w:kern w:val="0"/>
          <w:sz w:val="21"/>
          <w:szCs w:val="21"/>
          <w:highlight w:val="none"/>
        </w:rPr>
        <w:t>积极落实环卫行业相关文件精神，做好企业文化宣传，积极参加环卫行业重大活动等。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cs="宋体"/>
          <w:bCs/>
          <w:color w:val="000000"/>
          <w:kern w:val="0"/>
          <w:sz w:val="21"/>
          <w:szCs w:val="21"/>
          <w:highlight w:val="none"/>
          <w:lang w:val="en-US" w:eastAsia="zh-CN"/>
        </w:rPr>
        <w:t>12</w:t>
      </w:r>
      <w:r>
        <w:rPr>
          <w:rFonts w:hint="eastAsia" w:ascii="宋体" w:hAnsi="宋体" w:eastAsia="宋体" w:cs="宋体"/>
          <w:bCs/>
          <w:color w:val="000000"/>
          <w:kern w:val="0"/>
          <w:sz w:val="21"/>
          <w:szCs w:val="21"/>
          <w:highlight w:val="none"/>
          <w:lang w:val="en-US" w:eastAsia="zh-CN"/>
        </w:rPr>
        <w:t>、</w:t>
      </w:r>
      <w:r>
        <w:rPr>
          <w:rFonts w:hint="eastAsia" w:ascii="宋体" w:hAnsi="宋体" w:eastAsia="宋体" w:cs="宋体"/>
          <w:bCs/>
          <w:color w:val="000000"/>
          <w:kern w:val="0"/>
          <w:sz w:val="21"/>
          <w:szCs w:val="21"/>
          <w:highlight w:val="none"/>
        </w:rPr>
        <w:t>中标人要提供完备的相关（包括安全）台账资料的登记、管理制度，制作的各类台账要规范、真实、清晰、准确。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(1)</w:t>
      </w:r>
      <w:r>
        <w:rPr>
          <w:rFonts w:hint="eastAsia" w:ascii="宋体" w:hAnsi="宋体" w:eastAsia="宋体" w:cs="宋体"/>
          <w:bCs/>
          <w:color w:val="000000"/>
          <w:kern w:val="0"/>
          <w:sz w:val="21"/>
          <w:szCs w:val="21"/>
          <w:highlight w:val="none"/>
        </w:rPr>
        <w:t>每月根据采购人要求上交花名册、工资清单等；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(2)</w:t>
      </w:r>
      <w:r>
        <w:rPr>
          <w:rFonts w:hint="eastAsia" w:ascii="宋体" w:hAnsi="宋体" w:eastAsia="宋体" w:cs="宋体"/>
          <w:bCs/>
          <w:color w:val="000000"/>
          <w:kern w:val="0"/>
          <w:sz w:val="21"/>
          <w:szCs w:val="21"/>
          <w:highlight w:val="none"/>
        </w:rPr>
        <w:t>建立线下保洁分配表（各路段人员分配）。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不得干扰、谩骂、挑衅、延误、干扰考核人员或上级检查人员正常检查（拍照取证）。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七、考核标准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《环卫保洁作业标准及考核细则》（具体以合同签订时的为准）</w:t>
      </w:r>
    </w:p>
    <w:p>
      <w:pPr>
        <w:pStyle w:val="29"/>
        <w:spacing w:line="360" w:lineRule="auto"/>
        <w:rPr>
          <w:rFonts w:hint="eastAsia" w:ascii="宋体" w:hAnsi="宋体" w:eastAsia="宋体" w:cs="宋体"/>
          <w:b w:val="0"/>
          <w:bCs w:val="0"/>
          <w:color w:val="000000"/>
          <w:kern w:val="2"/>
          <w:sz w:val="21"/>
          <w:szCs w:val="21"/>
          <w:highlight w:val="none"/>
          <w:lang w:val="en-US" w:eastAsia="zh-CN" w:bidi="ar-SA"/>
        </w:rPr>
      </w:pPr>
      <w:r>
        <w:rPr>
          <w:rFonts w:hint="eastAsia" w:ascii="宋体" w:hAnsi="宋体" w:eastAsia="宋体" w:cs="宋体"/>
          <w:b w:val="0"/>
          <w:bCs w:val="0"/>
          <w:color w:val="000000"/>
          <w:kern w:val="2"/>
          <w:sz w:val="21"/>
          <w:szCs w:val="21"/>
          <w:highlight w:val="none"/>
          <w:lang w:val="en-US" w:eastAsia="zh-CN" w:bidi="ar-SA"/>
        </w:rPr>
        <w:t>（一）考核机制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建立承包人每日自查、 </w:t>
      </w:r>
      <w:r>
        <w:rPr>
          <w:rFonts w:hint="eastAsia" w:ascii="宋体" w:hAnsi="宋体" w:eastAsia="宋体" w:cs="宋体"/>
          <w:color w:val="000000"/>
          <w:sz w:val="21"/>
          <w:szCs w:val="21"/>
          <w:highlight w:val="none"/>
          <w:lang w:eastAsia="zh-CN"/>
        </w:rPr>
        <w:t>采购人</w:t>
      </w:r>
      <w:r>
        <w:rPr>
          <w:rFonts w:hint="eastAsia" w:ascii="宋体" w:hAnsi="宋体" w:eastAsia="宋体" w:cs="宋体"/>
          <w:color w:val="000000"/>
          <w:sz w:val="21"/>
          <w:szCs w:val="21"/>
          <w:highlight w:val="none"/>
        </w:rPr>
        <w:t>考核全面巡查的三查制度 （日常巡查、 抽查，空档时间突击检查），不断总结完善考核机制，达到既能提高公司积极性，又便于考核公司的各方面工作。</w:t>
      </w:r>
      <w:r>
        <w:rPr>
          <w:rFonts w:hint="eastAsia" w:ascii="宋体" w:hAnsi="宋体" w:eastAsia="宋体" w:cs="宋体"/>
          <w:b/>
          <w:bCs/>
          <w:color w:val="000000"/>
          <w:sz w:val="21"/>
          <w:szCs w:val="21"/>
          <w:highlight w:val="none"/>
          <w:lang w:eastAsia="zh-CN"/>
        </w:rPr>
        <w:t>本项目由桥头胡街道负责招标文件内所有范围的考核</w:t>
      </w:r>
      <w:r>
        <w:rPr>
          <w:rFonts w:hint="eastAsia" w:ascii="宋体" w:hAnsi="宋体" w:eastAsia="宋体" w:cs="宋体"/>
          <w:color w:val="000000"/>
          <w:sz w:val="21"/>
          <w:szCs w:val="21"/>
          <w:highlight w:val="none"/>
          <w:lang w:eastAsia="zh-CN"/>
        </w:rPr>
        <w:t>，采购人</w:t>
      </w:r>
      <w:r>
        <w:rPr>
          <w:rFonts w:hint="eastAsia" w:ascii="宋体" w:hAnsi="宋体" w:eastAsia="宋体" w:cs="宋体"/>
          <w:color w:val="000000"/>
          <w:sz w:val="21"/>
          <w:szCs w:val="21"/>
          <w:highlight w:val="none"/>
        </w:rPr>
        <w:t>根据每月考评结果，作出综合考核评价意见，发放每月承包经费。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（二）</w:t>
      </w:r>
      <w:r>
        <w:rPr>
          <w:rFonts w:hint="eastAsia" w:ascii="宋体" w:hAnsi="宋体" w:eastAsia="宋体" w:cs="宋体"/>
          <w:color w:val="000000"/>
          <w:sz w:val="21"/>
          <w:szCs w:val="21"/>
          <w:highlight w:val="none"/>
          <w:lang w:val="en-US" w:eastAsia="zh-CN"/>
        </w:rPr>
        <w:t>考核办法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1、以保洁标段为考核单位。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2、月评：满分为100分。具体情况如下：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（1）考核分在98分（含）以上的为合格，全额支付当月经费；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（2）考核分在98分以下的，以98分为基准每下降1分，扣当月经费的1%；以此类推，中间采用内插法计算。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被宁海县委、县政府或大整治办等相关单位点名通报批评的（包括本、上级媒体曝光），每次扣1万元，并在一年内出现三次被宁海县委、县政府或大整治办等相关单位通报批评的，业主方有权单方面终止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（4）被群众举报并经核实情况属实的，每次扣0.5万元。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3、明查暗查相结合，根据考核分来核拔当月保洁经费。</w:t>
      </w:r>
    </w:p>
    <w:p>
      <w:pPr>
        <w:pStyle w:val="29"/>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4、具体考核细则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center"/>
        <w:textAlignment w:val="auto"/>
        <w:outlineLvl w:val="1"/>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val="en-US" w:eastAsia="zh-CN"/>
        </w:rPr>
        <w:t>3-1</w:t>
      </w:r>
      <w:r>
        <w:rPr>
          <w:rFonts w:hint="eastAsia" w:ascii="宋体" w:hAnsi="宋体" w:eastAsia="宋体" w:cs="宋体"/>
          <w:b/>
          <w:color w:val="000000"/>
          <w:sz w:val="21"/>
          <w:szCs w:val="21"/>
          <w:highlight w:val="none"/>
          <w:lang w:eastAsia="zh-CN"/>
        </w:rPr>
        <w:t>宁海县桥头胡街道</w:t>
      </w:r>
      <w:r>
        <w:rPr>
          <w:rFonts w:hint="eastAsia" w:ascii="宋体" w:hAnsi="宋体" w:eastAsia="宋体" w:cs="宋体"/>
          <w:b/>
          <w:color w:val="000000"/>
          <w:sz w:val="21"/>
          <w:szCs w:val="21"/>
          <w:highlight w:val="none"/>
        </w:rPr>
        <w:t>环卫保洁作业标准及考核细则</w:t>
      </w:r>
      <w:r>
        <w:rPr>
          <w:rFonts w:hint="eastAsia" w:ascii="宋体" w:hAnsi="宋体" w:eastAsia="宋体" w:cs="宋体"/>
          <w:b/>
          <w:color w:val="000000"/>
          <w:sz w:val="21"/>
          <w:szCs w:val="21"/>
          <w:highlight w:val="none"/>
          <w:lang w:eastAsia="zh-CN"/>
        </w:rPr>
        <w:t>（保洁）</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1"/>
        <w:gridCol w:w="1049"/>
        <w:gridCol w:w="5911"/>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exact"/>
          <w:tblHeader/>
          <w:jc w:val="center"/>
        </w:trPr>
        <w:tc>
          <w:tcPr>
            <w:tcW w:w="59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1" w:beforeLines="0" w:afterLines="0" w:line="240" w:lineRule="auto"/>
              <w:ind w:left="0" w:leftChars="0" w:right="0" w:rightChars="0" w:firstLine="85"/>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104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1" w:beforeLines="0" w:afterLines="0" w:line="240" w:lineRule="auto"/>
              <w:ind w:left="0" w:leftChars="0" w:right="0" w:rightChars="0" w:firstLine="108"/>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考核项目</w:t>
            </w: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1" w:beforeLines="0" w:afterLines="0" w:line="240" w:lineRule="auto"/>
              <w:ind w:left="0" w:leftChars="0" w:right="0" w:rightChars="0" w:firstLine="1842"/>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考核内容及评分标准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1" w:beforeLines="0" w:afterLines="0" w:line="240" w:lineRule="auto"/>
              <w:ind w:left="0" w:leftChars="0" w:right="0" w:rightChars="0" w:firstLine="114"/>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eastAsia="zh-CN"/>
              </w:rPr>
              <w:t>分值</w:t>
            </w:r>
            <w:r>
              <w:rPr>
                <w:rFonts w:hint="eastAsia" w:ascii="宋体" w:hAnsi="宋体" w:eastAsia="宋体" w:cs="宋体"/>
                <w:color w:val="000000"/>
                <w:sz w:val="21"/>
                <w:szCs w:val="21"/>
                <w:highlight w:val="none"/>
                <w:lang w:val="en-US"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591"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1049"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工作保障</w:t>
            </w:r>
          </w:p>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机制及管</w:t>
            </w:r>
          </w:p>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理措施</w:t>
            </w:r>
          </w:p>
        </w:tc>
        <w:tc>
          <w:tcPr>
            <w:tcW w:w="5911"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0" w:beforeLines="0" w:afterLines="0" w:line="240" w:lineRule="auto"/>
              <w:ind w:left="0" w:leftChars="0" w:right="0" w:rightChars="0" w:firstLine="85"/>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1、有组织机构。承包单位组织机构分工明确，能顺利找到相关责任人以及各道路清扫负责人。没有落实或落实不全面， 每发现一个保洁段扣0.5分。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2、切实保障环卫工人合法权益，无因劳资纠纷引起的群体性事件发生，每发生一次扣2分。</w:t>
            </w:r>
          </w:p>
        </w:tc>
        <w:tc>
          <w:tcPr>
            <w:tcW w:w="1265"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84"/>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3、具有一套完整的保洁制度，没有制度扣2分。</w:t>
            </w:r>
          </w:p>
        </w:tc>
        <w:tc>
          <w:tcPr>
            <w:tcW w:w="1265"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78"/>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4、具有一套完整的内部考核机制，完善管理制度，没有机制或制度扣2分。</w:t>
            </w:r>
          </w:p>
        </w:tc>
        <w:tc>
          <w:tcPr>
            <w:tcW w:w="1265"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5、按规定配备保洁人员数</w:t>
            </w:r>
            <w:r>
              <w:rPr>
                <w:rFonts w:hint="eastAsia" w:ascii="宋体" w:hAnsi="宋体" w:eastAsia="宋体" w:cs="宋体"/>
                <w:color w:val="000000"/>
                <w:sz w:val="21"/>
                <w:szCs w:val="21"/>
                <w:highlight w:val="none"/>
                <w:lang w:val="en-US" w:eastAsia="zh-CN"/>
              </w:rPr>
              <w:t>的</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eastAsia="zh-CN"/>
              </w:rPr>
              <w:t>人员未</w:t>
            </w:r>
            <w:r>
              <w:rPr>
                <w:rFonts w:hint="eastAsia" w:ascii="宋体" w:hAnsi="宋体" w:cs="宋体"/>
                <w:color w:val="000000"/>
                <w:sz w:val="21"/>
                <w:szCs w:val="21"/>
                <w:highlight w:val="none"/>
                <w:lang w:eastAsia="zh-CN"/>
              </w:rPr>
              <w:t>到</w:t>
            </w:r>
            <w:r>
              <w:rPr>
                <w:rFonts w:hint="eastAsia" w:ascii="宋体" w:hAnsi="宋体" w:eastAsia="宋体" w:cs="宋体"/>
                <w:color w:val="000000"/>
                <w:sz w:val="21"/>
                <w:szCs w:val="21"/>
                <w:highlight w:val="none"/>
                <w:lang w:eastAsia="zh-CN"/>
              </w:rPr>
              <w:t>岗，每发现一次扣</w:t>
            </w:r>
            <w:r>
              <w:rPr>
                <w:rFonts w:hint="eastAsia" w:ascii="宋体" w:hAnsi="宋体" w:eastAsia="宋体" w:cs="宋体"/>
                <w:color w:val="000000"/>
                <w:sz w:val="21"/>
                <w:szCs w:val="21"/>
                <w:highlight w:val="none"/>
              </w:rPr>
              <w:t xml:space="preserve"> 0. 5分。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3"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6、配备满足垃圾清扫设备，每发现一次配备不齐全的扣 0. 5分。（清扫设备包括：工作服、反光背心、扫帚、三轮保洁车、畚斗、手套）</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jc w:val="center"/>
        </w:trPr>
        <w:tc>
          <w:tcPr>
            <w:tcW w:w="591"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p>
        </w:tc>
        <w:tc>
          <w:tcPr>
            <w:tcW w:w="1049"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保洁质量情况及作业规范</w:t>
            </w:r>
          </w:p>
        </w:tc>
        <w:tc>
          <w:tcPr>
            <w:tcW w:w="5911"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0"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1、路面（100米）纸屑、果皮、烟头、塑料袋等，有1-3个扣0.1分，4-6个扣0.2分，7-9个扣0.3分，10个以上扣0. 4分。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0"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2、道路积泥（沙石）长度＜5米的每处扣0.1分，＜10米的每处扣0.2分，＜20米的每处扣0.3分， ≥20米的每处扣0. 4分。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0"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3、发现道路晴天积水，有1m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扣0.1分，1-2m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扣0.2分，3-4m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扣0.3分，4m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以上0. 4分。冬季路面积水导致路面结冰的每处扣0.1分，导致有责交通事故的每次扣0.2分。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0"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4、人行道各类井盖间等缝隙有垃圾（杂物）的每处扣0.1</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 w:val="left" w:pos="522"/>
              </w:tabs>
              <w:spacing w:line="340" w:lineRule="exact"/>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r>
              <w:rPr>
                <w:rFonts w:hint="eastAsia" w:ascii="宋体" w:hAnsi="宋体" w:eastAsia="宋体" w:cs="宋体"/>
                <w:bCs/>
                <w:sz w:val="21"/>
                <w:szCs w:val="21"/>
              </w:rPr>
              <w:t>道路路面清洗有特殊标准要求的按要求执行，未达到次数的，每少一次扣0.5分，其他一级道路每周少于一次的，每次扣0.5分；气温30℃以上时，每天洒水少于3次的，每少一次扣0.5分。（用于一级道路考核）。</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78" w:firstLineChars="0"/>
              <w:jc w:val="both"/>
              <w:textAlignment w:val="auto"/>
              <w:outlineLvl w:val="9"/>
              <w:rPr>
                <w:rFonts w:hint="eastAsia" w:ascii="宋体" w:hAnsi="宋体" w:eastAsia="宋体" w:cs="宋体"/>
                <w:bCs/>
                <w:sz w:val="21"/>
                <w:szCs w:val="21"/>
              </w:rPr>
            </w:pPr>
            <w:r>
              <w:rPr>
                <w:rFonts w:hint="eastAsia" w:ascii="宋体" w:hAnsi="宋体" w:eastAsia="宋体" w:cs="宋体"/>
                <w:bCs/>
                <w:sz w:val="21"/>
                <w:szCs w:val="21"/>
              </w:rPr>
              <w:t>6、道路路面清洗每周少于1次的，每次扣0.5分，气温30℃以上时，每天洒水少于2次的，每少一次扣0.5分。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7</w:t>
            </w:r>
            <w:r>
              <w:rPr>
                <w:rFonts w:hint="eastAsia" w:ascii="宋体" w:hAnsi="宋体" w:eastAsia="宋体" w:cs="宋体"/>
                <w:color w:val="000000"/>
                <w:sz w:val="21"/>
                <w:szCs w:val="21"/>
                <w:highlight w:val="none"/>
              </w:rPr>
              <w:t>、绿化带纸屑、果皮、烟头、塑料袋等，有1-3个扣0.1分，4-6个扣0.2分，7-9个扣0.3分，10个以上扣0.4分。</w:t>
            </w:r>
          </w:p>
        </w:tc>
        <w:tc>
          <w:tcPr>
            <w:tcW w:w="1265"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8</w:t>
            </w:r>
            <w:r>
              <w:rPr>
                <w:rFonts w:hint="eastAsia" w:ascii="宋体" w:hAnsi="宋体" w:eastAsia="宋体" w:cs="宋体"/>
                <w:color w:val="000000"/>
                <w:sz w:val="21"/>
                <w:szCs w:val="21"/>
                <w:highlight w:val="none"/>
              </w:rPr>
              <w:t>、机动车道、非机动车道、人行道（含店前道路）路面油污、污渍、污迹＜10m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的每处扣0.1分，≥10m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的每处扣0.2分， 路面清洗质量不到位未见本色的，每处扣0.3分。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9</w:t>
            </w:r>
            <w:r>
              <w:rPr>
                <w:rFonts w:hint="eastAsia" w:ascii="宋体" w:hAnsi="宋体" w:eastAsia="宋体" w:cs="宋体"/>
                <w:color w:val="000000"/>
                <w:sz w:val="21"/>
                <w:szCs w:val="21"/>
                <w:highlight w:val="none"/>
              </w:rPr>
              <w:t>、三轮保洁车外观不洁、积尘、破损，实行密闭运输发生抛洒滴漏污染路面、车厢外有吊挂垃圾等问题，每次扣0.1分；靠边停放，不得阻碍交通，没发现一次扣0.2分。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10</w:t>
            </w:r>
            <w:r>
              <w:rPr>
                <w:rFonts w:hint="eastAsia" w:ascii="宋体" w:hAnsi="宋体" w:eastAsia="宋体" w:cs="宋体"/>
                <w:color w:val="000000"/>
                <w:sz w:val="21"/>
                <w:szCs w:val="21"/>
                <w:highlight w:val="none"/>
              </w:rPr>
              <w:t>、道路、人行道（含店前道路）漏扫的每处扣0.1分，垃圾归拢、归堆未清除的每处扣0.1分，清除不彻底的每处扣0.1分，清扫保洁时将垃圾扫入窨井中或向道路两侧反扫的每次扣 0.2分；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6"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11</w:t>
            </w:r>
            <w:r>
              <w:rPr>
                <w:rFonts w:hint="eastAsia" w:ascii="宋体" w:hAnsi="宋体" w:eastAsia="宋体" w:cs="宋体"/>
                <w:color w:val="000000"/>
                <w:sz w:val="21"/>
                <w:szCs w:val="21"/>
                <w:highlight w:val="none"/>
              </w:rPr>
              <w:t>、环卫工人着装不规范，如衣冠不整（如钮扣不扣、工作帽歪戴等）、服装不洁、未穿着统一的工作服、未使用统一的保洁工具的每人次扣0.1分。保洁员不遵守交通规则，在机动车道骑自行车逆向行驶的每人次扣0.1分；保洁员未按车道规定有序停发保洁车辆，每人次扣0.1分；乱穿、乱闯交通信号灯的每人次扣0.1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12</w:t>
            </w:r>
            <w:r>
              <w:rPr>
                <w:rFonts w:hint="eastAsia" w:ascii="宋体" w:hAnsi="宋体" w:eastAsia="宋体" w:cs="宋体"/>
                <w:color w:val="000000"/>
                <w:sz w:val="21"/>
                <w:szCs w:val="21"/>
                <w:highlight w:val="none"/>
              </w:rPr>
              <w:t>、垃圾未倾倒在规定地点或焚烧垃圾、树叶的每次扣0.1分。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cs="宋体"/>
                <w:color w:val="000000"/>
                <w:sz w:val="21"/>
                <w:szCs w:val="21"/>
                <w:highlight w:val="none"/>
                <w:lang w:val="en-US" w:eastAsia="zh-CN"/>
              </w:rPr>
              <w:t>3</w:t>
            </w:r>
            <w:r>
              <w:rPr>
                <w:rFonts w:hint="eastAsia" w:ascii="宋体" w:hAnsi="宋体" w:eastAsia="宋体" w:cs="宋体"/>
                <w:color w:val="000000"/>
                <w:sz w:val="21"/>
                <w:szCs w:val="21"/>
                <w:highlight w:val="none"/>
              </w:rPr>
              <w:t>、果壳箱每天清理两次以上，擦洗一次，保持箱体洁净，箱内垃圾不满溢，每发现一次扣0.1分。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cs="宋体"/>
                <w:color w:val="000000"/>
                <w:sz w:val="21"/>
                <w:szCs w:val="21"/>
                <w:highlight w:val="none"/>
                <w:lang w:val="en-US" w:eastAsia="zh-CN"/>
              </w:rPr>
              <w:t>4</w:t>
            </w:r>
            <w:r>
              <w:rPr>
                <w:rFonts w:hint="eastAsia" w:ascii="宋体" w:hAnsi="宋体" w:eastAsia="宋体" w:cs="宋体"/>
                <w:color w:val="000000"/>
                <w:sz w:val="21"/>
                <w:szCs w:val="21"/>
                <w:highlight w:val="none"/>
              </w:rPr>
              <w:t>、 道路两侧废弃物超标或有成堆垃圾的每发现一次扣0.2分。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c>
          <w:tcPr>
            <w:tcW w:w="1049"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监督管理</w:t>
            </w:r>
          </w:p>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落实</w:t>
            </w: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1、 群众投诉等的道路保洁问题，经确认有责的每件问题，扣所在保洁段当月清洁度0.1分；未在规定期限内整改解决的每件问题扣所在保洁段当月清洁度0.1分；重大活动保障不力的，每发生1次扣所在保洁段当月清洁度0.5分；市级以上检查失分的，每发生1次扣所在保洁段当月清洁度0.5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55" w:line="240" w:lineRule="auto"/>
              <w:ind w:left="0" w:leftChars="0" w:right="0" w:rightChars="0" w:firstLine="316" w:firstLineChars="0"/>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2、对非当月被检道路上发现的突出保洁问题，每发生1次，所在保洁段当月清洁度扣0.1分；在规定期限内未落实整改的， 每发生1次，所在保洁段当月清洁度扣0.1分。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firstLine="108" w:firstLineChars="0"/>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3、在次月列入复查的道路（街巷）未在规定时间内落实整改、长效保洁不落实、典型保洁问题不解决的，每发生1次所在保洁段当月清洁度扣0.5分。</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591"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256"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1049"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社会形象</w:t>
            </w: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1、辖区垃圾成堆面貌差，并造成社会不良影响的事件，被国家级媒体曝光的扣4分、省级媒体曝光的扣3分、市级媒体曝光的扣2分、县级媒体曝光的扣1分，累计扣完为止</w:t>
            </w:r>
          </w:p>
        </w:tc>
        <w:tc>
          <w:tcPr>
            <w:tcW w:w="1265"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256" w:firstLineChars="0"/>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68" w:firstLineChars="0"/>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2、对被曝光的问题不及时整改的，该项不得分</w:t>
            </w:r>
          </w:p>
        </w:tc>
        <w:tc>
          <w:tcPr>
            <w:tcW w:w="1265"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256"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c>
          <w:tcPr>
            <w:tcW w:w="1049" w:type="dxa"/>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安全生产管理</w:t>
            </w: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sz w:val="21"/>
                <w:szCs w:val="21"/>
                <w:lang w:val="en-US" w:eastAsia="zh-CN"/>
              </w:rPr>
              <w:t>1、</w:t>
            </w:r>
            <w:r>
              <w:rPr>
                <w:rFonts w:hint="eastAsia" w:ascii="宋体" w:hAnsi="宋体" w:eastAsia="宋体" w:cs="宋体"/>
                <w:color w:val="000000"/>
                <w:sz w:val="21"/>
                <w:szCs w:val="21"/>
                <w:highlight w:val="none"/>
                <w:lang w:val="en-US" w:eastAsia="zh-CN"/>
              </w:rPr>
              <w:t>未及时登记安全工作检查情况、落实情况，扣0.5分；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2、未按规定配备专职安全员的，扣1分；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3、车辆未按规定时间年检、保险，扣1分；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4、驾驶员无证操作，扣1分；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5、未按宿舍管理办法规定执行的，扣0.5分；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6、未发现安全隐患的，扣0.5分；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7、发现安全隐患问题未及时整改的，扣1分；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8、发生安全事故未及时上报的，扣0.5分；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9、发生安全事故瞒报的，扣1分；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color w:val="000000"/>
                <w:sz w:val="21"/>
                <w:szCs w:val="21"/>
                <w:highlight w:val="none"/>
                <w:lang w:val="en-US" w:eastAsia="zh-CN"/>
              </w:rPr>
              <w:t>10、操作人员无证操作或未年检的，扣1分。</w:t>
            </w:r>
          </w:p>
        </w:tc>
        <w:tc>
          <w:tcPr>
            <w:tcW w:w="1265" w:type="dxa"/>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551" w:type="dxa"/>
            <w:gridSpan w:val="3"/>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41"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合计</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41" w:line="240" w:lineRule="auto"/>
              <w:ind w:left="0" w:leftChars="0" w:right="0" w:rightChars="0" w:firstLine="183"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1"/>
        <w:rPr>
          <w:rFonts w:hint="eastAsia" w:ascii="宋体" w:hAnsi="宋体" w:eastAsia="宋体" w:cs="宋体"/>
          <w:b/>
          <w:color w:val="000000"/>
          <w:sz w:val="21"/>
          <w:szCs w:val="21"/>
          <w:highlight w:val="none"/>
          <w:lang w:val="en-US" w:eastAsia="zh-CN"/>
        </w:rPr>
      </w:pPr>
    </w:p>
    <w:p>
      <w:pPr>
        <w:pStyle w:val="28"/>
        <w:rPr>
          <w:rFonts w:hint="eastAsia" w:ascii="宋体" w:hAnsi="宋体" w:eastAsia="宋体" w:cs="宋体"/>
          <w:b/>
          <w:color w:val="000000"/>
          <w:sz w:val="21"/>
          <w:szCs w:val="21"/>
          <w:highlight w:val="none"/>
          <w:lang w:val="en-US" w:eastAsia="zh-CN"/>
        </w:rPr>
      </w:pPr>
    </w:p>
    <w:p>
      <w:pPr>
        <w:rPr>
          <w:rFonts w:hint="eastAsia" w:ascii="宋体" w:hAnsi="宋体" w:eastAsia="宋体" w:cs="宋体"/>
          <w:b/>
          <w:color w:val="000000"/>
          <w:sz w:val="21"/>
          <w:szCs w:val="21"/>
          <w:highlight w:val="none"/>
          <w:lang w:val="en-US" w:eastAsia="zh-CN"/>
        </w:rPr>
      </w:pPr>
    </w:p>
    <w:p>
      <w:pPr>
        <w:pStyle w:val="28"/>
        <w:rPr>
          <w:rFonts w:hint="eastAsia" w:ascii="宋体" w:hAnsi="宋体" w:eastAsia="宋体" w:cs="宋体"/>
          <w:b/>
          <w:color w:val="000000"/>
          <w:sz w:val="21"/>
          <w:szCs w:val="21"/>
          <w:highlight w:val="none"/>
          <w:lang w:val="en-US" w:eastAsia="zh-CN"/>
        </w:rPr>
      </w:pPr>
    </w:p>
    <w:p>
      <w:pPr>
        <w:rPr>
          <w:rFonts w:hint="eastAsia" w:ascii="宋体" w:hAnsi="宋体" w:eastAsia="宋体" w:cs="宋体"/>
          <w:b/>
          <w:color w:val="000000"/>
          <w:sz w:val="21"/>
          <w:szCs w:val="21"/>
          <w:highlight w:val="none"/>
          <w:lang w:val="en-US" w:eastAsia="zh-CN"/>
        </w:rPr>
      </w:pPr>
    </w:p>
    <w:p>
      <w:pPr>
        <w:pStyle w:val="28"/>
        <w:rPr>
          <w:rFonts w:hint="eastAsia"/>
          <w:lang w:val="en-US" w:eastAsia="zh-CN"/>
        </w:rPr>
      </w:pPr>
    </w:p>
    <w:p>
      <w:pPr>
        <w:rPr>
          <w:rFonts w:hint="eastAsia"/>
          <w:lang w:val="en-US" w:eastAsia="zh-CN"/>
        </w:rPr>
      </w:pPr>
    </w:p>
    <w:p>
      <w:pPr>
        <w:pStyle w:val="28"/>
        <w:rPr>
          <w:rFonts w:hint="eastAsia"/>
          <w:lang w:val="en-US" w:eastAsia="zh-CN"/>
        </w:rPr>
      </w:pPr>
    </w:p>
    <w:p>
      <w:pPr>
        <w:rPr>
          <w:rFonts w:hint="eastAsia"/>
          <w:lang w:val="en-US" w:eastAsia="zh-CN"/>
        </w:rPr>
      </w:pPr>
    </w:p>
    <w:p>
      <w:pPr>
        <w:pStyle w:val="28"/>
        <w:rPr>
          <w:rFonts w:hint="eastAsia"/>
          <w:lang w:val="en-US" w:eastAsia="zh-CN"/>
        </w:rPr>
      </w:pPr>
    </w:p>
    <w:p>
      <w:pPr>
        <w:rPr>
          <w:rFonts w:hint="eastAsia"/>
          <w:lang w:val="en-US" w:eastAsia="zh-CN"/>
        </w:rPr>
      </w:pPr>
    </w:p>
    <w:p>
      <w:pPr>
        <w:pStyle w:val="28"/>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1"/>
        <w:rPr>
          <w:rFonts w:hint="eastAsia" w:ascii="宋体" w:hAnsi="宋体" w:eastAsia="宋体" w:cs="宋体"/>
          <w:b/>
          <w:color w:val="000000"/>
          <w:sz w:val="21"/>
          <w:szCs w:val="21"/>
          <w:highlight w:val="none"/>
          <w:lang w:val="en-US" w:eastAsia="zh-CN"/>
        </w:rPr>
      </w:pPr>
    </w:p>
    <w:p>
      <w:pPr>
        <w:pStyle w:val="28"/>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1687" w:firstLineChars="800"/>
        <w:jc w:val="both"/>
        <w:textAlignment w:val="auto"/>
        <w:outlineLvl w:val="1"/>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val="en-US" w:eastAsia="zh-CN"/>
        </w:rPr>
        <w:t>3-2宁海县桥头胡街道</w:t>
      </w:r>
      <w:r>
        <w:rPr>
          <w:rFonts w:hint="eastAsia" w:ascii="宋体" w:hAnsi="宋体" w:eastAsia="宋体" w:cs="宋体"/>
          <w:b/>
          <w:color w:val="000000"/>
          <w:sz w:val="21"/>
          <w:szCs w:val="21"/>
          <w:highlight w:val="none"/>
        </w:rPr>
        <w:t>环卫保洁作业标准及考核细则（</w:t>
      </w:r>
      <w:r>
        <w:rPr>
          <w:rFonts w:hint="eastAsia" w:ascii="宋体" w:hAnsi="宋体" w:eastAsia="宋体" w:cs="宋体"/>
          <w:b/>
          <w:color w:val="000000"/>
          <w:sz w:val="21"/>
          <w:szCs w:val="21"/>
          <w:highlight w:val="none"/>
          <w:lang w:eastAsia="zh-CN"/>
        </w:rPr>
        <w:t>垃圾清运</w:t>
      </w:r>
      <w:r>
        <w:rPr>
          <w:rFonts w:hint="eastAsia" w:ascii="宋体" w:hAnsi="宋体" w:eastAsia="宋体" w:cs="宋体"/>
          <w:b/>
          <w:color w:val="000000"/>
          <w:sz w:val="21"/>
          <w:szCs w:val="21"/>
          <w:highlight w:val="none"/>
        </w:rPr>
        <w:t>）</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1"/>
        <w:gridCol w:w="1049"/>
        <w:gridCol w:w="5964"/>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exact"/>
          <w:tblHeader/>
          <w:jc w:val="center"/>
        </w:trPr>
        <w:tc>
          <w:tcPr>
            <w:tcW w:w="5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01" w:beforeLines="0" w:afterLines="0" w:line="240" w:lineRule="auto"/>
              <w:ind w:left="0" w:leftChars="0" w:right="0" w:rightChars="0" w:firstLine="85"/>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104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01" w:beforeLines="0" w:afterLines="0" w:line="240" w:lineRule="auto"/>
              <w:ind w:left="0" w:leftChars="0" w:right="0" w:rightChars="0" w:firstLine="108"/>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考核项目</w:t>
            </w: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01" w:beforeLines="0" w:afterLines="0" w:line="240" w:lineRule="auto"/>
              <w:ind w:left="0" w:leftChars="0" w:right="0" w:rightChars="0" w:firstLine="1842"/>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考核内容及评分标准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01" w:beforeLines="0" w:afterLines="0" w:line="240" w:lineRule="auto"/>
              <w:ind w:left="0" w:leftChars="0" w:right="0" w:rightChars="0" w:firstLine="114"/>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分值比例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591"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1049"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工作保障</w:t>
            </w:r>
          </w:p>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机制及管</w:t>
            </w:r>
          </w:p>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理措施</w:t>
            </w:r>
          </w:p>
        </w:tc>
        <w:tc>
          <w:tcPr>
            <w:tcW w:w="5964"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0" w:beforeLines="0" w:afterLines="0" w:line="240" w:lineRule="auto"/>
              <w:ind w:left="0" w:leftChars="0" w:right="0" w:rightChars="0" w:firstLine="85"/>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1、有组织机构。承包单位组织机构分工明确，能顺利找到相关责任人。没有落实或落实不全面， 每发现一个保洁段扣 0. 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2、切实保障环卫工人合法权益，无因劳资纠纷引起的群体性事件发生， 每发生一次扣2分。</w:t>
            </w:r>
          </w:p>
        </w:tc>
        <w:tc>
          <w:tcPr>
            <w:tcW w:w="1317"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8"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firstLine="84"/>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3、具有一套完整的</w:t>
            </w:r>
            <w:r>
              <w:rPr>
                <w:rFonts w:hint="eastAsia" w:ascii="宋体" w:hAnsi="宋体" w:cs="宋体"/>
                <w:color w:val="000000"/>
                <w:sz w:val="21"/>
                <w:szCs w:val="21"/>
                <w:highlight w:val="none"/>
                <w:lang w:eastAsia="zh-CN"/>
              </w:rPr>
              <w:t>垃圾清运</w:t>
            </w:r>
            <w:r>
              <w:rPr>
                <w:rFonts w:hint="eastAsia" w:ascii="宋体" w:hAnsi="宋体" w:eastAsia="宋体" w:cs="宋体"/>
                <w:color w:val="000000"/>
                <w:sz w:val="21"/>
                <w:szCs w:val="21"/>
                <w:highlight w:val="none"/>
              </w:rPr>
              <w:t>制度，没有制度扣</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分。</w:t>
            </w:r>
          </w:p>
        </w:tc>
        <w:tc>
          <w:tcPr>
            <w:tcW w:w="1317"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78"/>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4、具有一套完整的内部考核机制，完善管理制度，没有机制或制度扣</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分。</w:t>
            </w:r>
          </w:p>
        </w:tc>
        <w:tc>
          <w:tcPr>
            <w:tcW w:w="1317"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5、按规定配备</w:t>
            </w:r>
            <w:r>
              <w:rPr>
                <w:rFonts w:hint="eastAsia" w:ascii="宋体" w:hAnsi="宋体" w:eastAsia="宋体" w:cs="宋体"/>
                <w:color w:val="000000"/>
                <w:sz w:val="21"/>
                <w:szCs w:val="21"/>
                <w:highlight w:val="none"/>
                <w:lang w:eastAsia="zh-CN"/>
              </w:rPr>
              <w:t>司机和随车人员</w:t>
            </w:r>
            <w:r>
              <w:rPr>
                <w:rFonts w:hint="eastAsia" w:ascii="宋体" w:hAnsi="宋体" w:eastAsia="宋体" w:cs="宋体"/>
                <w:color w:val="000000"/>
                <w:sz w:val="21"/>
                <w:szCs w:val="21"/>
                <w:highlight w:val="none"/>
              </w:rPr>
              <w:t>， 未按规定每少一人扣 0. 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8"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55" w:beforeLines="0" w:afterLines="0" w:line="240" w:lineRule="auto"/>
              <w:ind w:left="0" w:leftChars="0" w:right="0" w:rightChars="0" w:firstLine="68"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r>
              <w:rPr>
                <w:rFonts w:hint="eastAsia" w:ascii="宋体" w:hAnsi="宋体" w:eastAsia="宋体" w:cs="宋体"/>
                <w:color w:val="000000"/>
                <w:sz w:val="21"/>
                <w:szCs w:val="21"/>
                <w:highlight w:val="none"/>
                <w:lang w:eastAsia="zh-CN"/>
              </w:rPr>
              <w:t>垃圾清运车辆使用、维保制度，没有制度扣</w:t>
            </w:r>
            <w:r>
              <w:rPr>
                <w:rFonts w:hint="eastAsia" w:ascii="宋体" w:hAnsi="宋体" w:eastAsia="宋体" w:cs="宋体"/>
                <w:color w:val="000000"/>
                <w:sz w:val="21"/>
                <w:szCs w:val="21"/>
                <w:highlight w:val="none"/>
                <w:lang w:val="en-US" w:eastAsia="zh-CN"/>
              </w:rPr>
              <w:t>3分。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55" w:beforeLines="0" w:afterLines="0" w:line="240" w:lineRule="auto"/>
              <w:ind w:left="0" w:leftChars="0" w:right="0" w:rightChars="0" w:firstLine="68"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7、垃圾清运实行定点定车定人，固定清运的原则，不满足扣2分。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 w:hRule="atLeast"/>
          <w:jc w:val="center"/>
        </w:trPr>
        <w:tc>
          <w:tcPr>
            <w:tcW w:w="591"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p>
        </w:tc>
        <w:tc>
          <w:tcPr>
            <w:tcW w:w="1049"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垃圾清运质量</w:t>
            </w:r>
            <w:r>
              <w:rPr>
                <w:rFonts w:hint="eastAsia" w:ascii="宋体" w:hAnsi="宋体" w:eastAsia="宋体" w:cs="宋体"/>
                <w:color w:val="000000"/>
                <w:sz w:val="21"/>
                <w:szCs w:val="21"/>
                <w:highlight w:val="none"/>
              </w:rPr>
              <w:t>情况及作业规范</w:t>
            </w:r>
          </w:p>
        </w:tc>
        <w:tc>
          <w:tcPr>
            <w:tcW w:w="5964"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55" w:beforeLines="0" w:afterLines="0" w:line="240" w:lineRule="auto"/>
              <w:ind w:left="0" w:leftChars="0" w:right="0" w:rightChars="0" w:firstLine="68"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eastAsia="zh-CN"/>
              </w:rPr>
              <w:t>生活垃圾日产日清、积尘、破损、设备完好无损，实行密闭运输发生抛洒滴漏污染路面、车厢外有吊挂垃圾等问题，每次扣</w:t>
            </w:r>
            <w:r>
              <w:rPr>
                <w:rFonts w:hint="eastAsia" w:ascii="宋体" w:hAnsi="宋体" w:eastAsia="宋体" w:cs="宋体"/>
                <w:color w:val="000000"/>
                <w:sz w:val="21"/>
                <w:szCs w:val="21"/>
                <w:highlight w:val="none"/>
                <w:lang w:val="en-US" w:eastAsia="zh-CN"/>
              </w:rPr>
              <w:t>0.5分。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r>
              <w:rPr>
                <w:rFonts w:hint="eastAsia" w:ascii="宋体" w:hAnsi="宋体" w:eastAsia="宋体" w:cs="宋体"/>
                <w:color w:val="000000"/>
                <w:sz w:val="21"/>
                <w:szCs w:val="21"/>
                <w:highlight w:val="none"/>
                <w:lang w:eastAsia="zh-CN"/>
              </w:rPr>
              <w:t>垃圾清运车外观不洁、积尘、破损、设备完好无损，实行密闭运输发生抛洒滴漏污染路面、车厢外有吊挂垃圾等问题，每次扣</w:t>
            </w:r>
            <w:r>
              <w:rPr>
                <w:rFonts w:hint="eastAsia" w:ascii="宋体" w:hAnsi="宋体" w:eastAsia="宋体" w:cs="宋体"/>
                <w:color w:val="000000"/>
                <w:sz w:val="21"/>
                <w:szCs w:val="21"/>
                <w:highlight w:val="none"/>
                <w:lang w:val="en-US" w:eastAsia="zh-CN"/>
              </w:rPr>
              <w:t>0.5分。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5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r>
              <w:rPr>
                <w:rFonts w:hint="eastAsia" w:ascii="宋体" w:hAnsi="宋体" w:eastAsia="宋体" w:cs="宋体"/>
                <w:color w:val="000000"/>
                <w:sz w:val="21"/>
                <w:szCs w:val="21"/>
                <w:highlight w:val="none"/>
                <w:lang w:eastAsia="zh-CN"/>
              </w:rPr>
              <w:t>垃圾清运车将垃圾直接接触路面（或地面）进行转运的每次扣</w:t>
            </w:r>
            <w:r>
              <w:rPr>
                <w:rFonts w:hint="eastAsia" w:ascii="宋体" w:hAnsi="宋体" w:eastAsia="宋体" w:cs="宋体"/>
                <w:color w:val="000000"/>
                <w:sz w:val="21"/>
                <w:szCs w:val="21"/>
                <w:highlight w:val="none"/>
                <w:lang w:val="en-US" w:eastAsia="zh-CN"/>
              </w:rPr>
              <w:t>0.2分；垃圾盘布清扫干净，做到车走地净，每发现一次不合格扣0.1分。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78"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r>
              <w:rPr>
                <w:rFonts w:hint="eastAsia" w:ascii="宋体" w:hAnsi="宋体" w:eastAsia="宋体" w:cs="宋体"/>
                <w:color w:val="000000"/>
                <w:sz w:val="21"/>
                <w:szCs w:val="21"/>
                <w:highlight w:val="none"/>
                <w:lang w:eastAsia="zh-CN"/>
              </w:rPr>
              <w:t>垃圾清运不及时，垃圾超出果壳箱、垃圾桶投放口平面的每处扣</w:t>
            </w:r>
            <w:r>
              <w:rPr>
                <w:rFonts w:hint="eastAsia" w:ascii="宋体" w:hAnsi="宋体" w:eastAsia="宋体" w:cs="宋体"/>
                <w:color w:val="000000"/>
                <w:sz w:val="21"/>
                <w:szCs w:val="21"/>
                <w:highlight w:val="none"/>
                <w:lang w:val="en-US" w:eastAsia="zh-CN"/>
              </w:rPr>
              <w:t>0.1分。垃圾收集容器边有暴露垃圾的每处扣0.1分。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w:t>
            </w:r>
            <w:r>
              <w:rPr>
                <w:rFonts w:hint="eastAsia" w:ascii="宋体" w:hAnsi="宋体" w:eastAsia="宋体" w:cs="宋体"/>
                <w:color w:val="000000"/>
                <w:sz w:val="21"/>
                <w:szCs w:val="21"/>
                <w:highlight w:val="none"/>
                <w:lang w:eastAsia="zh-CN"/>
              </w:rPr>
              <w:t>垃圾必须排放在指定地点，不得乱倒滥卸，每发现一次未排放到指定地点或乱倒滥卸扣</w:t>
            </w:r>
            <w:r>
              <w:rPr>
                <w:rFonts w:hint="eastAsia" w:ascii="宋体" w:hAnsi="宋体" w:eastAsia="宋体" w:cs="宋体"/>
                <w:color w:val="000000"/>
                <w:sz w:val="21"/>
                <w:szCs w:val="21"/>
                <w:highlight w:val="none"/>
                <w:lang w:val="en-US" w:eastAsia="zh-CN"/>
              </w:rPr>
              <w:t>0.5分。</w:t>
            </w:r>
          </w:p>
        </w:tc>
        <w:tc>
          <w:tcPr>
            <w:tcW w:w="1317"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r>
              <w:rPr>
                <w:rFonts w:hint="eastAsia" w:ascii="宋体" w:hAnsi="宋体" w:eastAsia="宋体" w:cs="宋体"/>
                <w:color w:val="000000"/>
                <w:sz w:val="21"/>
                <w:szCs w:val="21"/>
                <w:highlight w:val="none"/>
                <w:lang w:eastAsia="zh-CN"/>
              </w:rPr>
              <w:t>垃圾清运车司机必须持证上岗，不允许搞其他营运活动，每发现一次扣</w:t>
            </w:r>
            <w:r>
              <w:rPr>
                <w:rFonts w:hint="eastAsia" w:ascii="宋体" w:hAnsi="宋体" w:eastAsia="宋体" w:cs="宋体"/>
                <w:color w:val="000000"/>
                <w:sz w:val="21"/>
                <w:szCs w:val="21"/>
                <w:highlight w:val="none"/>
                <w:lang w:val="en-US" w:eastAsia="zh-CN"/>
              </w:rPr>
              <w:t>0.5分。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w:t>
            </w:r>
            <w:r>
              <w:rPr>
                <w:rFonts w:hint="eastAsia" w:ascii="宋体" w:hAnsi="宋体" w:eastAsia="宋体" w:cs="宋体"/>
                <w:color w:val="000000"/>
                <w:sz w:val="21"/>
                <w:szCs w:val="21"/>
                <w:highlight w:val="none"/>
                <w:lang w:eastAsia="zh-CN"/>
              </w:rPr>
              <w:t>垃圾容器如有遗失、损坏的应及时逐级上报并查追，否则每发现少一个垃圾容器扣</w:t>
            </w:r>
            <w:r>
              <w:rPr>
                <w:rFonts w:hint="eastAsia" w:ascii="宋体" w:hAnsi="宋体" w:eastAsia="宋体" w:cs="宋体"/>
                <w:color w:val="000000"/>
                <w:sz w:val="21"/>
                <w:szCs w:val="21"/>
                <w:highlight w:val="none"/>
                <w:lang w:val="en-US" w:eastAsia="zh-CN"/>
              </w:rPr>
              <w:t>0.5分。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w:t>
            </w:r>
            <w:r>
              <w:rPr>
                <w:rFonts w:hint="eastAsia" w:ascii="宋体" w:hAnsi="宋体" w:eastAsia="宋体" w:cs="宋体"/>
                <w:color w:val="000000"/>
                <w:sz w:val="21"/>
                <w:szCs w:val="21"/>
                <w:highlight w:val="none"/>
                <w:lang w:eastAsia="zh-CN"/>
              </w:rPr>
              <w:t>垃圾容器需摆正放端，否则每发现一个垃圾箱歪斜扣</w:t>
            </w:r>
            <w:r>
              <w:rPr>
                <w:rFonts w:hint="eastAsia" w:ascii="宋体" w:hAnsi="宋体" w:eastAsia="宋体" w:cs="宋体"/>
                <w:color w:val="000000"/>
                <w:sz w:val="21"/>
                <w:szCs w:val="21"/>
                <w:highlight w:val="none"/>
                <w:lang w:val="en-US" w:eastAsia="zh-CN"/>
              </w:rPr>
              <w:t>0.2分。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9、</w:t>
            </w:r>
            <w:r>
              <w:rPr>
                <w:rFonts w:hint="eastAsia" w:ascii="宋体" w:hAnsi="宋体" w:eastAsia="宋体" w:cs="宋体"/>
                <w:color w:val="000000"/>
                <w:sz w:val="21"/>
                <w:szCs w:val="21"/>
                <w:highlight w:val="none"/>
                <w:lang w:eastAsia="zh-CN"/>
              </w:rPr>
              <w:t>垃圾清运司机必须严格遵守安全管理规定，自觉遵守交通法规，做到不酒后驾车、疲劳驾车、带病驾车，确保安全。每发现一次不安全行为扣</w:t>
            </w:r>
            <w:r>
              <w:rPr>
                <w:rFonts w:hint="eastAsia" w:ascii="宋体" w:hAnsi="宋体" w:eastAsia="宋体" w:cs="宋体"/>
                <w:color w:val="000000"/>
                <w:sz w:val="21"/>
                <w:szCs w:val="21"/>
                <w:highlight w:val="none"/>
                <w:lang w:val="en-US" w:eastAsia="zh-CN"/>
              </w:rPr>
              <w:t>0.5分。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2"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w:t>
            </w:r>
            <w:r>
              <w:rPr>
                <w:rFonts w:hint="eastAsia" w:ascii="宋体" w:hAnsi="宋体" w:eastAsia="宋体" w:cs="宋体"/>
                <w:color w:val="000000"/>
                <w:sz w:val="21"/>
                <w:szCs w:val="21"/>
                <w:highlight w:val="none"/>
                <w:lang w:eastAsia="zh-CN"/>
              </w:rPr>
              <w:t>每天必须按时完成清运任务，否则每发现一次扣</w:t>
            </w:r>
            <w:r>
              <w:rPr>
                <w:rFonts w:hint="eastAsia" w:ascii="宋体" w:hAnsi="宋体" w:eastAsia="宋体" w:cs="宋体"/>
                <w:color w:val="000000"/>
                <w:sz w:val="21"/>
                <w:szCs w:val="21"/>
                <w:highlight w:val="none"/>
                <w:lang w:val="en-US" w:eastAsia="zh-CN"/>
              </w:rPr>
              <w:t>0.5分。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c>
          <w:tcPr>
            <w:tcW w:w="1049"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监督管理</w:t>
            </w:r>
          </w:p>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落实</w:t>
            </w: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0"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1、 群众投诉等的</w:t>
            </w:r>
            <w:r>
              <w:rPr>
                <w:rFonts w:hint="eastAsia" w:ascii="宋体" w:hAnsi="宋体" w:eastAsia="宋体" w:cs="宋体"/>
                <w:color w:val="000000"/>
                <w:sz w:val="21"/>
                <w:szCs w:val="21"/>
                <w:highlight w:val="none"/>
                <w:lang w:eastAsia="zh-CN"/>
              </w:rPr>
              <w:t>垃圾清运</w:t>
            </w:r>
            <w:r>
              <w:rPr>
                <w:rFonts w:hint="eastAsia" w:ascii="宋体" w:hAnsi="宋体" w:eastAsia="宋体" w:cs="宋体"/>
                <w:color w:val="000000"/>
                <w:sz w:val="21"/>
                <w:szCs w:val="21"/>
                <w:highlight w:val="none"/>
              </w:rPr>
              <w:t>问题， 经确认有责的每件问题，扣所在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0.</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分； 未在规定期限内整改解决的每件问题扣所在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0.</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分；重大活动保障不力的，每发生1次扣所在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0.</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分；市级以上检查失分的，每发生1次扣所在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0.5分。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55" w:line="240" w:lineRule="auto"/>
              <w:ind w:left="0" w:leftChars="0" w:right="0" w:rightChars="0" w:firstLine="316" w:firstLine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0"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2、对非当月被检</w:t>
            </w:r>
            <w:r>
              <w:rPr>
                <w:rFonts w:hint="eastAsia" w:ascii="宋体" w:hAnsi="宋体" w:eastAsia="宋体" w:cs="宋体"/>
                <w:color w:val="000000"/>
                <w:sz w:val="21"/>
                <w:szCs w:val="21"/>
                <w:highlight w:val="none"/>
                <w:lang w:eastAsia="zh-CN"/>
              </w:rPr>
              <w:t>片区上</w:t>
            </w:r>
            <w:r>
              <w:rPr>
                <w:rFonts w:hint="eastAsia" w:ascii="宋体" w:hAnsi="宋体" w:eastAsia="宋体" w:cs="宋体"/>
                <w:color w:val="000000"/>
                <w:sz w:val="21"/>
                <w:szCs w:val="21"/>
                <w:highlight w:val="none"/>
              </w:rPr>
              <w:t>发现的突出问题，每发生1次，所在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扣 0. 1分；在规定期限内未落实整改的， 每发生1次，所在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扣 0. 1分。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firstLine="108" w:firstLine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0"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3、在次月列入复查的</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未在规定时间内落实整改、长效保洁不落实、典型保洁问题不解决的，每发生1次所在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扣 0. 5分。</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256" w:firstLine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1049"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社会形象</w:t>
            </w: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0"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1、辖区垃圾成堆面貌差，并造成社会不良影响的事件，被国家级媒体曝光的扣4分、省级媒体曝光的扣3分、市级媒体曝光的扣2分、县级媒体曝光的扣1分，累计扣完为止</w:t>
            </w:r>
          </w:p>
        </w:tc>
        <w:tc>
          <w:tcPr>
            <w:tcW w:w="1317"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2"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256" w:firstLine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2、对被曝光的问题不及时整改的，该项不得分</w:t>
            </w:r>
          </w:p>
        </w:tc>
        <w:tc>
          <w:tcPr>
            <w:tcW w:w="1317"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256"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c>
          <w:tcPr>
            <w:tcW w:w="1049" w:type="dxa"/>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安全生产管理</w:t>
            </w: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sz w:val="21"/>
                <w:szCs w:val="21"/>
                <w:lang w:val="en-US" w:eastAsia="zh-CN"/>
              </w:rPr>
              <w:t>1、</w:t>
            </w:r>
            <w:r>
              <w:rPr>
                <w:rFonts w:hint="eastAsia" w:ascii="宋体" w:hAnsi="宋体" w:eastAsia="宋体" w:cs="宋体"/>
                <w:color w:val="000000"/>
                <w:sz w:val="21"/>
                <w:szCs w:val="21"/>
                <w:highlight w:val="none"/>
                <w:lang w:val="en-US" w:eastAsia="zh-CN"/>
              </w:rPr>
              <w:t>未及时登记安全工作检查情况、落实情况，扣0.5分；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2、未按规定配备专职安全员的，扣1分；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3、车辆未按规定时间年检、保险，扣1分；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4、驾驶员无证操作，扣1分；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5、发生安全事故未及时上报的，扣0.5分；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6、发生安全事故瞒报的，扣1分；</w:t>
            </w:r>
          </w:p>
        </w:tc>
        <w:tc>
          <w:tcPr>
            <w:tcW w:w="1317" w:type="dxa"/>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jc w:val="center"/>
        </w:trPr>
        <w:tc>
          <w:tcPr>
            <w:tcW w:w="591" w:type="dxa"/>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256" w:firstLineChars="0"/>
              <w:jc w:val="center"/>
              <w:textAlignment w:val="auto"/>
              <w:outlineLvl w:val="9"/>
              <w:rPr>
                <w:rFonts w:hint="eastAsia" w:ascii="宋体" w:hAnsi="宋体" w:eastAsia="宋体" w:cs="宋体"/>
                <w:color w:val="000000"/>
                <w:sz w:val="21"/>
                <w:szCs w:val="21"/>
                <w:highlight w:val="none"/>
              </w:rPr>
            </w:pPr>
          </w:p>
        </w:tc>
        <w:tc>
          <w:tcPr>
            <w:tcW w:w="1049" w:type="dxa"/>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41" w:line="240" w:lineRule="auto"/>
              <w:ind w:left="0" w:leftChars="0" w:right="0" w:rightChars="0" w:firstLine="68"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合计</w:t>
            </w:r>
          </w:p>
        </w:tc>
        <w:tc>
          <w:tcPr>
            <w:tcW w:w="13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41" w:line="240" w:lineRule="auto"/>
              <w:ind w:left="0" w:leftChars="0" w:right="0" w:rightChars="0" w:firstLine="183"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100</w:t>
            </w:r>
          </w:p>
        </w:tc>
      </w:tr>
    </w:tbl>
    <w:p>
      <w:pPr>
        <w:spacing w:line="440" w:lineRule="exact"/>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br w:type="page"/>
      </w:r>
      <w:r>
        <w:rPr>
          <w:rFonts w:hint="eastAsia" w:ascii="宋体" w:hAnsi="宋体" w:eastAsia="宋体" w:cs="宋体"/>
          <w:b/>
          <w:color w:val="000000"/>
          <w:sz w:val="21"/>
          <w:szCs w:val="21"/>
          <w:highlight w:val="none"/>
          <w:lang w:val="en-US" w:eastAsia="zh-CN"/>
        </w:rPr>
        <w:t>3-</w:t>
      </w:r>
      <w:r>
        <w:rPr>
          <w:rFonts w:hint="eastAsia" w:ascii="宋体" w:hAnsi="宋体" w:cs="宋体"/>
          <w:b/>
          <w:color w:val="000000"/>
          <w:sz w:val="21"/>
          <w:szCs w:val="21"/>
          <w:highlight w:val="none"/>
          <w:lang w:val="en-US" w:eastAsia="zh-CN"/>
        </w:rPr>
        <w:t>3</w:t>
      </w:r>
      <w:r>
        <w:rPr>
          <w:rFonts w:hint="eastAsia" w:ascii="宋体" w:hAnsi="宋体" w:eastAsia="宋体" w:cs="宋体"/>
          <w:b/>
          <w:color w:val="000000"/>
          <w:sz w:val="21"/>
          <w:szCs w:val="21"/>
          <w:highlight w:val="none"/>
          <w:lang w:val="en-US" w:eastAsia="zh-CN"/>
        </w:rPr>
        <w:t>宁海县桥头胡街道</w:t>
      </w:r>
      <w:r>
        <w:rPr>
          <w:rFonts w:hint="eastAsia" w:ascii="宋体" w:hAnsi="宋体" w:eastAsia="宋体" w:cs="宋体"/>
          <w:b/>
          <w:color w:val="000000"/>
          <w:sz w:val="21"/>
          <w:szCs w:val="21"/>
          <w:highlight w:val="none"/>
        </w:rPr>
        <w:t>环卫保洁作业标准及考核细则（</w:t>
      </w:r>
      <w:r>
        <w:rPr>
          <w:rFonts w:hint="eastAsia" w:ascii="宋体" w:hAnsi="宋体" w:cs="宋体"/>
          <w:b/>
          <w:color w:val="000000"/>
          <w:sz w:val="21"/>
          <w:szCs w:val="21"/>
          <w:highlight w:val="none"/>
          <w:lang w:eastAsia="zh-CN"/>
        </w:rPr>
        <w:t>河道保洁</w:t>
      </w:r>
      <w:r>
        <w:rPr>
          <w:rFonts w:hint="eastAsia" w:ascii="宋体" w:hAnsi="宋体" w:eastAsia="宋体" w:cs="宋体"/>
          <w:b/>
          <w:color w:val="000000"/>
          <w:sz w:val="21"/>
          <w:szCs w:val="21"/>
          <w:highlight w:val="none"/>
        </w:rPr>
        <w:t>）</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425"/>
        <w:gridCol w:w="589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noWrap w:val="0"/>
            <w:vAlign w:val="center"/>
          </w:tcPr>
          <w:p>
            <w:pPr>
              <w:snapToGrid w:val="0"/>
              <w:spacing w:before="95" w:beforeLines="0" w:afterLines="0" w:line="360" w:lineRule="auto"/>
              <w:ind w:firstLine="84"/>
              <w:jc w:val="both"/>
              <w:outlineLvl w:val="9"/>
              <w:rPr>
                <w:rFonts w:hint="eastAsia" w:ascii="宋体" w:hAnsi="宋体" w:cs="宋体"/>
                <w:b w:val="0"/>
                <w:bCs w:val="0"/>
                <w:color w:val="000000"/>
                <w:sz w:val="21"/>
                <w:szCs w:val="21"/>
                <w:highlight w:val="none"/>
                <w:vertAlign w:val="baseline"/>
                <w:lang w:eastAsia="zh-CN"/>
              </w:rPr>
            </w:pPr>
            <w:r>
              <w:rPr>
                <w:rFonts w:hint="eastAsia" w:ascii="宋体" w:hAnsi="宋体" w:cs="宋体"/>
                <w:b w:val="0"/>
                <w:bCs w:val="0"/>
                <w:color w:val="000000"/>
                <w:sz w:val="21"/>
                <w:szCs w:val="21"/>
                <w:highlight w:val="none"/>
                <w:lang w:eastAsia="zh-CN"/>
              </w:rPr>
              <w:t>编号</w:t>
            </w:r>
          </w:p>
        </w:tc>
        <w:tc>
          <w:tcPr>
            <w:tcW w:w="1425" w:type="dxa"/>
            <w:noWrap w:val="0"/>
            <w:vAlign w:val="center"/>
          </w:tcPr>
          <w:p>
            <w:pPr>
              <w:snapToGrid w:val="0"/>
              <w:spacing w:before="95" w:beforeLines="0" w:afterLines="0" w:line="360" w:lineRule="auto"/>
              <w:ind w:firstLine="84"/>
              <w:jc w:val="both"/>
              <w:outlineLvl w:val="9"/>
              <w:rPr>
                <w:rFonts w:hint="eastAsia" w:ascii="宋体" w:hAnsi="宋体" w:cs="宋体"/>
                <w:b w:val="0"/>
                <w:bCs w:val="0"/>
                <w:color w:val="000000"/>
                <w:sz w:val="21"/>
                <w:szCs w:val="21"/>
                <w:highlight w:val="none"/>
                <w:vertAlign w:val="baseline"/>
                <w:lang w:eastAsia="zh-CN"/>
              </w:rPr>
            </w:pPr>
            <w:r>
              <w:rPr>
                <w:rFonts w:hint="eastAsia" w:ascii="宋体" w:hAnsi="宋体" w:cs="宋体"/>
                <w:b w:val="0"/>
                <w:bCs w:val="0"/>
                <w:color w:val="000000"/>
                <w:sz w:val="21"/>
                <w:szCs w:val="21"/>
                <w:highlight w:val="none"/>
                <w:vertAlign w:val="baseline"/>
                <w:lang w:eastAsia="zh-CN"/>
              </w:rPr>
              <w:t>考核项目</w:t>
            </w:r>
          </w:p>
        </w:tc>
        <w:tc>
          <w:tcPr>
            <w:tcW w:w="5895" w:type="dxa"/>
            <w:noWrap w:val="0"/>
            <w:vAlign w:val="center"/>
          </w:tcPr>
          <w:p>
            <w:pPr>
              <w:snapToGrid w:val="0"/>
              <w:spacing w:before="95" w:beforeLines="0" w:afterLines="0" w:line="360" w:lineRule="auto"/>
              <w:ind w:firstLine="84"/>
              <w:jc w:val="center"/>
              <w:outlineLvl w:val="9"/>
              <w:rPr>
                <w:rFonts w:hint="eastAsia" w:ascii="宋体" w:hAnsi="宋体" w:cs="宋体"/>
                <w:b w:val="0"/>
                <w:bCs w:val="0"/>
                <w:color w:val="000000"/>
                <w:sz w:val="21"/>
                <w:szCs w:val="21"/>
                <w:highlight w:val="none"/>
                <w:vertAlign w:val="baseline"/>
                <w:lang w:eastAsia="zh-CN"/>
              </w:rPr>
            </w:pPr>
            <w:r>
              <w:rPr>
                <w:rFonts w:hint="eastAsia" w:ascii="宋体" w:hAnsi="宋体" w:eastAsia="宋体" w:cs="宋体"/>
                <w:color w:val="000000"/>
                <w:sz w:val="21"/>
                <w:szCs w:val="21"/>
                <w:highlight w:val="none"/>
              </w:rPr>
              <w:t>考核内容及评分标准</w:t>
            </w:r>
          </w:p>
        </w:tc>
        <w:tc>
          <w:tcPr>
            <w:tcW w:w="1305" w:type="dxa"/>
            <w:noWrap w:val="0"/>
            <w:vAlign w:val="center"/>
          </w:tcPr>
          <w:p>
            <w:pPr>
              <w:snapToGrid w:val="0"/>
              <w:spacing w:before="95" w:beforeLines="0" w:afterLines="0" w:line="360" w:lineRule="auto"/>
              <w:ind w:firstLine="84"/>
              <w:jc w:val="both"/>
              <w:outlineLvl w:val="9"/>
              <w:rPr>
                <w:rFonts w:hint="eastAsia" w:ascii="宋体" w:hAnsi="宋体" w:cs="宋体"/>
                <w:b w:val="0"/>
                <w:bCs w:val="0"/>
                <w:color w:val="000000"/>
                <w:sz w:val="21"/>
                <w:szCs w:val="21"/>
                <w:highlight w:val="none"/>
                <w:vertAlign w:val="baseline"/>
                <w:lang w:eastAsia="zh-CN"/>
              </w:rPr>
            </w:pPr>
            <w:r>
              <w:rPr>
                <w:rFonts w:hint="eastAsia" w:ascii="宋体" w:hAnsi="宋体" w:cs="宋体"/>
                <w:b w:val="0"/>
                <w:bCs w:val="0"/>
                <w:color w:val="000000"/>
                <w:sz w:val="21"/>
                <w:szCs w:val="21"/>
                <w:highlight w:val="none"/>
                <w:vertAlign w:val="baseline"/>
                <w:lang w:eastAsia="zh-CN"/>
              </w:rPr>
              <w:t>分值比例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hRule="atLeast"/>
        </w:trPr>
        <w:tc>
          <w:tcPr>
            <w:tcW w:w="624" w:type="dxa"/>
            <w:vMerge w:val="restart"/>
            <w:noWrap w:val="0"/>
            <w:vAlign w:val="center"/>
          </w:tcPr>
          <w:p>
            <w:pPr>
              <w:pStyle w:val="11"/>
              <w:spacing w:after="120" w:afterLines="50" w:line="36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一</w:t>
            </w:r>
          </w:p>
        </w:tc>
        <w:tc>
          <w:tcPr>
            <w:tcW w:w="1425" w:type="dxa"/>
            <w:vMerge w:val="restart"/>
            <w:noWrap w:val="0"/>
            <w:vAlign w:val="center"/>
          </w:tcPr>
          <w:p>
            <w:pPr>
              <w:pStyle w:val="11"/>
              <w:spacing w:after="120" w:afterLines="50" w:line="36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管理机制</w:t>
            </w:r>
          </w:p>
        </w:tc>
        <w:tc>
          <w:tcPr>
            <w:tcW w:w="5895" w:type="dxa"/>
            <w:noWrap w:val="0"/>
            <w:vAlign w:val="top"/>
          </w:tcPr>
          <w:p>
            <w:pPr>
              <w:pStyle w:val="11"/>
              <w:spacing w:after="120" w:afterLines="50" w:line="36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承包单位落实专人负责桥头胡街道的河道保洁长效管理工作的，得</w:t>
            </w:r>
            <w:r>
              <w:rPr>
                <w:rFonts w:hint="eastAsia"/>
                <w:b w:val="0"/>
                <w:bCs w:val="0"/>
                <w:sz w:val="21"/>
                <w:szCs w:val="21"/>
                <w:vertAlign w:val="baseline"/>
                <w:lang w:val="en-US" w:eastAsia="zh-CN"/>
              </w:rPr>
              <w:t>2分，未落实不得分</w:t>
            </w:r>
          </w:p>
        </w:tc>
        <w:tc>
          <w:tcPr>
            <w:tcW w:w="1305" w:type="dxa"/>
            <w:noWrap w:val="0"/>
            <w:vAlign w:val="center"/>
          </w:tcPr>
          <w:p>
            <w:pPr>
              <w:pStyle w:val="11"/>
              <w:spacing w:after="120" w:afterLines="50" w:line="360" w:lineRule="auto"/>
              <w:ind w:left="0" w:leftChars="0" w:firstLine="0" w:firstLineChars="0"/>
              <w:jc w:val="center"/>
              <w:rPr>
                <w:rFonts w:hint="eastAsia"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24" w:type="dxa"/>
            <w:vMerge w:val="continue"/>
            <w:noWrap w:val="0"/>
            <w:vAlign w:val="top"/>
          </w:tcPr>
          <w:p>
            <w:pPr>
              <w:pStyle w:val="11"/>
              <w:spacing w:after="120" w:afterLines="50" w:line="360" w:lineRule="auto"/>
              <w:jc w:val="center"/>
              <w:rPr>
                <w:rFonts w:hint="eastAsia"/>
                <w:b w:val="0"/>
                <w:bCs w:val="0"/>
                <w:sz w:val="21"/>
                <w:szCs w:val="21"/>
                <w:vertAlign w:val="baseline"/>
                <w:lang w:eastAsia="zh-CN"/>
              </w:rPr>
            </w:pPr>
          </w:p>
        </w:tc>
        <w:tc>
          <w:tcPr>
            <w:tcW w:w="1425" w:type="dxa"/>
            <w:vMerge w:val="continue"/>
            <w:noWrap w:val="0"/>
            <w:vAlign w:val="top"/>
          </w:tcPr>
          <w:p>
            <w:pPr>
              <w:pStyle w:val="11"/>
              <w:spacing w:after="120" w:afterLines="50" w:line="360" w:lineRule="auto"/>
              <w:jc w:val="center"/>
              <w:rPr>
                <w:rFonts w:hint="eastAsia"/>
                <w:b w:val="0"/>
                <w:bCs w:val="0"/>
                <w:sz w:val="21"/>
                <w:szCs w:val="21"/>
                <w:vertAlign w:val="baseline"/>
                <w:lang w:eastAsia="zh-CN"/>
              </w:rPr>
            </w:pPr>
          </w:p>
        </w:tc>
        <w:tc>
          <w:tcPr>
            <w:tcW w:w="5895" w:type="dxa"/>
            <w:noWrap w:val="0"/>
            <w:vAlign w:val="top"/>
          </w:tcPr>
          <w:p>
            <w:pPr>
              <w:pStyle w:val="11"/>
              <w:spacing w:after="120" w:afterLines="50" w:line="36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遇连续暴雨，能在规定时间内全面打捞，恢复河道原貌，遇重大活动或重要检查，服从采购人统一安排的，得</w:t>
            </w:r>
            <w:r>
              <w:rPr>
                <w:rFonts w:hint="eastAsia"/>
                <w:b w:val="0"/>
                <w:bCs w:val="0"/>
                <w:sz w:val="21"/>
                <w:szCs w:val="21"/>
                <w:vertAlign w:val="baseline"/>
                <w:lang w:val="en-US" w:eastAsia="zh-CN"/>
              </w:rPr>
              <w:t>3分；未在规定时间内完成保洁任务的，扣1分；不服从统一安排的，不得分。</w:t>
            </w:r>
          </w:p>
        </w:tc>
        <w:tc>
          <w:tcPr>
            <w:tcW w:w="1305" w:type="dxa"/>
            <w:noWrap w:val="0"/>
            <w:vAlign w:val="center"/>
          </w:tcPr>
          <w:p>
            <w:pPr>
              <w:pStyle w:val="11"/>
              <w:spacing w:after="120" w:afterLines="50" w:line="360" w:lineRule="auto"/>
              <w:ind w:left="0" w:leftChars="0" w:firstLine="0" w:firstLineChars="0"/>
              <w:jc w:val="center"/>
              <w:rPr>
                <w:rFonts w:hint="eastAsia"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624" w:type="dxa"/>
            <w:vMerge w:val="restart"/>
            <w:noWrap w:val="0"/>
            <w:vAlign w:val="center"/>
          </w:tcPr>
          <w:p>
            <w:pPr>
              <w:pStyle w:val="11"/>
              <w:spacing w:after="120" w:afterLines="50" w:line="36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二</w:t>
            </w:r>
          </w:p>
        </w:tc>
        <w:tc>
          <w:tcPr>
            <w:tcW w:w="1425" w:type="dxa"/>
            <w:vMerge w:val="restart"/>
            <w:noWrap w:val="0"/>
            <w:vAlign w:val="center"/>
          </w:tcPr>
          <w:p>
            <w:pPr>
              <w:pStyle w:val="11"/>
              <w:spacing w:after="120" w:afterLines="50" w:line="36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管理保洁</w:t>
            </w:r>
          </w:p>
          <w:p>
            <w:pPr>
              <w:pStyle w:val="11"/>
              <w:spacing w:after="120" w:afterLines="50" w:line="36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效果</w:t>
            </w:r>
          </w:p>
        </w:tc>
        <w:tc>
          <w:tcPr>
            <w:tcW w:w="5895" w:type="dxa"/>
            <w:noWrap w:val="0"/>
            <w:vAlign w:val="top"/>
          </w:tcPr>
          <w:p>
            <w:pPr>
              <w:pStyle w:val="11"/>
              <w:spacing w:after="120" w:afterLines="50" w:line="36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及时劝导报告河道管理范围内新发生的水事违法行为的，得</w:t>
            </w:r>
            <w:r>
              <w:rPr>
                <w:rFonts w:hint="eastAsia"/>
                <w:b w:val="0"/>
                <w:bCs w:val="0"/>
                <w:sz w:val="21"/>
                <w:szCs w:val="21"/>
                <w:vertAlign w:val="baseline"/>
                <w:lang w:val="en-US" w:eastAsia="zh-CN"/>
              </w:rPr>
              <w:t>5分；未及时劝阻并报告的不得分</w:t>
            </w:r>
          </w:p>
        </w:tc>
        <w:tc>
          <w:tcPr>
            <w:tcW w:w="1305" w:type="dxa"/>
            <w:noWrap w:val="0"/>
            <w:vAlign w:val="center"/>
          </w:tcPr>
          <w:p>
            <w:pPr>
              <w:pStyle w:val="11"/>
              <w:spacing w:after="120" w:afterLines="50" w:line="360" w:lineRule="auto"/>
              <w:ind w:left="0" w:leftChars="0" w:firstLine="0" w:firstLineChars="0"/>
              <w:jc w:val="center"/>
              <w:rPr>
                <w:rFonts w:hint="eastAsia"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Merge w:val="continue"/>
            <w:noWrap w:val="0"/>
            <w:vAlign w:val="top"/>
          </w:tcPr>
          <w:p>
            <w:pPr>
              <w:pStyle w:val="11"/>
              <w:spacing w:after="120" w:afterLines="50" w:line="360" w:lineRule="auto"/>
              <w:jc w:val="center"/>
              <w:rPr>
                <w:rFonts w:hint="eastAsia"/>
                <w:b w:val="0"/>
                <w:bCs w:val="0"/>
                <w:sz w:val="21"/>
                <w:szCs w:val="21"/>
                <w:vertAlign w:val="baseline"/>
                <w:lang w:eastAsia="zh-CN"/>
              </w:rPr>
            </w:pPr>
          </w:p>
        </w:tc>
        <w:tc>
          <w:tcPr>
            <w:tcW w:w="1425" w:type="dxa"/>
            <w:vMerge w:val="continue"/>
            <w:noWrap w:val="0"/>
            <w:vAlign w:val="top"/>
          </w:tcPr>
          <w:p>
            <w:pPr>
              <w:pStyle w:val="11"/>
              <w:spacing w:after="120" w:afterLines="50" w:line="360" w:lineRule="auto"/>
              <w:jc w:val="center"/>
              <w:rPr>
                <w:rFonts w:hint="eastAsia"/>
                <w:b w:val="0"/>
                <w:bCs w:val="0"/>
                <w:sz w:val="21"/>
                <w:szCs w:val="21"/>
                <w:vertAlign w:val="baseline"/>
                <w:lang w:eastAsia="zh-CN"/>
              </w:rPr>
            </w:pPr>
          </w:p>
        </w:tc>
        <w:tc>
          <w:tcPr>
            <w:tcW w:w="5895" w:type="dxa"/>
            <w:noWrap w:val="0"/>
            <w:vAlign w:val="top"/>
          </w:tcPr>
          <w:p>
            <w:pPr>
              <w:pStyle w:val="11"/>
              <w:spacing w:after="120" w:afterLines="50" w:line="36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河道管理范围内没有动物尸体的，得</w:t>
            </w:r>
            <w:r>
              <w:rPr>
                <w:rFonts w:hint="eastAsia"/>
                <w:b w:val="0"/>
                <w:bCs w:val="0"/>
                <w:sz w:val="21"/>
                <w:szCs w:val="21"/>
                <w:vertAlign w:val="baseline"/>
                <w:lang w:val="en-US" w:eastAsia="zh-CN"/>
              </w:rPr>
              <w:t>8分；发现动物尸体的，每只扣2分</w:t>
            </w:r>
          </w:p>
        </w:tc>
        <w:tc>
          <w:tcPr>
            <w:tcW w:w="1305" w:type="dxa"/>
            <w:noWrap w:val="0"/>
            <w:vAlign w:val="center"/>
          </w:tcPr>
          <w:p>
            <w:pPr>
              <w:pStyle w:val="11"/>
              <w:spacing w:after="120" w:afterLines="50" w:line="360" w:lineRule="auto"/>
              <w:ind w:left="0" w:leftChars="0" w:firstLine="0" w:firstLineChars="0"/>
              <w:jc w:val="center"/>
              <w:rPr>
                <w:rFonts w:hint="eastAsia"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624" w:type="dxa"/>
            <w:vMerge w:val="continue"/>
            <w:noWrap w:val="0"/>
            <w:vAlign w:val="top"/>
          </w:tcPr>
          <w:p>
            <w:pPr>
              <w:pStyle w:val="11"/>
              <w:spacing w:after="120" w:afterLines="50" w:line="360" w:lineRule="auto"/>
              <w:jc w:val="center"/>
              <w:rPr>
                <w:rFonts w:hint="eastAsia"/>
                <w:b w:val="0"/>
                <w:bCs w:val="0"/>
                <w:sz w:val="21"/>
                <w:szCs w:val="21"/>
                <w:vertAlign w:val="baseline"/>
                <w:lang w:eastAsia="zh-CN"/>
              </w:rPr>
            </w:pPr>
          </w:p>
        </w:tc>
        <w:tc>
          <w:tcPr>
            <w:tcW w:w="1425" w:type="dxa"/>
            <w:vMerge w:val="continue"/>
            <w:noWrap w:val="0"/>
            <w:vAlign w:val="top"/>
          </w:tcPr>
          <w:p>
            <w:pPr>
              <w:pStyle w:val="11"/>
              <w:spacing w:after="120" w:afterLines="50" w:line="360" w:lineRule="auto"/>
              <w:jc w:val="center"/>
              <w:rPr>
                <w:rFonts w:hint="eastAsia"/>
                <w:b w:val="0"/>
                <w:bCs w:val="0"/>
                <w:sz w:val="21"/>
                <w:szCs w:val="21"/>
                <w:vertAlign w:val="baseline"/>
                <w:lang w:eastAsia="zh-CN"/>
              </w:rPr>
            </w:pPr>
          </w:p>
        </w:tc>
        <w:tc>
          <w:tcPr>
            <w:tcW w:w="5895" w:type="dxa"/>
            <w:noWrap w:val="0"/>
            <w:vAlign w:val="top"/>
          </w:tcPr>
          <w:p>
            <w:pPr>
              <w:pStyle w:val="11"/>
              <w:spacing w:after="120" w:afterLines="50" w:line="36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河道打捞物日产日清，上岸运走，并在指定地点倾倒的，得</w:t>
            </w:r>
            <w:r>
              <w:rPr>
                <w:rFonts w:hint="eastAsia"/>
                <w:b w:val="0"/>
                <w:bCs w:val="0"/>
                <w:sz w:val="21"/>
                <w:szCs w:val="21"/>
                <w:vertAlign w:val="baseline"/>
                <w:lang w:val="en-US" w:eastAsia="zh-CN"/>
              </w:rPr>
              <w:t>10分。打捞物上岸未及时运走的，每处扣1分</w:t>
            </w:r>
          </w:p>
        </w:tc>
        <w:tc>
          <w:tcPr>
            <w:tcW w:w="1305" w:type="dxa"/>
            <w:noWrap w:val="0"/>
            <w:vAlign w:val="center"/>
          </w:tcPr>
          <w:p>
            <w:pPr>
              <w:pStyle w:val="11"/>
              <w:spacing w:after="120" w:afterLines="50" w:line="360" w:lineRule="auto"/>
              <w:ind w:left="0" w:leftChars="0" w:firstLine="0" w:firstLineChars="0"/>
              <w:jc w:val="center"/>
              <w:rPr>
                <w:rFonts w:hint="eastAsia"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Merge w:val="continue"/>
            <w:noWrap w:val="0"/>
            <w:vAlign w:val="top"/>
          </w:tcPr>
          <w:p>
            <w:pPr>
              <w:pStyle w:val="11"/>
              <w:spacing w:after="120" w:afterLines="50" w:line="360" w:lineRule="auto"/>
              <w:jc w:val="center"/>
              <w:rPr>
                <w:rFonts w:hint="eastAsia"/>
                <w:b w:val="0"/>
                <w:bCs w:val="0"/>
                <w:sz w:val="21"/>
                <w:szCs w:val="21"/>
                <w:vertAlign w:val="baseline"/>
                <w:lang w:eastAsia="zh-CN"/>
              </w:rPr>
            </w:pPr>
          </w:p>
        </w:tc>
        <w:tc>
          <w:tcPr>
            <w:tcW w:w="1425" w:type="dxa"/>
            <w:vMerge w:val="continue"/>
            <w:noWrap w:val="0"/>
            <w:vAlign w:val="top"/>
          </w:tcPr>
          <w:p>
            <w:pPr>
              <w:pStyle w:val="11"/>
              <w:spacing w:after="120" w:afterLines="50" w:line="360" w:lineRule="auto"/>
              <w:jc w:val="center"/>
              <w:rPr>
                <w:rFonts w:hint="eastAsia"/>
                <w:b w:val="0"/>
                <w:bCs w:val="0"/>
                <w:sz w:val="21"/>
                <w:szCs w:val="21"/>
                <w:vertAlign w:val="baseline"/>
                <w:lang w:eastAsia="zh-CN"/>
              </w:rPr>
            </w:pPr>
          </w:p>
        </w:tc>
        <w:tc>
          <w:tcPr>
            <w:tcW w:w="5895" w:type="dxa"/>
            <w:noWrap w:val="0"/>
            <w:vAlign w:val="top"/>
          </w:tcPr>
          <w:p>
            <w:pPr>
              <w:pStyle w:val="11"/>
              <w:spacing w:after="120" w:afterLines="50" w:line="36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河面无漂浮废弃物的得</w:t>
            </w:r>
            <w:r>
              <w:rPr>
                <w:rFonts w:hint="eastAsia"/>
                <w:b w:val="0"/>
                <w:bCs w:val="0"/>
                <w:sz w:val="21"/>
                <w:szCs w:val="21"/>
                <w:vertAlign w:val="baseline"/>
                <w:lang w:val="en-US" w:eastAsia="zh-CN"/>
              </w:rPr>
              <w:t>35分；河面有成片漂浮物的，每处扣5分</w:t>
            </w:r>
          </w:p>
        </w:tc>
        <w:tc>
          <w:tcPr>
            <w:tcW w:w="1305" w:type="dxa"/>
            <w:noWrap w:val="0"/>
            <w:vAlign w:val="center"/>
          </w:tcPr>
          <w:p>
            <w:pPr>
              <w:pStyle w:val="11"/>
              <w:spacing w:after="120" w:afterLines="50" w:line="360" w:lineRule="auto"/>
              <w:ind w:left="0" w:leftChars="0" w:firstLine="0" w:firstLineChars="0"/>
              <w:jc w:val="center"/>
              <w:rPr>
                <w:rFonts w:hint="default"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noWrap w:val="0"/>
            <w:vAlign w:val="center"/>
          </w:tcPr>
          <w:p>
            <w:pPr>
              <w:pStyle w:val="11"/>
              <w:spacing w:after="120" w:afterLines="50" w:line="36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三</w:t>
            </w:r>
          </w:p>
        </w:tc>
        <w:tc>
          <w:tcPr>
            <w:tcW w:w="1425" w:type="dxa"/>
            <w:noWrap w:val="0"/>
            <w:vAlign w:val="center"/>
          </w:tcPr>
          <w:p>
            <w:pPr>
              <w:pStyle w:val="11"/>
              <w:spacing w:after="120" w:afterLines="50" w:line="36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安全生产</w:t>
            </w:r>
          </w:p>
        </w:tc>
        <w:tc>
          <w:tcPr>
            <w:tcW w:w="5895" w:type="dxa"/>
            <w:noWrap w:val="0"/>
            <w:vAlign w:val="top"/>
          </w:tcPr>
          <w:p>
            <w:pPr>
              <w:pStyle w:val="11"/>
              <w:spacing w:after="120" w:afterLines="50" w:line="36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作业是保洁船未配备救生圈、保洁人员未穿救生衣、未带安全帽，扣</w:t>
            </w:r>
            <w:r>
              <w:rPr>
                <w:rFonts w:hint="eastAsia"/>
                <w:b w:val="0"/>
                <w:bCs w:val="0"/>
                <w:sz w:val="21"/>
                <w:szCs w:val="21"/>
                <w:vertAlign w:val="baseline"/>
                <w:lang w:val="en-US" w:eastAsia="zh-CN"/>
              </w:rPr>
              <w:t>1分/人</w:t>
            </w:r>
          </w:p>
        </w:tc>
        <w:tc>
          <w:tcPr>
            <w:tcW w:w="1305" w:type="dxa"/>
            <w:noWrap w:val="0"/>
            <w:vAlign w:val="center"/>
          </w:tcPr>
          <w:p>
            <w:pPr>
              <w:pStyle w:val="11"/>
              <w:spacing w:after="120" w:afterLines="50" w:line="360" w:lineRule="auto"/>
              <w:ind w:left="0" w:leftChars="0" w:firstLine="0" w:firstLineChars="0"/>
              <w:jc w:val="center"/>
              <w:rPr>
                <w:rFonts w:hint="eastAsia"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noWrap w:val="0"/>
            <w:vAlign w:val="center"/>
          </w:tcPr>
          <w:p>
            <w:pPr>
              <w:pStyle w:val="11"/>
              <w:spacing w:after="120" w:afterLines="50" w:line="36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四</w:t>
            </w:r>
          </w:p>
        </w:tc>
        <w:tc>
          <w:tcPr>
            <w:tcW w:w="1425" w:type="dxa"/>
            <w:noWrap w:val="0"/>
            <w:vAlign w:val="center"/>
          </w:tcPr>
          <w:p>
            <w:pPr>
              <w:pStyle w:val="11"/>
              <w:spacing w:after="120" w:afterLines="50" w:line="36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设施建设</w:t>
            </w:r>
          </w:p>
        </w:tc>
        <w:tc>
          <w:tcPr>
            <w:tcW w:w="5895" w:type="dxa"/>
            <w:noWrap w:val="0"/>
            <w:vAlign w:val="top"/>
          </w:tcPr>
          <w:p>
            <w:pPr>
              <w:pStyle w:val="11"/>
              <w:spacing w:after="120" w:afterLines="50" w:line="36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放有垃圾桶，并能满足日常垃圾堆放需要的，得</w:t>
            </w:r>
            <w:r>
              <w:rPr>
                <w:rFonts w:hint="eastAsia"/>
                <w:b w:val="0"/>
                <w:bCs w:val="0"/>
                <w:sz w:val="21"/>
                <w:szCs w:val="21"/>
                <w:vertAlign w:val="baseline"/>
                <w:lang w:val="en-US" w:eastAsia="zh-CN"/>
              </w:rPr>
              <w:t>5分；垃圾桶不能满足日常垃圾堆放需要的，扣2分，未放垃圾桶的不得分</w:t>
            </w:r>
          </w:p>
        </w:tc>
        <w:tc>
          <w:tcPr>
            <w:tcW w:w="1305" w:type="dxa"/>
            <w:noWrap w:val="0"/>
            <w:vAlign w:val="center"/>
          </w:tcPr>
          <w:p>
            <w:pPr>
              <w:pStyle w:val="11"/>
              <w:spacing w:after="120" w:afterLines="50" w:line="360" w:lineRule="auto"/>
              <w:ind w:left="0" w:leftChars="0" w:firstLine="0" w:firstLineChars="0"/>
              <w:jc w:val="center"/>
              <w:rPr>
                <w:rFonts w:hint="eastAsia"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Merge w:val="restart"/>
            <w:noWrap w:val="0"/>
            <w:vAlign w:val="center"/>
          </w:tcPr>
          <w:p>
            <w:pPr>
              <w:pStyle w:val="11"/>
              <w:spacing w:after="120" w:afterLines="50" w:line="36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五</w:t>
            </w:r>
          </w:p>
        </w:tc>
        <w:tc>
          <w:tcPr>
            <w:tcW w:w="1425" w:type="dxa"/>
            <w:vMerge w:val="restart"/>
            <w:noWrap w:val="0"/>
            <w:vAlign w:val="center"/>
          </w:tcPr>
          <w:p>
            <w:pPr>
              <w:pStyle w:val="11"/>
              <w:spacing w:after="120" w:afterLines="50" w:line="36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工作制度</w:t>
            </w:r>
          </w:p>
        </w:tc>
        <w:tc>
          <w:tcPr>
            <w:tcW w:w="5895" w:type="dxa"/>
            <w:noWrap w:val="0"/>
            <w:vAlign w:val="top"/>
          </w:tcPr>
          <w:p>
            <w:pPr>
              <w:pStyle w:val="11"/>
              <w:spacing w:after="120" w:afterLines="50" w:line="36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建立河道保洁长效管理工作规章制度的，得</w:t>
            </w:r>
            <w:r>
              <w:rPr>
                <w:rFonts w:hint="eastAsia"/>
                <w:b w:val="0"/>
                <w:bCs w:val="0"/>
                <w:sz w:val="21"/>
                <w:szCs w:val="21"/>
                <w:vertAlign w:val="baseline"/>
                <w:lang w:val="en-US" w:eastAsia="zh-CN"/>
              </w:rPr>
              <w:t>1分；未建立的，不得分</w:t>
            </w:r>
          </w:p>
        </w:tc>
        <w:tc>
          <w:tcPr>
            <w:tcW w:w="1305" w:type="dxa"/>
            <w:noWrap w:val="0"/>
            <w:vAlign w:val="center"/>
          </w:tcPr>
          <w:p>
            <w:pPr>
              <w:pStyle w:val="11"/>
              <w:spacing w:after="120" w:afterLines="50" w:line="360" w:lineRule="auto"/>
              <w:ind w:left="0" w:leftChars="0" w:firstLine="0" w:firstLineChars="0"/>
              <w:jc w:val="center"/>
              <w:rPr>
                <w:rFonts w:hint="eastAsia"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Merge w:val="continue"/>
            <w:noWrap w:val="0"/>
            <w:vAlign w:val="top"/>
          </w:tcPr>
          <w:p>
            <w:pPr>
              <w:pStyle w:val="11"/>
              <w:spacing w:after="120" w:afterLines="50" w:line="360" w:lineRule="auto"/>
              <w:ind w:left="0" w:leftChars="0" w:firstLine="0" w:firstLineChars="0"/>
              <w:jc w:val="center"/>
              <w:rPr>
                <w:rFonts w:hint="eastAsia"/>
                <w:b w:val="0"/>
                <w:bCs w:val="0"/>
                <w:sz w:val="21"/>
                <w:szCs w:val="21"/>
                <w:vertAlign w:val="baseline"/>
                <w:lang w:eastAsia="zh-CN"/>
              </w:rPr>
            </w:pPr>
          </w:p>
        </w:tc>
        <w:tc>
          <w:tcPr>
            <w:tcW w:w="1425" w:type="dxa"/>
            <w:vMerge w:val="continue"/>
            <w:noWrap w:val="0"/>
            <w:vAlign w:val="top"/>
          </w:tcPr>
          <w:p>
            <w:pPr>
              <w:pStyle w:val="11"/>
              <w:spacing w:after="120" w:afterLines="50" w:line="360" w:lineRule="auto"/>
              <w:jc w:val="center"/>
              <w:rPr>
                <w:rFonts w:hint="eastAsia"/>
                <w:b w:val="0"/>
                <w:bCs w:val="0"/>
                <w:sz w:val="21"/>
                <w:szCs w:val="21"/>
                <w:vertAlign w:val="baseline"/>
                <w:lang w:eastAsia="zh-CN"/>
              </w:rPr>
            </w:pPr>
          </w:p>
        </w:tc>
        <w:tc>
          <w:tcPr>
            <w:tcW w:w="5895" w:type="dxa"/>
            <w:noWrap w:val="0"/>
            <w:vAlign w:val="top"/>
          </w:tcPr>
          <w:p>
            <w:pPr>
              <w:pStyle w:val="11"/>
              <w:spacing w:after="120" w:afterLines="50" w:line="36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制订实施河道保洁长效管理监督检查办法的，得</w:t>
            </w:r>
            <w:r>
              <w:rPr>
                <w:rFonts w:hint="eastAsia"/>
                <w:b w:val="0"/>
                <w:bCs w:val="0"/>
                <w:sz w:val="21"/>
                <w:szCs w:val="21"/>
                <w:vertAlign w:val="baseline"/>
                <w:lang w:val="en-US" w:eastAsia="zh-CN"/>
              </w:rPr>
              <w:t>2分；未制订监督检查办法的不得分</w:t>
            </w:r>
          </w:p>
        </w:tc>
        <w:tc>
          <w:tcPr>
            <w:tcW w:w="1305" w:type="dxa"/>
            <w:noWrap w:val="0"/>
            <w:vAlign w:val="top"/>
          </w:tcPr>
          <w:p>
            <w:pPr>
              <w:pStyle w:val="11"/>
              <w:spacing w:after="120" w:afterLines="50" w:line="360" w:lineRule="auto"/>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Merge w:val="continue"/>
            <w:noWrap w:val="0"/>
            <w:vAlign w:val="top"/>
          </w:tcPr>
          <w:p>
            <w:pPr>
              <w:pStyle w:val="11"/>
              <w:spacing w:after="120" w:afterLines="50" w:line="360" w:lineRule="auto"/>
              <w:ind w:left="0" w:leftChars="0" w:firstLine="0" w:firstLineChars="0"/>
              <w:jc w:val="center"/>
              <w:rPr>
                <w:rFonts w:hint="eastAsia"/>
                <w:b w:val="0"/>
                <w:bCs w:val="0"/>
                <w:sz w:val="21"/>
                <w:szCs w:val="21"/>
                <w:vertAlign w:val="baseline"/>
                <w:lang w:eastAsia="zh-CN"/>
              </w:rPr>
            </w:pPr>
          </w:p>
        </w:tc>
        <w:tc>
          <w:tcPr>
            <w:tcW w:w="1425" w:type="dxa"/>
            <w:vMerge w:val="continue"/>
            <w:noWrap w:val="0"/>
            <w:vAlign w:val="top"/>
          </w:tcPr>
          <w:p>
            <w:pPr>
              <w:pStyle w:val="11"/>
              <w:spacing w:after="120" w:afterLines="50" w:line="360" w:lineRule="auto"/>
              <w:jc w:val="center"/>
              <w:rPr>
                <w:rFonts w:hint="eastAsia"/>
                <w:b w:val="0"/>
                <w:bCs w:val="0"/>
                <w:sz w:val="21"/>
                <w:szCs w:val="21"/>
                <w:vertAlign w:val="baseline"/>
                <w:lang w:eastAsia="zh-CN"/>
              </w:rPr>
            </w:pPr>
          </w:p>
        </w:tc>
        <w:tc>
          <w:tcPr>
            <w:tcW w:w="5895" w:type="dxa"/>
            <w:noWrap w:val="0"/>
            <w:vAlign w:val="top"/>
          </w:tcPr>
          <w:p>
            <w:pPr>
              <w:pStyle w:val="11"/>
              <w:spacing w:after="120" w:afterLines="50" w:line="36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建立河道保洁长效管理台账制度，台账记录准确详细的，得</w:t>
            </w:r>
            <w:r>
              <w:rPr>
                <w:rFonts w:hint="eastAsia"/>
                <w:b w:val="0"/>
                <w:bCs w:val="0"/>
                <w:sz w:val="21"/>
                <w:szCs w:val="21"/>
                <w:vertAlign w:val="baseline"/>
                <w:lang w:val="en-US" w:eastAsia="zh-CN"/>
              </w:rPr>
              <w:t>5分；台账不齐全的，扣2分；未建立台账的，不得分</w:t>
            </w:r>
          </w:p>
        </w:tc>
        <w:tc>
          <w:tcPr>
            <w:tcW w:w="1305" w:type="dxa"/>
            <w:noWrap w:val="0"/>
            <w:vAlign w:val="top"/>
          </w:tcPr>
          <w:p>
            <w:pPr>
              <w:pStyle w:val="11"/>
              <w:spacing w:after="120" w:afterLines="50" w:line="360" w:lineRule="auto"/>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noWrap w:val="0"/>
            <w:vAlign w:val="center"/>
          </w:tcPr>
          <w:p>
            <w:pPr>
              <w:pStyle w:val="11"/>
              <w:spacing w:after="120" w:afterLines="50" w:line="36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六</w:t>
            </w:r>
          </w:p>
        </w:tc>
        <w:tc>
          <w:tcPr>
            <w:tcW w:w="1425" w:type="dxa"/>
            <w:noWrap w:val="0"/>
            <w:vAlign w:val="center"/>
          </w:tcPr>
          <w:p>
            <w:pPr>
              <w:pStyle w:val="11"/>
              <w:spacing w:after="120" w:afterLines="50" w:line="36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社会形象</w:t>
            </w:r>
          </w:p>
        </w:tc>
        <w:tc>
          <w:tcPr>
            <w:tcW w:w="5895" w:type="dxa"/>
            <w:noWrap w:val="0"/>
            <w:vAlign w:val="top"/>
          </w:tcPr>
          <w:p>
            <w:pPr>
              <w:pStyle w:val="11"/>
              <w:spacing w:after="120" w:afterLines="50" w:line="36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社会形象良好，不发生新闻曝光和群众投诉等情况的，得</w:t>
            </w:r>
            <w:r>
              <w:rPr>
                <w:rFonts w:hint="eastAsia"/>
                <w:b w:val="0"/>
                <w:bCs w:val="0"/>
                <w:sz w:val="21"/>
                <w:szCs w:val="21"/>
                <w:vertAlign w:val="baseline"/>
                <w:lang w:val="en-US" w:eastAsia="zh-CN"/>
              </w:rPr>
              <w:t>15分，每曝光或投诉一起扣5分，对曝光和投诉不及时整改的扣10分</w:t>
            </w:r>
          </w:p>
        </w:tc>
        <w:tc>
          <w:tcPr>
            <w:tcW w:w="1305" w:type="dxa"/>
            <w:noWrap w:val="0"/>
            <w:vAlign w:val="center"/>
          </w:tcPr>
          <w:p>
            <w:pPr>
              <w:pStyle w:val="11"/>
              <w:spacing w:after="120" w:afterLines="50" w:line="360" w:lineRule="auto"/>
              <w:ind w:left="0" w:leftChars="0" w:firstLine="0" w:firstLineChars="0"/>
              <w:jc w:val="center"/>
              <w:rPr>
                <w:rFonts w:hint="eastAsia"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noWrap w:val="0"/>
            <w:vAlign w:val="center"/>
          </w:tcPr>
          <w:p>
            <w:pPr>
              <w:pStyle w:val="11"/>
              <w:spacing w:after="120" w:afterLines="50" w:line="360" w:lineRule="auto"/>
              <w:ind w:left="0" w:leftChars="0" w:firstLine="0" w:firstLineChars="0"/>
              <w:jc w:val="center"/>
              <w:rPr>
                <w:rFonts w:hint="eastAsia"/>
                <w:b w:val="0"/>
                <w:bCs w:val="0"/>
                <w:sz w:val="21"/>
                <w:szCs w:val="21"/>
                <w:vertAlign w:val="baseline"/>
                <w:lang w:eastAsia="zh-CN"/>
              </w:rPr>
            </w:pPr>
          </w:p>
        </w:tc>
        <w:tc>
          <w:tcPr>
            <w:tcW w:w="1425" w:type="dxa"/>
            <w:noWrap w:val="0"/>
            <w:vAlign w:val="center"/>
          </w:tcPr>
          <w:p>
            <w:pPr>
              <w:pStyle w:val="11"/>
              <w:spacing w:after="120" w:afterLines="50" w:line="360" w:lineRule="auto"/>
              <w:ind w:left="0" w:leftChars="0" w:firstLine="0" w:firstLineChars="0"/>
              <w:jc w:val="center"/>
              <w:rPr>
                <w:rFonts w:hint="eastAsia"/>
                <w:b w:val="0"/>
                <w:bCs w:val="0"/>
                <w:sz w:val="21"/>
                <w:szCs w:val="21"/>
                <w:vertAlign w:val="baseline"/>
                <w:lang w:eastAsia="zh-CN"/>
              </w:rPr>
            </w:pPr>
          </w:p>
        </w:tc>
        <w:tc>
          <w:tcPr>
            <w:tcW w:w="5895" w:type="dxa"/>
            <w:noWrap w:val="0"/>
            <w:vAlign w:val="top"/>
          </w:tcPr>
          <w:p>
            <w:pPr>
              <w:pStyle w:val="11"/>
              <w:spacing w:after="120" w:afterLines="50" w:line="360" w:lineRule="auto"/>
              <w:ind w:left="0" w:leftChars="0" w:firstLine="0" w:firstLineChars="0"/>
              <w:jc w:val="left"/>
              <w:rPr>
                <w:rFonts w:hint="eastAsia"/>
                <w:b w:val="0"/>
                <w:bCs w:val="0"/>
                <w:sz w:val="21"/>
                <w:szCs w:val="21"/>
                <w:vertAlign w:val="baseline"/>
                <w:lang w:eastAsia="zh-CN"/>
              </w:rPr>
            </w:pPr>
            <w:r>
              <w:rPr>
                <w:rFonts w:hint="eastAsia"/>
                <w:b w:val="0"/>
                <w:bCs w:val="0"/>
                <w:sz w:val="21"/>
                <w:szCs w:val="21"/>
                <w:vertAlign w:val="baseline"/>
                <w:lang w:eastAsia="zh-CN"/>
              </w:rPr>
              <w:t>合计</w:t>
            </w:r>
          </w:p>
        </w:tc>
        <w:tc>
          <w:tcPr>
            <w:tcW w:w="1305" w:type="dxa"/>
            <w:noWrap w:val="0"/>
            <w:vAlign w:val="center"/>
          </w:tcPr>
          <w:p>
            <w:pPr>
              <w:pStyle w:val="11"/>
              <w:spacing w:after="120" w:afterLines="50" w:line="360" w:lineRule="auto"/>
              <w:ind w:left="0" w:leftChars="0" w:firstLine="0" w:firstLineChars="0"/>
              <w:jc w:val="center"/>
              <w:rPr>
                <w:rFonts w:hint="eastAsia"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100</w:t>
            </w:r>
          </w:p>
        </w:tc>
      </w:tr>
    </w:tbl>
    <w:p>
      <w:pPr>
        <w:spacing w:line="440" w:lineRule="exact"/>
        <w:rPr>
          <w:rFonts w:hint="eastAsia" w:ascii="宋体" w:hAnsi="宋体" w:eastAsia="宋体" w:cs="宋体"/>
          <w:color w:val="000000"/>
          <w:sz w:val="21"/>
          <w:szCs w:val="21"/>
          <w:highlight w:val="none"/>
          <w:lang w:val="en-US" w:eastAsia="zh-CN"/>
        </w:rPr>
      </w:pPr>
    </w:p>
    <w:p>
      <w:pPr>
        <w:spacing w:line="4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项目其他要求：</w:t>
      </w:r>
    </w:p>
    <w:p>
      <w:pPr>
        <w:spacing w:line="440" w:lineRule="exact"/>
        <w:ind w:firstLine="420" w:firstLineChars="200"/>
        <w:outlineLvl w:val="1"/>
        <w:rPr>
          <w:rFonts w:hint="eastAsia" w:ascii="宋体" w:hAnsi="宋体" w:eastAsia="宋体" w:cs="宋体"/>
          <w:bCs/>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须为</w:t>
      </w:r>
      <w:r>
        <w:rPr>
          <w:rFonts w:hint="eastAsia" w:ascii="宋体" w:hAnsi="宋体" w:eastAsia="宋体" w:cs="宋体"/>
          <w:bCs/>
          <w:color w:val="000000"/>
          <w:sz w:val="21"/>
          <w:szCs w:val="21"/>
          <w:highlight w:val="none"/>
        </w:rPr>
        <w:t>每位符合国家规定社保（基本养老、基本医疗、工伤、生育、失业保险）条件的职工参加保险，并对所有符合参加人身意外伤害保险条件的人员统一进行参保（社会保险参保人员除外）</w:t>
      </w:r>
      <w:r>
        <w:rPr>
          <w:rFonts w:hint="eastAsia" w:ascii="宋体" w:hAnsi="宋体" w:eastAsia="宋体" w:cs="宋体"/>
          <w:color w:val="000000"/>
          <w:sz w:val="21"/>
          <w:szCs w:val="21"/>
          <w:highlight w:val="none"/>
        </w:rPr>
        <w:t>，必须重视安全生产工作，确保全年不出安全生产责任事故。如发生安全生产责任事故或交通事故，由</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承担一切责任及损失。</w:t>
      </w:r>
    </w:p>
    <w:p>
      <w:pPr>
        <w:spacing w:line="440" w:lineRule="exact"/>
        <w:ind w:firstLine="420" w:firstLineChars="200"/>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不允许联合体投标，中标单位不得合包、转包，未经采购人允许，不得分包。</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中标单位应定期向采购人提供保洁管理计划及有关措施，按要求及时向采购人上报各类报表及数据，以便采购人进行监督考核。</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中标单位在搞好日常保洁、清运等工作的同时，必须配合采购人参加市、</w:t>
      </w:r>
      <w:r>
        <w:rPr>
          <w:rFonts w:hint="eastAsia" w:ascii="宋体" w:hAnsi="宋体" w:eastAsia="宋体" w:cs="宋体"/>
          <w:color w:val="000000"/>
          <w:sz w:val="21"/>
          <w:szCs w:val="21"/>
          <w:highlight w:val="none"/>
          <w:lang w:eastAsia="zh-CN"/>
        </w:rPr>
        <w:t>县</w:t>
      </w:r>
      <w:r>
        <w:rPr>
          <w:rFonts w:hint="eastAsia" w:ascii="宋体" w:hAnsi="宋体" w:eastAsia="宋体" w:cs="宋体"/>
          <w:color w:val="000000"/>
          <w:sz w:val="21"/>
          <w:szCs w:val="21"/>
          <w:highlight w:val="none"/>
        </w:rPr>
        <w:t>布置的各项节目或重大活动的临时布置任务。</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1"/>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相关各种车辆补助（购置、维修）及年终考核奖励资金全部划入</w:t>
      </w:r>
      <w:r>
        <w:rPr>
          <w:rFonts w:hint="eastAsia" w:ascii="宋体" w:hAnsi="宋体" w:eastAsia="宋体" w:cs="宋体"/>
          <w:color w:val="000000"/>
          <w:sz w:val="21"/>
          <w:szCs w:val="21"/>
          <w:highlight w:val="none"/>
          <w:lang w:eastAsia="zh-CN"/>
        </w:rPr>
        <w:t>宁海县人民政府桥头胡街道办事处</w:t>
      </w:r>
      <w:r>
        <w:rPr>
          <w:rFonts w:hint="eastAsia" w:ascii="宋体" w:hAnsi="宋体" w:eastAsia="宋体" w:cs="宋体"/>
          <w:color w:val="000000"/>
          <w:sz w:val="21"/>
          <w:szCs w:val="21"/>
          <w:highlight w:val="none"/>
        </w:rPr>
        <w:t>，由</w:t>
      </w:r>
      <w:r>
        <w:rPr>
          <w:rFonts w:hint="eastAsia" w:ascii="宋体" w:hAnsi="宋体" w:eastAsia="宋体" w:cs="宋体"/>
          <w:color w:val="000000"/>
          <w:sz w:val="21"/>
          <w:szCs w:val="21"/>
          <w:highlight w:val="none"/>
          <w:lang w:eastAsia="zh-CN"/>
        </w:rPr>
        <w:t>街道办事处</w:t>
      </w:r>
      <w:r>
        <w:rPr>
          <w:rFonts w:hint="eastAsia" w:ascii="宋体" w:hAnsi="宋体" w:eastAsia="宋体" w:cs="宋体"/>
          <w:color w:val="000000"/>
          <w:sz w:val="21"/>
          <w:szCs w:val="21"/>
          <w:highlight w:val="none"/>
        </w:rPr>
        <w:t>按规定统一分配</w:t>
      </w:r>
      <w:r>
        <w:rPr>
          <w:rFonts w:hint="eastAsia" w:ascii="宋体" w:hAnsi="宋体" w:eastAsia="宋体" w:cs="宋体"/>
          <w:color w:val="000000"/>
          <w:sz w:val="21"/>
          <w:szCs w:val="21"/>
          <w:highlight w:val="none"/>
          <w:lang w:eastAsia="zh-CN"/>
        </w:rPr>
        <w:t>。</w:t>
      </w:r>
    </w:p>
    <w:p>
      <w:pPr>
        <w:rPr>
          <w:rFonts w:hint="eastAsia" w:ascii="宋体" w:hAnsi="宋体" w:eastAsia="宋体" w:cs="宋体"/>
          <w:color w:val="000000"/>
          <w:sz w:val="21"/>
          <w:szCs w:val="21"/>
          <w:highlight w:val="none"/>
        </w:rPr>
      </w:pPr>
    </w:p>
    <w:p>
      <w:pPr>
        <w:pStyle w:val="13"/>
        <w:snapToGrid w:val="0"/>
        <w:spacing w:beforeLines="0" w:after="120" w:line="360" w:lineRule="auto"/>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sectPr>
          <w:headerReference r:id="rId12" w:type="first"/>
          <w:footerReference r:id="rId14" w:type="first"/>
          <w:headerReference r:id="rId11" w:type="default"/>
          <w:footerReference r:id="rId13" w:type="default"/>
          <w:pgSz w:w="11906" w:h="16838"/>
          <w:pgMar w:top="1247" w:right="1361" w:bottom="1304" w:left="1417" w:header="851" w:footer="851" w:gutter="0"/>
          <w:pgNumType w:fmt="decimal"/>
          <w:cols w:space="720" w:num="1"/>
          <w:titlePg/>
          <w:docGrid w:linePitch="312" w:charSpace="0"/>
        </w:sectPr>
      </w:pPr>
    </w:p>
    <w:p>
      <w:pPr>
        <w:pStyle w:val="13"/>
        <w:snapToGrid w:val="0"/>
        <w:spacing w:beforeLines="0" w:after="120"/>
        <w:ind w:firstLine="0" w:firstLineChars="0"/>
        <w:outlineLvl w:val="0"/>
        <w:rPr>
          <w:rFonts w:hint="eastAsia" w:hAnsi="宋体" w:cs="宋体"/>
          <w:b/>
          <w:sz w:val="30"/>
          <w:szCs w:val="30"/>
        </w:rPr>
      </w:pPr>
      <w:r>
        <w:rPr>
          <w:rFonts w:hint="eastAsia" w:ascii="宋体" w:hAnsi="宋体" w:eastAsia="宋体" w:cs="宋体"/>
          <w:bCs/>
          <w:color w:val="000000"/>
          <w:spacing w:val="0"/>
          <w:sz w:val="21"/>
          <w:szCs w:val="21"/>
          <w:highlight w:val="none"/>
          <w:lang w:eastAsia="zh-CN"/>
        </w:rPr>
        <w:t>表</w:t>
      </w:r>
      <w:r>
        <w:rPr>
          <w:rFonts w:hint="eastAsia" w:ascii="宋体" w:hAnsi="宋体" w:eastAsia="宋体" w:cs="宋体"/>
          <w:bCs/>
          <w:color w:val="000000"/>
          <w:spacing w:val="0"/>
          <w:sz w:val="21"/>
          <w:szCs w:val="21"/>
          <w:highlight w:val="none"/>
          <w:lang w:val="en-US" w:eastAsia="zh-CN"/>
        </w:rPr>
        <w:t>1：《</w:t>
      </w:r>
      <w:r>
        <w:rPr>
          <w:rFonts w:hint="eastAsia" w:ascii="宋体" w:hAnsi="宋体" w:eastAsia="宋体" w:cs="宋体"/>
          <w:bCs/>
          <w:color w:val="000000"/>
          <w:spacing w:val="0"/>
          <w:sz w:val="21"/>
          <w:szCs w:val="21"/>
          <w:highlight w:val="none"/>
        </w:rPr>
        <w:t>宁海县桥头胡</w:t>
      </w:r>
      <w:r>
        <w:rPr>
          <w:rFonts w:hint="eastAsia" w:ascii="宋体" w:hAnsi="宋体" w:eastAsia="宋体" w:cs="宋体"/>
          <w:bCs/>
          <w:color w:val="000000"/>
          <w:sz w:val="21"/>
          <w:szCs w:val="21"/>
          <w:highlight w:val="none"/>
        </w:rPr>
        <w:t>街道道路保洁面积统计</w:t>
      </w:r>
      <w:r>
        <w:rPr>
          <w:rFonts w:hint="eastAsia" w:ascii="宋体" w:hAnsi="宋体" w:eastAsia="宋体" w:cs="宋体"/>
          <w:bCs/>
          <w:color w:val="000000"/>
          <w:spacing w:val="0"/>
          <w:sz w:val="21"/>
          <w:szCs w:val="21"/>
          <w:highlight w:val="none"/>
          <w:lang w:val="en-US" w:eastAsia="zh-CN"/>
        </w:rPr>
        <w:t>》</w:t>
      </w:r>
    </w:p>
    <w:tbl>
      <w:tblPr>
        <w:tblStyle w:val="105"/>
        <w:tblW w:w="142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2"/>
        <w:gridCol w:w="2256"/>
        <w:gridCol w:w="119"/>
        <w:gridCol w:w="1077"/>
        <w:gridCol w:w="94"/>
        <w:gridCol w:w="1802"/>
        <w:gridCol w:w="1955"/>
        <w:gridCol w:w="2610"/>
        <w:gridCol w:w="1508"/>
        <w:gridCol w:w="20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702" w:type="dxa"/>
            <w:vAlign w:val="top"/>
          </w:tcPr>
          <w:p>
            <w:pPr>
              <w:spacing w:before="267" w:line="207" w:lineRule="auto"/>
              <w:ind w:left="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序号</w:t>
            </w:r>
          </w:p>
        </w:tc>
        <w:tc>
          <w:tcPr>
            <w:tcW w:w="2256" w:type="dxa"/>
            <w:vAlign w:val="top"/>
          </w:tcPr>
          <w:p>
            <w:pPr>
              <w:spacing w:before="267" w:line="207" w:lineRule="auto"/>
              <w:ind w:left="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道路名称</w:t>
            </w:r>
          </w:p>
        </w:tc>
        <w:tc>
          <w:tcPr>
            <w:tcW w:w="1290" w:type="dxa"/>
            <w:gridSpan w:val="3"/>
            <w:vAlign w:val="top"/>
          </w:tcPr>
          <w:p>
            <w:pPr>
              <w:spacing w:before="267" w:line="207" w:lineRule="auto"/>
              <w:ind w:left="0" w:right="0" w:firstLine="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道路等级</w:t>
            </w:r>
          </w:p>
        </w:tc>
        <w:tc>
          <w:tcPr>
            <w:tcW w:w="1802" w:type="dxa"/>
            <w:vAlign w:val="top"/>
          </w:tcPr>
          <w:p>
            <w:pPr>
              <w:spacing w:before="267" w:line="207" w:lineRule="auto"/>
              <w:ind w:left="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主车道面积</w:t>
            </w:r>
          </w:p>
        </w:tc>
        <w:tc>
          <w:tcPr>
            <w:tcW w:w="1955" w:type="dxa"/>
            <w:vAlign w:val="top"/>
          </w:tcPr>
          <w:p>
            <w:pPr>
              <w:spacing w:before="267" w:line="207" w:lineRule="auto"/>
              <w:ind w:left="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人行道面积</w:t>
            </w:r>
          </w:p>
        </w:tc>
        <w:tc>
          <w:tcPr>
            <w:tcW w:w="2610" w:type="dxa"/>
            <w:vAlign w:val="top"/>
          </w:tcPr>
          <w:p>
            <w:pPr>
              <w:spacing w:before="267" w:line="207" w:lineRule="auto"/>
              <w:ind w:left="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绿化带面积</w:t>
            </w:r>
          </w:p>
        </w:tc>
        <w:tc>
          <w:tcPr>
            <w:tcW w:w="1508" w:type="dxa"/>
            <w:vAlign w:val="top"/>
          </w:tcPr>
          <w:p>
            <w:pPr>
              <w:spacing w:before="267" w:line="207" w:lineRule="auto"/>
              <w:ind w:left="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总面积</w:t>
            </w:r>
          </w:p>
        </w:tc>
        <w:tc>
          <w:tcPr>
            <w:tcW w:w="2085" w:type="dxa"/>
            <w:vAlign w:val="top"/>
          </w:tcPr>
          <w:p>
            <w:pPr>
              <w:spacing w:before="267" w:line="207" w:lineRule="auto"/>
              <w:ind w:left="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702"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2256"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梅桥路</w:t>
            </w:r>
          </w:p>
        </w:tc>
        <w:tc>
          <w:tcPr>
            <w:tcW w:w="1290" w:type="dxa"/>
            <w:gridSpan w:val="3"/>
            <w:vAlign w:val="top"/>
          </w:tcPr>
          <w:p>
            <w:pPr>
              <w:spacing w:before="0" w:line="440" w:lineRule="exact"/>
              <w:ind w:left="0" w:firstLine="420" w:firstLineChars="200"/>
              <w:outlineLvl w:val="1"/>
              <w:rPr>
                <w:rFonts w:hint="eastAsia" w:ascii="宋体" w:hAnsi="宋体" w:eastAsia="宋体" w:cs="宋体"/>
                <w:color w:val="000000"/>
                <w:sz w:val="21"/>
                <w:szCs w:val="21"/>
                <w:highlight w:val="none"/>
              </w:rPr>
            </w:pPr>
            <w:r>
              <w:rPr>
                <w:rFonts w:hint="eastAsia" w:ascii="宋体" w:hAnsi="宋体" w:eastAsia="宋体" w:cs="宋体"/>
                <w:color w:val="000000"/>
                <w:position w:val="0"/>
                <w:sz w:val="21"/>
                <w:szCs w:val="21"/>
                <w:highlight w:val="none"/>
              </w:rPr>
              <w:t>一级</w:t>
            </w:r>
          </w:p>
        </w:tc>
        <w:tc>
          <w:tcPr>
            <w:tcW w:w="1802" w:type="dxa"/>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580×12=6960</w:t>
            </w:r>
          </w:p>
        </w:tc>
        <w:tc>
          <w:tcPr>
            <w:tcW w:w="1955" w:type="dxa"/>
            <w:vAlign w:val="center"/>
          </w:tcPr>
          <w:p>
            <w:pPr>
              <w:spacing w:line="440" w:lineRule="exact"/>
              <w:ind w:firstLine="420" w:firstLineChars="200"/>
              <w:outlineLvl w:val="1"/>
              <w:rPr>
                <w:rFonts w:hint="eastAsia" w:ascii="宋体" w:hAnsi="宋体" w:eastAsia="宋体" w:cs="宋体"/>
                <w:color w:val="000000"/>
                <w:sz w:val="21"/>
                <w:szCs w:val="21"/>
                <w:highlight w:val="none"/>
              </w:rPr>
            </w:pPr>
          </w:p>
        </w:tc>
        <w:tc>
          <w:tcPr>
            <w:tcW w:w="2610" w:type="dxa"/>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580 ×2.4×2=2784</w:t>
            </w:r>
          </w:p>
        </w:tc>
        <w:tc>
          <w:tcPr>
            <w:tcW w:w="1508" w:type="dxa"/>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9744</w:t>
            </w:r>
          </w:p>
        </w:tc>
        <w:tc>
          <w:tcPr>
            <w:tcW w:w="2085" w:type="dxa"/>
            <w:vAlign w:val="center"/>
          </w:tcPr>
          <w:p>
            <w:pPr>
              <w:spacing w:before="0" w:line="440" w:lineRule="exact"/>
              <w:ind w:left="0" w:righ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王家村至桥井中</w:t>
            </w:r>
            <w:r>
              <w:rPr>
                <w:rFonts w:hint="eastAsia" w:ascii="宋体" w:hAnsi="宋体" w:eastAsia="宋体" w:cs="宋体"/>
                <w:color w:val="000000"/>
                <w:sz w:val="21"/>
                <w:szCs w:val="21"/>
                <w:highlight w:val="none"/>
              </w:rPr>
              <w:t>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702" w:type="dxa"/>
            <w:vMerge w:val="restart"/>
            <w:tcBorders>
              <w:bottom w:val="nil"/>
            </w:tcBorders>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c>
          <w:tcPr>
            <w:tcW w:w="2256" w:type="dxa"/>
            <w:vMerge w:val="restart"/>
            <w:tcBorders>
              <w:bottom w:val="nil"/>
            </w:tcBorders>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桥井路</w:t>
            </w:r>
          </w:p>
        </w:tc>
        <w:tc>
          <w:tcPr>
            <w:tcW w:w="1290" w:type="dxa"/>
            <w:gridSpan w:val="3"/>
            <w:vMerge w:val="restart"/>
            <w:tcBorders>
              <w:bottom w:val="nil"/>
            </w:tcBorders>
            <w:vAlign w:val="top"/>
          </w:tcPr>
          <w:p>
            <w:pPr>
              <w:spacing w:before="0" w:line="440" w:lineRule="exact"/>
              <w:ind w:left="0" w:firstLine="420" w:firstLineChars="200"/>
              <w:outlineLvl w:val="1"/>
              <w:rPr>
                <w:rFonts w:hint="eastAsia" w:ascii="宋体" w:hAnsi="宋体" w:eastAsia="宋体" w:cs="宋体"/>
                <w:color w:val="000000"/>
                <w:sz w:val="21"/>
                <w:szCs w:val="21"/>
                <w:highlight w:val="none"/>
              </w:rPr>
            </w:pPr>
            <w:r>
              <w:rPr>
                <w:rFonts w:hint="eastAsia" w:ascii="宋体" w:hAnsi="宋体" w:eastAsia="宋体" w:cs="宋体"/>
                <w:color w:val="000000"/>
                <w:position w:val="0"/>
                <w:sz w:val="21"/>
                <w:szCs w:val="21"/>
                <w:highlight w:val="none"/>
              </w:rPr>
              <w:t>一级</w:t>
            </w:r>
          </w:p>
        </w:tc>
        <w:tc>
          <w:tcPr>
            <w:tcW w:w="1802" w:type="dxa"/>
            <w:vMerge w:val="restart"/>
            <w:tcBorders>
              <w:bottom w:val="nil"/>
            </w:tcBorders>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1300×15=19500</w:t>
            </w:r>
          </w:p>
        </w:tc>
        <w:tc>
          <w:tcPr>
            <w:tcW w:w="1955" w:type="dxa"/>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1300×11=14300</w:t>
            </w:r>
          </w:p>
        </w:tc>
        <w:tc>
          <w:tcPr>
            <w:tcW w:w="2610" w:type="dxa"/>
            <w:vMerge w:val="restart"/>
            <w:tcBorders>
              <w:bottom w:val="nil"/>
            </w:tcBorders>
            <w:vAlign w:val="center"/>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1508" w:type="dxa"/>
            <w:vMerge w:val="restart"/>
            <w:tcBorders>
              <w:bottom w:val="nil"/>
            </w:tcBorders>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37050</w:t>
            </w:r>
          </w:p>
        </w:tc>
        <w:tc>
          <w:tcPr>
            <w:tcW w:w="2085" w:type="dxa"/>
            <w:vMerge w:val="restart"/>
            <w:tcBorders>
              <w:bottom w:val="nil"/>
            </w:tcBorders>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702" w:type="dxa"/>
            <w:vMerge w:val="continue"/>
            <w:tcBorders>
              <w:top w:val="nil"/>
            </w:tcBorders>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2256" w:type="dxa"/>
            <w:vMerge w:val="continue"/>
            <w:tcBorders>
              <w:top w:val="nil"/>
            </w:tcBorders>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1290" w:type="dxa"/>
            <w:gridSpan w:val="3"/>
            <w:vMerge w:val="continue"/>
            <w:tcBorders>
              <w:top w:val="nil"/>
            </w:tcBorders>
            <w:vAlign w:val="top"/>
          </w:tcPr>
          <w:p>
            <w:pPr>
              <w:spacing w:line="440" w:lineRule="exact"/>
              <w:ind w:firstLine="420" w:firstLineChars="200"/>
              <w:outlineLvl w:val="1"/>
              <w:rPr>
                <w:rFonts w:hint="eastAsia" w:ascii="宋体" w:hAnsi="宋体" w:eastAsia="宋体" w:cs="宋体"/>
                <w:color w:val="000000"/>
                <w:sz w:val="21"/>
                <w:szCs w:val="21"/>
                <w:highlight w:val="none"/>
              </w:rPr>
            </w:pPr>
          </w:p>
        </w:tc>
        <w:tc>
          <w:tcPr>
            <w:tcW w:w="1802" w:type="dxa"/>
            <w:vMerge w:val="continue"/>
            <w:tcBorders>
              <w:top w:val="nil"/>
            </w:tcBorders>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1955"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1300×2.5=3250</w:t>
            </w:r>
          </w:p>
        </w:tc>
        <w:tc>
          <w:tcPr>
            <w:tcW w:w="2610" w:type="dxa"/>
            <w:vMerge w:val="continue"/>
            <w:tcBorders>
              <w:top w:val="nil"/>
            </w:tcBorders>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1508" w:type="dxa"/>
            <w:vMerge w:val="continue"/>
            <w:tcBorders>
              <w:top w:val="nil"/>
            </w:tcBorders>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2085" w:type="dxa"/>
            <w:vMerge w:val="continue"/>
            <w:tcBorders>
              <w:top w:val="nil"/>
            </w:tcBorders>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 w:hRule="atLeast"/>
        </w:trPr>
        <w:tc>
          <w:tcPr>
            <w:tcW w:w="702" w:type="dxa"/>
            <w:vMerge w:val="restart"/>
            <w:tcBorders>
              <w:bottom w:val="nil"/>
            </w:tcBorders>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p>
        </w:tc>
        <w:tc>
          <w:tcPr>
            <w:tcW w:w="2256" w:type="dxa"/>
            <w:vMerge w:val="restart"/>
            <w:tcBorders>
              <w:bottom w:val="nil"/>
            </w:tcBorders>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兴城路</w:t>
            </w:r>
          </w:p>
        </w:tc>
        <w:tc>
          <w:tcPr>
            <w:tcW w:w="1290" w:type="dxa"/>
            <w:gridSpan w:val="3"/>
            <w:vMerge w:val="restart"/>
            <w:tcBorders>
              <w:bottom w:val="nil"/>
            </w:tcBorders>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position w:val="0"/>
                <w:sz w:val="21"/>
                <w:szCs w:val="21"/>
                <w:highlight w:val="none"/>
              </w:rPr>
              <w:t>一级</w:t>
            </w:r>
          </w:p>
        </w:tc>
        <w:tc>
          <w:tcPr>
            <w:tcW w:w="1802"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334×9.5=3173</w:t>
            </w:r>
          </w:p>
        </w:tc>
        <w:tc>
          <w:tcPr>
            <w:tcW w:w="1955" w:type="dxa"/>
            <w:vMerge w:val="restart"/>
            <w:tcBorders>
              <w:bottom w:val="nil"/>
            </w:tcBorders>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334×6.5=2171</w:t>
            </w:r>
          </w:p>
        </w:tc>
        <w:tc>
          <w:tcPr>
            <w:tcW w:w="2610"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旁边绿化 334×7=2338</w:t>
            </w:r>
          </w:p>
        </w:tc>
        <w:tc>
          <w:tcPr>
            <w:tcW w:w="1508" w:type="dxa"/>
            <w:vMerge w:val="restart"/>
            <w:tcBorders>
              <w:bottom w:val="nil"/>
            </w:tcBorders>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11022</w:t>
            </w:r>
          </w:p>
        </w:tc>
        <w:tc>
          <w:tcPr>
            <w:tcW w:w="2085" w:type="dxa"/>
            <w:vMerge w:val="restart"/>
            <w:tcBorders>
              <w:bottom w:val="nil"/>
            </w:tcBorders>
            <w:vAlign w:val="top"/>
          </w:tcPr>
          <w:p>
            <w:pPr>
              <w:spacing w:before="0" w:line="440" w:lineRule="exact"/>
              <w:ind w:left="0" w:righ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桥井路至平安大</w:t>
            </w:r>
            <w:r>
              <w:rPr>
                <w:rFonts w:hint="eastAsia" w:ascii="宋体" w:hAnsi="宋体" w:eastAsia="宋体" w:cs="宋体"/>
                <w:color w:val="000000"/>
                <w:sz w:val="21"/>
                <w:szCs w:val="21"/>
                <w:highlight w:val="none"/>
              </w:rPr>
              <w:t>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702" w:type="dxa"/>
            <w:vMerge w:val="continue"/>
            <w:tcBorders>
              <w:top w:val="nil"/>
            </w:tcBorders>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2256" w:type="dxa"/>
            <w:vMerge w:val="continue"/>
            <w:tcBorders>
              <w:top w:val="nil"/>
            </w:tcBorders>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1290" w:type="dxa"/>
            <w:gridSpan w:val="3"/>
            <w:vMerge w:val="continue"/>
            <w:tcBorders>
              <w:top w:val="nil"/>
            </w:tcBorders>
            <w:vAlign w:val="top"/>
          </w:tcPr>
          <w:p>
            <w:pPr>
              <w:spacing w:line="440" w:lineRule="exact"/>
              <w:ind w:firstLine="420" w:firstLineChars="200"/>
              <w:outlineLvl w:val="1"/>
              <w:rPr>
                <w:rFonts w:hint="eastAsia" w:ascii="宋体" w:hAnsi="宋体" w:eastAsia="宋体" w:cs="宋体"/>
                <w:color w:val="000000"/>
                <w:sz w:val="21"/>
                <w:szCs w:val="21"/>
                <w:highlight w:val="none"/>
              </w:rPr>
            </w:pPr>
          </w:p>
        </w:tc>
        <w:tc>
          <w:tcPr>
            <w:tcW w:w="1802"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334×7=2338</w:t>
            </w:r>
          </w:p>
        </w:tc>
        <w:tc>
          <w:tcPr>
            <w:tcW w:w="1955" w:type="dxa"/>
            <w:vMerge w:val="continue"/>
            <w:tcBorders>
              <w:top w:val="nil"/>
            </w:tcBorders>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2610"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中间绿化 334×3=1002</w:t>
            </w:r>
          </w:p>
        </w:tc>
        <w:tc>
          <w:tcPr>
            <w:tcW w:w="1508" w:type="dxa"/>
            <w:vMerge w:val="continue"/>
            <w:tcBorders>
              <w:top w:val="nil"/>
            </w:tcBorders>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2085" w:type="dxa"/>
            <w:vMerge w:val="continue"/>
            <w:tcBorders>
              <w:top w:val="nil"/>
            </w:tcBorders>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702"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2256"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石粉厂大路</w:t>
            </w:r>
          </w:p>
        </w:tc>
        <w:tc>
          <w:tcPr>
            <w:tcW w:w="1290" w:type="dxa"/>
            <w:gridSpan w:val="3"/>
            <w:vAlign w:val="top"/>
          </w:tcPr>
          <w:p>
            <w:pPr>
              <w:spacing w:before="0" w:line="440" w:lineRule="exact"/>
              <w:ind w:left="0" w:firstLine="420" w:firstLineChars="200"/>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二级</w:t>
            </w:r>
          </w:p>
        </w:tc>
        <w:tc>
          <w:tcPr>
            <w:tcW w:w="1802"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103×10=1030</w:t>
            </w:r>
          </w:p>
        </w:tc>
        <w:tc>
          <w:tcPr>
            <w:tcW w:w="1955" w:type="dxa"/>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2610" w:type="dxa"/>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1508"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1030</w:t>
            </w:r>
          </w:p>
        </w:tc>
        <w:tc>
          <w:tcPr>
            <w:tcW w:w="2085" w:type="dxa"/>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trPr>
        <w:tc>
          <w:tcPr>
            <w:tcW w:w="702"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w:t>
            </w:r>
          </w:p>
        </w:tc>
        <w:tc>
          <w:tcPr>
            <w:tcW w:w="2256"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含山路</w:t>
            </w:r>
          </w:p>
        </w:tc>
        <w:tc>
          <w:tcPr>
            <w:tcW w:w="1290" w:type="dxa"/>
            <w:gridSpan w:val="3"/>
            <w:vAlign w:val="top"/>
          </w:tcPr>
          <w:p>
            <w:pPr>
              <w:spacing w:before="0" w:line="440" w:lineRule="exact"/>
              <w:ind w:left="0" w:firstLine="420" w:firstLineChars="200"/>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二级</w:t>
            </w:r>
          </w:p>
        </w:tc>
        <w:tc>
          <w:tcPr>
            <w:tcW w:w="1802"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113×9=1017</w:t>
            </w:r>
          </w:p>
        </w:tc>
        <w:tc>
          <w:tcPr>
            <w:tcW w:w="1955" w:type="dxa"/>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2610" w:type="dxa"/>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1508"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1017</w:t>
            </w:r>
          </w:p>
        </w:tc>
        <w:tc>
          <w:tcPr>
            <w:tcW w:w="2085" w:type="dxa"/>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702"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p>
        </w:tc>
        <w:tc>
          <w:tcPr>
            <w:tcW w:w="2256"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桥井中路 131 弄</w:t>
            </w:r>
          </w:p>
        </w:tc>
        <w:tc>
          <w:tcPr>
            <w:tcW w:w="1290" w:type="dxa"/>
            <w:gridSpan w:val="3"/>
            <w:vAlign w:val="top"/>
          </w:tcPr>
          <w:p>
            <w:pPr>
              <w:spacing w:before="0" w:line="440" w:lineRule="exact"/>
              <w:ind w:left="0" w:firstLine="420" w:firstLineChars="200"/>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二级</w:t>
            </w:r>
          </w:p>
        </w:tc>
        <w:tc>
          <w:tcPr>
            <w:tcW w:w="1802"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76×8=608</w:t>
            </w:r>
          </w:p>
        </w:tc>
        <w:tc>
          <w:tcPr>
            <w:tcW w:w="1955" w:type="dxa"/>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2610" w:type="dxa"/>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1508"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608</w:t>
            </w:r>
          </w:p>
        </w:tc>
        <w:tc>
          <w:tcPr>
            <w:tcW w:w="2085" w:type="dxa"/>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 w:hRule="atLeast"/>
        </w:trPr>
        <w:tc>
          <w:tcPr>
            <w:tcW w:w="702"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w:t>
            </w:r>
          </w:p>
        </w:tc>
        <w:tc>
          <w:tcPr>
            <w:tcW w:w="2256"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 xml:space="preserve">黄墩路 ( </w:t>
            </w:r>
            <w:r>
              <w:rPr>
                <w:rFonts w:hint="eastAsia" w:ascii="宋体" w:hAnsi="宋体" w:eastAsia="宋体" w:cs="宋体"/>
                <w:color w:val="000000"/>
                <w:sz w:val="21"/>
                <w:szCs w:val="21"/>
                <w:highlight w:val="none"/>
              </w:rPr>
              <w:t>93 号 )</w:t>
            </w:r>
          </w:p>
        </w:tc>
        <w:tc>
          <w:tcPr>
            <w:tcW w:w="1290" w:type="dxa"/>
            <w:gridSpan w:val="3"/>
            <w:vAlign w:val="top"/>
          </w:tcPr>
          <w:p>
            <w:pPr>
              <w:spacing w:before="0" w:line="440" w:lineRule="exact"/>
              <w:ind w:left="0" w:firstLine="420" w:firstLineChars="200"/>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二级</w:t>
            </w:r>
          </w:p>
        </w:tc>
        <w:tc>
          <w:tcPr>
            <w:tcW w:w="1802"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70 ×13=910</w:t>
            </w:r>
          </w:p>
        </w:tc>
        <w:tc>
          <w:tcPr>
            <w:tcW w:w="1955" w:type="dxa"/>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2610" w:type="dxa"/>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1508"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910</w:t>
            </w:r>
          </w:p>
        </w:tc>
        <w:tc>
          <w:tcPr>
            <w:tcW w:w="2085" w:type="dxa"/>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 w:hRule="atLeast"/>
        </w:trPr>
        <w:tc>
          <w:tcPr>
            <w:tcW w:w="702"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w:t>
            </w:r>
          </w:p>
        </w:tc>
        <w:tc>
          <w:tcPr>
            <w:tcW w:w="2256"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西边南路</w:t>
            </w:r>
          </w:p>
        </w:tc>
        <w:tc>
          <w:tcPr>
            <w:tcW w:w="1290" w:type="dxa"/>
            <w:gridSpan w:val="3"/>
            <w:vAlign w:val="top"/>
          </w:tcPr>
          <w:p>
            <w:pPr>
              <w:spacing w:before="0" w:line="440" w:lineRule="exact"/>
              <w:ind w:left="0" w:firstLine="420" w:firstLineChars="200"/>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二级</w:t>
            </w:r>
          </w:p>
        </w:tc>
        <w:tc>
          <w:tcPr>
            <w:tcW w:w="1802"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97×9.8=950</w:t>
            </w:r>
          </w:p>
        </w:tc>
        <w:tc>
          <w:tcPr>
            <w:tcW w:w="1955" w:type="dxa"/>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2610" w:type="dxa"/>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c>
          <w:tcPr>
            <w:tcW w:w="1508"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950</w:t>
            </w:r>
          </w:p>
        </w:tc>
        <w:tc>
          <w:tcPr>
            <w:tcW w:w="2085" w:type="dxa"/>
            <w:vAlign w:val="top"/>
          </w:tcPr>
          <w:p>
            <w:pPr>
              <w:spacing w:line="440" w:lineRule="exact"/>
              <w:ind w:firstLine="420" w:firstLineChars="200"/>
              <w:jc w:val="center"/>
              <w:outlineLvl w:val="1"/>
              <w:rPr>
                <w:rFonts w:hint="eastAsia" w:ascii="宋体" w:hAnsi="宋体" w:eastAsia="宋体" w:cs="宋体"/>
                <w:color w:val="000000"/>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702" w:type="dxa"/>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9</w:t>
            </w:r>
          </w:p>
        </w:tc>
        <w:tc>
          <w:tcPr>
            <w:tcW w:w="2256" w:type="dxa"/>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万商路</w:t>
            </w:r>
          </w:p>
        </w:tc>
        <w:tc>
          <w:tcPr>
            <w:tcW w:w="1290" w:type="dxa"/>
            <w:gridSpan w:val="3"/>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position w:val="0"/>
                <w:sz w:val="21"/>
                <w:szCs w:val="21"/>
                <w:highlight w:val="none"/>
              </w:rPr>
              <w:t>一级</w:t>
            </w:r>
          </w:p>
        </w:tc>
        <w:tc>
          <w:tcPr>
            <w:tcW w:w="1802" w:type="dxa"/>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604×14=8456</w:t>
            </w:r>
          </w:p>
        </w:tc>
        <w:tc>
          <w:tcPr>
            <w:tcW w:w="1955" w:type="dxa"/>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604×4×2=4832</w:t>
            </w:r>
          </w:p>
        </w:tc>
        <w:tc>
          <w:tcPr>
            <w:tcW w:w="2610" w:type="dxa"/>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604×1.5×2=1812</w:t>
            </w:r>
          </w:p>
        </w:tc>
        <w:tc>
          <w:tcPr>
            <w:tcW w:w="1508" w:type="dxa"/>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15100</w:t>
            </w:r>
          </w:p>
        </w:tc>
        <w:tc>
          <w:tcPr>
            <w:tcW w:w="2085" w:type="dxa"/>
            <w:vAlign w:val="center"/>
          </w:tcPr>
          <w:p>
            <w:pPr>
              <w:spacing w:before="0" w:line="440" w:lineRule="exact"/>
              <w:ind w:left="0" w:righ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桥井中路至久安安路红绿灯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702" w:type="dxa"/>
            <w:vMerge w:val="restart"/>
            <w:tcBorders>
              <w:bottom w:val="nil"/>
            </w:tcBorders>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10</w:t>
            </w:r>
          </w:p>
        </w:tc>
        <w:tc>
          <w:tcPr>
            <w:tcW w:w="2256" w:type="dxa"/>
            <w:vMerge w:val="restart"/>
            <w:tcBorders>
              <w:bottom w:val="nil"/>
            </w:tcBorders>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停车场</w:t>
            </w:r>
          </w:p>
        </w:tc>
        <w:tc>
          <w:tcPr>
            <w:tcW w:w="1290" w:type="dxa"/>
            <w:gridSpan w:val="3"/>
            <w:vMerge w:val="restart"/>
            <w:tcBorders>
              <w:bottom w:val="nil"/>
            </w:tcBorders>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二级</w:t>
            </w:r>
          </w:p>
        </w:tc>
        <w:tc>
          <w:tcPr>
            <w:tcW w:w="1802" w:type="dxa"/>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114×23=2622</w:t>
            </w:r>
          </w:p>
        </w:tc>
        <w:tc>
          <w:tcPr>
            <w:tcW w:w="1955" w:type="dxa"/>
            <w:vMerge w:val="restart"/>
            <w:tcBorders>
              <w:bottom w:val="nil"/>
            </w:tcBorders>
            <w:vAlign w:val="top"/>
          </w:tcPr>
          <w:p>
            <w:pPr>
              <w:spacing w:line="440" w:lineRule="exact"/>
              <w:ind w:firstLine="420" w:firstLineChars="200"/>
              <w:outlineLvl w:val="1"/>
              <w:rPr>
                <w:rFonts w:hint="eastAsia" w:ascii="宋体" w:hAnsi="宋体" w:eastAsia="宋体" w:cs="宋体"/>
                <w:color w:val="000000"/>
                <w:sz w:val="21"/>
                <w:szCs w:val="21"/>
                <w:highlight w:val="none"/>
              </w:rPr>
            </w:pPr>
          </w:p>
        </w:tc>
        <w:tc>
          <w:tcPr>
            <w:tcW w:w="2610" w:type="dxa"/>
            <w:vMerge w:val="restart"/>
            <w:tcBorders>
              <w:bottom w:val="nil"/>
            </w:tcBorders>
            <w:vAlign w:val="top"/>
          </w:tcPr>
          <w:p>
            <w:pPr>
              <w:spacing w:line="440" w:lineRule="exact"/>
              <w:ind w:firstLine="420" w:firstLineChars="200"/>
              <w:outlineLvl w:val="1"/>
              <w:rPr>
                <w:rFonts w:hint="eastAsia" w:ascii="宋体" w:hAnsi="宋体" w:eastAsia="宋体" w:cs="宋体"/>
                <w:color w:val="000000"/>
                <w:sz w:val="21"/>
                <w:szCs w:val="21"/>
                <w:highlight w:val="none"/>
              </w:rPr>
            </w:pPr>
          </w:p>
        </w:tc>
        <w:tc>
          <w:tcPr>
            <w:tcW w:w="1508" w:type="dxa"/>
            <w:vMerge w:val="restart"/>
            <w:tcBorders>
              <w:bottom w:val="nil"/>
            </w:tcBorders>
            <w:vAlign w:val="top"/>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5116</w:t>
            </w:r>
          </w:p>
        </w:tc>
        <w:tc>
          <w:tcPr>
            <w:tcW w:w="2085" w:type="dxa"/>
            <w:vMerge w:val="restart"/>
            <w:tcBorders>
              <w:bottom w:val="nil"/>
            </w:tcBorders>
            <w:vAlign w:val="center"/>
          </w:tcPr>
          <w:p>
            <w:pPr>
              <w:spacing w:before="0" w:line="440" w:lineRule="exact"/>
              <w:ind w:left="0" w:firstLine="0" w:firstLineChars="0"/>
              <w:jc w:val="center"/>
              <w:outlineLvl w:val="1"/>
              <w:rPr>
                <w:rFonts w:hint="eastAsia" w:ascii="宋体" w:hAnsi="宋体" w:eastAsia="宋体" w:cs="宋体"/>
                <w:color w:val="000000"/>
                <w:sz w:val="21"/>
                <w:szCs w:val="21"/>
                <w:highlight w:val="none"/>
              </w:rPr>
            </w:pPr>
            <w:r>
              <w:rPr>
                <w:rFonts w:hint="eastAsia" w:ascii="宋体" w:hAnsi="宋体" w:eastAsia="宋体" w:cs="宋体"/>
                <w:color w:val="000000"/>
                <w:spacing w:val="0"/>
                <w:sz w:val="21"/>
                <w:szCs w:val="21"/>
                <w:highlight w:val="none"/>
              </w:rPr>
              <w:t>老人协会停车场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2" w:hRule="atLeast"/>
        </w:trPr>
        <w:tc>
          <w:tcPr>
            <w:tcW w:w="702" w:type="dxa"/>
            <w:vMerge w:val="continue"/>
            <w:tcBorders>
              <w:top w:val="nil"/>
            </w:tcBorders>
            <w:vAlign w:val="top"/>
          </w:tcPr>
          <w:p>
            <w:pPr>
              <w:rPr>
                <w:rFonts w:hint="eastAsia" w:ascii="宋体" w:hAnsi="宋体" w:eastAsia="宋体" w:cs="宋体"/>
                <w:sz w:val="21"/>
                <w:szCs w:val="21"/>
              </w:rPr>
            </w:pPr>
          </w:p>
        </w:tc>
        <w:tc>
          <w:tcPr>
            <w:tcW w:w="2256" w:type="dxa"/>
            <w:vMerge w:val="continue"/>
            <w:tcBorders>
              <w:top w:val="nil"/>
            </w:tcBorders>
            <w:vAlign w:val="top"/>
          </w:tcPr>
          <w:p>
            <w:pPr>
              <w:rPr>
                <w:rFonts w:hint="eastAsia" w:ascii="宋体" w:hAnsi="宋体" w:eastAsia="宋体" w:cs="宋体"/>
                <w:sz w:val="21"/>
                <w:szCs w:val="21"/>
              </w:rPr>
            </w:pPr>
          </w:p>
        </w:tc>
        <w:tc>
          <w:tcPr>
            <w:tcW w:w="1290" w:type="dxa"/>
            <w:gridSpan w:val="3"/>
            <w:vMerge w:val="continue"/>
            <w:tcBorders>
              <w:top w:val="nil"/>
            </w:tcBorders>
            <w:vAlign w:val="top"/>
          </w:tcPr>
          <w:p>
            <w:pPr>
              <w:rPr>
                <w:rFonts w:hint="eastAsia" w:ascii="宋体" w:hAnsi="宋体" w:eastAsia="宋体" w:cs="宋体"/>
                <w:sz w:val="21"/>
                <w:szCs w:val="21"/>
              </w:rPr>
            </w:pPr>
          </w:p>
        </w:tc>
        <w:tc>
          <w:tcPr>
            <w:tcW w:w="1802" w:type="dxa"/>
            <w:vAlign w:val="top"/>
          </w:tcPr>
          <w:p>
            <w:pPr>
              <w:spacing w:before="71" w:line="204" w:lineRule="auto"/>
              <w:ind w:left="0"/>
              <w:jc w:val="center"/>
              <w:rPr>
                <w:rFonts w:hint="eastAsia" w:ascii="宋体" w:hAnsi="宋体" w:eastAsia="宋体" w:cs="宋体"/>
                <w:sz w:val="21"/>
                <w:szCs w:val="21"/>
              </w:rPr>
            </w:pPr>
            <w:r>
              <w:rPr>
                <w:rFonts w:hint="eastAsia" w:ascii="宋体" w:hAnsi="宋体" w:eastAsia="宋体" w:cs="宋体"/>
                <w:color w:val="000000"/>
                <w:spacing w:val="0"/>
                <w:sz w:val="21"/>
                <w:szCs w:val="21"/>
                <w:highlight w:val="none"/>
              </w:rPr>
              <w:t>58×43=2494</w:t>
            </w:r>
          </w:p>
        </w:tc>
        <w:tc>
          <w:tcPr>
            <w:tcW w:w="1955" w:type="dxa"/>
            <w:vMerge w:val="continue"/>
            <w:tcBorders>
              <w:top w:val="nil"/>
            </w:tcBorders>
            <w:vAlign w:val="top"/>
          </w:tcPr>
          <w:p>
            <w:pPr>
              <w:rPr>
                <w:rFonts w:hint="eastAsia" w:ascii="宋体" w:hAnsi="宋体" w:eastAsia="宋体" w:cs="宋体"/>
                <w:sz w:val="21"/>
                <w:szCs w:val="21"/>
              </w:rPr>
            </w:pPr>
          </w:p>
        </w:tc>
        <w:tc>
          <w:tcPr>
            <w:tcW w:w="2610" w:type="dxa"/>
            <w:vMerge w:val="continue"/>
            <w:tcBorders>
              <w:top w:val="nil"/>
            </w:tcBorders>
            <w:vAlign w:val="top"/>
          </w:tcPr>
          <w:p>
            <w:pPr>
              <w:rPr>
                <w:rFonts w:hint="eastAsia" w:ascii="宋体" w:hAnsi="宋体" w:eastAsia="宋体" w:cs="宋体"/>
                <w:sz w:val="21"/>
                <w:szCs w:val="21"/>
              </w:rPr>
            </w:pPr>
          </w:p>
        </w:tc>
        <w:tc>
          <w:tcPr>
            <w:tcW w:w="1508" w:type="dxa"/>
            <w:vMerge w:val="continue"/>
            <w:tcBorders>
              <w:top w:val="nil"/>
            </w:tcBorders>
            <w:vAlign w:val="top"/>
          </w:tcPr>
          <w:p>
            <w:pPr>
              <w:rPr>
                <w:rFonts w:hint="eastAsia" w:ascii="宋体" w:hAnsi="宋体" w:eastAsia="宋体" w:cs="宋体"/>
                <w:sz w:val="21"/>
                <w:szCs w:val="21"/>
              </w:rPr>
            </w:pPr>
          </w:p>
        </w:tc>
        <w:tc>
          <w:tcPr>
            <w:tcW w:w="2085" w:type="dxa"/>
            <w:vMerge w:val="continue"/>
            <w:tcBorders>
              <w:top w:val="nil"/>
            </w:tcBorders>
            <w:vAlign w:val="top"/>
          </w:tcPr>
          <w:p>
            <w:pPr>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702" w:type="dxa"/>
            <w:vAlign w:val="top"/>
          </w:tcPr>
          <w:p>
            <w:pPr>
              <w:spacing w:before="267" w:line="207" w:lineRule="auto"/>
              <w:ind w:left="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序号</w:t>
            </w:r>
          </w:p>
        </w:tc>
        <w:tc>
          <w:tcPr>
            <w:tcW w:w="2375" w:type="dxa"/>
            <w:gridSpan w:val="2"/>
            <w:vAlign w:val="top"/>
          </w:tcPr>
          <w:p>
            <w:pPr>
              <w:spacing w:before="267" w:line="207" w:lineRule="auto"/>
              <w:ind w:left="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道路名称</w:t>
            </w:r>
          </w:p>
        </w:tc>
        <w:tc>
          <w:tcPr>
            <w:tcW w:w="1077" w:type="dxa"/>
            <w:vAlign w:val="top"/>
          </w:tcPr>
          <w:p>
            <w:pPr>
              <w:spacing w:before="267" w:line="207" w:lineRule="auto"/>
              <w:ind w:left="0" w:right="0" w:firstLine="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道路等级</w:t>
            </w:r>
          </w:p>
        </w:tc>
        <w:tc>
          <w:tcPr>
            <w:tcW w:w="1896" w:type="dxa"/>
            <w:gridSpan w:val="2"/>
            <w:vAlign w:val="top"/>
          </w:tcPr>
          <w:p>
            <w:pPr>
              <w:spacing w:before="267" w:line="207" w:lineRule="auto"/>
              <w:ind w:left="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主车道面积</w:t>
            </w:r>
          </w:p>
        </w:tc>
        <w:tc>
          <w:tcPr>
            <w:tcW w:w="1955" w:type="dxa"/>
            <w:vAlign w:val="top"/>
          </w:tcPr>
          <w:p>
            <w:pPr>
              <w:spacing w:before="267" w:line="207" w:lineRule="auto"/>
              <w:ind w:left="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人行道面积</w:t>
            </w:r>
          </w:p>
        </w:tc>
        <w:tc>
          <w:tcPr>
            <w:tcW w:w="2610" w:type="dxa"/>
            <w:vAlign w:val="top"/>
          </w:tcPr>
          <w:p>
            <w:pPr>
              <w:spacing w:before="267" w:line="207" w:lineRule="auto"/>
              <w:ind w:left="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绿化带面积</w:t>
            </w:r>
          </w:p>
        </w:tc>
        <w:tc>
          <w:tcPr>
            <w:tcW w:w="1508" w:type="dxa"/>
            <w:vAlign w:val="top"/>
          </w:tcPr>
          <w:p>
            <w:pPr>
              <w:spacing w:before="267" w:line="207" w:lineRule="auto"/>
              <w:ind w:left="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总面积</w:t>
            </w:r>
          </w:p>
        </w:tc>
        <w:tc>
          <w:tcPr>
            <w:tcW w:w="2085" w:type="dxa"/>
            <w:vAlign w:val="top"/>
          </w:tcPr>
          <w:p>
            <w:pPr>
              <w:spacing w:before="267" w:line="207" w:lineRule="auto"/>
              <w:ind w:left="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702" w:type="dxa"/>
            <w:vMerge w:val="restart"/>
            <w:tcBorders>
              <w:bottom w:val="nil"/>
            </w:tcBorders>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11</w:t>
            </w:r>
          </w:p>
        </w:tc>
        <w:tc>
          <w:tcPr>
            <w:tcW w:w="2375" w:type="dxa"/>
            <w:gridSpan w:val="2"/>
            <w:vMerge w:val="restart"/>
            <w:tcBorders>
              <w:bottom w:val="nil"/>
            </w:tcBorders>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中新南街</w:t>
            </w:r>
          </w:p>
        </w:tc>
        <w:tc>
          <w:tcPr>
            <w:tcW w:w="1077" w:type="dxa"/>
            <w:vMerge w:val="restart"/>
            <w:tcBorders>
              <w:bottom w:val="nil"/>
            </w:tcBorders>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position w:val="0"/>
                <w:sz w:val="21"/>
                <w:szCs w:val="21"/>
              </w:rPr>
              <w:t>一级</w:t>
            </w:r>
          </w:p>
        </w:tc>
        <w:tc>
          <w:tcPr>
            <w:tcW w:w="1896" w:type="dxa"/>
            <w:gridSpan w:val="2"/>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469×9.3=4362</w:t>
            </w:r>
          </w:p>
        </w:tc>
        <w:tc>
          <w:tcPr>
            <w:tcW w:w="1955" w:type="dxa"/>
            <w:vMerge w:val="restart"/>
            <w:tcBorders>
              <w:bottom w:val="nil"/>
            </w:tcBorders>
            <w:vAlign w:val="top"/>
          </w:tcPr>
          <w:p>
            <w:pPr>
              <w:spacing w:before="267" w:line="207" w:lineRule="auto"/>
              <w:jc w:val="center"/>
              <w:rPr>
                <w:rFonts w:hint="eastAsia" w:ascii="宋体" w:hAnsi="宋体" w:cs="宋体"/>
                <w:b w:val="0"/>
                <w:bCs w:val="0"/>
                <w:spacing w:val="6"/>
                <w:sz w:val="21"/>
                <w:szCs w:val="21"/>
              </w:rPr>
            </w:pPr>
          </w:p>
        </w:tc>
        <w:tc>
          <w:tcPr>
            <w:tcW w:w="2610" w:type="dxa"/>
            <w:vMerge w:val="restart"/>
            <w:tcBorders>
              <w:bottom w:val="nil"/>
            </w:tcBorders>
            <w:vAlign w:val="top"/>
          </w:tcPr>
          <w:p>
            <w:pPr>
              <w:spacing w:before="267" w:line="207" w:lineRule="auto"/>
              <w:jc w:val="center"/>
              <w:rPr>
                <w:rFonts w:hint="eastAsia" w:ascii="宋体" w:hAnsi="宋体" w:cs="宋体"/>
                <w:b w:val="0"/>
                <w:bCs w:val="0"/>
                <w:spacing w:val="6"/>
                <w:sz w:val="21"/>
                <w:szCs w:val="21"/>
              </w:rPr>
            </w:pPr>
          </w:p>
        </w:tc>
        <w:tc>
          <w:tcPr>
            <w:tcW w:w="1508" w:type="dxa"/>
            <w:vMerge w:val="restart"/>
            <w:tcBorders>
              <w:bottom w:val="nil"/>
            </w:tcBorders>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6942</w:t>
            </w:r>
          </w:p>
        </w:tc>
        <w:tc>
          <w:tcPr>
            <w:tcW w:w="2085" w:type="dxa"/>
            <w:vMerge w:val="restart"/>
            <w:tcBorders>
              <w:bottom w:val="nil"/>
            </w:tcBorders>
            <w:vAlign w:val="top"/>
          </w:tcPr>
          <w:p>
            <w:pPr>
              <w:spacing w:before="267" w:line="207" w:lineRule="auto"/>
              <w:jc w:val="center"/>
              <w:rPr>
                <w:rFonts w:hint="eastAsia" w:ascii="宋体" w:hAnsi="宋体" w:cs="宋体"/>
                <w:b w:val="0"/>
                <w:bCs w:val="0"/>
                <w:spacing w:val="6"/>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4" w:hRule="atLeast"/>
        </w:trPr>
        <w:tc>
          <w:tcPr>
            <w:tcW w:w="702" w:type="dxa"/>
            <w:vMerge w:val="continue"/>
            <w:tcBorders>
              <w:top w:val="nil"/>
            </w:tcBorders>
            <w:vAlign w:val="center"/>
          </w:tcPr>
          <w:p>
            <w:pPr>
              <w:spacing w:before="267" w:line="207" w:lineRule="auto"/>
              <w:jc w:val="center"/>
              <w:rPr>
                <w:rFonts w:hint="eastAsia" w:ascii="宋体" w:hAnsi="宋体" w:cs="宋体"/>
                <w:b w:val="0"/>
                <w:bCs w:val="0"/>
                <w:spacing w:val="6"/>
                <w:sz w:val="21"/>
                <w:szCs w:val="21"/>
              </w:rPr>
            </w:pPr>
          </w:p>
        </w:tc>
        <w:tc>
          <w:tcPr>
            <w:tcW w:w="2375" w:type="dxa"/>
            <w:gridSpan w:val="2"/>
            <w:vMerge w:val="continue"/>
            <w:tcBorders>
              <w:top w:val="nil"/>
            </w:tcBorders>
            <w:vAlign w:val="center"/>
          </w:tcPr>
          <w:p>
            <w:pPr>
              <w:spacing w:before="267" w:line="207" w:lineRule="auto"/>
              <w:jc w:val="center"/>
              <w:rPr>
                <w:rFonts w:hint="eastAsia" w:ascii="宋体" w:hAnsi="宋体" w:cs="宋体"/>
                <w:b w:val="0"/>
                <w:bCs w:val="0"/>
                <w:spacing w:val="6"/>
                <w:sz w:val="21"/>
                <w:szCs w:val="21"/>
              </w:rPr>
            </w:pPr>
          </w:p>
        </w:tc>
        <w:tc>
          <w:tcPr>
            <w:tcW w:w="1077" w:type="dxa"/>
            <w:vMerge w:val="continue"/>
            <w:tcBorders>
              <w:top w:val="nil"/>
            </w:tcBorders>
            <w:vAlign w:val="top"/>
          </w:tcPr>
          <w:p>
            <w:pPr>
              <w:spacing w:before="267" w:line="207" w:lineRule="auto"/>
              <w:jc w:val="center"/>
              <w:rPr>
                <w:rFonts w:hint="eastAsia" w:ascii="宋体" w:hAnsi="宋体" w:cs="宋体"/>
                <w:b w:val="0"/>
                <w:bCs w:val="0"/>
                <w:spacing w:val="6"/>
                <w:sz w:val="21"/>
                <w:szCs w:val="21"/>
              </w:rPr>
            </w:pPr>
          </w:p>
        </w:tc>
        <w:tc>
          <w:tcPr>
            <w:tcW w:w="1896" w:type="dxa"/>
            <w:gridSpan w:val="2"/>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469×5.5=2580</w:t>
            </w:r>
          </w:p>
        </w:tc>
        <w:tc>
          <w:tcPr>
            <w:tcW w:w="1955" w:type="dxa"/>
            <w:vMerge w:val="continue"/>
            <w:tcBorders>
              <w:top w:val="nil"/>
            </w:tcBorders>
            <w:vAlign w:val="top"/>
          </w:tcPr>
          <w:p>
            <w:pPr>
              <w:spacing w:before="267" w:line="207" w:lineRule="auto"/>
              <w:jc w:val="center"/>
              <w:rPr>
                <w:rFonts w:hint="eastAsia" w:ascii="宋体" w:hAnsi="宋体" w:cs="宋体"/>
                <w:b w:val="0"/>
                <w:bCs w:val="0"/>
                <w:spacing w:val="6"/>
                <w:sz w:val="21"/>
                <w:szCs w:val="21"/>
              </w:rPr>
            </w:pPr>
          </w:p>
        </w:tc>
        <w:tc>
          <w:tcPr>
            <w:tcW w:w="2610" w:type="dxa"/>
            <w:vMerge w:val="continue"/>
            <w:tcBorders>
              <w:top w:val="nil"/>
            </w:tcBorders>
            <w:vAlign w:val="top"/>
          </w:tcPr>
          <w:p>
            <w:pPr>
              <w:spacing w:before="267" w:line="207" w:lineRule="auto"/>
              <w:jc w:val="center"/>
              <w:rPr>
                <w:rFonts w:hint="eastAsia" w:ascii="宋体" w:hAnsi="宋体" w:cs="宋体"/>
                <w:b w:val="0"/>
                <w:bCs w:val="0"/>
                <w:spacing w:val="6"/>
                <w:sz w:val="21"/>
                <w:szCs w:val="21"/>
              </w:rPr>
            </w:pPr>
          </w:p>
        </w:tc>
        <w:tc>
          <w:tcPr>
            <w:tcW w:w="1508" w:type="dxa"/>
            <w:vMerge w:val="continue"/>
            <w:tcBorders>
              <w:top w:val="nil"/>
            </w:tcBorders>
            <w:vAlign w:val="top"/>
          </w:tcPr>
          <w:p>
            <w:pPr>
              <w:spacing w:before="267" w:line="207" w:lineRule="auto"/>
              <w:jc w:val="center"/>
              <w:rPr>
                <w:rFonts w:hint="eastAsia" w:ascii="宋体" w:hAnsi="宋体" w:cs="宋体"/>
                <w:b w:val="0"/>
                <w:bCs w:val="0"/>
                <w:spacing w:val="6"/>
                <w:sz w:val="21"/>
                <w:szCs w:val="21"/>
              </w:rPr>
            </w:pPr>
          </w:p>
        </w:tc>
        <w:tc>
          <w:tcPr>
            <w:tcW w:w="2085" w:type="dxa"/>
            <w:vMerge w:val="continue"/>
            <w:tcBorders>
              <w:top w:val="nil"/>
            </w:tcBorders>
            <w:vAlign w:val="top"/>
          </w:tcPr>
          <w:p>
            <w:pPr>
              <w:spacing w:before="267" w:line="207" w:lineRule="auto"/>
              <w:jc w:val="center"/>
              <w:rPr>
                <w:rFonts w:hint="eastAsia" w:ascii="宋体" w:hAnsi="宋体" w:cs="宋体"/>
                <w:b w:val="0"/>
                <w:bCs w:val="0"/>
                <w:spacing w:val="6"/>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702"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12</w:t>
            </w:r>
          </w:p>
        </w:tc>
        <w:tc>
          <w:tcPr>
            <w:tcW w:w="2375" w:type="dxa"/>
            <w:gridSpan w:val="2"/>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中新北街</w:t>
            </w:r>
          </w:p>
        </w:tc>
        <w:tc>
          <w:tcPr>
            <w:tcW w:w="1077"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一级</w:t>
            </w:r>
          </w:p>
        </w:tc>
        <w:tc>
          <w:tcPr>
            <w:tcW w:w="1896" w:type="dxa"/>
            <w:gridSpan w:val="2"/>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440 ×13=5720</w:t>
            </w:r>
          </w:p>
        </w:tc>
        <w:tc>
          <w:tcPr>
            <w:tcW w:w="1955" w:type="dxa"/>
            <w:vAlign w:val="top"/>
          </w:tcPr>
          <w:p>
            <w:pPr>
              <w:spacing w:before="267" w:line="207" w:lineRule="auto"/>
              <w:jc w:val="center"/>
              <w:rPr>
                <w:rFonts w:hint="eastAsia" w:ascii="宋体" w:hAnsi="宋体" w:cs="宋体"/>
                <w:b w:val="0"/>
                <w:bCs w:val="0"/>
                <w:spacing w:val="6"/>
                <w:sz w:val="21"/>
                <w:szCs w:val="21"/>
              </w:rPr>
            </w:pPr>
          </w:p>
        </w:tc>
        <w:tc>
          <w:tcPr>
            <w:tcW w:w="2610" w:type="dxa"/>
            <w:vAlign w:val="top"/>
          </w:tcPr>
          <w:p>
            <w:pPr>
              <w:spacing w:before="267" w:line="207" w:lineRule="auto"/>
              <w:jc w:val="center"/>
              <w:rPr>
                <w:rFonts w:hint="eastAsia" w:ascii="宋体" w:hAnsi="宋体" w:cs="宋体"/>
                <w:b w:val="0"/>
                <w:bCs w:val="0"/>
                <w:spacing w:val="6"/>
                <w:sz w:val="21"/>
                <w:szCs w:val="21"/>
              </w:rPr>
            </w:pPr>
          </w:p>
        </w:tc>
        <w:tc>
          <w:tcPr>
            <w:tcW w:w="1508"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5720</w:t>
            </w:r>
          </w:p>
        </w:tc>
        <w:tc>
          <w:tcPr>
            <w:tcW w:w="2085" w:type="dxa"/>
            <w:vAlign w:val="top"/>
          </w:tcPr>
          <w:p>
            <w:pPr>
              <w:spacing w:before="267" w:line="207" w:lineRule="auto"/>
              <w:jc w:val="center"/>
              <w:rPr>
                <w:rFonts w:hint="eastAsia" w:ascii="宋体" w:hAnsi="宋体" w:cs="宋体"/>
                <w:b w:val="0"/>
                <w:bCs w:val="0"/>
                <w:spacing w:val="6"/>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702"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13</w:t>
            </w:r>
          </w:p>
        </w:tc>
        <w:tc>
          <w:tcPr>
            <w:tcW w:w="2375" w:type="dxa"/>
            <w:gridSpan w:val="2"/>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庙港路</w:t>
            </w:r>
          </w:p>
        </w:tc>
        <w:tc>
          <w:tcPr>
            <w:tcW w:w="1077"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二级</w:t>
            </w:r>
          </w:p>
        </w:tc>
        <w:tc>
          <w:tcPr>
            <w:tcW w:w="1896" w:type="dxa"/>
            <w:gridSpan w:val="2"/>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220×7.5=1650</w:t>
            </w:r>
          </w:p>
        </w:tc>
        <w:tc>
          <w:tcPr>
            <w:tcW w:w="1955" w:type="dxa"/>
            <w:vAlign w:val="top"/>
          </w:tcPr>
          <w:p>
            <w:pPr>
              <w:spacing w:before="267" w:line="207" w:lineRule="auto"/>
              <w:jc w:val="center"/>
              <w:rPr>
                <w:rFonts w:hint="eastAsia" w:ascii="宋体" w:hAnsi="宋体" w:cs="宋体"/>
                <w:b w:val="0"/>
                <w:bCs w:val="0"/>
                <w:spacing w:val="6"/>
                <w:sz w:val="21"/>
                <w:szCs w:val="21"/>
              </w:rPr>
            </w:pPr>
          </w:p>
        </w:tc>
        <w:tc>
          <w:tcPr>
            <w:tcW w:w="2610" w:type="dxa"/>
            <w:vAlign w:val="top"/>
          </w:tcPr>
          <w:p>
            <w:pPr>
              <w:spacing w:before="267" w:line="207" w:lineRule="auto"/>
              <w:jc w:val="center"/>
              <w:rPr>
                <w:rFonts w:hint="eastAsia" w:ascii="宋体" w:hAnsi="宋体" w:cs="宋体"/>
                <w:b w:val="0"/>
                <w:bCs w:val="0"/>
                <w:spacing w:val="6"/>
                <w:sz w:val="21"/>
                <w:szCs w:val="21"/>
              </w:rPr>
            </w:pPr>
          </w:p>
        </w:tc>
        <w:tc>
          <w:tcPr>
            <w:tcW w:w="1508"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1650</w:t>
            </w:r>
          </w:p>
        </w:tc>
        <w:tc>
          <w:tcPr>
            <w:tcW w:w="2085" w:type="dxa"/>
            <w:vAlign w:val="top"/>
          </w:tcPr>
          <w:p>
            <w:pPr>
              <w:spacing w:before="267" w:line="207" w:lineRule="auto"/>
              <w:jc w:val="center"/>
              <w:rPr>
                <w:rFonts w:hint="eastAsia" w:ascii="宋体" w:hAnsi="宋体" w:cs="宋体"/>
                <w:b w:val="0"/>
                <w:bCs w:val="0"/>
                <w:spacing w:val="6"/>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702"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14</w:t>
            </w:r>
          </w:p>
        </w:tc>
        <w:tc>
          <w:tcPr>
            <w:tcW w:w="2375" w:type="dxa"/>
            <w:gridSpan w:val="2"/>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西边路 (老黄墩路)</w:t>
            </w:r>
          </w:p>
        </w:tc>
        <w:tc>
          <w:tcPr>
            <w:tcW w:w="1077"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二级</w:t>
            </w:r>
          </w:p>
        </w:tc>
        <w:tc>
          <w:tcPr>
            <w:tcW w:w="1896" w:type="dxa"/>
            <w:gridSpan w:val="2"/>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98×8=784</w:t>
            </w:r>
          </w:p>
        </w:tc>
        <w:tc>
          <w:tcPr>
            <w:tcW w:w="1955" w:type="dxa"/>
            <w:vAlign w:val="top"/>
          </w:tcPr>
          <w:p>
            <w:pPr>
              <w:spacing w:before="267" w:line="207" w:lineRule="auto"/>
              <w:jc w:val="center"/>
              <w:rPr>
                <w:rFonts w:hint="eastAsia" w:ascii="宋体" w:hAnsi="宋体" w:cs="宋体"/>
                <w:b w:val="0"/>
                <w:bCs w:val="0"/>
                <w:spacing w:val="6"/>
                <w:sz w:val="21"/>
                <w:szCs w:val="21"/>
              </w:rPr>
            </w:pPr>
          </w:p>
        </w:tc>
        <w:tc>
          <w:tcPr>
            <w:tcW w:w="2610" w:type="dxa"/>
            <w:vAlign w:val="top"/>
          </w:tcPr>
          <w:p>
            <w:pPr>
              <w:spacing w:before="267" w:line="207" w:lineRule="auto"/>
              <w:jc w:val="center"/>
              <w:rPr>
                <w:rFonts w:hint="eastAsia" w:ascii="宋体" w:hAnsi="宋体" w:cs="宋体"/>
                <w:b w:val="0"/>
                <w:bCs w:val="0"/>
                <w:spacing w:val="6"/>
                <w:sz w:val="21"/>
                <w:szCs w:val="21"/>
              </w:rPr>
            </w:pPr>
          </w:p>
        </w:tc>
        <w:tc>
          <w:tcPr>
            <w:tcW w:w="1508"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784</w:t>
            </w:r>
          </w:p>
        </w:tc>
        <w:tc>
          <w:tcPr>
            <w:tcW w:w="2085" w:type="dxa"/>
            <w:vAlign w:val="top"/>
          </w:tcPr>
          <w:p>
            <w:pPr>
              <w:spacing w:before="267" w:line="207" w:lineRule="auto"/>
              <w:jc w:val="center"/>
              <w:rPr>
                <w:rFonts w:hint="eastAsia" w:ascii="宋体" w:hAnsi="宋体" w:cs="宋体"/>
                <w:b w:val="0"/>
                <w:bCs w:val="0"/>
                <w:spacing w:val="6"/>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702"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15</w:t>
            </w:r>
          </w:p>
        </w:tc>
        <w:tc>
          <w:tcPr>
            <w:tcW w:w="2375" w:type="dxa"/>
            <w:gridSpan w:val="2"/>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眠牛山路</w:t>
            </w:r>
          </w:p>
        </w:tc>
        <w:tc>
          <w:tcPr>
            <w:tcW w:w="1077"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二级</w:t>
            </w:r>
          </w:p>
        </w:tc>
        <w:tc>
          <w:tcPr>
            <w:tcW w:w="1896" w:type="dxa"/>
            <w:gridSpan w:val="2"/>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368×8=2944</w:t>
            </w:r>
          </w:p>
        </w:tc>
        <w:tc>
          <w:tcPr>
            <w:tcW w:w="1955" w:type="dxa"/>
            <w:vAlign w:val="top"/>
          </w:tcPr>
          <w:p>
            <w:pPr>
              <w:spacing w:before="267" w:line="207" w:lineRule="auto"/>
              <w:jc w:val="center"/>
              <w:rPr>
                <w:rFonts w:hint="eastAsia" w:ascii="宋体" w:hAnsi="宋体" w:cs="宋体"/>
                <w:b w:val="0"/>
                <w:bCs w:val="0"/>
                <w:spacing w:val="6"/>
                <w:sz w:val="21"/>
                <w:szCs w:val="21"/>
              </w:rPr>
            </w:pPr>
          </w:p>
        </w:tc>
        <w:tc>
          <w:tcPr>
            <w:tcW w:w="2610" w:type="dxa"/>
            <w:vAlign w:val="top"/>
          </w:tcPr>
          <w:p>
            <w:pPr>
              <w:spacing w:before="267" w:line="207" w:lineRule="auto"/>
              <w:jc w:val="center"/>
              <w:rPr>
                <w:rFonts w:hint="eastAsia" w:ascii="宋体" w:hAnsi="宋体" w:cs="宋体"/>
                <w:b w:val="0"/>
                <w:bCs w:val="0"/>
                <w:spacing w:val="6"/>
                <w:sz w:val="21"/>
                <w:szCs w:val="21"/>
              </w:rPr>
            </w:pPr>
          </w:p>
        </w:tc>
        <w:tc>
          <w:tcPr>
            <w:tcW w:w="1508"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2944</w:t>
            </w:r>
          </w:p>
        </w:tc>
        <w:tc>
          <w:tcPr>
            <w:tcW w:w="2085" w:type="dxa"/>
            <w:vAlign w:val="top"/>
          </w:tcPr>
          <w:p>
            <w:pPr>
              <w:spacing w:before="267" w:line="207" w:lineRule="auto"/>
              <w:jc w:val="center"/>
              <w:rPr>
                <w:rFonts w:hint="eastAsia" w:ascii="宋体" w:hAnsi="宋体" w:cs="宋体"/>
                <w:b w:val="0"/>
                <w:bCs w:val="0"/>
                <w:spacing w:val="6"/>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702"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16</w:t>
            </w:r>
          </w:p>
        </w:tc>
        <w:tc>
          <w:tcPr>
            <w:tcW w:w="2375" w:type="dxa"/>
            <w:gridSpan w:val="2"/>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彬彬购物中心门 口</w:t>
            </w:r>
          </w:p>
        </w:tc>
        <w:tc>
          <w:tcPr>
            <w:tcW w:w="1077"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二级</w:t>
            </w:r>
          </w:p>
        </w:tc>
        <w:tc>
          <w:tcPr>
            <w:tcW w:w="1896" w:type="dxa"/>
            <w:gridSpan w:val="2"/>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107×8=856</w:t>
            </w:r>
          </w:p>
        </w:tc>
        <w:tc>
          <w:tcPr>
            <w:tcW w:w="1955" w:type="dxa"/>
            <w:vAlign w:val="top"/>
          </w:tcPr>
          <w:p>
            <w:pPr>
              <w:spacing w:before="267" w:line="207" w:lineRule="auto"/>
              <w:jc w:val="center"/>
              <w:rPr>
                <w:rFonts w:hint="eastAsia" w:ascii="宋体" w:hAnsi="宋体" w:cs="宋体"/>
                <w:b w:val="0"/>
                <w:bCs w:val="0"/>
                <w:spacing w:val="6"/>
                <w:sz w:val="21"/>
                <w:szCs w:val="21"/>
              </w:rPr>
            </w:pPr>
          </w:p>
        </w:tc>
        <w:tc>
          <w:tcPr>
            <w:tcW w:w="2610" w:type="dxa"/>
            <w:vAlign w:val="top"/>
          </w:tcPr>
          <w:p>
            <w:pPr>
              <w:spacing w:before="267" w:line="207" w:lineRule="auto"/>
              <w:jc w:val="center"/>
              <w:rPr>
                <w:rFonts w:hint="eastAsia" w:ascii="宋体" w:hAnsi="宋体" w:cs="宋体"/>
                <w:b w:val="0"/>
                <w:bCs w:val="0"/>
                <w:spacing w:val="6"/>
                <w:sz w:val="21"/>
                <w:szCs w:val="21"/>
              </w:rPr>
            </w:pPr>
          </w:p>
        </w:tc>
        <w:tc>
          <w:tcPr>
            <w:tcW w:w="1508"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856</w:t>
            </w:r>
          </w:p>
        </w:tc>
        <w:tc>
          <w:tcPr>
            <w:tcW w:w="2085" w:type="dxa"/>
            <w:vAlign w:val="top"/>
          </w:tcPr>
          <w:p>
            <w:pPr>
              <w:spacing w:before="267" w:line="207" w:lineRule="auto"/>
              <w:jc w:val="center"/>
              <w:rPr>
                <w:rFonts w:hint="eastAsia" w:ascii="宋体" w:hAnsi="宋体" w:cs="宋体"/>
                <w:b w:val="0"/>
                <w:bCs w:val="0"/>
                <w:spacing w:val="6"/>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702"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17</w:t>
            </w:r>
          </w:p>
        </w:tc>
        <w:tc>
          <w:tcPr>
            <w:tcW w:w="2375" w:type="dxa"/>
            <w:gridSpan w:val="2"/>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彬彬公园</w:t>
            </w:r>
          </w:p>
        </w:tc>
        <w:tc>
          <w:tcPr>
            <w:tcW w:w="1077"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二级</w:t>
            </w:r>
          </w:p>
        </w:tc>
        <w:tc>
          <w:tcPr>
            <w:tcW w:w="1896" w:type="dxa"/>
            <w:gridSpan w:val="2"/>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107×8=856</w:t>
            </w:r>
          </w:p>
        </w:tc>
        <w:tc>
          <w:tcPr>
            <w:tcW w:w="1955" w:type="dxa"/>
            <w:vAlign w:val="top"/>
          </w:tcPr>
          <w:p>
            <w:pPr>
              <w:spacing w:before="267" w:line="207" w:lineRule="auto"/>
              <w:jc w:val="center"/>
              <w:rPr>
                <w:rFonts w:hint="eastAsia" w:ascii="宋体" w:hAnsi="宋体" w:cs="宋体"/>
                <w:b w:val="0"/>
                <w:bCs w:val="0"/>
                <w:spacing w:val="6"/>
                <w:sz w:val="21"/>
                <w:szCs w:val="21"/>
              </w:rPr>
            </w:pPr>
          </w:p>
        </w:tc>
        <w:tc>
          <w:tcPr>
            <w:tcW w:w="2610"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107×8=856</w:t>
            </w:r>
          </w:p>
        </w:tc>
        <w:tc>
          <w:tcPr>
            <w:tcW w:w="1508"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1712</w:t>
            </w:r>
          </w:p>
        </w:tc>
        <w:tc>
          <w:tcPr>
            <w:tcW w:w="2085" w:type="dxa"/>
            <w:vAlign w:val="top"/>
          </w:tcPr>
          <w:p>
            <w:pPr>
              <w:spacing w:before="267" w:line="207" w:lineRule="auto"/>
              <w:jc w:val="center"/>
              <w:rPr>
                <w:rFonts w:hint="eastAsia" w:ascii="宋体" w:hAnsi="宋体" w:cs="宋体"/>
                <w:b w:val="0"/>
                <w:bCs w:val="0"/>
                <w:spacing w:val="6"/>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702"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18</w:t>
            </w:r>
          </w:p>
        </w:tc>
        <w:tc>
          <w:tcPr>
            <w:tcW w:w="2375" w:type="dxa"/>
            <w:gridSpan w:val="2"/>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桥头胡中心门 口</w:t>
            </w:r>
          </w:p>
        </w:tc>
        <w:tc>
          <w:tcPr>
            <w:tcW w:w="1077"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二级</w:t>
            </w:r>
          </w:p>
        </w:tc>
        <w:tc>
          <w:tcPr>
            <w:tcW w:w="1896" w:type="dxa"/>
            <w:gridSpan w:val="2"/>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39×16=624</w:t>
            </w:r>
          </w:p>
        </w:tc>
        <w:tc>
          <w:tcPr>
            <w:tcW w:w="1955" w:type="dxa"/>
            <w:vAlign w:val="top"/>
          </w:tcPr>
          <w:p>
            <w:pPr>
              <w:spacing w:before="267" w:line="207" w:lineRule="auto"/>
              <w:jc w:val="center"/>
              <w:rPr>
                <w:rFonts w:hint="eastAsia" w:ascii="宋体" w:hAnsi="宋体" w:cs="宋体"/>
                <w:b w:val="0"/>
                <w:bCs w:val="0"/>
                <w:spacing w:val="6"/>
                <w:sz w:val="21"/>
                <w:szCs w:val="21"/>
              </w:rPr>
            </w:pPr>
          </w:p>
        </w:tc>
        <w:tc>
          <w:tcPr>
            <w:tcW w:w="2610" w:type="dxa"/>
            <w:vAlign w:val="top"/>
          </w:tcPr>
          <w:p>
            <w:pPr>
              <w:spacing w:before="267" w:line="207" w:lineRule="auto"/>
              <w:jc w:val="center"/>
              <w:rPr>
                <w:rFonts w:hint="eastAsia" w:ascii="宋体" w:hAnsi="宋体" w:cs="宋体"/>
                <w:b w:val="0"/>
                <w:bCs w:val="0"/>
                <w:spacing w:val="6"/>
                <w:sz w:val="21"/>
                <w:szCs w:val="21"/>
              </w:rPr>
            </w:pPr>
          </w:p>
        </w:tc>
        <w:tc>
          <w:tcPr>
            <w:tcW w:w="1508"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624</w:t>
            </w:r>
          </w:p>
        </w:tc>
        <w:tc>
          <w:tcPr>
            <w:tcW w:w="2085" w:type="dxa"/>
            <w:vAlign w:val="top"/>
          </w:tcPr>
          <w:p>
            <w:pPr>
              <w:spacing w:before="267" w:line="207" w:lineRule="auto"/>
              <w:jc w:val="center"/>
              <w:rPr>
                <w:rFonts w:hint="eastAsia" w:ascii="宋体" w:hAnsi="宋体" w:cs="宋体"/>
                <w:b w:val="0"/>
                <w:bCs w:val="0"/>
                <w:spacing w:val="6"/>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4" w:hRule="atLeast"/>
        </w:trPr>
        <w:tc>
          <w:tcPr>
            <w:tcW w:w="702"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19</w:t>
            </w:r>
          </w:p>
        </w:tc>
        <w:tc>
          <w:tcPr>
            <w:tcW w:w="2375" w:type="dxa"/>
            <w:gridSpan w:val="2"/>
            <w:vAlign w:val="center"/>
          </w:tcPr>
          <w:p>
            <w:pPr>
              <w:spacing w:before="267" w:line="207" w:lineRule="auto"/>
              <w:ind w:left="0" w:right="0" w:firstLine="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桥井中路 57 弄(桥头 胡成校)</w:t>
            </w:r>
          </w:p>
        </w:tc>
        <w:tc>
          <w:tcPr>
            <w:tcW w:w="1077"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二级</w:t>
            </w:r>
          </w:p>
        </w:tc>
        <w:tc>
          <w:tcPr>
            <w:tcW w:w="1896" w:type="dxa"/>
            <w:gridSpan w:val="2"/>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253×8=2024</w:t>
            </w:r>
          </w:p>
        </w:tc>
        <w:tc>
          <w:tcPr>
            <w:tcW w:w="1955" w:type="dxa"/>
            <w:vAlign w:val="top"/>
          </w:tcPr>
          <w:p>
            <w:pPr>
              <w:spacing w:before="267" w:line="207" w:lineRule="auto"/>
              <w:jc w:val="center"/>
              <w:rPr>
                <w:rFonts w:hint="eastAsia" w:ascii="宋体" w:hAnsi="宋体" w:cs="宋体"/>
                <w:b w:val="0"/>
                <w:bCs w:val="0"/>
                <w:spacing w:val="6"/>
                <w:sz w:val="21"/>
                <w:szCs w:val="21"/>
              </w:rPr>
            </w:pPr>
          </w:p>
        </w:tc>
        <w:tc>
          <w:tcPr>
            <w:tcW w:w="2610" w:type="dxa"/>
            <w:vAlign w:val="top"/>
          </w:tcPr>
          <w:p>
            <w:pPr>
              <w:spacing w:before="267" w:line="207" w:lineRule="auto"/>
              <w:jc w:val="center"/>
              <w:rPr>
                <w:rFonts w:hint="eastAsia" w:ascii="宋体" w:hAnsi="宋体" w:cs="宋体"/>
                <w:b w:val="0"/>
                <w:bCs w:val="0"/>
                <w:spacing w:val="6"/>
                <w:sz w:val="21"/>
                <w:szCs w:val="21"/>
              </w:rPr>
            </w:pPr>
          </w:p>
        </w:tc>
        <w:tc>
          <w:tcPr>
            <w:tcW w:w="1508"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2024</w:t>
            </w:r>
          </w:p>
        </w:tc>
        <w:tc>
          <w:tcPr>
            <w:tcW w:w="2085" w:type="dxa"/>
            <w:vAlign w:val="top"/>
          </w:tcPr>
          <w:p>
            <w:pPr>
              <w:spacing w:before="267" w:line="207" w:lineRule="auto"/>
              <w:jc w:val="center"/>
              <w:rPr>
                <w:rFonts w:hint="eastAsia" w:ascii="宋体" w:hAnsi="宋体" w:cs="宋体"/>
                <w:b w:val="0"/>
                <w:bCs w:val="0"/>
                <w:spacing w:val="6"/>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702"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20</w:t>
            </w:r>
          </w:p>
        </w:tc>
        <w:tc>
          <w:tcPr>
            <w:tcW w:w="2375" w:type="dxa"/>
            <w:gridSpan w:val="2"/>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桥头胡小学</w:t>
            </w:r>
          </w:p>
        </w:tc>
        <w:tc>
          <w:tcPr>
            <w:tcW w:w="1077"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二级</w:t>
            </w:r>
          </w:p>
        </w:tc>
        <w:tc>
          <w:tcPr>
            <w:tcW w:w="1896" w:type="dxa"/>
            <w:gridSpan w:val="2"/>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116×4=464</w:t>
            </w:r>
          </w:p>
        </w:tc>
        <w:tc>
          <w:tcPr>
            <w:tcW w:w="1955" w:type="dxa"/>
            <w:vAlign w:val="top"/>
          </w:tcPr>
          <w:p>
            <w:pPr>
              <w:spacing w:before="267" w:line="207" w:lineRule="auto"/>
              <w:jc w:val="center"/>
              <w:rPr>
                <w:rFonts w:hint="eastAsia" w:ascii="宋体" w:hAnsi="宋体" w:cs="宋体"/>
                <w:b w:val="0"/>
                <w:bCs w:val="0"/>
                <w:spacing w:val="6"/>
                <w:sz w:val="21"/>
                <w:szCs w:val="21"/>
              </w:rPr>
            </w:pPr>
          </w:p>
        </w:tc>
        <w:tc>
          <w:tcPr>
            <w:tcW w:w="2610" w:type="dxa"/>
            <w:vAlign w:val="top"/>
          </w:tcPr>
          <w:p>
            <w:pPr>
              <w:spacing w:before="267" w:line="207" w:lineRule="auto"/>
              <w:jc w:val="center"/>
              <w:rPr>
                <w:rFonts w:hint="eastAsia" w:ascii="宋体" w:hAnsi="宋体" w:cs="宋体"/>
                <w:b w:val="0"/>
                <w:bCs w:val="0"/>
                <w:spacing w:val="6"/>
                <w:sz w:val="21"/>
                <w:szCs w:val="21"/>
              </w:rPr>
            </w:pPr>
          </w:p>
        </w:tc>
        <w:tc>
          <w:tcPr>
            <w:tcW w:w="1508"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464</w:t>
            </w:r>
          </w:p>
        </w:tc>
        <w:tc>
          <w:tcPr>
            <w:tcW w:w="2085" w:type="dxa"/>
            <w:vAlign w:val="top"/>
          </w:tcPr>
          <w:p>
            <w:pPr>
              <w:spacing w:before="267" w:line="207" w:lineRule="auto"/>
              <w:jc w:val="center"/>
              <w:rPr>
                <w:rFonts w:hint="eastAsia" w:ascii="宋体" w:hAnsi="宋体" w:cs="宋体"/>
                <w:b w:val="0"/>
                <w:bCs w:val="0"/>
                <w:spacing w:val="6"/>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4" w:hRule="atLeast"/>
        </w:trPr>
        <w:tc>
          <w:tcPr>
            <w:tcW w:w="702"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21</w:t>
            </w:r>
          </w:p>
        </w:tc>
        <w:tc>
          <w:tcPr>
            <w:tcW w:w="2375" w:type="dxa"/>
            <w:gridSpan w:val="2"/>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学士路</w:t>
            </w:r>
          </w:p>
        </w:tc>
        <w:tc>
          <w:tcPr>
            <w:tcW w:w="1077"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position w:val="0"/>
                <w:sz w:val="21"/>
                <w:szCs w:val="21"/>
              </w:rPr>
              <w:t>一级</w:t>
            </w:r>
          </w:p>
        </w:tc>
        <w:tc>
          <w:tcPr>
            <w:tcW w:w="1896" w:type="dxa"/>
            <w:gridSpan w:val="2"/>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434×16=6944</w:t>
            </w:r>
          </w:p>
        </w:tc>
        <w:tc>
          <w:tcPr>
            <w:tcW w:w="1955" w:type="dxa"/>
            <w:vAlign w:val="top"/>
          </w:tcPr>
          <w:p>
            <w:pPr>
              <w:spacing w:before="267" w:line="207" w:lineRule="auto"/>
              <w:jc w:val="center"/>
              <w:rPr>
                <w:rFonts w:hint="eastAsia" w:ascii="宋体" w:hAnsi="宋体" w:cs="宋体"/>
                <w:b w:val="0"/>
                <w:bCs w:val="0"/>
                <w:spacing w:val="6"/>
                <w:sz w:val="21"/>
                <w:szCs w:val="21"/>
              </w:rPr>
            </w:pPr>
          </w:p>
        </w:tc>
        <w:tc>
          <w:tcPr>
            <w:tcW w:w="2610" w:type="dxa"/>
            <w:vAlign w:val="top"/>
          </w:tcPr>
          <w:p>
            <w:pPr>
              <w:spacing w:before="267" w:line="207" w:lineRule="auto"/>
              <w:jc w:val="center"/>
              <w:rPr>
                <w:rFonts w:hint="eastAsia" w:ascii="宋体" w:hAnsi="宋体" w:cs="宋体"/>
                <w:b w:val="0"/>
                <w:bCs w:val="0"/>
                <w:spacing w:val="6"/>
                <w:sz w:val="21"/>
                <w:szCs w:val="21"/>
              </w:rPr>
            </w:pPr>
          </w:p>
        </w:tc>
        <w:tc>
          <w:tcPr>
            <w:tcW w:w="1508"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6944</w:t>
            </w:r>
          </w:p>
        </w:tc>
        <w:tc>
          <w:tcPr>
            <w:tcW w:w="2085" w:type="dxa"/>
            <w:vAlign w:val="top"/>
          </w:tcPr>
          <w:p>
            <w:pPr>
              <w:spacing w:before="267" w:line="207" w:lineRule="auto"/>
              <w:ind w:left="0" w:right="0" w:firstLine="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桥井中路至顶家村 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4" w:hRule="atLeast"/>
        </w:trPr>
        <w:tc>
          <w:tcPr>
            <w:tcW w:w="702" w:type="dxa"/>
            <w:vMerge w:val="restart"/>
            <w:tcBorders>
              <w:bottom w:val="nil"/>
            </w:tcBorders>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22</w:t>
            </w:r>
          </w:p>
        </w:tc>
        <w:tc>
          <w:tcPr>
            <w:tcW w:w="2375" w:type="dxa"/>
            <w:gridSpan w:val="2"/>
            <w:vMerge w:val="restart"/>
            <w:tcBorders>
              <w:bottom w:val="nil"/>
            </w:tcBorders>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方山路</w:t>
            </w:r>
          </w:p>
        </w:tc>
        <w:tc>
          <w:tcPr>
            <w:tcW w:w="1077" w:type="dxa"/>
            <w:vMerge w:val="restart"/>
            <w:tcBorders>
              <w:bottom w:val="nil"/>
            </w:tcBorders>
            <w:vAlign w:val="top"/>
          </w:tcPr>
          <w:p>
            <w:pPr>
              <w:spacing w:before="267" w:line="207" w:lineRule="auto"/>
              <w:jc w:val="center"/>
              <w:rPr>
                <w:rFonts w:hint="eastAsia" w:ascii="宋体" w:hAnsi="宋体" w:cs="宋体"/>
                <w:b w:val="0"/>
                <w:bCs w:val="0"/>
                <w:spacing w:val="6"/>
                <w:sz w:val="21"/>
                <w:szCs w:val="21"/>
              </w:rPr>
            </w:pPr>
          </w:p>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position w:val="0"/>
                <w:sz w:val="21"/>
                <w:szCs w:val="21"/>
              </w:rPr>
              <w:t>一级</w:t>
            </w:r>
          </w:p>
        </w:tc>
        <w:tc>
          <w:tcPr>
            <w:tcW w:w="1896" w:type="dxa"/>
            <w:gridSpan w:val="2"/>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385×16=6944</w:t>
            </w:r>
          </w:p>
        </w:tc>
        <w:tc>
          <w:tcPr>
            <w:tcW w:w="1955"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384×4=1540</w:t>
            </w:r>
          </w:p>
        </w:tc>
        <w:tc>
          <w:tcPr>
            <w:tcW w:w="2610" w:type="dxa"/>
            <w:vMerge w:val="restart"/>
            <w:tcBorders>
              <w:bottom w:val="nil"/>
            </w:tcBorders>
            <w:vAlign w:val="top"/>
          </w:tcPr>
          <w:p>
            <w:pPr>
              <w:spacing w:before="267" w:line="207" w:lineRule="auto"/>
              <w:jc w:val="center"/>
              <w:rPr>
                <w:rFonts w:hint="eastAsia" w:ascii="宋体" w:hAnsi="宋体" w:cs="宋体"/>
                <w:b w:val="0"/>
                <w:bCs w:val="0"/>
                <w:spacing w:val="6"/>
                <w:sz w:val="21"/>
                <w:szCs w:val="21"/>
              </w:rPr>
            </w:pPr>
          </w:p>
        </w:tc>
        <w:tc>
          <w:tcPr>
            <w:tcW w:w="1508" w:type="dxa"/>
            <w:vMerge w:val="restart"/>
            <w:tcBorders>
              <w:bottom w:val="nil"/>
            </w:tcBorders>
            <w:vAlign w:val="top"/>
          </w:tcPr>
          <w:p>
            <w:pPr>
              <w:spacing w:before="267" w:line="207" w:lineRule="auto"/>
              <w:jc w:val="center"/>
              <w:rPr>
                <w:rFonts w:hint="eastAsia" w:ascii="宋体" w:hAnsi="宋体" w:cs="宋体"/>
                <w:b w:val="0"/>
                <w:bCs w:val="0"/>
                <w:spacing w:val="6"/>
                <w:sz w:val="21"/>
                <w:szCs w:val="21"/>
              </w:rPr>
            </w:pPr>
          </w:p>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24509</w:t>
            </w:r>
          </w:p>
        </w:tc>
        <w:tc>
          <w:tcPr>
            <w:tcW w:w="2085" w:type="dxa"/>
            <w:vAlign w:val="top"/>
          </w:tcPr>
          <w:p>
            <w:pPr>
              <w:spacing w:before="267" w:line="207" w:lineRule="auto"/>
              <w:ind w:left="0" w:right="0" w:firstLine="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桥井路至腾海电子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702" w:type="dxa"/>
            <w:vMerge w:val="continue"/>
            <w:tcBorders>
              <w:top w:val="nil"/>
              <w:bottom w:val="nil"/>
            </w:tcBorders>
            <w:vAlign w:val="center"/>
          </w:tcPr>
          <w:p>
            <w:pPr>
              <w:spacing w:before="267" w:line="207" w:lineRule="auto"/>
              <w:jc w:val="center"/>
              <w:rPr>
                <w:rFonts w:hint="eastAsia" w:ascii="宋体" w:hAnsi="宋体" w:cs="宋体"/>
                <w:b w:val="0"/>
                <w:bCs w:val="0"/>
                <w:spacing w:val="6"/>
                <w:sz w:val="21"/>
                <w:szCs w:val="21"/>
              </w:rPr>
            </w:pPr>
          </w:p>
        </w:tc>
        <w:tc>
          <w:tcPr>
            <w:tcW w:w="2375" w:type="dxa"/>
            <w:gridSpan w:val="2"/>
            <w:vMerge w:val="continue"/>
            <w:tcBorders>
              <w:top w:val="nil"/>
              <w:bottom w:val="nil"/>
            </w:tcBorders>
            <w:vAlign w:val="center"/>
          </w:tcPr>
          <w:p>
            <w:pPr>
              <w:spacing w:before="267" w:line="207" w:lineRule="auto"/>
              <w:jc w:val="center"/>
              <w:rPr>
                <w:rFonts w:hint="eastAsia" w:ascii="宋体" w:hAnsi="宋体" w:cs="宋体"/>
                <w:b w:val="0"/>
                <w:bCs w:val="0"/>
                <w:spacing w:val="6"/>
                <w:sz w:val="21"/>
                <w:szCs w:val="21"/>
              </w:rPr>
            </w:pPr>
          </w:p>
        </w:tc>
        <w:tc>
          <w:tcPr>
            <w:tcW w:w="1077" w:type="dxa"/>
            <w:vMerge w:val="continue"/>
            <w:tcBorders>
              <w:top w:val="nil"/>
              <w:bottom w:val="nil"/>
            </w:tcBorders>
            <w:vAlign w:val="top"/>
          </w:tcPr>
          <w:p>
            <w:pPr>
              <w:spacing w:before="267" w:line="207" w:lineRule="auto"/>
              <w:jc w:val="center"/>
              <w:rPr>
                <w:rFonts w:hint="eastAsia" w:ascii="宋体" w:hAnsi="宋体" w:cs="宋体"/>
                <w:b w:val="0"/>
                <w:bCs w:val="0"/>
                <w:spacing w:val="6"/>
                <w:sz w:val="21"/>
                <w:szCs w:val="21"/>
              </w:rPr>
            </w:pPr>
          </w:p>
        </w:tc>
        <w:tc>
          <w:tcPr>
            <w:tcW w:w="1896" w:type="dxa"/>
            <w:gridSpan w:val="2"/>
            <w:vMerge w:val="restart"/>
            <w:tcBorders>
              <w:bottom w:val="nil"/>
            </w:tcBorders>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1017 ×10=10170</w:t>
            </w:r>
          </w:p>
        </w:tc>
        <w:tc>
          <w:tcPr>
            <w:tcW w:w="1955"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385×2=770</w:t>
            </w:r>
          </w:p>
        </w:tc>
        <w:tc>
          <w:tcPr>
            <w:tcW w:w="2610" w:type="dxa"/>
            <w:vMerge w:val="continue"/>
            <w:tcBorders>
              <w:top w:val="nil"/>
              <w:bottom w:val="nil"/>
            </w:tcBorders>
            <w:vAlign w:val="top"/>
          </w:tcPr>
          <w:p>
            <w:pPr>
              <w:spacing w:before="267" w:line="207" w:lineRule="auto"/>
              <w:jc w:val="center"/>
              <w:rPr>
                <w:rFonts w:hint="eastAsia" w:ascii="宋体" w:hAnsi="宋体" w:cs="宋体"/>
                <w:b w:val="0"/>
                <w:bCs w:val="0"/>
                <w:spacing w:val="6"/>
                <w:sz w:val="21"/>
                <w:szCs w:val="21"/>
              </w:rPr>
            </w:pPr>
          </w:p>
        </w:tc>
        <w:tc>
          <w:tcPr>
            <w:tcW w:w="1508" w:type="dxa"/>
            <w:vMerge w:val="continue"/>
            <w:tcBorders>
              <w:top w:val="nil"/>
              <w:bottom w:val="nil"/>
            </w:tcBorders>
            <w:vAlign w:val="top"/>
          </w:tcPr>
          <w:p>
            <w:pPr>
              <w:spacing w:before="267" w:line="207" w:lineRule="auto"/>
              <w:jc w:val="center"/>
              <w:rPr>
                <w:rFonts w:hint="eastAsia" w:ascii="宋体" w:hAnsi="宋体" w:cs="宋体"/>
                <w:b w:val="0"/>
                <w:bCs w:val="0"/>
                <w:spacing w:val="6"/>
                <w:sz w:val="21"/>
                <w:szCs w:val="21"/>
              </w:rPr>
            </w:pPr>
          </w:p>
        </w:tc>
        <w:tc>
          <w:tcPr>
            <w:tcW w:w="2085" w:type="dxa"/>
            <w:vMerge w:val="restart"/>
            <w:tcBorders>
              <w:bottom w:val="nil"/>
            </w:tcBorders>
            <w:vAlign w:val="top"/>
          </w:tcPr>
          <w:p>
            <w:pPr>
              <w:spacing w:before="267" w:line="207" w:lineRule="auto"/>
              <w:ind w:left="0" w:right="0" w:firstLine="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腾海电子至临港路 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702" w:type="dxa"/>
            <w:vMerge w:val="continue"/>
            <w:tcBorders>
              <w:top w:val="nil"/>
            </w:tcBorders>
            <w:vAlign w:val="center"/>
          </w:tcPr>
          <w:p>
            <w:pPr>
              <w:spacing w:before="267" w:line="207" w:lineRule="auto"/>
              <w:jc w:val="center"/>
              <w:rPr>
                <w:rFonts w:hint="eastAsia" w:ascii="宋体" w:hAnsi="宋体" w:cs="宋体"/>
                <w:b w:val="0"/>
                <w:bCs w:val="0"/>
                <w:spacing w:val="6"/>
                <w:sz w:val="21"/>
                <w:szCs w:val="21"/>
              </w:rPr>
            </w:pPr>
          </w:p>
        </w:tc>
        <w:tc>
          <w:tcPr>
            <w:tcW w:w="2375" w:type="dxa"/>
            <w:gridSpan w:val="2"/>
            <w:vMerge w:val="continue"/>
            <w:tcBorders>
              <w:top w:val="nil"/>
            </w:tcBorders>
            <w:vAlign w:val="center"/>
          </w:tcPr>
          <w:p>
            <w:pPr>
              <w:spacing w:before="267" w:line="207" w:lineRule="auto"/>
              <w:jc w:val="center"/>
              <w:rPr>
                <w:rFonts w:hint="eastAsia" w:ascii="宋体" w:hAnsi="宋体" w:cs="宋体"/>
                <w:b w:val="0"/>
                <w:bCs w:val="0"/>
                <w:spacing w:val="6"/>
                <w:sz w:val="21"/>
                <w:szCs w:val="21"/>
              </w:rPr>
            </w:pPr>
          </w:p>
        </w:tc>
        <w:tc>
          <w:tcPr>
            <w:tcW w:w="1077" w:type="dxa"/>
            <w:vMerge w:val="continue"/>
            <w:tcBorders>
              <w:top w:val="nil"/>
            </w:tcBorders>
            <w:vAlign w:val="top"/>
          </w:tcPr>
          <w:p>
            <w:pPr>
              <w:spacing w:before="267" w:line="207" w:lineRule="auto"/>
              <w:jc w:val="center"/>
              <w:rPr>
                <w:rFonts w:hint="eastAsia" w:ascii="宋体" w:hAnsi="宋体" w:cs="宋体"/>
                <w:b w:val="0"/>
                <w:bCs w:val="0"/>
                <w:spacing w:val="6"/>
                <w:sz w:val="21"/>
                <w:szCs w:val="21"/>
              </w:rPr>
            </w:pPr>
          </w:p>
        </w:tc>
        <w:tc>
          <w:tcPr>
            <w:tcW w:w="1896" w:type="dxa"/>
            <w:gridSpan w:val="2"/>
            <w:vMerge w:val="continue"/>
            <w:tcBorders>
              <w:top w:val="nil"/>
            </w:tcBorders>
            <w:vAlign w:val="top"/>
          </w:tcPr>
          <w:p>
            <w:pPr>
              <w:spacing w:before="267" w:line="207" w:lineRule="auto"/>
              <w:jc w:val="center"/>
              <w:rPr>
                <w:rFonts w:hint="eastAsia" w:ascii="宋体" w:hAnsi="宋体" w:cs="宋体"/>
                <w:b w:val="0"/>
                <w:bCs w:val="0"/>
                <w:spacing w:val="6"/>
                <w:sz w:val="21"/>
                <w:szCs w:val="21"/>
              </w:rPr>
            </w:pPr>
          </w:p>
        </w:tc>
        <w:tc>
          <w:tcPr>
            <w:tcW w:w="1955"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1017×5=5085</w:t>
            </w:r>
          </w:p>
        </w:tc>
        <w:tc>
          <w:tcPr>
            <w:tcW w:w="2610" w:type="dxa"/>
            <w:vMerge w:val="continue"/>
            <w:tcBorders>
              <w:top w:val="nil"/>
            </w:tcBorders>
            <w:vAlign w:val="top"/>
          </w:tcPr>
          <w:p>
            <w:pPr>
              <w:spacing w:before="267" w:line="207" w:lineRule="auto"/>
              <w:jc w:val="center"/>
              <w:rPr>
                <w:rFonts w:hint="eastAsia" w:ascii="宋体" w:hAnsi="宋体" w:cs="宋体"/>
                <w:b w:val="0"/>
                <w:bCs w:val="0"/>
                <w:spacing w:val="6"/>
                <w:sz w:val="21"/>
                <w:szCs w:val="21"/>
              </w:rPr>
            </w:pPr>
          </w:p>
        </w:tc>
        <w:tc>
          <w:tcPr>
            <w:tcW w:w="1508" w:type="dxa"/>
            <w:vMerge w:val="continue"/>
            <w:tcBorders>
              <w:top w:val="nil"/>
            </w:tcBorders>
            <w:vAlign w:val="top"/>
          </w:tcPr>
          <w:p>
            <w:pPr>
              <w:spacing w:before="267" w:line="207" w:lineRule="auto"/>
              <w:jc w:val="center"/>
              <w:rPr>
                <w:rFonts w:hint="eastAsia" w:ascii="宋体" w:hAnsi="宋体" w:cs="宋体"/>
                <w:b w:val="0"/>
                <w:bCs w:val="0"/>
                <w:spacing w:val="6"/>
                <w:sz w:val="21"/>
                <w:szCs w:val="21"/>
              </w:rPr>
            </w:pPr>
          </w:p>
        </w:tc>
        <w:tc>
          <w:tcPr>
            <w:tcW w:w="2085" w:type="dxa"/>
            <w:vMerge w:val="continue"/>
            <w:tcBorders>
              <w:top w:val="nil"/>
            </w:tcBorders>
            <w:vAlign w:val="top"/>
          </w:tcPr>
          <w:p>
            <w:pPr>
              <w:spacing w:before="267" w:line="207" w:lineRule="auto"/>
              <w:jc w:val="center"/>
              <w:rPr>
                <w:rFonts w:hint="eastAsia" w:ascii="宋体" w:hAnsi="宋体" w:cs="宋体"/>
                <w:b w:val="0"/>
                <w:bCs w:val="0"/>
                <w:spacing w:val="6"/>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702"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23</w:t>
            </w:r>
          </w:p>
        </w:tc>
        <w:tc>
          <w:tcPr>
            <w:tcW w:w="2375" w:type="dxa"/>
            <w:gridSpan w:val="2"/>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停车场</w:t>
            </w:r>
          </w:p>
        </w:tc>
        <w:tc>
          <w:tcPr>
            <w:tcW w:w="1077"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二级</w:t>
            </w:r>
          </w:p>
        </w:tc>
        <w:tc>
          <w:tcPr>
            <w:tcW w:w="1896" w:type="dxa"/>
            <w:gridSpan w:val="2"/>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45×30=1350</w:t>
            </w:r>
          </w:p>
        </w:tc>
        <w:tc>
          <w:tcPr>
            <w:tcW w:w="1955" w:type="dxa"/>
            <w:vAlign w:val="top"/>
          </w:tcPr>
          <w:p>
            <w:pPr>
              <w:spacing w:before="267" w:line="207" w:lineRule="auto"/>
              <w:jc w:val="center"/>
              <w:rPr>
                <w:rFonts w:hint="eastAsia" w:ascii="宋体" w:hAnsi="宋体" w:cs="宋体"/>
                <w:b w:val="0"/>
                <w:bCs w:val="0"/>
                <w:spacing w:val="6"/>
                <w:sz w:val="21"/>
                <w:szCs w:val="21"/>
              </w:rPr>
            </w:pPr>
          </w:p>
        </w:tc>
        <w:tc>
          <w:tcPr>
            <w:tcW w:w="2610" w:type="dxa"/>
            <w:vAlign w:val="top"/>
          </w:tcPr>
          <w:p>
            <w:pPr>
              <w:spacing w:before="267" w:line="207" w:lineRule="auto"/>
              <w:jc w:val="center"/>
              <w:rPr>
                <w:rFonts w:hint="eastAsia" w:ascii="宋体" w:hAnsi="宋体" w:cs="宋体"/>
                <w:b w:val="0"/>
                <w:bCs w:val="0"/>
                <w:spacing w:val="6"/>
                <w:sz w:val="21"/>
                <w:szCs w:val="21"/>
              </w:rPr>
            </w:pPr>
          </w:p>
        </w:tc>
        <w:tc>
          <w:tcPr>
            <w:tcW w:w="1508"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1350</w:t>
            </w:r>
          </w:p>
        </w:tc>
        <w:tc>
          <w:tcPr>
            <w:tcW w:w="2085"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桥井路 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7" w:hRule="atLeast"/>
        </w:trPr>
        <w:tc>
          <w:tcPr>
            <w:tcW w:w="702"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24</w:t>
            </w:r>
          </w:p>
        </w:tc>
        <w:tc>
          <w:tcPr>
            <w:tcW w:w="2375" w:type="dxa"/>
            <w:gridSpan w:val="2"/>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兴和路</w:t>
            </w:r>
          </w:p>
        </w:tc>
        <w:tc>
          <w:tcPr>
            <w:tcW w:w="1077"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二级</w:t>
            </w:r>
          </w:p>
        </w:tc>
        <w:tc>
          <w:tcPr>
            <w:tcW w:w="1896" w:type="dxa"/>
            <w:gridSpan w:val="2"/>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1108×8.4=9307</w:t>
            </w:r>
          </w:p>
        </w:tc>
        <w:tc>
          <w:tcPr>
            <w:tcW w:w="1955" w:type="dxa"/>
            <w:vAlign w:val="top"/>
          </w:tcPr>
          <w:p>
            <w:pPr>
              <w:spacing w:before="267" w:line="207" w:lineRule="auto"/>
              <w:jc w:val="center"/>
              <w:rPr>
                <w:rFonts w:hint="eastAsia" w:ascii="宋体" w:hAnsi="宋体" w:cs="宋体"/>
                <w:b w:val="0"/>
                <w:bCs w:val="0"/>
                <w:spacing w:val="6"/>
                <w:sz w:val="21"/>
                <w:szCs w:val="21"/>
              </w:rPr>
            </w:pPr>
          </w:p>
        </w:tc>
        <w:tc>
          <w:tcPr>
            <w:tcW w:w="2610" w:type="dxa"/>
            <w:vAlign w:val="top"/>
          </w:tcPr>
          <w:p>
            <w:pPr>
              <w:spacing w:before="267" w:line="207" w:lineRule="auto"/>
              <w:jc w:val="center"/>
              <w:rPr>
                <w:rFonts w:hint="eastAsia" w:ascii="宋体" w:hAnsi="宋体" w:cs="宋体"/>
                <w:b w:val="0"/>
                <w:bCs w:val="0"/>
                <w:spacing w:val="6"/>
                <w:sz w:val="21"/>
                <w:szCs w:val="21"/>
              </w:rPr>
            </w:pPr>
          </w:p>
        </w:tc>
        <w:tc>
          <w:tcPr>
            <w:tcW w:w="1508" w:type="dxa"/>
            <w:vAlign w:val="top"/>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9307</w:t>
            </w:r>
          </w:p>
        </w:tc>
        <w:tc>
          <w:tcPr>
            <w:tcW w:w="2085" w:type="dxa"/>
            <w:vAlign w:val="top"/>
          </w:tcPr>
          <w:p>
            <w:pPr>
              <w:spacing w:before="267" w:line="207" w:lineRule="auto"/>
              <w:jc w:val="center"/>
              <w:rPr>
                <w:rFonts w:hint="eastAsia" w:ascii="宋体" w:hAnsi="宋体" w:cs="宋体"/>
                <w:b w:val="0"/>
                <w:bCs w:val="0"/>
                <w:spacing w:val="6"/>
                <w:sz w:val="21"/>
                <w:szCs w:val="21"/>
              </w:rPr>
            </w:pPr>
          </w:p>
        </w:tc>
      </w:tr>
    </w:tbl>
    <w:p>
      <w:pPr>
        <w:pStyle w:val="13"/>
        <w:snapToGrid w:val="0"/>
        <w:spacing w:beforeLines="0" w:after="120"/>
        <w:ind w:firstLine="0" w:firstLineChars="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3313" w:firstLineChars="1100"/>
        <w:outlineLvl w:val="0"/>
        <w:rPr>
          <w:rFonts w:hint="eastAsia" w:hAnsi="宋体" w:cs="宋体"/>
          <w:b/>
          <w:sz w:val="30"/>
          <w:szCs w:val="30"/>
        </w:rPr>
      </w:pPr>
    </w:p>
    <w:p>
      <w:pPr>
        <w:pStyle w:val="13"/>
        <w:snapToGrid w:val="0"/>
        <w:spacing w:beforeLines="0" w:after="120"/>
        <w:ind w:firstLine="0" w:firstLineChars="0"/>
        <w:outlineLvl w:val="0"/>
        <w:rPr>
          <w:rFonts w:hint="eastAsia" w:hAnsi="宋体" w:eastAsia="宋体" w:cs="宋体"/>
          <w:b/>
          <w:sz w:val="30"/>
          <w:szCs w:val="30"/>
          <w:lang w:eastAsia="zh-CN"/>
        </w:rPr>
      </w:pPr>
      <w:r>
        <w:rPr>
          <w:rFonts w:hint="eastAsia" w:ascii="宋体" w:hAnsi="宋体" w:eastAsia="宋体" w:cs="宋体"/>
          <w:bCs/>
          <w:color w:val="000000"/>
          <w:spacing w:val="0"/>
          <w:sz w:val="21"/>
          <w:szCs w:val="21"/>
          <w:highlight w:val="none"/>
          <w:lang w:eastAsia="zh-CN"/>
        </w:rPr>
        <w:t>表</w:t>
      </w:r>
      <w:r>
        <w:rPr>
          <w:rFonts w:hint="eastAsia" w:hAnsi="宋体" w:cs="宋体"/>
          <w:bCs/>
          <w:color w:val="000000"/>
          <w:spacing w:val="0"/>
          <w:sz w:val="21"/>
          <w:szCs w:val="21"/>
          <w:highlight w:val="none"/>
          <w:lang w:val="en-US" w:eastAsia="zh-CN"/>
        </w:rPr>
        <w:t>2</w:t>
      </w:r>
      <w:r>
        <w:rPr>
          <w:rFonts w:hint="eastAsia" w:ascii="宋体" w:hAnsi="宋体" w:eastAsia="宋体" w:cs="宋体"/>
          <w:bCs/>
          <w:color w:val="000000"/>
          <w:spacing w:val="0"/>
          <w:sz w:val="21"/>
          <w:szCs w:val="21"/>
          <w:highlight w:val="none"/>
          <w:lang w:val="en-US" w:eastAsia="zh-CN"/>
        </w:rPr>
        <w:t>：</w:t>
      </w:r>
      <w:r>
        <w:rPr>
          <w:rFonts w:hint="eastAsia" w:hAnsi="宋体" w:cs="宋体"/>
          <w:bCs/>
          <w:color w:val="000000"/>
          <w:sz w:val="21"/>
          <w:szCs w:val="21"/>
          <w:highlight w:val="none"/>
          <w:lang w:eastAsia="zh-CN"/>
        </w:rPr>
        <w:t>《</w:t>
      </w:r>
      <w:r>
        <w:rPr>
          <w:rFonts w:hint="eastAsia" w:ascii="宋体" w:hAnsi="宋体" w:eastAsia="宋体" w:cs="宋体"/>
          <w:bCs/>
          <w:color w:val="000000"/>
          <w:spacing w:val="0"/>
          <w:sz w:val="21"/>
          <w:szCs w:val="21"/>
          <w:highlight w:val="none"/>
        </w:rPr>
        <w:t>宁海县桥头胡</w:t>
      </w:r>
      <w:r>
        <w:rPr>
          <w:rFonts w:hint="eastAsia" w:ascii="宋体" w:hAnsi="宋体" w:eastAsia="宋体" w:cs="宋体"/>
          <w:bCs/>
          <w:color w:val="000000"/>
          <w:sz w:val="21"/>
          <w:szCs w:val="21"/>
          <w:highlight w:val="none"/>
        </w:rPr>
        <w:t>街道道路保洁面积统计</w:t>
      </w:r>
      <w:r>
        <w:rPr>
          <w:rFonts w:hint="eastAsia" w:hAnsi="宋体" w:cs="宋体"/>
          <w:bCs/>
          <w:color w:val="000000"/>
          <w:sz w:val="21"/>
          <w:szCs w:val="21"/>
          <w:highlight w:val="none"/>
          <w:lang w:eastAsia="zh-CN"/>
        </w:rPr>
        <w:t>》</w:t>
      </w:r>
    </w:p>
    <w:tbl>
      <w:tblPr>
        <w:tblStyle w:val="105"/>
        <w:tblW w:w="1429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53"/>
        <w:gridCol w:w="1110"/>
        <w:gridCol w:w="3195"/>
        <w:gridCol w:w="3855"/>
        <w:gridCol w:w="1875"/>
        <w:gridCol w:w="17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9" w:hRule="atLeast"/>
        </w:trPr>
        <w:tc>
          <w:tcPr>
            <w:tcW w:w="2553" w:type="dxa"/>
            <w:vAlign w:val="top"/>
          </w:tcPr>
          <w:p>
            <w:pPr>
              <w:spacing w:before="267" w:line="207" w:lineRule="auto"/>
              <w:ind w:left="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河道名称</w:t>
            </w:r>
          </w:p>
        </w:tc>
        <w:tc>
          <w:tcPr>
            <w:tcW w:w="1110" w:type="dxa"/>
            <w:vAlign w:val="top"/>
          </w:tcPr>
          <w:p>
            <w:pPr>
              <w:spacing w:before="267" w:line="207" w:lineRule="auto"/>
              <w:ind w:left="0" w:right="0" w:firstLine="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长度(km)</w:t>
            </w:r>
          </w:p>
        </w:tc>
        <w:tc>
          <w:tcPr>
            <w:tcW w:w="3195" w:type="dxa"/>
            <w:vAlign w:val="top"/>
          </w:tcPr>
          <w:p>
            <w:pPr>
              <w:spacing w:before="267" w:line="207" w:lineRule="auto"/>
              <w:ind w:left="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流经村 (社区)</w:t>
            </w:r>
          </w:p>
        </w:tc>
        <w:tc>
          <w:tcPr>
            <w:tcW w:w="3855" w:type="dxa"/>
            <w:vAlign w:val="top"/>
          </w:tcPr>
          <w:p>
            <w:pPr>
              <w:spacing w:before="267" w:line="207" w:lineRule="auto"/>
              <w:ind w:left="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河段范围起点</w:t>
            </w:r>
          </w:p>
        </w:tc>
        <w:tc>
          <w:tcPr>
            <w:tcW w:w="1875" w:type="dxa"/>
            <w:vAlign w:val="top"/>
          </w:tcPr>
          <w:p>
            <w:pPr>
              <w:spacing w:before="267" w:line="207" w:lineRule="auto"/>
              <w:ind w:left="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河道范围终点</w:t>
            </w:r>
          </w:p>
        </w:tc>
        <w:tc>
          <w:tcPr>
            <w:tcW w:w="1710" w:type="dxa"/>
            <w:vAlign w:val="top"/>
          </w:tcPr>
          <w:p>
            <w:pPr>
              <w:spacing w:before="267" w:line="207" w:lineRule="auto"/>
              <w:ind w:left="0"/>
              <w:jc w:val="center"/>
              <w:rPr>
                <w:rFonts w:hint="eastAsia" w:ascii="宋体" w:hAnsi="宋体" w:eastAsia="宋体" w:cs="宋体"/>
                <w:b/>
                <w:bCs/>
                <w:spacing w:val="6"/>
                <w:sz w:val="21"/>
                <w:szCs w:val="21"/>
              </w:rPr>
            </w:pPr>
            <w:r>
              <w:rPr>
                <w:rFonts w:hint="eastAsia" w:ascii="宋体" w:hAnsi="宋体" w:eastAsia="宋体" w:cs="宋体"/>
                <w:b/>
                <w:bCs/>
                <w:spacing w:val="6"/>
                <w:sz w:val="21"/>
                <w:szCs w:val="21"/>
              </w:rPr>
              <w:t>平均宽度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2553"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槐路河 (桥头胡段)</w:t>
            </w:r>
          </w:p>
        </w:tc>
        <w:tc>
          <w:tcPr>
            <w:tcW w:w="11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2.717</w:t>
            </w:r>
          </w:p>
        </w:tc>
        <w:tc>
          <w:tcPr>
            <w:tcW w:w="319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陆家、叶兴、桥头胡</w:t>
            </w:r>
          </w:p>
        </w:tc>
        <w:tc>
          <w:tcPr>
            <w:tcW w:w="3855" w:type="dxa"/>
            <w:vAlign w:val="center"/>
          </w:tcPr>
          <w:p>
            <w:pPr>
              <w:spacing w:before="267" w:line="207" w:lineRule="auto"/>
              <w:ind w:left="0" w:right="0" w:firstLine="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陆家村 (与梅林交界处) —黄 墩海塘闸门</w:t>
            </w:r>
          </w:p>
        </w:tc>
        <w:tc>
          <w:tcPr>
            <w:tcW w:w="1875" w:type="dxa"/>
            <w:vAlign w:val="center"/>
          </w:tcPr>
          <w:p>
            <w:pPr>
              <w:spacing w:before="267" w:line="207" w:lineRule="auto"/>
              <w:jc w:val="center"/>
              <w:rPr>
                <w:rFonts w:hint="eastAsia" w:ascii="宋体" w:hAnsi="宋体" w:cs="宋体"/>
                <w:b w:val="0"/>
                <w:bCs w:val="0"/>
                <w:spacing w:val="6"/>
                <w:sz w:val="21"/>
                <w:szCs w:val="21"/>
              </w:rPr>
            </w:pPr>
          </w:p>
        </w:tc>
        <w:tc>
          <w:tcPr>
            <w:tcW w:w="17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12 ~ 16 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4" w:hRule="atLeast"/>
        </w:trPr>
        <w:tc>
          <w:tcPr>
            <w:tcW w:w="2553" w:type="dxa"/>
            <w:vAlign w:val="center"/>
          </w:tcPr>
          <w:p>
            <w:pPr>
              <w:spacing w:before="267" w:line="207" w:lineRule="auto"/>
              <w:ind w:left="0" w:right="0" w:firstLine="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槐路河 (滨江公园 段)</w:t>
            </w:r>
          </w:p>
        </w:tc>
        <w:tc>
          <w:tcPr>
            <w:tcW w:w="11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w:t>
            </w:r>
          </w:p>
        </w:tc>
        <w:tc>
          <w:tcPr>
            <w:tcW w:w="3195" w:type="dxa"/>
            <w:vAlign w:val="center"/>
          </w:tcPr>
          <w:p>
            <w:pPr>
              <w:spacing w:before="267" w:line="207" w:lineRule="auto"/>
              <w:jc w:val="center"/>
              <w:rPr>
                <w:rFonts w:hint="eastAsia" w:ascii="宋体" w:hAnsi="宋体" w:cs="宋体"/>
                <w:b w:val="0"/>
                <w:bCs w:val="0"/>
                <w:spacing w:val="6"/>
                <w:sz w:val="21"/>
                <w:szCs w:val="21"/>
              </w:rPr>
            </w:pPr>
          </w:p>
        </w:tc>
        <w:tc>
          <w:tcPr>
            <w:tcW w:w="385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万商路 (黄墩文苑)</w:t>
            </w:r>
          </w:p>
        </w:tc>
        <w:tc>
          <w:tcPr>
            <w:tcW w:w="187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桥井东路闸门</w:t>
            </w:r>
          </w:p>
        </w:tc>
        <w:tc>
          <w:tcPr>
            <w:tcW w:w="17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12 ~ 16 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4" w:hRule="atLeast"/>
        </w:trPr>
        <w:tc>
          <w:tcPr>
            <w:tcW w:w="2553"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汶溪</w:t>
            </w:r>
          </w:p>
        </w:tc>
        <w:tc>
          <w:tcPr>
            <w:tcW w:w="11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11.854</w:t>
            </w:r>
          </w:p>
        </w:tc>
        <w:tc>
          <w:tcPr>
            <w:tcW w:w="3195" w:type="dxa"/>
            <w:vAlign w:val="center"/>
          </w:tcPr>
          <w:p>
            <w:pPr>
              <w:spacing w:before="267" w:line="207" w:lineRule="auto"/>
              <w:ind w:left="0" w:right="0" w:firstLine="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龙储、双林、岙马、建 设、东吕、汶溪周</w:t>
            </w:r>
          </w:p>
        </w:tc>
        <w:tc>
          <w:tcPr>
            <w:tcW w:w="385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龙潭— 汶溪海塘</w:t>
            </w:r>
          </w:p>
        </w:tc>
        <w:tc>
          <w:tcPr>
            <w:tcW w:w="1875" w:type="dxa"/>
            <w:vAlign w:val="center"/>
          </w:tcPr>
          <w:p>
            <w:pPr>
              <w:spacing w:before="267" w:line="207" w:lineRule="auto"/>
              <w:jc w:val="center"/>
              <w:rPr>
                <w:rFonts w:hint="eastAsia" w:ascii="宋体" w:hAnsi="宋体" w:cs="宋体"/>
                <w:b w:val="0"/>
                <w:bCs w:val="0"/>
                <w:spacing w:val="6"/>
                <w:sz w:val="21"/>
                <w:szCs w:val="21"/>
              </w:rPr>
            </w:pPr>
          </w:p>
        </w:tc>
        <w:tc>
          <w:tcPr>
            <w:tcW w:w="17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12 ~ 16 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2553"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汶溪 (支流)</w:t>
            </w:r>
          </w:p>
        </w:tc>
        <w:tc>
          <w:tcPr>
            <w:tcW w:w="11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0.1</w:t>
            </w:r>
          </w:p>
        </w:tc>
        <w:tc>
          <w:tcPr>
            <w:tcW w:w="3195" w:type="dxa"/>
            <w:vAlign w:val="center"/>
          </w:tcPr>
          <w:p>
            <w:pPr>
              <w:spacing w:before="267" w:line="207" w:lineRule="auto"/>
              <w:jc w:val="center"/>
              <w:rPr>
                <w:rFonts w:hint="eastAsia" w:ascii="宋体" w:hAnsi="宋体" w:cs="宋体"/>
                <w:b w:val="0"/>
                <w:bCs w:val="0"/>
                <w:spacing w:val="6"/>
                <w:sz w:val="21"/>
                <w:szCs w:val="21"/>
              </w:rPr>
            </w:pPr>
          </w:p>
        </w:tc>
        <w:tc>
          <w:tcPr>
            <w:tcW w:w="385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建设-汶溪周的桥头东侧</w:t>
            </w:r>
          </w:p>
        </w:tc>
        <w:tc>
          <w:tcPr>
            <w:tcW w:w="187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汶溪</w:t>
            </w:r>
          </w:p>
        </w:tc>
        <w:tc>
          <w:tcPr>
            <w:tcW w:w="17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12 ~ 16 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8" w:hRule="atLeast"/>
        </w:trPr>
        <w:tc>
          <w:tcPr>
            <w:tcW w:w="2553"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水坑头</w:t>
            </w:r>
          </w:p>
        </w:tc>
        <w:tc>
          <w:tcPr>
            <w:tcW w:w="11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position w:val="0"/>
                <w:sz w:val="21"/>
                <w:szCs w:val="21"/>
              </w:rPr>
              <w:t>0 5</w:t>
            </w:r>
          </w:p>
        </w:tc>
        <w:tc>
          <w:tcPr>
            <w:tcW w:w="319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大岙马村</w:t>
            </w:r>
          </w:p>
        </w:tc>
        <w:tc>
          <w:tcPr>
            <w:tcW w:w="385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大岙马村</w:t>
            </w:r>
          </w:p>
        </w:tc>
        <w:tc>
          <w:tcPr>
            <w:tcW w:w="187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大岙马村</w:t>
            </w:r>
          </w:p>
        </w:tc>
        <w:tc>
          <w:tcPr>
            <w:tcW w:w="17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12 ~ 16 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1" w:hRule="atLeast"/>
        </w:trPr>
        <w:tc>
          <w:tcPr>
            <w:tcW w:w="2553"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月亮河</w:t>
            </w:r>
          </w:p>
        </w:tc>
        <w:tc>
          <w:tcPr>
            <w:tcW w:w="11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w:t>
            </w:r>
          </w:p>
        </w:tc>
        <w:tc>
          <w:tcPr>
            <w:tcW w:w="319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双林村</w:t>
            </w:r>
          </w:p>
        </w:tc>
        <w:tc>
          <w:tcPr>
            <w:tcW w:w="385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双林村</w:t>
            </w:r>
          </w:p>
        </w:tc>
        <w:tc>
          <w:tcPr>
            <w:tcW w:w="187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双林村</w:t>
            </w:r>
          </w:p>
        </w:tc>
        <w:tc>
          <w:tcPr>
            <w:tcW w:w="17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12 ~ 16 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2553"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颜公河</w:t>
            </w:r>
          </w:p>
        </w:tc>
        <w:tc>
          <w:tcPr>
            <w:tcW w:w="11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w:t>
            </w:r>
          </w:p>
        </w:tc>
        <w:tc>
          <w:tcPr>
            <w:tcW w:w="319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w:t>
            </w:r>
          </w:p>
        </w:tc>
        <w:tc>
          <w:tcPr>
            <w:tcW w:w="385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黄墩港段</w:t>
            </w:r>
          </w:p>
        </w:tc>
        <w:tc>
          <w:tcPr>
            <w:tcW w:w="1875" w:type="dxa"/>
            <w:vAlign w:val="center"/>
          </w:tcPr>
          <w:p>
            <w:pPr>
              <w:spacing w:before="267" w:line="207" w:lineRule="auto"/>
              <w:jc w:val="center"/>
              <w:rPr>
                <w:rFonts w:hint="eastAsia" w:ascii="宋体" w:hAnsi="宋体" w:cs="宋体"/>
                <w:b w:val="0"/>
                <w:bCs w:val="0"/>
                <w:spacing w:val="6"/>
                <w:sz w:val="21"/>
                <w:szCs w:val="21"/>
              </w:rPr>
            </w:pPr>
          </w:p>
        </w:tc>
        <w:tc>
          <w:tcPr>
            <w:tcW w:w="17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12 ~ 16 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2553"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店前王溪</w:t>
            </w:r>
          </w:p>
        </w:tc>
        <w:tc>
          <w:tcPr>
            <w:tcW w:w="11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2</w:t>
            </w:r>
          </w:p>
        </w:tc>
        <w:tc>
          <w:tcPr>
            <w:tcW w:w="3195" w:type="dxa"/>
            <w:vAlign w:val="center"/>
          </w:tcPr>
          <w:p>
            <w:pPr>
              <w:spacing w:before="267" w:line="207" w:lineRule="auto"/>
              <w:jc w:val="center"/>
              <w:rPr>
                <w:rFonts w:hint="eastAsia" w:ascii="宋体" w:hAnsi="宋体" w:cs="宋体"/>
                <w:b w:val="0"/>
                <w:bCs w:val="0"/>
                <w:spacing w:val="6"/>
                <w:sz w:val="21"/>
                <w:szCs w:val="21"/>
              </w:rPr>
            </w:pPr>
          </w:p>
        </w:tc>
        <w:tc>
          <w:tcPr>
            <w:tcW w:w="385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正学中学北面</w:t>
            </w:r>
          </w:p>
        </w:tc>
        <w:tc>
          <w:tcPr>
            <w:tcW w:w="187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临港路闸门</w:t>
            </w:r>
          </w:p>
        </w:tc>
        <w:tc>
          <w:tcPr>
            <w:tcW w:w="17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6 ~ 12 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2553"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店前王溪 (林家段)</w:t>
            </w:r>
          </w:p>
        </w:tc>
        <w:tc>
          <w:tcPr>
            <w:tcW w:w="11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0.2</w:t>
            </w:r>
          </w:p>
        </w:tc>
        <w:tc>
          <w:tcPr>
            <w:tcW w:w="319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林家、店前王</w:t>
            </w:r>
          </w:p>
        </w:tc>
        <w:tc>
          <w:tcPr>
            <w:tcW w:w="385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林家村东侧</w:t>
            </w:r>
          </w:p>
        </w:tc>
        <w:tc>
          <w:tcPr>
            <w:tcW w:w="187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店前王溪</w:t>
            </w:r>
          </w:p>
        </w:tc>
        <w:tc>
          <w:tcPr>
            <w:tcW w:w="17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6 ~ 12 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2553"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店前王溪 (屠家段)</w:t>
            </w:r>
          </w:p>
        </w:tc>
        <w:tc>
          <w:tcPr>
            <w:tcW w:w="11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position w:val="0"/>
                <w:sz w:val="21"/>
                <w:szCs w:val="21"/>
              </w:rPr>
              <w:t>0 3</w:t>
            </w:r>
          </w:p>
        </w:tc>
        <w:tc>
          <w:tcPr>
            <w:tcW w:w="319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屠家、店前王</w:t>
            </w:r>
          </w:p>
        </w:tc>
        <w:tc>
          <w:tcPr>
            <w:tcW w:w="385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屠家村北面</w:t>
            </w:r>
          </w:p>
        </w:tc>
        <w:tc>
          <w:tcPr>
            <w:tcW w:w="187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店前王溪</w:t>
            </w:r>
          </w:p>
        </w:tc>
        <w:tc>
          <w:tcPr>
            <w:tcW w:w="17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6 ~ 12 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2553"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西吕坑</w:t>
            </w:r>
          </w:p>
        </w:tc>
        <w:tc>
          <w:tcPr>
            <w:tcW w:w="11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position w:val="0"/>
                <w:sz w:val="21"/>
                <w:szCs w:val="21"/>
              </w:rPr>
              <w:t>2.5</w:t>
            </w:r>
          </w:p>
        </w:tc>
        <w:tc>
          <w:tcPr>
            <w:tcW w:w="319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西吕</w:t>
            </w:r>
          </w:p>
        </w:tc>
        <w:tc>
          <w:tcPr>
            <w:tcW w:w="385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前家村—入海 口</w:t>
            </w:r>
          </w:p>
        </w:tc>
        <w:tc>
          <w:tcPr>
            <w:tcW w:w="1875" w:type="dxa"/>
            <w:vAlign w:val="center"/>
          </w:tcPr>
          <w:p>
            <w:pPr>
              <w:spacing w:before="267" w:line="207" w:lineRule="auto"/>
              <w:jc w:val="center"/>
              <w:rPr>
                <w:rFonts w:hint="eastAsia" w:ascii="宋体" w:hAnsi="宋体" w:cs="宋体"/>
                <w:b w:val="0"/>
                <w:bCs w:val="0"/>
                <w:spacing w:val="6"/>
                <w:sz w:val="21"/>
                <w:szCs w:val="21"/>
              </w:rPr>
            </w:pPr>
          </w:p>
        </w:tc>
        <w:tc>
          <w:tcPr>
            <w:tcW w:w="17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6 ~ 12 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2553"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梅林溪 (桥头胡段)</w:t>
            </w:r>
          </w:p>
        </w:tc>
        <w:tc>
          <w:tcPr>
            <w:tcW w:w="11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2.4</w:t>
            </w:r>
          </w:p>
        </w:tc>
        <w:tc>
          <w:tcPr>
            <w:tcW w:w="3195" w:type="dxa"/>
            <w:vAlign w:val="center"/>
          </w:tcPr>
          <w:p>
            <w:pPr>
              <w:spacing w:before="267" w:line="207" w:lineRule="auto"/>
              <w:jc w:val="center"/>
              <w:rPr>
                <w:rFonts w:hint="eastAsia" w:ascii="宋体" w:hAnsi="宋体" w:cs="宋体"/>
                <w:b w:val="0"/>
                <w:bCs w:val="0"/>
                <w:spacing w:val="6"/>
                <w:sz w:val="21"/>
                <w:szCs w:val="21"/>
              </w:rPr>
            </w:pPr>
          </w:p>
        </w:tc>
        <w:tc>
          <w:tcPr>
            <w:tcW w:w="385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正学中学西侧</w:t>
            </w:r>
          </w:p>
        </w:tc>
        <w:tc>
          <w:tcPr>
            <w:tcW w:w="1875"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滨海大道闸门</w:t>
            </w:r>
          </w:p>
        </w:tc>
        <w:tc>
          <w:tcPr>
            <w:tcW w:w="1710" w:type="dxa"/>
            <w:vAlign w:val="center"/>
          </w:tcPr>
          <w:p>
            <w:pPr>
              <w:spacing w:before="267" w:line="207" w:lineRule="auto"/>
              <w:ind w:left="0"/>
              <w:jc w:val="center"/>
              <w:rPr>
                <w:rFonts w:hint="eastAsia" w:ascii="宋体" w:hAnsi="宋体" w:eastAsia="宋体" w:cs="宋体"/>
                <w:b w:val="0"/>
                <w:bCs w:val="0"/>
                <w:spacing w:val="6"/>
                <w:sz w:val="21"/>
                <w:szCs w:val="21"/>
              </w:rPr>
            </w:pPr>
            <w:r>
              <w:rPr>
                <w:rFonts w:hint="eastAsia" w:ascii="宋体" w:hAnsi="宋体" w:eastAsia="宋体" w:cs="宋体"/>
                <w:b w:val="0"/>
                <w:bCs w:val="0"/>
                <w:spacing w:val="6"/>
                <w:sz w:val="21"/>
                <w:szCs w:val="21"/>
              </w:rPr>
              <w:t>3 ~ 6 米</w:t>
            </w:r>
          </w:p>
        </w:tc>
      </w:tr>
    </w:tbl>
    <w:p>
      <w:pPr>
        <w:pStyle w:val="13"/>
        <w:snapToGrid w:val="0"/>
        <w:spacing w:beforeLines="0" w:after="120"/>
        <w:ind w:firstLine="0" w:firstLineChars="0"/>
        <w:outlineLvl w:val="0"/>
        <w:rPr>
          <w:rFonts w:hint="eastAsia" w:hAnsi="宋体" w:cs="宋体"/>
          <w:b/>
          <w:sz w:val="30"/>
          <w:szCs w:val="30"/>
        </w:rPr>
        <w:sectPr>
          <w:pgSz w:w="16838" w:h="11906" w:orient="landscape"/>
          <w:pgMar w:top="1417" w:right="1247" w:bottom="1361" w:left="1304" w:header="851" w:footer="851" w:gutter="0"/>
          <w:pgNumType w:fmt="decimal"/>
          <w:cols w:space="720" w:num="1"/>
          <w:titlePg/>
          <w:docGrid w:linePitch="312" w:charSpace="0"/>
        </w:sectPr>
      </w:pPr>
    </w:p>
    <w:p>
      <w:pPr>
        <w:pStyle w:val="13"/>
        <w:snapToGrid w:val="0"/>
        <w:spacing w:beforeLines="0" w:after="120"/>
        <w:ind w:firstLine="3313" w:firstLineChars="1100"/>
        <w:jc w:val="both"/>
        <w:outlineLvl w:val="0"/>
        <w:rPr>
          <w:rFonts w:hAnsi="宋体" w:cs="宋体"/>
          <w:b/>
          <w:sz w:val="30"/>
          <w:szCs w:val="30"/>
        </w:rPr>
      </w:pPr>
      <w:r>
        <w:rPr>
          <w:rFonts w:hint="eastAsia" w:hAnsi="宋体" w:cs="宋体"/>
          <w:b/>
          <w:sz w:val="30"/>
          <w:szCs w:val="30"/>
        </w:rPr>
        <w:t xml:space="preserve">第三章 </w:t>
      </w:r>
      <w:r>
        <w:rPr>
          <w:rFonts w:hint="eastAsia" w:hAnsi="宋体" w:cs="宋体"/>
          <w:b/>
          <w:sz w:val="30"/>
          <w:szCs w:val="30"/>
          <w:lang w:eastAsia="zh-CN"/>
        </w:rPr>
        <w:t>供应商</w:t>
      </w:r>
      <w:r>
        <w:rPr>
          <w:rFonts w:hint="eastAsia" w:hAnsi="宋体" w:cs="宋体"/>
          <w:b/>
          <w:sz w:val="30"/>
          <w:szCs w:val="30"/>
        </w:rPr>
        <w:t>须知</w:t>
      </w:r>
    </w:p>
    <w:p>
      <w:pPr>
        <w:snapToGrid w:val="0"/>
        <w:spacing w:before="120" w:beforeLines="50" w:after="120" w:afterLines="50" w:line="400" w:lineRule="exact"/>
        <w:ind w:left="238"/>
        <w:jc w:val="center"/>
        <w:outlineLvl w:val="1"/>
        <w:rPr>
          <w:rFonts w:ascii="宋体" w:cs="宋体"/>
          <w:b/>
        </w:rPr>
      </w:pPr>
      <w:bookmarkStart w:id="29" w:name="_Toc28564"/>
      <w:r>
        <w:rPr>
          <w:rFonts w:hint="eastAsia" w:ascii="宋体" w:hAnsi="宋体" w:cs="宋体"/>
          <w:b/>
        </w:rPr>
        <w:t>前附表</w:t>
      </w:r>
      <w:bookmarkEnd w:id="29"/>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tcPr>
          <w:p>
            <w:pPr>
              <w:tabs>
                <w:tab w:val="left" w:pos="105"/>
                <w:tab w:val="left" w:pos="735"/>
                <w:tab w:val="left" w:pos="945"/>
                <w:tab w:val="left" w:pos="3360"/>
              </w:tabs>
              <w:spacing w:line="360" w:lineRule="auto"/>
              <w:jc w:val="center"/>
              <w:rPr>
                <w:rFonts w:ascii="宋体" w:hAnsi="宋体"/>
                <w:szCs w:val="21"/>
              </w:rPr>
            </w:pPr>
            <w:r>
              <w:rPr>
                <w:rFonts w:hint="eastAsia" w:ascii="宋体" w:hAnsi="宋体"/>
                <w:szCs w:val="21"/>
              </w:rPr>
              <w:t>序号</w:t>
            </w:r>
          </w:p>
        </w:tc>
        <w:tc>
          <w:tcPr>
            <w:tcW w:w="8477" w:type="dxa"/>
            <w:noWrap/>
          </w:tcPr>
          <w:p>
            <w:pPr>
              <w:tabs>
                <w:tab w:val="left" w:pos="105"/>
                <w:tab w:val="left" w:pos="735"/>
                <w:tab w:val="left" w:pos="945"/>
                <w:tab w:val="left" w:pos="3360"/>
              </w:tabs>
              <w:spacing w:line="360" w:lineRule="auto"/>
              <w:jc w:val="center"/>
              <w:rPr>
                <w:rFonts w:ascii="宋体" w:hAnsi="宋体"/>
                <w:szCs w:val="21"/>
              </w:rPr>
            </w:pPr>
            <w:r>
              <w:rPr>
                <w:rFonts w:hint="eastAsia" w:ascii="宋体" w:hAnsi="宋体"/>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tabs>
                <w:tab w:val="left" w:pos="105"/>
                <w:tab w:val="left" w:pos="735"/>
                <w:tab w:val="left" w:pos="945"/>
                <w:tab w:val="left" w:pos="3360"/>
              </w:tabs>
              <w:spacing w:line="360" w:lineRule="auto"/>
              <w:jc w:val="center"/>
              <w:rPr>
                <w:rFonts w:ascii="宋体" w:hAnsi="宋体"/>
                <w:szCs w:val="21"/>
              </w:rPr>
            </w:pPr>
            <w:r>
              <w:rPr>
                <w:rFonts w:hint="eastAsia" w:ascii="宋体" w:hAnsi="宋体"/>
                <w:szCs w:val="21"/>
              </w:rPr>
              <w:t>1</w:t>
            </w:r>
          </w:p>
        </w:tc>
        <w:tc>
          <w:tcPr>
            <w:tcW w:w="8477" w:type="dxa"/>
            <w:noWrap/>
          </w:tcPr>
          <w:p>
            <w:pPr>
              <w:tabs>
                <w:tab w:val="left" w:pos="105"/>
                <w:tab w:val="left" w:pos="735"/>
                <w:tab w:val="left" w:pos="945"/>
                <w:tab w:val="left" w:pos="3360"/>
              </w:tabs>
              <w:spacing w:line="360" w:lineRule="auto"/>
              <w:rPr>
                <w:rFonts w:hint="eastAsia" w:ascii="宋体" w:hAnsi="宋体" w:eastAsia="宋体"/>
                <w:szCs w:val="21"/>
                <w:lang w:eastAsia="zh-CN"/>
              </w:rPr>
            </w:pPr>
            <w:r>
              <w:rPr>
                <w:rFonts w:hint="eastAsia" w:ascii="宋体" w:hAnsi="宋体"/>
                <w:szCs w:val="21"/>
              </w:rPr>
              <w:t>项目名称：</w:t>
            </w:r>
            <w:r>
              <w:rPr>
                <w:rFonts w:hint="eastAsia" w:ascii="宋体" w:hAnsi="宋体"/>
                <w:szCs w:val="21"/>
                <w:lang w:eastAsia="zh-CN"/>
              </w:rPr>
              <w:t>宁海县桥头胡街道环卫保洁服务项目</w:t>
            </w:r>
          </w:p>
          <w:p>
            <w:pPr>
              <w:tabs>
                <w:tab w:val="left" w:pos="105"/>
                <w:tab w:val="left" w:pos="735"/>
                <w:tab w:val="left" w:pos="945"/>
                <w:tab w:val="left" w:pos="3360"/>
              </w:tabs>
              <w:spacing w:line="360" w:lineRule="auto"/>
              <w:rPr>
                <w:rFonts w:hint="default" w:ascii="宋体" w:hAnsi="宋体" w:eastAsia="宋体"/>
                <w:szCs w:val="21"/>
                <w:lang w:val="en-US" w:eastAsia="zh-CN"/>
              </w:rPr>
            </w:pPr>
            <w:r>
              <w:rPr>
                <w:rFonts w:hint="eastAsia" w:ascii="宋体" w:hAnsi="宋体"/>
                <w:szCs w:val="21"/>
              </w:rPr>
              <w:t>招标编号：</w:t>
            </w:r>
            <w:r>
              <w:rPr>
                <w:rFonts w:hint="eastAsia" w:ascii="宋体" w:hAnsi="宋体" w:cs="宋体"/>
                <w:color w:val="000000"/>
                <w:szCs w:val="21"/>
              </w:rPr>
              <w:t>NBGJ2023-CG00</w:t>
            </w:r>
            <w:r>
              <w:rPr>
                <w:rFonts w:hint="eastAsia" w:ascii="宋体" w:hAnsi="宋体" w:cs="宋体"/>
                <w:color w:val="000000"/>
                <w:szCs w:val="21"/>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tabs>
                <w:tab w:val="left" w:pos="105"/>
                <w:tab w:val="left" w:pos="735"/>
                <w:tab w:val="left" w:pos="945"/>
                <w:tab w:val="left" w:pos="3360"/>
              </w:tabs>
              <w:spacing w:line="360" w:lineRule="auto"/>
              <w:jc w:val="center"/>
              <w:rPr>
                <w:rFonts w:ascii="宋体" w:hAnsi="宋体"/>
                <w:szCs w:val="21"/>
              </w:rPr>
            </w:pPr>
            <w:r>
              <w:rPr>
                <w:rFonts w:hint="eastAsia" w:ascii="宋体" w:hAnsi="宋体"/>
                <w:szCs w:val="21"/>
              </w:rPr>
              <w:t>2</w:t>
            </w:r>
          </w:p>
        </w:tc>
        <w:tc>
          <w:tcPr>
            <w:tcW w:w="8477" w:type="dxa"/>
            <w:noWrap/>
          </w:tcPr>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联系方式：</w:t>
            </w:r>
          </w:p>
          <w:p>
            <w:pPr>
              <w:spacing w:line="360" w:lineRule="auto"/>
              <w:rPr>
                <w:rFonts w:ascii="宋体" w:hAnsi="宋体"/>
                <w:szCs w:val="21"/>
              </w:rPr>
            </w:pPr>
            <w:r>
              <w:rPr>
                <w:rFonts w:hint="eastAsia" w:ascii="宋体" w:hAnsi="宋体"/>
                <w:szCs w:val="21"/>
              </w:rPr>
              <w:t>采购单位：</w:t>
            </w:r>
            <w:r>
              <w:rPr>
                <w:rFonts w:hint="eastAsia" w:ascii="宋体" w:hAnsi="宋体"/>
                <w:szCs w:val="21"/>
                <w:lang w:eastAsia="zh-CN"/>
              </w:rPr>
              <w:t>宁海县人民政府桥头胡街道办事处</w:t>
            </w:r>
            <w:r>
              <w:rPr>
                <w:rFonts w:hint="eastAsia" w:ascii="宋体" w:hAnsi="宋体"/>
                <w:szCs w:val="21"/>
              </w:rPr>
              <w:t xml:space="preserve"> </w:t>
            </w:r>
          </w:p>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联系人：</w:t>
            </w:r>
            <w:r>
              <w:rPr>
                <w:rFonts w:hint="eastAsia" w:ascii="宋体" w:hAnsi="宋体"/>
                <w:szCs w:val="21"/>
                <w:lang w:val="en-US" w:eastAsia="zh-CN"/>
              </w:rPr>
              <w:t>叶科</w:t>
            </w:r>
            <w:r>
              <w:rPr>
                <w:rFonts w:hint="eastAsia" w:ascii="宋体" w:hAnsi="宋体" w:cs="宋体"/>
              </w:rPr>
              <w:t xml:space="preserve"> </w:t>
            </w:r>
          </w:p>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联系电话：</w:t>
            </w:r>
            <w:r>
              <w:rPr>
                <w:rFonts w:hint="eastAsia" w:ascii="宋体" w:hAnsi="宋体" w:eastAsia="宋体" w:cs="宋体"/>
                <w:color w:val="000000"/>
                <w:sz w:val="21"/>
                <w:szCs w:val="21"/>
                <w:highlight w:val="none"/>
                <w:lang w:val="en-US" w:eastAsia="zh-CN"/>
              </w:rPr>
              <w:t>0574-59958544</w:t>
            </w:r>
            <w:r>
              <w:rPr>
                <w:rFonts w:hint="eastAsia" w:ascii="宋体" w:hAnsi="宋体" w:cs="宋体"/>
                <w:lang w:val="en-US" w:eastAsia="zh-CN"/>
              </w:rPr>
              <w:t xml:space="preserve"> </w:t>
            </w:r>
          </w:p>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招标代理机构：宁波工建工程造价咨询有限公司</w:t>
            </w:r>
          </w:p>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地址：宁海县桃源街道兴工三路69号二楼</w:t>
            </w:r>
          </w:p>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联系人：王洋/周聪燕</w:t>
            </w:r>
          </w:p>
          <w:p>
            <w:pPr>
              <w:spacing w:line="360" w:lineRule="auto"/>
              <w:rPr>
                <w:rFonts w:ascii="宋体" w:hAnsi="宋体"/>
                <w:szCs w:val="21"/>
              </w:rPr>
            </w:pPr>
            <w:r>
              <w:rPr>
                <w:rFonts w:hint="eastAsia" w:ascii="宋体" w:hAnsi="宋体"/>
                <w:szCs w:val="21"/>
              </w:rPr>
              <w:t>联系电话（传真）:0574-65250961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tabs>
                <w:tab w:val="left" w:pos="105"/>
                <w:tab w:val="left" w:pos="735"/>
                <w:tab w:val="left" w:pos="945"/>
                <w:tab w:val="left" w:pos="3360"/>
              </w:tabs>
              <w:spacing w:line="360" w:lineRule="auto"/>
              <w:jc w:val="center"/>
              <w:rPr>
                <w:rFonts w:ascii="宋体" w:hAnsi="宋体"/>
                <w:szCs w:val="21"/>
              </w:rPr>
            </w:pPr>
            <w:r>
              <w:rPr>
                <w:rFonts w:hint="eastAsia" w:ascii="宋体" w:hAnsi="宋体"/>
                <w:szCs w:val="21"/>
              </w:rPr>
              <w:t>3</w:t>
            </w:r>
          </w:p>
        </w:tc>
        <w:tc>
          <w:tcPr>
            <w:tcW w:w="8477" w:type="dxa"/>
            <w:noWrap/>
          </w:tcPr>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采购方式：分散委托采购，公开招标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tabs>
                <w:tab w:val="left" w:pos="105"/>
                <w:tab w:val="left" w:pos="735"/>
                <w:tab w:val="left" w:pos="945"/>
                <w:tab w:val="left" w:pos="3360"/>
              </w:tabs>
              <w:spacing w:line="360" w:lineRule="auto"/>
              <w:jc w:val="center"/>
              <w:rPr>
                <w:rFonts w:ascii="宋体" w:hAnsi="宋体"/>
                <w:szCs w:val="21"/>
              </w:rPr>
            </w:pPr>
            <w:r>
              <w:rPr>
                <w:rFonts w:hint="eastAsia" w:ascii="宋体" w:hAnsi="宋体"/>
                <w:szCs w:val="21"/>
              </w:rPr>
              <w:t>4</w:t>
            </w:r>
          </w:p>
        </w:tc>
        <w:tc>
          <w:tcPr>
            <w:tcW w:w="8477" w:type="dxa"/>
            <w:noWrap/>
          </w:tcPr>
          <w:p>
            <w:pPr>
              <w:spacing w:line="360" w:lineRule="auto"/>
              <w:rPr>
                <w:rFonts w:ascii="宋体" w:hAnsi="宋体"/>
                <w:b/>
                <w:bCs/>
              </w:rPr>
            </w:pPr>
            <w:r>
              <w:rPr>
                <w:rFonts w:hint="eastAsia" w:ascii="宋体" w:hAnsi="宋体"/>
                <w:b/>
                <w:bCs/>
              </w:rPr>
              <w:t>本项目预算价：</w:t>
            </w:r>
            <w:r>
              <w:rPr>
                <w:rFonts w:hint="eastAsia" w:ascii="宋体" w:hAnsi="宋体" w:cs="宋体"/>
                <w:b/>
                <w:bCs/>
                <w:szCs w:val="21"/>
                <w:lang w:val="en-US" w:eastAsia="zh-CN"/>
              </w:rPr>
              <w:t>4270000元/年；12810000元/3年；</w:t>
            </w:r>
            <w:r>
              <w:rPr>
                <w:rFonts w:hint="eastAsia" w:ascii="宋体" w:hAnsi="宋体"/>
                <w:b/>
                <w:bCs/>
              </w:rPr>
              <w:t>（</w:t>
            </w:r>
            <w:r>
              <w:rPr>
                <w:rFonts w:hint="eastAsia" w:ascii="宋体" w:hAnsi="宋体" w:cs="宋体"/>
                <w:b/>
                <w:bCs/>
                <w:color w:val="000000"/>
                <w:szCs w:val="21"/>
              </w:rPr>
              <w:t>超过预算价的投标作无效标处理</w:t>
            </w:r>
            <w:r>
              <w:rPr>
                <w:rFonts w:hint="eastAsia" w:ascii="宋体" w:hAnsi="宋体"/>
                <w:b/>
                <w:bCs/>
              </w:rPr>
              <w:t>）；</w:t>
            </w:r>
          </w:p>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（1）报价构成：</w:t>
            </w:r>
            <w:r>
              <w:rPr>
                <w:rFonts w:hint="eastAsia" w:ascii="宋体" w:hAnsi="宋体" w:cs="宋体"/>
                <w:szCs w:val="21"/>
                <w:highlight w:val="none"/>
              </w:rPr>
              <w:t>供应商须报出一年</w:t>
            </w:r>
            <w:r>
              <w:rPr>
                <w:rFonts w:hint="eastAsia" w:ascii="宋体" w:hAnsi="宋体" w:cs="宋体"/>
                <w:szCs w:val="21"/>
                <w:highlight w:val="none"/>
                <w:lang w:val="en-US" w:eastAsia="zh-CN"/>
              </w:rPr>
              <w:t>报价</w:t>
            </w:r>
            <w:r>
              <w:rPr>
                <w:rFonts w:hint="eastAsia" w:ascii="宋体" w:hAnsi="宋体" w:cs="宋体"/>
                <w:szCs w:val="21"/>
                <w:highlight w:val="none"/>
              </w:rPr>
              <w:t>及</w:t>
            </w:r>
            <w:r>
              <w:rPr>
                <w:rFonts w:hint="eastAsia" w:ascii="宋体" w:hAnsi="宋体" w:cs="宋体"/>
                <w:szCs w:val="21"/>
                <w:highlight w:val="none"/>
                <w:lang w:val="en-US" w:eastAsia="zh-CN"/>
              </w:rPr>
              <w:t>三年</w:t>
            </w:r>
            <w:r>
              <w:rPr>
                <w:rFonts w:hint="eastAsia" w:ascii="宋体" w:hAnsi="宋体" w:cs="宋体"/>
                <w:szCs w:val="21"/>
                <w:highlight w:val="none"/>
              </w:rPr>
              <w:t>的投标总价，包含但不限于完成本项目服务内容可能发生的各项费用，应包含人工费用【包含人员基本工资、各类福利和补贴（如高温补贴、加班补贴等）、社保（五金）、各种保险】、安全文明生产装备费（环卫工人冬、夏工作服、雨衣、手套、口罩等劳保品）、人员所用作业工具等各类耗材费、车辆运行费用（含车辆租赁或购置费、水电费、维修及配件更换等费用）、管理费（包括管理人员工资、人员培训费、安全生产专项管理经费、其他管理费）、突击检查等特殊时期的应急保障费用等保洁服务范围内的所有费用。</w:t>
            </w:r>
          </w:p>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（2）不论投标结果如何，</w:t>
            </w:r>
            <w:r>
              <w:rPr>
                <w:rFonts w:hint="eastAsia" w:ascii="宋体" w:hAnsi="宋体"/>
                <w:szCs w:val="21"/>
                <w:lang w:eastAsia="zh-CN"/>
              </w:rPr>
              <w:t>供应商</w:t>
            </w:r>
            <w:r>
              <w:rPr>
                <w:rFonts w:hint="eastAsia" w:ascii="宋体" w:hAnsi="宋体"/>
                <w:szCs w:val="21"/>
              </w:rPr>
              <w:t>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817" w:type="dxa"/>
            <w:noWrap/>
            <w:vAlign w:val="center"/>
          </w:tcPr>
          <w:p>
            <w:pPr>
              <w:tabs>
                <w:tab w:val="left" w:pos="105"/>
                <w:tab w:val="left" w:pos="735"/>
                <w:tab w:val="left" w:pos="945"/>
                <w:tab w:val="left" w:pos="3360"/>
              </w:tabs>
              <w:spacing w:line="360" w:lineRule="auto"/>
              <w:jc w:val="center"/>
              <w:rPr>
                <w:rFonts w:ascii="宋体" w:hAnsi="宋体"/>
                <w:szCs w:val="21"/>
              </w:rPr>
            </w:pPr>
            <w:r>
              <w:rPr>
                <w:rFonts w:hint="eastAsia" w:ascii="宋体" w:hAnsi="宋体"/>
                <w:szCs w:val="21"/>
              </w:rPr>
              <w:t>5</w:t>
            </w:r>
          </w:p>
        </w:tc>
        <w:tc>
          <w:tcPr>
            <w:tcW w:w="8477" w:type="dxa"/>
            <w:noWrap/>
          </w:tcPr>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现场踏勘：不组织。</w:t>
            </w:r>
            <w:r>
              <w:rPr>
                <w:rFonts w:hint="eastAsia" w:ascii="宋体" w:hAnsi="宋体"/>
                <w:szCs w:val="21"/>
                <w:lang w:eastAsia="zh-CN"/>
              </w:rPr>
              <w:t>供应商</w:t>
            </w:r>
            <w:r>
              <w:rPr>
                <w:rFonts w:hint="eastAsia" w:ascii="宋体" w:hAnsi="宋体"/>
                <w:szCs w:val="21"/>
              </w:rPr>
              <w:t>可自行踏勘现场，以获取编制投标文件和签署履行合同所需的资料。</w:t>
            </w:r>
          </w:p>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踏勘现场所发生的费用及安全风险由</w:t>
            </w:r>
            <w:r>
              <w:rPr>
                <w:rFonts w:hint="eastAsia" w:ascii="宋体" w:hAnsi="宋体"/>
                <w:szCs w:val="21"/>
                <w:lang w:eastAsia="zh-CN"/>
              </w:rPr>
              <w:t>供应商</w:t>
            </w:r>
            <w:r>
              <w:rPr>
                <w:rFonts w:hint="eastAsia" w:ascii="宋体" w:hAnsi="宋体"/>
                <w:szCs w:val="21"/>
              </w:rPr>
              <w:t>自己承担。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tabs>
                <w:tab w:val="left" w:pos="105"/>
                <w:tab w:val="left" w:pos="735"/>
                <w:tab w:val="left" w:pos="945"/>
                <w:tab w:val="left" w:pos="3360"/>
              </w:tabs>
              <w:spacing w:line="360" w:lineRule="auto"/>
              <w:jc w:val="center"/>
              <w:rPr>
                <w:rFonts w:ascii="宋体" w:hAnsi="宋体"/>
                <w:szCs w:val="21"/>
              </w:rPr>
            </w:pPr>
            <w:r>
              <w:rPr>
                <w:rFonts w:hint="eastAsia" w:ascii="宋体" w:hAnsi="宋体"/>
                <w:szCs w:val="21"/>
              </w:rPr>
              <w:t>6</w:t>
            </w:r>
          </w:p>
        </w:tc>
        <w:tc>
          <w:tcPr>
            <w:tcW w:w="8477" w:type="dxa"/>
            <w:noWrap/>
          </w:tcPr>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投标文件数量：</w:t>
            </w:r>
          </w:p>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上传到政府采购云平台的电子投标文件（含资格文件、商务技术文件、报价文件）1份。</w:t>
            </w:r>
          </w:p>
          <w:p>
            <w:pPr>
              <w:tabs>
                <w:tab w:val="left" w:pos="105"/>
                <w:tab w:val="left" w:pos="735"/>
                <w:tab w:val="left" w:pos="945"/>
                <w:tab w:val="left" w:pos="3360"/>
              </w:tabs>
              <w:spacing w:line="360" w:lineRule="auto"/>
              <w:rPr>
                <w:rFonts w:ascii="宋体" w:hAnsi="宋体"/>
                <w:szCs w:val="21"/>
              </w:rPr>
            </w:pPr>
            <w:r>
              <w:rPr>
                <w:rFonts w:hint="eastAsia" w:ascii="宋体" w:hAnsi="宋体"/>
                <w:szCs w:val="21"/>
              </w:rPr>
              <w:t>以U盘存储的电子备份投标文件（含资格文件、商务技术文件、报价文件）1份。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tabs>
                <w:tab w:val="left" w:pos="105"/>
                <w:tab w:val="left" w:pos="735"/>
                <w:tab w:val="left" w:pos="945"/>
                <w:tab w:val="left" w:pos="3360"/>
              </w:tabs>
              <w:spacing w:line="360" w:lineRule="auto"/>
              <w:jc w:val="center"/>
              <w:rPr>
                <w:rFonts w:ascii="宋体" w:hAnsi="宋体"/>
                <w:szCs w:val="21"/>
              </w:rPr>
            </w:pPr>
            <w:r>
              <w:rPr>
                <w:rFonts w:hint="eastAsia" w:ascii="宋体" w:hAnsi="宋体"/>
                <w:szCs w:val="21"/>
              </w:rPr>
              <w:t>★7</w:t>
            </w:r>
          </w:p>
        </w:tc>
        <w:tc>
          <w:tcPr>
            <w:tcW w:w="8477" w:type="dxa"/>
            <w:noWrap/>
            <w:vAlign w:val="center"/>
          </w:tcPr>
          <w:p>
            <w:pPr>
              <w:spacing w:line="400" w:lineRule="exact"/>
              <w:rPr>
                <w:rFonts w:ascii="宋体" w:hAnsi="宋体"/>
                <w:szCs w:val="21"/>
              </w:rPr>
            </w:pPr>
            <w:r>
              <w:rPr>
                <w:rFonts w:hint="eastAsia" w:ascii="宋体" w:hAnsi="宋体"/>
                <w:szCs w:val="21"/>
              </w:rPr>
              <w:t>投标有效期：开标后90天。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tabs>
                <w:tab w:val="left" w:pos="105"/>
                <w:tab w:val="left" w:pos="735"/>
                <w:tab w:val="left" w:pos="945"/>
                <w:tab w:val="left" w:pos="3360"/>
              </w:tabs>
              <w:spacing w:line="360" w:lineRule="auto"/>
              <w:jc w:val="center"/>
              <w:rPr>
                <w:rFonts w:ascii="宋体" w:hAnsi="宋体"/>
                <w:szCs w:val="21"/>
              </w:rPr>
            </w:pPr>
            <w:r>
              <w:rPr>
                <w:rFonts w:hint="eastAsia" w:ascii="宋体" w:hAnsi="宋体"/>
                <w:szCs w:val="21"/>
              </w:rPr>
              <w:t>8</w:t>
            </w:r>
          </w:p>
        </w:tc>
        <w:tc>
          <w:tcPr>
            <w:tcW w:w="8477" w:type="dxa"/>
            <w:noWrap/>
          </w:tcPr>
          <w:p>
            <w:pPr>
              <w:spacing w:line="400" w:lineRule="exact"/>
              <w:rPr>
                <w:rFonts w:ascii="宋体" w:hAnsi="宋体"/>
                <w:szCs w:val="21"/>
              </w:rPr>
            </w:pPr>
            <w:r>
              <w:rPr>
                <w:rFonts w:hint="eastAsia" w:ascii="宋体" w:hAnsi="宋体"/>
                <w:szCs w:val="21"/>
              </w:rPr>
              <w:t>信息公告媒体：</w:t>
            </w:r>
          </w:p>
          <w:p>
            <w:pPr>
              <w:spacing w:line="400" w:lineRule="exact"/>
              <w:rPr>
                <w:rFonts w:ascii="宋体" w:hAnsi="宋体"/>
                <w:szCs w:val="21"/>
              </w:rPr>
            </w:pPr>
            <w:r>
              <w:rPr>
                <w:rFonts w:hint="eastAsia" w:ascii="宋体" w:hAnsi="宋体"/>
                <w:szCs w:val="21"/>
              </w:rPr>
              <w:t>宁波政府采购网站（www.nbzfcg.cn）；</w:t>
            </w:r>
          </w:p>
          <w:p>
            <w:pPr>
              <w:spacing w:line="400" w:lineRule="exact"/>
              <w:rPr>
                <w:rFonts w:ascii="宋体" w:hAnsi="宋体"/>
                <w:szCs w:val="21"/>
              </w:rPr>
            </w:pPr>
            <w:r>
              <w:rPr>
                <w:rFonts w:hint="eastAsia" w:ascii="宋体" w:hAnsi="宋体"/>
                <w:szCs w:val="21"/>
              </w:rPr>
              <w:t>宁海县公共资源交易信息网发布(http://www.nhztb.gov.cn)；</w:t>
            </w:r>
          </w:p>
          <w:p>
            <w:pPr>
              <w:spacing w:line="400" w:lineRule="exact"/>
              <w:rPr>
                <w:rFonts w:ascii="宋体" w:hAnsi="宋体"/>
                <w:szCs w:val="21"/>
              </w:rPr>
            </w:pPr>
            <w:r>
              <w:rPr>
                <w:rFonts w:hint="eastAsia" w:ascii="宋体" w:hAnsi="宋体"/>
                <w:szCs w:val="21"/>
              </w:rPr>
              <w:t>浙江政府采购云平台”（https://www.zcygov.cn/）</w:t>
            </w:r>
          </w:p>
          <w:p>
            <w:pPr>
              <w:spacing w:line="400" w:lineRule="exact"/>
              <w:rPr>
                <w:rFonts w:ascii="宋体" w:hAnsi="宋体"/>
                <w:szCs w:val="21"/>
              </w:rPr>
            </w:pPr>
            <w:r>
              <w:rPr>
                <w:rFonts w:hint="eastAsia" w:ascii="宋体" w:hAnsi="宋体"/>
                <w:szCs w:val="21"/>
              </w:rPr>
              <w:t>本项目自发布公告后后续可能出现的修改通知，澄清说明等都发布在上述媒体，请</w:t>
            </w:r>
            <w:r>
              <w:rPr>
                <w:rFonts w:hint="eastAsia" w:ascii="宋体" w:hAnsi="宋体"/>
                <w:szCs w:val="21"/>
                <w:lang w:eastAsia="zh-CN"/>
              </w:rPr>
              <w:t>供应商</w:t>
            </w:r>
            <w:r>
              <w:rPr>
                <w:rFonts w:hint="eastAsia" w:ascii="宋体" w:hAnsi="宋体"/>
                <w:szCs w:val="21"/>
              </w:rPr>
              <w:t>随时关注下载，如有错过，后果自负。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ign w:val="center"/>
          </w:tcPr>
          <w:p>
            <w:pPr>
              <w:tabs>
                <w:tab w:val="left" w:pos="105"/>
                <w:tab w:val="left" w:pos="735"/>
                <w:tab w:val="left" w:pos="945"/>
                <w:tab w:val="left" w:pos="3360"/>
              </w:tabs>
              <w:spacing w:line="360" w:lineRule="auto"/>
              <w:jc w:val="center"/>
              <w:rPr>
                <w:rFonts w:ascii="宋体" w:hAnsi="宋体"/>
                <w:szCs w:val="21"/>
              </w:rPr>
            </w:pPr>
            <w:r>
              <w:rPr>
                <w:rFonts w:hint="eastAsia" w:ascii="宋体" w:hAnsi="宋体"/>
                <w:szCs w:val="21"/>
              </w:rPr>
              <w:t>9</w:t>
            </w:r>
          </w:p>
        </w:tc>
        <w:tc>
          <w:tcPr>
            <w:tcW w:w="8477" w:type="dxa"/>
            <w:noWrap/>
          </w:tcPr>
          <w:p>
            <w:pPr>
              <w:spacing w:line="400" w:lineRule="exact"/>
              <w:rPr>
                <w:rFonts w:ascii="宋体" w:hAnsi="宋体"/>
                <w:szCs w:val="21"/>
              </w:rPr>
            </w:pPr>
            <w:r>
              <w:rPr>
                <w:rFonts w:hint="eastAsia" w:ascii="宋体" w:hAnsi="宋体"/>
                <w:szCs w:val="21"/>
              </w:rPr>
              <w:t>招标代理服务费：</w:t>
            </w:r>
          </w:p>
          <w:p>
            <w:pPr>
              <w:spacing w:line="400" w:lineRule="exact"/>
              <w:rPr>
                <w:rFonts w:ascii="宋体" w:hAnsi="宋体"/>
                <w:szCs w:val="21"/>
              </w:rPr>
            </w:pPr>
            <w:r>
              <w:rPr>
                <w:rFonts w:hint="eastAsia" w:ascii="宋体" w:hAnsi="宋体"/>
                <w:szCs w:val="21"/>
              </w:rPr>
              <w:t>（1）参照国家发改委发改办价格[2003]857号通知和原国家计委计价格[2002]1980号文件规定的招标费率标准，以中标通知书确定的中标总金额为计算基数，向中标</w:t>
            </w:r>
            <w:r>
              <w:rPr>
                <w:rFonts w:hint="eastAsia" w:ascii="宋体" w:hAnsi="宋体"/>
                <w:szCs w:val="21"/>
                <w:lang w:eastAsia="zh-CN"/>
              </w:rPr>
              <w:t>供应商</w:t>
            </w:r>
            <w:r>
              <w:rPr>
                <w:rFonts w:hint="eastAsia" w:ascii="宋体" w:hAnsi="宋体"/>
                <w:szCs w:val="21"/>
              </w:rPr>
              <w:t>收取中标服务费，中标人必须在领取中标通知书同时一次性支付；</w:t>
            </w:r>
          </w:p>
          <w:p>
            <w:pPr>
              <w:spacing w:line="400" w:lineRule="exact"/>
              <w:rPr>
                <w:rFonts w:ascii="宋体" w:hAnsi="宋体"/>
                <w:szCs w:val="21"/>
              </w:rPr>
            </w:pPr>
            <w:r>
              <w:rPr>
                <w:rFonts w:hint="eastAsia" w:ascii="宋体" w:hAnsi="宋体"/>
                <w:szCs w:val="21"/>
              </w:rPr>
              <w:t>（2）中标</w:t>
            </w:r>
            <w:r>
              <w:rPr>
                <w:rFonts w:hint="eastAsia" w:ascii="宋体" w:hAnsi="宋体"/>
                <w:szCs w:val="21"/>
                <w:lang w:eastAsia="zh-CN"/>
              </w:rPr>
              <w:t>供应商</w:t>
            </w:r>
            <w:r>
              <w:rPr>
                <w:rFonts w:hint="eastAsia" w:ascii="宋体" w:hAnsi="宋体"/>
                <w:szCs w:val="21"/>
              </w:rPr>
              <w:t>在领取中标通知书时向招标代理机构交纳招标服务费；</w:t>
            </w:r>
          </w:p>
          <w:p>
            <w:pPr>
              <w:spacing w:line="400" w:lineRule="exact"/>
              <w:rPr>
                <w:rFonts w:ascii="宋体" w:hAnsi="宋体"/>
                <w:szCs w:val="21"/>
              </w:rPr>
            </w:pPr>
            <w:r>
              <w:rPr>
                <w:rFonts w:hint="eastAsia" w:ascii="宋体" w:hAnsi="宋体"/>
                <w:szCs w:val="21"/>
              </w:rPr>
              <w:t>（3）招标服务费只收现金、银行票汇款、电汇款；</w:t>
            </w:r>
          </w:p>
          <w:p>
            <w:pPr>
              <w:spacing w:line="400" w:lineRule="exact"/>
              <w:rPr>
                <w:rFonts w:ascii="宋体" w:hAnsi="宋体"/>
                <w:szCs w:val="21"/>
              </w:rPr>
            </w:pPr>
            <w:r>
              <w:rPr>
                <w:rFonts w:hint="eastAsia" w:ascii="宋体" w:hAnsi="宋体"/>
                <w:szCs w:val="21"/>
              </w:rPr>
              <w:t>（4）中标人如未按以上规定办理，本公司有权并对不足部分进行追索。</w:t>
            </w:r>
          </w:p>
        </w:tc>
      </w:tr>
    </w:tbl>
    <w:p>
      <w:pPr>
        <w:pStyle w:val="13"/>
        <w:snapToGrid w:val="0"/>
        <w:spacing w:beforeLines="0" w:after="120" w:line="360" w:lineRule="auto"/>
        <w:outlineLvl w:val="1"/>
        <w:rPr>
          <w:rFonts w:hAnsi="宋体" w:cs="宋体"/>
          <w:b/>
          <w:sz w:val="21"/>
          <w:szCs w:val="21"/>
        </w:rPr>
      </w:pPr>
      <w:r>
        <w:rPr>
          <w:rFonts w:hAnsi="宋体" w:cs="宋体"/>
          <w:b/>
          <w:sz w:val="28"/>
          <w:szCs w:val="28"/>
        </w:rPr>
        <w:br w:type="page"/>
      </w:r>
      <w:r>
        <w:rPr>
          <w:rFonts w:hint="eastAsia" w:hAnsi="宋体" w:cs="宋体"/>
          <w:b/>
          <w:sz w:val="21"/>
          <w:szCs w:val="21"/>
        </w:rPr>
        <w:t>一、总则</w:t>
      </w:r>
    </w:p>
    <w:p>
      <w:pPr>
        <w:snapToGrid w:val="0"/>
        <w:spacing w:line="360" w:lineRule="auto"/>
        <w:ind w:firstLine="422" w:firstLineChars="200"/>
        <w:jc w:val="left"/>
        <w:rPr>
          <w:rFonts w:ascii="宋体" w:cs="宋体"/>
          <w:b/>
          <w:szCs w:val="21"/>
        </w:rPr>
      </w:pPr>
      <w:bookmarkStart w:id="30" w:name="_Toc8089"/>
      <w:r>
        <w:rPr>
          <w:rFonts w:hint="eastAsia" w:ascii="宋体" w:hAnsi="宋体" w:cs="宋体"/>
          <w:b/>
          <w:szCs w:val="21"/>
        </w:rPr>
        <w:t>（一）适用范围</w:t>
      </w:r>
      <w:bookmarkEnd w:id="30"/>
    </w:p>
    <w:p>
      <w:pPr>
        <w:snapToGrid w:val="0"/>
        <w:spacing w:line="360" w:lineRule="auto"/>
        <w:ind w:firstLine="420" w:firstLineChars="200"/>
        <w:jc w:val="left"/>
        <w:rPr>
          <w:rFonts w:ascii="宋体" w:cs="宋体"/>
          <w:b/>
          <w:bCs/>
          <w:szCs w:val="21"/>
          <w:u w:val="single"/>
          <w:lang w:val="zh-CN"/>
        </w:rPr>
      </w:pPr>
      <w:r>
        <w:rPr>
          <w:rFonts w:hint="eastAsia" w:ascii="宋体" w:hAnsi="宋体" w:cs="宋体"/>
          <w:szCs w:val="21"/>
        </w:rPr>
        <w:t>本招标文件适用于</w:t>
      </w:r>
      <w:r>
        <w:rPr>
          <w:rFonts w:hint="eastAsia" w:ascii="宋体" w:hAnsi="宋体" w:cs="宋体"/>
          <w:b/>
          <w:bCs/>
          <w:szCs w:val="21"/>
          <w:u w:val="single"/>
          <w:lang w:eastAsia="zh-CN"/>
        </w:rPr>
        <w:t>宁海县桥头胡街道环卫保洁服务项目</w:t>
      </w:r>
      <w:r>
        <w:rPr>
          <w:rFonts w:hint="eastAsia" w:ascii="宋体" w:hAnsi="宋体" w:cs="宋体"/>
          <w:szCs w:val="21"/>
        </w:rPr>
        <w:t>的招标、投标、评标、定标、验收、合同履约、付款等行为（法律、法规另有规定的，从其规定）。</w:t>
      </w:r>
    </w:p>
    <w:p>
      <w:pPr>
        <w:snapToGrid w:val="0"/>
        <w:spacing w:line="360" w:lineRule="auto"/>
        <w:ind w:firstLine="310" w:firstLineChars="147"/>
        <w:jc w:val="left"/>
        <w:rPr>
          <w:rFonts w:ascii="宋体" w:cs="宋体"/>
          <w:b/>
          <w:szCs w:val="21"/>
        </w:rPr>
      </w:pPr>
      <w:bookmarkStart w:id="31" w:name="_Toc11628"/>
      <w:r>
        <w:rPr>
          <w:rFonts w:hint="eastAsia" w:ascii="宋体" w:hAnsi="宋体" w:cs="宋体"/>
          <w:b/>
          <w:szCs w:val="21"/>
        </w:rPr>
        <w:t>（二）定义</w:t>
      </w:r>
      <w:bookmarkEnd w:id="31"/>
    </w:p>
    <w:p>
      <w:pPr>
        <w:snapToGrid w:val="0"/>
        <w:spacing w:line="360" w:lineRule="auto"/>
        <w:ind w:firstLine="420" w:firstLineChars="200"/>
        <w:jc w:val="left"/>
        <w:rPr>
          <w:rFonts w:ascii="宋体" w:cs="宋体"/>
          <w:szCs w:val="21"/>
        </w:rPr>
      </w:pPr>
      <w:r>
        <w:rPr>
          <w:rFonts w:ascii="宋体" w:hAnsi="宋体" w:cs="宋体"/>
          <w:szCs w:val="21"/>
        </w:rPr>
        <w:t>1</w:t>
      </w:r>
      <w:r>
        <w:rPr>
          <w:rFonts w:hint="eastAsia" w:ascii="宋体" w:hAnsi="宋体" w:cs="宋体"/>
          <w:szCs w:val="21"/>
        </w:rPr>
        <w:t>、招标采购单位系指组织本次招标的招标代理机构（“招标人”）和采购单位；</w:t>
      </w:r>
    </w:p>
    <w:p>
      <w:pPr>
        <w:snapToGrid w:val="0"/>
        <w:spacing w:line="360" w:lineRule="auto"/>
        <w:ind w:firstLine="420" w:firstLineChars="200"/>
        <w:jc w:val="left"/>
        <w:rPr>
          <w:rFonts w:ascii="宋体" w:cs="宋体"/>
          <w:szCs w:val="21"/>
        </w:rPr>
      </w:pPr>
      <w:r>
        <w:rPr>
          <w:rFonts w:ascii="宋体" w:hAnsi="宋体" w:cs="宋体"/>
          <w:szCs w:val="21"/>
        </w:rPr>
        <w:t>2</w:t>
      </w:r>
      <w:r>
        <w:rPr>
          <w:rFonts w:hint="eastAsia" w:ascii="宋体" w:hAnsi="宋体" w:cs="宋体"/>
          <w:szCs w:val="21"/>
        </w:rPr>
        <w:t>、“</w:t>
      </w:r>
      <w:r>
        <w:rPr>
          <w:rFonts w:hint="eastAsia" w:ascii="宋体" w:hAnsi="宋体" w:cs="宋体"/>
          <w:szCs w:val="21"/>
          <w:lang w:eastAsia="zh-CN"/>
        </w:rPr>
        <w:t>供应商</w:t>
      </w:r>
      <w:r>
        <w:rPr>
          <w:rFonts w:hint="eastAsia" w:ascii="宋体" w:hAnsi="宋体" w:cs="宋体"/>
          <w:szCs w:val="21"/>
        </w:rPr>
        <w:t>”系指向采购人提交投标文件的单位；</w:t>
      </w:r>
    </w:p>
    <w:p>
      <w:pPr>
        <w:snapToGrid w:val="0"/>
        <w:spacing w:line="360" w:lineRule="auto"/>
        <w:ind w:firstLine="420" w:firstLineChars="200"/>
        <w:jc w:val="left"/>
        <w:rPr>
          <w:rFonts w:ascii="宋体" w:cs="宋体"/>
          <w:szCs w:val="21"/>
        </w:rPr>
      </w:pPr>
      <w:r>
        <w:rPr>
          <w:rFonts w:hint="eastAsia" w:ascii="宋体" w:hAnsi="宋体" w:cs="宋体"/>
          <w:szCs w:val="21"/>
        </w:rPr>
        <w:t>3、“项目”系指</w:t>
      </w:r>
      <w:r>
        <w:rPr>
          <w:rFonts w:hint="eastAsia" w:ascii="宋体" w:hAnsi="宋体" w:cs="宋体"/>
          <w:szCs w:val="21"/>
          <w:lang w:eastAsia="zh-CN"/>
        </w:rPr>
        <w:t>供应商</w:t>
      </w:r>
      <w:r>
        <w:rPr>
          <w:rFonts w:hint="eastAsia" w:ascii="宋体" w:hAnsi="宋体" w:cs="宋体"/>
          <w:szCs w:val="21"/>
        </w:rPr>
        <w:t>按招标文件规定向采购人提供的服务；</w:t>
      </w:r>
    </w:p>
    <w:p>
      <w:pPr>
        <w:snapToGrid w:val="0"/>
        <w:spacing w:line="360" w:lineRule="auto"/>
        <w:ind w:firstLine="420" w:firstLineChars="200"/>
        <w:jc w:val="left"/>
        <w:rPr>
          <w:rFonts w:ascii="宋体" w:cs="宋体"/>
          <w:szCs w:val="21"/>
        </w:rPr>
      </w:pPr>
      <w:r>
        <w:rPr>
          <w:rFonts w:hint="eastAsia" w:ascii="宋体" w:hAnsi="宋体" w:cs="宋体"/>
          <w:szCs w:val="21"/>
        </w:rPr>
        <w:t>4、“书面形式”包括信函、传真、电报等；</w:t>
      </w:r>
    </w:p>
    <w:p>
      <w:pPr>
        <w:snapToGrid w:val="0"/>
        <w:spacing w:line="360" w:lineRule="auto"/>
        <w:ind w:firstLine="420" w:firstLineChars="200"/>
        <w:jc w:val="left"/>
        <w:rPr>
          <w:rFonts w:ascii="宋体" w:hAnsi="宋体" w:cs="宋体"/>
          <w:szCs w:val="21"/>
        </w:rPr>
      </w:pPr>
      <w:r>
        <w:rPr>
          <w:rFonts w:hint="eastAsia" w:ascii="宋体" w:hAnsi="宋体" w:cs="宋体"/>
          <w:szCs w:val="21"/>
        </w:rPr>
        <w:t>5、“</w:t>
      </w:r>
      <w:r>
        <w:rPr>
          <w:rFonts w:hint="eastAsia" w:ascii="宋体" w:hAnsi="宋体" w:cs="宋体"/>
          <w:sz w:val="24"/>
        </w:rPr>
        <w:t>★</w:t>
      </w:r>
      <w:r>
        <w:rPr>
          <w:rFonts w:hint="eastAsia" w:ascii="宋体" w:hAnsi="宋体" w:cs="宋体"/>
          <w:szCs w:val="21"/>
        </w:rPr>
        <w:t>”系指实质性要求条款。</w:t>
      </w:r>
    </w:p>
    <w:p>
      <w:pPr>
        <w:spacing w:line="360" w:lineRule="auto"/>
        <w:ind w:firstLine="211" w:firstLineChars="100"/>
        <w:rPr>
          <w:rFonts w:hint="eastAsia" w:ascii="宋体" w:hAnsi="宋体" w:eastAsia="宋体" w:cs="宋体"/>
          <w:b/>
          <w:szCs w:val="21"/>
          <w:lang w:eastAsia="zh-CN"/>
        </w:rPr>
      </w:pPr>
      <w:r>
        <w:rPr>
          <w:rFonts w:hint="eastAsia" w:ascii="宋体" w:hAnsi="宋体" w:cs="宋体"/>
          <w:b/>
          <w:szCs w:val="21"/>
        </w:rPr>
        <w:t>（三）合格的</w:t>
      </w:r>
      <w:r>
        <w:rPr>
          <w:rFonts w:hint="eastAsia" w:ascii="宋体" w:hAnsi="宋体" w:cs="宋体"/>
          <w:b/>
          <w:szCs w:val="21"/>
          <w:lang w:eastAsia="zh-CN"/>
        </w:rPr>
        <w:t>供应商</w:t>
      </w:r>
    </w:p>
    <w:p>
      <w:pPr>
        <w:spacing w:line="360" w:lineRule="auto"/>
        <w:ind w:firstLine="420" w:firstLineChars="200"/>
        <w:rPr>
          <w:rFonts w:ascii="宋体" w:hAnsi="宋体" w:cs="宋体"/>
          <w:szCs w:val="21"/>
        </w:rPr>
      </w:pPr>
      <w:r>
        <w:rPr>
          <w:rFonts w:hint="eastAsia" w:ascii="宋体" w:hAnsi="宋体" w:cs="宋体"/>
          <w:szCs w:val="21"/>
        </w:rPr>
        <w:t>1、 合格的</w:t>
      </w:r>
      <w:r>
        <w:rPr>
          <w:rFonts w:hint="eastAsia" w:ascii="宋体" w:hAnsi="宋体" w:cs="宋体"/>
          <w:szCs w:val="21"/>
          <w:lang w:eastAsia="zh-CN"/>
        </w:rPr>
        <w:t>供应商</w:t>
      </w:r>
      <w:r>
        <w:rPr>
          <w:rFonts w:hint="eastAsia" w:ascii="宋体" w:hAnsi="宋体" w:cs="宋体"/>
          <w:szCs w:val="21"/>
        </w:rPr>
        <w:t>应具备以下条件：</w:t>
      </w:r>
    </w:p>
    <w:p>
      <w:pPr>
        <w:spacing w:line="360" w:lineRule="auto"/>
        <w:ind w:firstLine="420" w:firstLineChars="200"/>
        <w:rPr>
          <w:rFonts w:ascii="宋体" w:hAnsi="宋体" w:cs="宋体"/>
          <w:szCs w:val="21"/>
        </w:rPr>
      </w:pPr>
      <w:r>
        <w:rPr>
          <w:rFonts w:hint="eastAsia" w:ascii="宋体" w:hAnsi="宋体" w:cs="宋体"/>
          <w:szCs w:val="21"/>
        </w:rPr>
        <w:t>1.1 符合《政府采购法》第二十二条第一款规定的关于</w:t>
      </w:r>
      <w:r>
        <w:rPr>
          <w:rFonts w:hint="eastAsia" w:ascii="宋体" w:hAnsi="宋体" w:cs="宋体"/>
          <w:szCs w:val="21"/>
          <w:lang w:eastAsia="zh-CN"/>
        </w:rPr>
        <w:t>供应商</w:t>
      </w:r>
      <w:r>
        <w:rPr>
          <w:rFonts w:hint="eastAsia" w:ascii="宋体" w:hAnsi="宋体" w:cs="宋体"/>
          <w:szCs w:val="21"/>
        </w:rPr>
        <w:t>基本资格条件和采购公告规定的特定条件。</w:t>
      </w:r>
    </w:p>
    <w:p>
      <w:pPr>
        <w:spacing w:line="360" w:lineRule="auto"/>
        <w:ind w:firstLine="420" w:firstLineChars="200"/>
        <w:rPr>
          <w:rFonts w:ascii="宋体" w:hAnsi="宋体" w:cs="宋体"/>
          <w:szCs w:val="21"/>
        </w:rPr>
      </w:pPr>
      <w:r>
        <w:rPr>
          <w:rFonts w:hint="eastAsia" w:ascii="宋体" w:hAnsi="宋体" w:cs="宋体"/>
          <w:szCs w:val="21"/>
        </w:rPr>
        <w:t xml:space="preserve">1.2 </w:t>
      </w:r>
      <w:r>
        <w:rPr>
          <w:rFonts w:hint="eastAsia" w:ascii="宋体" w:hAnsi="宋体" w:cs="宋体"/>
          <w:szCs w:val="21"/>
          <w:lang w:eastAsia="zh-CN"/>
        </w:rPr>
        <w:t>供应商</w:t>
      </w:r>
      <w:r>
        <w:rPr>
          <w:rFonts w:hint="eastAsia" w:ascii="宋体" w:hAnsi="宋体" w:cs="宋体"/>
          <w:szCs w:val="21"/>
        </w:rPr>
        <w:t>与采购人应无任何直接或间接的关联，包括接受采购人的委托为本次采购项目提供整体设计、规范编制或者项目管理、监理、检测等服务的</w:t>
      </w:r>
      <w:r>
        <w:rPr>
          <w:rFonts w:hint="eastAsia" w:ascii="宋体" w:hAnsi="宋体" w:cs="宋体"/>
          <w:szCs w:val="21"/>
          <w:lang w:eastAsia="zh-CN"/>
        </w:rPr>
        <w:t>供应商</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1.3 投标方与采购人有下列关系的，系直接或间接的关联，应当回避：</w:t>
      </w:r>
    </w:p>
    <w:p>
      <w:pPr>
        <w:spacing w:line="360" w:lineRule="auto"/>
        <w:ind w:firstLine="420" w:firstLineChars="200"/>
        <w:rPr>
          <w:rFonts w:ascii="宋体" w:hAnsi="宋体" w:cs="宋体"/>
          <w:szCs w:val="21"/>
        </w:rPr>
      </w:pPr>
      <w:r>
        <w:rPr>
          <w:rFonts w:hint="eastAsia" w:ascii="宋体" w:hAnsi="宋体" w:cs="宋体"/>
          <w:szCs w:val="21"/>
        </w:rPr>
        <w:t>（1）参加采购活动前三年内存在劳动关系；</w:t>
      </w:r>
    </w:p>
    <w:p>
      <w:pPr>
        <w:spacing w:line="360" w:lineRule="auto"/>
        <w:ind w:firstLine="420" w:firstLineChars="200"/>
        <w:rPr>
          <w:rFonts w:ascii="宋体" w:hAnsi="宋体" w:cs="宋体"/>
          <w:szCs w:val="21"/>
        </w:rPr>
      </w:pPr>
      <w:r>
        <w:rPr>
          <w:rFonts w:hint="eastAsia" w:ascii="宋体" w:hAnsi="宋体" w:cs="宋体"/>
          <w:szCs w:val="21"/>
        </w:rPr>
        <w:t>（2）参加采购活动前3年内担任过投标方的董事、监事；</w:t>
      </w:r>
    </w:p>
    <w:p>
      <w:pPr>
        <w:spacing w:line="360" w:lineRule="auto"/>
        <w:ind w:firstLine="420" w:firstLineChars="200"/>
        <w:rPr>
          <w:rFonts w:ascii="宋体" w:hAnsi="宋体" w:cs="宋体"/>
          <w:szCs w:val="21"/>
        </w:rPr>
      </w:pPr>
      <w:r>
        <w:rPr>
          <w:rFonts w:hint="eastAsia" w:ascii="宋体" w:hAnsi="宋体" w:cs="宋体"/>
          <w:szCs w:val="21"/>
        </w:rPr>
        <w:t>（3）参加采购活动前3年内是投标方的控股股东或者实际控制人；</w:t>
      </w:r>
    </w:p>
    <w:p>
      <w:pPr>
        <w:spacing w:line="360" w:lineRule="auto"/>
        <w:ind w:firstLine="420" w:firstLineChars="200"/>
        <w:rPr>
          <w:rFonts w:ascii="宋体" w:hAnsi="宋体" w:cs="宋体"/>
          <w:szCs w:val="21"/>
        </w:rPr>
      </w:pPr>
      <w:r>
        <w:rPr>
          <w:rFonts w:hint="eastAsia" w:ascii="宋体" w:hAnsi="宋体" w:cs="宋体"/>
          <w:szCs w:val="21"/>
        </w:rPr>
        <w:t>（4）与</w:t>
      </w:r>
      <w:r>
        <w:rPr>
          <w:rFonts w:hint="eastAsia" w:ascii="宋体" w:hAnsi="宋体" w:cs="宋体"/>
          <w:szCs w:val="21"/>
          <w:lang w:eastAsia="zh-CN"/>
        </w:rPr>
        <w:t>供应商</w:t>
      </w:r>
      <w:r>
        <w:rPr>
          <w:rFonts w:hint="eastAsia" w:ascii="宋体" w:hAnsi="宋体" w:cs="宋体"/>
          <w:szCs w:val="21"/>
        </w:rPr>
        <w:t>的法定代表人或者负责人有夫妻、直系血亲、三代以内旁系血亲或者近姻亲关系；</w:t>
      </w:r>
    </w:p>
    <w:p>
      <w:pPr>
        <w:spacing w:line="360" w:lineRule="auto"/>
        <w:ind w:firstLine="420" w:firstLineChars="200"/>
        <w:rPr>
          <w:rFonts w:ascii="宋体" w:hAnsi="宋体" w:cs="宋体"/>
          <w:szCs w:val="21"/>
        </w:rPr>
      </w:pPr>
      <w:r>
        <w:rPr>
          <w:rFonts w:hint="eastAsia" w:ascii="宋体" w:hAnsi="宋体" w:cs="宋体"/>
          <w:szCs w:val="21"/>
        </w:rPr>
        <w:t>（5）可能影响政府采购活动公平、公正进行的关系；</w:t>
      </w:r>
    </w:p>
    <w:p>
      <w:pPr>
        <w:spacing w:line="360" w:lineRule="auto"/>
        <w:ind w:firstLine="420" w:firstLineChars="200"/>
        <w:rPr>
          <w:rFonts w:ascii="宋体" w:hAnsi="宋体" w:cs="宋体"/>
          <w:szCs w:val="21"/>
        </w:rPr>
      </w:pPr>
      <w:r>
        <w:rPr>
          <w:rFonts w:hint="eastAsia" w:ascii="宋体" w:hAnsi="宋体" w:cs="宋体"/>
          <w:szCs w:val="21"/>
        </w:rPr>
        <w:t xml:space="preserve">1.4 </w:t>
      </w:r>
      <w:r>
        <w:rPr>
          <w:rFonts w:hint="eastAsia" w:ascii="宋体" w:hAnsi="宋体" w:cs="宋体"/>
          <w:szCs w:val="21"/>
          <w:lang w:eastAsia="zh-CN"/>
        </w:rPr>
        <w:t>供应商</w:t>
      </w:r>
      <w:r>
        <w:rPr>
          <w:rFonts w:hint="eastAsia" w:ascii="宋体" w:hAnsi="宋体" w:cs="宋体"/>
          <w:szCs w:val="21"/>
        </w:rPr>
        <w:t>之间存在下列关联关系情形之一的，不得同时参加同一合同项下的项目投标：</w:t>
      </w:r>
    </w:p>
    <w:p>
      <w:pPr>
        <w:spacing w:line="360" w:lineRule="auto"/>
        <w:ind w:firstLine="420" w:firstLineChars="200"/>
        <w:rPr>
          <w:rFonts w:ascii="宋体" w:hAnsi="宋体" w:cs="宋体"/>
          <w:szCs w:val="21"/>
        </w:rPr>
      </w:pPr>
      <w:r>
        <w:rPr>
          <w:rFonts w:hint="eastAsia" w:ascii="宋体" w:hAnsi="宋体" w:cs="宋体"/>
          <w:szCs w:val="21"/>
        </w:rPr>
        <w:t xml:space="preserve">（1）单位负责人为同一人的两个及两个以上法人； </w:t>
      </w:r>
    </w:p>
    <w:p>
      <w:pPr>
        <w:spacing w:line="360" w:lineRule="auto"/>
        <w:ind w:firstLine="420" w:firstLineChars="200"/>
        <w:rPr>
          <w:rFonts w:ascii="宋体" w:hAnsi="宋体" w:cs="宋体"/>
          <w:szCs w:val="21"/>
        </w:rPr>
      </w:pPr>
      <w:r>
        <w:rPr>
          <w:rFonts w:hint="eastAsia" w:ascii="宋体" w:hAnsi="宋体" w:cs="宋体"/>
          <w:szCs w:val="21"/>
        </w:rPr>
        <w:t>（2）有相互投资参股或管理与被管理的母子公司关系的</w:t>
      </w:r>
      <w:r>
        <w:rPr>
          <w:rFonts w:hint="eastAsia" w:ascii="宋体" w:hAnsi="宋体" w:cs="宋体"/>
          <w:szCs w:val="21"/>
          <w:lang w:eastAsia="zh-CN"/>
        </w:rPr>
        <w:t>供应商</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（3）均为同一家母公司直接或间接持股50%及以上的被投资公司；</w:t>
      </w:r>
    </w:p>
    <w:p>
      <w:pPr>
        <w:spacing w:line="360" w:lineRule="auto"/>
        <w:ind w:firstLine="420" w:firstLineChars="200"/>
        <w:rPr>
          <w:rFonts w:ascii="宋体" w:hAnsi="宋体" w:cs="宋体"/>
          <w:szCs w:val="21"/>
        </w:rPr>
      </w:pPr>
      <w:r>
        <w:rPr>
          <w:rFonts w:hint="eastAsia" w:ascii="宋体" w:hAnsi="宋体" w:cs="宋体"/>
          <w:szCs w:val="21"/>
        </w:rPr>
        <w:t>1.5 一个</w:t>
      </w:r>
      <w:r>
        <w:rPr>
          <w:rFonts w:hint="eastAsia" w:ascii="宋体" w:hAnsi="宋体" w:cs="宋体"/>
          <w:szCs w:val="21"/>
          <w:lang w:eastAsia="zh-CN"/>
        </w:rPr>
        <w:t>供应商</w:t>
      </w:r>
      <w:r>
        <w:rPr>
          <w:rFonts w:hint="eastAsia" w:ascii="宋体" w:hAnsi="宋体" w:cs="宋体"/>
          <w:szCs w:val="21"/>
        </w:rPr>
        <w:t>对一个项目只能提交一个投标文件。</w:t>
      </w:r>
    </w:p>
    <w:p>
      <w:pPr>
        <w:spacing w:line="360" w:lineRule="auto"/>
        <w:ind w:firstLine="420" w:firstLineChars="200"/>
        <w:rPr>
          <w:rFonts w:ascii="宋体" w:hAnsi="宋体" w:cs="宋体"/>
          <w:szCs w:val="21"/>
        </w:rPr>
      </w:pPr>
      <w:r>
        <w:rPr>
          <w:rFonts w:hint="eastAsia" w:ascii="宋体" w:hAnsi="宋体" w:cs="宋体"/>
          <w:szCs w:val="21"/>
        </w:rPr>
        <w:t xml:space="preserve">1.6 </w:t>
      </w:r>
      <w:r>
        <w:rPr>
          <w:rFonts w:hint="eastAsia" w:ascii="宋体" w:hAnsi="宋体" w:cs="宋体"/>
          <w:szCs w:val="21"/>
          <w:lang w:eastAsia="zh-CN"/>
        </w:rPr>
        <w:t>供应商</w:t>
      </w:r>
      <w:r>
        <w:rPr>
          <w:rFonts w:hint="eastAsia" w:ascii="宋体" w:hAnsi="宋体" w:cs="宋体"/>
          <w:szCs w:val="21"/>
        </w:rPr>
        <w:t>代理人只能接受一个投标方委托参加投标。</w:t>
      </w:r>
    </w:p>
    <w:p>
      <w:pPr>
        <w:spacing w:line="360" w:lineRule="auto"/>
        <w:ind w:firstLine="420" w:firstLineChars="200"/>
      </w:pPr>
      <w:r>
        <w:rPr>
          <w:rFonts w:hint="eastAsia" w:ascii="宋体" w:hAnsi="宋体" w:cs="宋体"/>
          <w:szCs w:val="21"/>
        </w:rPr>
        <w:t>1.7 如</w:t>
      </w:r>
      <w:r>
        <w:rPr>
          <w:rFonts w:hint="eastAsia" w:ascii="宋体" w:hAnsi="宋体" w:cs="宋体"/>
          <w:szCs w:val="21"/>
          <w:lang w:eastAsia="zh-CN"/>
        </w:rPr>
        <w:t>供应商</w:t>
      </w:r>
      <w:r>
        <w:rPr>
          <w:rFonts w:hint="eastAsia" w:ascii="宋体" w:hAnsi="宋体" w:cs="宋体"/>
          <w:szCs w:val="21"/>
        </w:rPr>
        <w:t>代理人不是法定代表人，须持有《法定代表人授权书》（统一格式详见投标文件格式）</w:t>
      </w:r>
    </w:p>
    <w:p>
      <w:pPr>
        <w:snapToGrid w:val="0"/>
        <w:spacing w:line="360" w:lineRule="auto"/>
        <w:ind w:firstLine="413" w:firstLineChars="196"/>
        <w:jc w:val="left"/>
        <w:rPr>
          <w:rFonts w:hint="eastAsia" w:ascii="宋体" w:hAnsi="宋体" w:eastAsia="宋体" w:cs="宋体"/>
          <w:b/>
          <w:szCs w:val="21"/>
          <w:lang w:eastAsia="zh-CN"/>
        </w:rPr>
      </w:pPr>
      <w:bookmarkStart w:id="32" w:name="_Toc29625"/>
      <w:r>
        <w:rPr>
          <w:rFonts w:hint="eastAsia" w:ascii="宋体" w:hAnsi="宋体" w:cs="宋体"/>
          <w:b/>
          <w:szCs w:val="21"/>
        </w:rPr>
        <w:t>（四）采购</w:t>
      </w:r>
      <w:bookmarkEnd w:id="32"/>
      <w:r>
        <w:rPr>
          <w:rFonts w:hint="eastAsia" w:ascii="宋体" w:hAnsi="宋体" w:cs="宋体"/>
          <w:b/>
          <w:szCs w:val="21"/>
          <w:lang w:val="en-US" w:eastAsia="zh-CN"/>
        </w:rPr>
        <w:t>方式</w:t>
      </w:r>
    </w:p>
    <w:p>
      <w:pPr>
        <w:snapToGrid w:val="0"/>
        <w:spacing w:line="360" w:lineRule="auto"/>
        <w:ind w:firstLine="411" w:firstLineChars="196"/>
        <w:jc w:val="left"/>
        <w:rPr>
          <w:rFonts w:ascii="宋体" w:cs="宋体"/>
          <w:szCs w:val="21"/>
        </w:rPr>
      </w:pPr>
      <w:r>
        <w:rPr>
          <w:rFonts w:hint="eastAsia" w:ascii="宋体" w:hAnsi="宋体" w:cs="宋体"/>
          <w:szCs w:val="21"/>
        </w:rPr>
        <w:t>本次招标采用公开</w:t>
      </w:r>
      <w:r>
        <w:rPr>
          <w:rFonts w:hint="eastAsia" w:ascii="宋体" w:hAnsi="宋体" w:cs="宋体"/>
          <w:szCs w:val="21"/>
          <w:lang w:val="en-US" w:eastAsia="zh-CN"/>
        </w:rPr>
        <w:t>招标方式</w:t>
      </w:r>
      <w:r>
        <w:rPr>
          <w:rFonts w:hint="eastAsia" w:ascii="宋体" w:hAnsi="宋体" w:cs="宋体"/>
          <w:szCs w:val="21"/>
        </w:rPr>
        <w:t>进行。</w:t>
      </w:r>
    </w:p>
    <w:p>
      <w:pPr>
        <w:snapToGrid w:val="0"/>
        <w:spacing w:line="360" w:lineRule="auto"/>
        <w:ind w:firstLine="413" w:firstLineChars="196"/>
        <w:jc w:val="left"/>
        <w:rPr>
          <w:rFonts w:ascii="宋体" w:cs="宋体"/>
          <w:b/>
          <w:szCs w:val="21"/>
        </w:rPr>
      </w:pPr>
      <w:bookmarkStart w:id="33" w:name="_Toc13620"/>
      <w:r>
        <w:rPr>
          <w:rFonts w:hint="eastAsia" w:ascii="宋体" w:hAnsi="宋体" w:cs="宋体"/>
          <w:b/>
          <w:szCs w:val="21"/>
        </w:rPr>
        <w:t>（五）投标委托</w:t>
      </w:r>
      <w:bookmarkEnd w:id="33"/>
    </w:p>
    <w:p>
      <w:pPr>
        <w:spacing w:line="400" w:lineRule="exact"/>
        <w:ind w:firstLine="420" w:firstLineChars="200"/>
        <w:rPr>
          <w:rFonts w:asciiTheme="minorEastAsia" w:hAnsiTheme="minorEastAsia" w:eastAsiaTheme="minorEastAsia"/>
          <w:szCs w:val="21"/>
        </w:rPr>
      </w:pPr>
      <w:bookmarkStart w:id="34" w:name="_Toc18576"/>
      <w:r>
        <w:rPr>
          <w:rFonts w:hint="eastAsia" w:asciiTheme="minorEastAsia" w:hAnsiTheme="minorEastAsia" w:eastAsiaTheme="minorEastAsia"/>
          <w:szCs w:val="21"/>
          <w:lang w:eastAsia="zh-CN"/>
        </w:rPr>
        <w:t>供应商</w:t>
      </w:r>
      <w:r>
        <w:rPr>
          <w:rFonts w:asciiTheme="minorEastAsia" w:hAnsiTheme="minorEastAsia" w:eastAsiaTheme="minorEastAsia"/>
          <w:szCs w:val="21"/>
        </w:rPr>
        <w:t>代表须</w:t>
      </w:r>
      <w:r>
        <w:rPr>
          <w:rFonts w:hint="eastAsia" w:asciiTheme="minorEastAsia" w:hAnsiTheme="minorEastAsia" w:eastAsiaTheme="minorEastAsia"/>
          <w:szCs w:val="21"/>
        </w:rPr>
        <w:t>提</w:t>
      </w:r>
      <w:r>
        <w:rPr>
          <w:rFonts w:asciiTheme="minorEastAsia" w:hAnsiTheme="minorEastAsia" w:eastAsiaTheme="minorEastAsia"/>
          <w:szCs w:val="21"/>
        </w:rPr>
        <w:t>供</w:t>
      </w:r>
      <w:r>
        <w:rPr>
          <w:rFonts w:hint="eastAsia" w:asciiTheme="minorEastAsia" w:hAnsiTheme="minorEastAsia" w:eastAsiaTheme="minorEastAsia"/>
          <w:szCs w:val="21"/>
        </w:rPr>
        <w:t>有效</w:t>
      </w:r>
      <w:r>
        <w:rPr>
          <w:rFonts w:asciiTheme="minorEastAsia" w:hAnsiTheme="minorEastAsia" w:eastAsiaTheme="minorEastAsia"/>
          <w:szCs w:val="21"/>
        </w:rPr>
        <w:t>身份证</w:t>
      </w:r>
      <w:r>
        <w:rPr>
          <w:rFonts w:hint="eastAsia" w:asciiTheme="minorEastAsia" w:hAnsiTheme="minorEastAsia" w:eastAsiaTheme="minorEastAsia"/>
          <w:szCs w:val="21"/>
        </w:rPr>
        <w:t>件</w:t>
      </w:r>
      <w:r>
        <w:rPr>
          <w:rFonts w:asciiTheme="minorEastAsia" w:hAnsiTheme="minorEastAsia" w:eastAsiaTheme="minorEastAsia"/>
          <w:szCs w:val="21"/>
        </w:rPr>
        <w:t>。如</w:t>
      </w:r>
      <w:r>
        <w:rPr>
          <w:rFonts w:hint="eastAsia" w:asciiTheme="minorEastAsia" w:hAnsiTheme="minorEastAsia" w:eastAsiaTheme="minorEastAsia"/>
          <w:szCs w:val="21"/>
          <w:lang w:eastAsia="zh-CN"/>
        </w:rPr>
        <w:t>供应商</w:t>
      </w:r>
      <w:r>
        <w:rPr>
          <w:rFonts w:asciiTheme="minorEastAsia" w:hAnsiTheme="minorEastAsia" w:eastAsiaTheme="minorEastAsia"/>
          <w:szCs w:val="21"/>
        </w:rPr>
        <w:t>代表不是法定代表人／负责人，须有法定代表人／负责人出具的授权委托书</w:t>
      </w:r>
      <w:r>
        <w:rPr>
          <w:rFonts w:hint="eastAsia" w:asciiTheme="minorEastAsia" w:hAnsiTheme="minorEastAsia" w:eastAsiaTheme="minorEastAsia"/>
          <w:szCs w:val="21"/>
        </w:rPr>
        <w:t>（</w:t>
      </w:r>
      <w:r>
        <w:rPr>
          <w:rFonts w:asciiTheme="minorEastAsia" w:hAnsiTheme="minorEastAsia" w:eastAsiaTheme="minorEastAsia"/>
          <w:szCs w:val="21"/>
        </w:rPr>
        <w:t>格式见</w:t>
      </w:r>
      <w:r>
        <w:rPr>
          <w:rFonts w:hint="eastAsia" w:asciiTheme="minorEastAsia" w:hAnsiTheme="minorEastAsia" w:eastAsiaTheme="minorEastAsia"/>
          <w:szCs w:val="21"/>
        </w:rPr>
        <w:t>附件</w:t>
      </w:r>
      <w:r>
        <w:rPr>
          <w:rFonts w:asciiTheme="minorEastAsia" w:hAnsiTheme="minorEastAsia" w:eastAsiaTheme="minorEastAsia"/>
          <w:szCs w:val="21"/>
        </w:rPr>
        <w:t>）</w:t>
      </w:r>
      <w:r>
        <w:rPr>
          <w:rFonts w:hint="eastAsia" w:asciiTheme="minorEastAsia" w:hAnsiTheme="minorEastAsia" w:eastAsiaTheme="minorEastAsia"/>
          <w:szCs w:val="21"/>
        </w:rPr>
        <w:t>，银行、保险、石油石化、电力、电信、移动、联通等分支机构可提供分支机构负责人授权书。</w:t>
      </w:r>
    </w:p>
    <w:p>
      <w:pPr>
        <w:spacing w:line="40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hint="eastAsia" w:asciiTheme="minorEastAsia" w:hAnsiTheme="minorEastAsia" w:eastAsiaTheme="minorEastAsia"/>
          <w:color w:val="auto"/>
          <w:szCs w:val="21"/>
          <w:lang w:val="en-US" w:eastAsia="zh-CN"/>
        </w:rPr>
        <w:t>六</w:t>
      </w:r>
      <w:r>
        <w:rPr>
          <w:rFonts w:hint="eastAsia" w:asciiTheme="minorEastAsia" w:hAnsiTheme="minorEastAsia" w:eastAsiaTheme="minorEastAsia"/>
          <w:color w:val="auto"/>
          <w:szCs w:val="21"/>
        </w:rPr>
        <w:t>）采购项目需要落实的政府采购政策</w:t>
      </w:r>
    </w:p>
    <w:p>
      <w:pPr>
        <w:spacing w:line="40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1.节能环保要求</w:t>
      </w:r>
    </w:p>
    <w:p>
      <w:pPr>
        <w:spacing w:line="400" w:lineRule="exact"/>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采购人拟采购的产品属于品目清单范围的，采购人及其委托的采购代理机构</w:t>
      </w:r>
      <w:r>
        <w:rPr>
          <w:rFonts w:hint="eastAsia" w:asciiTheme="minorEastAsia" w:hAnsiTheme="minorEastAsia" w:eastAsiaTheme="minorEastAsia"/>
          <w:color w:val="auto"/>
          <w:szCs w:val="21"/>
        </w:rPr>
        <w:t>将</w:t>
      </w:r>
      <w:r>
        <w:rPr>
          <w:rFonts w:asciiTheme="minorEastAsia" w:hAnsiTheme="minorEastAsia" w:eastAsiaTheme="minorEastAsia"/>
          <w:color w:val="auto"/>
          <w:szCs w:val="21"/>
        </w:rPr>
        <w:t>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color w:val="auto"/>
          <w:szCs w:val="21"/>
          <w:lang w:eastAsia="zh-CN"/>
        </w:rPr>
        <w:t>供应商</w:t>
      </w:r>
      <w:r>
        <w:rPr>
          <w:rFonts w:hint="eastAsia" w:asciiTheme="minorEastAsia" w:hAnsiTheme="minorEastAsia" w:eastAsiaTheme="minorEastAsia"/>
          <w:color w:val="auto"/>
          <w:szCs w:val="21"/>
        </w:rPr>
        <w:t>须提供相关产品认证证书。</w:t>
      </w:r>
    </w:p>
    <w:p>
      <w:pPr>
        <w:spacing w:line="40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2.小型、微型企业价格扣除</w:t>
      </w:r>
    </w:p>
    <w:p>
      <w:pPr>
        <w:spacing w:line="40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1）参加政府采购活动的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0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符合中小企业划分标准的个体工商户，在政府采购活动中视同中小企业。</w:t>
      </w:r>
    </w:p>
    <w:p>
      <w:pPr>
        <w:spacing w:line="40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（2）参加政府采购活动的小微企业应当提供《中小企业声明函》。</w:t>
      </w:r>
    </w:p>
    <w:p>
      <w:pPr>
        <w:spacing w:line="40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（3）对于经主管预算单位统筹后未预留份额专门面向中小企业采购的采购项目，以及预留份额项目中的非预留部分采购包，应当对符合规定的小微企业报价给予</w:t>
      </w:r>
      <w:r>
        <w:rPr>
          <w:rFonts w:hint="eastAsia" w:asciiTheme="minorEastAsia" w:hAnsiTheme="minorEastAsia" w:eastAsiaTheme="minorEastAsia"/>
          <w:color w:val="auto"/>
          <w:szCs w:val="21"/>
          <w:lang w:val="en-US" w:eastAsia="zh-CN"/>
        </w:rPr>
        <w:t>1</w:t>
      </w:r>
      <w:r>
        <w:rPr>
          <w:rFonts w:hint="eastAsia" w:asciiTheme="minorEastAsia" w:hAnsiTheme="minorEastAsia" w:eastAsiaTheme="minorEastAsia"/>
          <w:color w:val="auto"/>
          <w:szCs w:val="21"/>
        </w:rPr>
        <w:t>0%的扣除，用扣除后的价格参加评审。 </w:t>
      </w:r>
    </w:p>
    <w:p>
      <w:pPr>
        <w:spacing w:line="40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4）接受大中型企业与小微企业组成联合体或者允许大中型企业向一家或者多家小微企业分包的采购项目，对于联合协议或者分包意向协议约定小微企业的合同份额占到合同总金额30%以上的，应当对联合体或者大中型企业的报价给予</w:t>
      </w:r>
      <w:r>
        <w:rPr>
          <w:rFonts w:hint="eastAsia" w:asciiTheme="minorEastAsia" w:hAnsiTheme="minorEastAsia" w:eastAsiaTheme="minorEastAsia"/>
          <w:color w:val="auto"/>
          <w:szCs w:val="21"/>
          <w:lang w:val="en-US" w:eastAsia="zh-CN"/>
        </w:rPr>
        <w:t>3</w:t>
      </w:r>
      <w:r>
        <w:rPr>
          <w:rFonts w:hint="eastAsia" w:asciiTheme="minorEastAsia" w:hAnsiTheme="minorEastAsia" w:eastAsiaTheme="minorEastAsia"/>
          <w:color w:val="auto"/>
          <w:szCs w:val="21"/>
        </w:rPr>
        <w:t>%的扣除，用扣除后的价格参加评审。组成联合体或者接受分包的小微企业与联合体内其他企业、分包企业之间存在直接控股、管理关系的，不享受价格扣除优惠政策。</w:t>
      </w:r>
    </w:p>
    <w:p>
      <w:pPr>
        <w:spacing w:line="40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价格扣除比例或者价格分加分比例对小型企业和微型企业同等对待，不作区分。</w:t>
      </w:r>
    </w:p>
    <w:p>
      <w:pPr>
        <w:spacing w:line="40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5）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pacing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w:t>
      </w:r>
      <w:r>
        <w:rPr>
          <w:rFonts w:asciiTheme="minorEastAsia" w:hAnsiTheme="minorEastAsia" w:eastAsiaTheme="minorEastAsia"/>
          <w:color w:val="auto"/>
          <w:szCs w:val="21"/>
        </w:rPr>
        <w:t>根据《关于促进残疾人就业政府采购政策的通知》（财库</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2017</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141号）规定，残疾人福利性单位视同小型、微型企业。符合条件的残疾人福利性单位在参加政府采购活动时，应当在投标文件中提供《残疾人福利性单位声明函》（格式附后），并对声明的真实性负责。</w:t>
      </w:r>
    </w:p>
    <w:bookmarkEnd w:id="34"/>
    <w:p>
      <w:pPr>
        <w:pStyle w:val="13"/>
        <w:snapToGrid w:val="0"/>
        <w:spacing w:beforeLines="0" w:after="120" w:line="360" w:lineRule="auto"/>
        <w:ind w:firstLine="413" w:firstLineChars="196"/>
        <w:outlineLvl w:val="1"/>
        <w:rPr>
          <w:rFonts w:hAnsi="宋体" w:cs="宋体"/>
          <w:b/>
          <w:sz w:val="21"/>
          <w:szCs w:val="21"/>
        </w:rPr>
      </w:pPr>
      <w:bookmarkStart w:id="35" w:name="_Toc6223"/>
      <w:r>
        <w:rPr>
          <w:rFonts w:hint="eastAsia" w:hAnsi="宋体" w:cs="宋体"/>
          <w:b/>
          <w:sz w:val="21"/>
          <w:szCs w:val="21"/>
        </w:rPr>
        <w:t>二、招标文件</w:t>
      </w:r>
      <w:bookmarkEnd w:id="35"/>
    </w:p>
    <w:p>
      <w:pPr>
        <w:snapToGrid w:val="0"/>
        <w:spacing w:line="360" w:lineRule="auto"/>
        <w:ind w:firstLine="413" w:firstLineChars="196"/>
        <w:jc w:val="left"/>
        <w:rPr>
          <w:rFonts w:ascii="宋体" w:cs="宋体"/>
          <w:b/>
          <w:szCs w:val="21"/>
        </w:rPr>
      </w:pPr>
      <w:r>
        <w:rPr>
          <w:rFonts w:hint="eastAsia" w:ascii="宋体" w:hAnsi="宋体" w:cs="宋体"/>
          <w:b/>
          <w:szCs w:val="21"/>
        </w:rPr>
        <w:t>（一）招标文件的构成。本招标文件由以下部分组成：</w:t>
      </w:r>
    </w:p>
    <w:p>
      <w:pPr>
        <w:snapToGrid w:val="0"/>
        <w:spacing w:line="360" w:lineRule="auto"/>
        <w:ind w:firstLine="420" w:firstLineChars="200"/>
        <w:jc w:val="left"/>
        <w:rPr>
          <w:rFonts w:ascii="宋体" w:hAnsi="宋体" w:cs="宋体"/>
          <w:szCs w:val="21"/>
        </w:rPr>
      </w:pPr>
      <w:r>
        <w:rPr>
          <w:rFonts w:hint="eastAsia" w:ascii="宋体" w:hAnsi="宋体" w:cs="宋体"/>
          <w:szCs w:val="21"/>
        </w:rPr>
        <w:t>1、公开招标公告</w:t>
      </w:r>
    </w:p>
    <w:p>
      <w:pPr>
        <w:snapToGrid w:val="0"/>
        <w:spacing w:line="360" w:lineRule="auto"/>
        <w:ind w:firstLine="420" w:firstLineChars="200"/>
        <w:jc w:val="left"/>
        <w:rPr>
          <w:rFonts w:ascii="宋体" w:hAnsi="宋体" w:cs="宋体"/>
          <w:szCs w:val="21"/>
        </w:rPr>
      </w:pPr>
      <w:r>
        <w:rPr>
          <w:rFonts w:hint="eastAsia" w:ascii="宋体" w:hAnsi="宋体" w:cs="宋体"/>
          <w:szCs w:val="21"/>
        </w:rPr>
        <w:t>2、招标需求</w:t>
      </w:r>
    </w:p>
    <w:p>
      <w:pPr>
        <w:snapToGrid w:val="0"/>
        <w:spacing w:line="360" w:lineRule="auto"/>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szCs w:val="21"/>
          <w:lang w:eastAsia="zh-CN"/>
        </w:rPr>
        <w:t>供应商</w:t>
      </w:r>
      <w:r>
        <w:rPr>
          <w:rFonts w:hint="eastAsia" w:ascii="宋体" w:hAnsi="宋体" w:cs="宋体"/>
          <w:szCs w:val="21"/>
        </w:rPr>
        <w:t>须知</w:t>
      </w:r>
    </w:p>
    <w:p>
      <w:pPr>
        <w:snapToGrid w:val="0"/>
        <w:spacing w:line="360" w:lineRule="auto"/>
        <w:ind w:firstLine="420" w:firstLineChars="200"/>
        <w:jc w:val="left"/>
        <w:rPr>
          <w:rFonts w:ascii="宋体" w:hAnsi="宋体" w:cs="宋体"/>
          <w:szCs w:val="21"/>
        </w:rPr>
      </w:pPr>
      <w:r>
        <w:rPr>
          <w:rFonts w:hint="eastAsia" w:ascii="宋体" w:hAnsi="宋体" w:cs="宋体"/>
          <w:szCs w:val="21"/>
        </w:rPr>
        <w:t>4、评标办法及评分标准</w:t>
      </w:r>
    </w:p>
    <w:p>
      <w:pPr>
        <w:snapToGrid w:val="0"/>
        <w:spacing w:line="360" w:lineRule="auto"/>
        <w:ind w:firstLine="420" w:firstLineChars="200"/>
        <w:jc w:val="left"/>
        <w:rPr>
          <w:rFonts w:ascii="宋体" w:hAnsi="宋体" w:cs="宋体"/>
          <w:szCs w:val="21"/>
        </w:rPr>
      </w:pPr>
      <w:r>
        <w:rPr>
          <w:rFonts w:hint="eastAsia" w:ascii="宋体" w:hAnsi="宋体" w:cs="宋体"/>
          <w:szCs w:val="21"/>
        </w:rPr>
        <w:t>5、投标文件格式</w:t>
      </w:r>
    </w:p>
    <w:p>
      <w:pPr>
        <w:snapToGrid w:val="0"/>
        <w:spacing w:line="360" w:lineRule="auto"/>
        <w:ind w:firstLine="420" w:firstLineChars="200"/>
        <w:jc w:val="left"/>
        <w:rPr>
          <w:rFonts w:ascii="宋体" w:hAnsi="宋体" w:cs="宋体"/>
          <w:szCs w:val="21"/>
        </w:rPr>
      </w:pPr>
      <w:r>
        <w:rPr>
          <w:rFonts w:hint="eastAsia" w:ascii="宋体" w:hAnsi="宋体" w:cs="宋体"/>
          <w:szCs w:val="21"/>
        </w:rPr>
        <w:t>6、合同样本</w:t>
      </w:r>
    </w:p>
    <w:p>
      <w:pPr>
        <w:snapToGrid w:val="0"/>
        <w:spacing w:line="360" w:lineRule="auto"/>
        <w:ind w:firstLine="420" w:firstLineChars="200"/>
        <w:jc w:val="left"/>
        <w:rPr>
          <w:rFonts w:ascii="宋体" w:hAnsi="宋体" w:cs="宋体"/>
          <w:szCs w:val="21"/>
        </w:rPr>
      </w:pPr>
      <w:r>
        <w:rPr>
          <w:rFonts w:hint="eastAsia" w:ascii="宋体" w:hAnsi="宋体" w:cs="宋体"/>
          <w:szCs w:val="21"/>
        </w:rPr>
        <w:t>7、本项目招标文件的澄清、答复、修改、补充的内容。</w:t>
      </w:r>
    </w:p>
    <w:p>
      <w:pPr>
        <w:snapToGrid w:val="0"/>
        <w:spacing w:line="360" w:lineRule="auto"/>
        <w:ind w:firstLine="413" w:firstLineChars="196"/>
        <w:jc w:val="left"/>
        <w:rPr>
          <w:rFonts w:ascii="宋体" w:cs="宋体"/>
          <w:b/>
          <w:szCs w:val="21"/>
        </w:rPr>
      </w:pPr>
      <w:r>
        <w:rPr>
          <w:rFonts w:hint="eastAsia" w:ascii="宋体" w:hAnsi="宋体" w:cs="宋体"/>
          <w:b/>
          <w:szCs w:val="21"/>
        </w:rPr>
        <w:t>（二）</w:t>
      </w:r>
      <w:r>
        <w:rPr>
          <w:rFonts w:hint="eastAsia" w:ascii="宋体" w:hAnsi="宋体" w:cs="宋体"/>
          <w:b/>
          <w:szCs w:val="21"/>
          <w:lang w:eastAsia="zh-CN"/>
        </w:rPr>
        <w:t>供应商</w:t>
      </w:r>
      <w:r>
        <w:rPr>
          <w:rFonts w:hint="eastAsia" w:ascii="宋体" w:hAnsi="宋体" w:cs="宋体"/>
          <w:b/>
          <w:szCs w:val="21"/>
        </w:rPr>
        <w:t>的风险</w:t>
      </w:r>
    </w:p>
    <w:p>
      <w:pPr>
        <w:pStyle w:val="22"/>
        <w:spacing w:line="360" w:lineRule="auto"/>
        <w:ind w:firstLine="420"/>
        <w:rPr>
          <w:rFonts w:ascii="宋体" w:eastAsia="宋体" w:cs="宋体"/>
          <w:color w:val="auto"/>
          <w:sz w:val="21"/>
          <w:szCs w:val="21"/>
        </w:rPr>
      </w:pPr>
      <w:r>
        <w:rPr>
          <w:rFonts w:hint="eastAsia" w:ascii="宋体" w:eastAsia="宋体" w:cs="宋体"/>
          <w:color w:val="auto"/>
          <w:sz w:val="21"/>
          <w:szCs w:val="21"/>
          <w:lang w:eastAsia="zh-CN"/>
        </w:rPr>
        <w:t>供应商</w:t>
      </w:r>
      <w:r>
        <w:rPr>
          <w:rFonts w:hint="eastAsia" w:ascii="宋体" w:eastAsia="宋体" w:cs="宋体"/>
          <w:color w:val="auto"/>
          <w:sz w:val="21"/>
          <w:szCs w:val="21"/>
        </w:rPr>
        <w:t>没有按照招标文件要求提供全部资料，或者</w:t>
      </w:r>
      <w:r>
        <w:rPr>
          <w:rFonts w:hint="eastAsia" w:ascii="宋体" w:eastAsia="宋体" w:cs="宋体"/>
          <w:color w:val="auto"/>
          <w:sz w:val="21"/>
          <w:szCs w:val="21"/>
          <w:lang w:eastAsia="zh-CN"/>
        </w:rPr>
        <w:t>供应商</w:t>
      </w:r>
      <w:r>
        <w:rPr>
          <w:rFonts w:hint="eastAsia" w:ascii="宋体" w:eastAsia="宋体" w:cs="宋体"/>
          <w:color w:val="auto"/>
          <w:sz w:val="21"/>
          <w:szCs w:val="21"/>
        </w:rPr>
        <w:t>没有对招标文件在各方面作出实质性响应是</w:t>
      </w:r>
      <w:r>
        <w:rPr>
          <w:rFonts w:hint="eastAsia" w:ascii="宋体" w:eastAsia="宋体" w:cs="宋体"/>
          <w:color w:val="auto"/>
          <w:sz w:val="21"/>
          <w:szCs w:val="21"/>
          <w:lang w:eastAsia="zh-CN"/>
        </w:rPr>
        <w:t>供应商</w:t>
      </w:r>
      <w:r>
        <w:rPr>
          <w:rFonts w:hint="eastAsia" w:ascii="宋体" w:eastAsia="宋体" w:cs="宋体"/>
          <w:color w:val="auto"/>
          <w:sz w:val="21"/>
          <w:szCs w:val="21"/>
        </w:rPr>
        <w:t>的风险，并可能导致其投标被拒绝。</w:t>
      </w:r>
    </w:p>
    <w:p>
      <w:pPr>
        <w:pStyle w:val="22"/>
        <w:spacing w:line="360" w:lineRule="auto"/>
        <w:ind w:firstLine="422"/>
        <w:rPr>
          <w:rFonts w:ascii="宋体" w:eastAsia="宋体" w:cs="宋体"/>
          <w:b/>
          <w:color w:val="auto"/>
          <w:sz w:val="21"/>
          <w:szCs w:val="21"/>
        </w:rPr>
      </w:pPr>
      <w:r>
        <w:rPr>
          <w:rFonts w:hint="eastAsia" w:ascii="宋体" w:eastAsia="宋体" w:cs="宋体"/>
          <w:b/>
          <w:color w:val="auto"/>
          <w:sz w:val="21"/>
          <w:szCs w:val="21"/>
        </w:rPr>
        <w:t>（三）招标文件的澄清与修改</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.采购人或者采购代理机构可以对已发出的招标文件进行必要的澄清或者修改。为使潜在</w:t>
      </w:r>
      <w:r>
        <w:rPr>
          <w:rFonts w:hint="eastAsia" w:asciiTheme="minorEastAsia" w:hAnsiTheme="minorEastAsia" w:eastAsiaTheme="minorEastAsia"/>
          <w:szCs w:val="21"/>
          <w:lang w:eastAsia="zh-CN"/>
        </w:rPr>
        <w:t>供应商</w:t>
      </w:r>
      <w:r>
        <w:rPr>
          <w:rFonts w:hint="eastAsia" w:asciiTheme="minorEastAsia" w:hAnsiTheme="minorEastAsia" w:eastAsiaTheme="minorEastAsia"/>
          <w:szCs w:val="21"/>
        </w:rPr>
        <w:t>有足够的时间修改投标文件，采购人或者采购代理机构应在投标截止时间15日前在原公告发布媒体上发布通知，不足15日的，采购人或者采购代理机构应当顺延提交投标文件的截止时间。</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澄清或者修改的内容为招标文件的组成部分</w:t>
      </w:r>
      <w:r>
        <w:rPr>
          <w:rFonts w:hint="eastAsia" w:asciiTheme="minorEastAsia" w:hAnsiTheme="minorEastAsia"/>
          <w:szCs w:val="21"/>
        </w:rPr>
        <w:t>。</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3.所有</w:t>
      </w:r>
      <w:r>
        <w:rPr>
          <w:rFonts w:hint="eastAsia" w:asciiTheme="minorEastAsia" w:hAnsiTheme="minorEastAsia" w:eastAsiaTheme="minorEastAsia"/>
          <w:szCs w:val="21"/>
          <w:lang w:eastAsia="zh-CN"/>
        </w:rPr>
        <w:t>供应商</w:t>
      </w:r>
      <w:r>
        <w:rPr>
          <w:rFonts w:hint="eastAsia" w:asciiTheme="minorEastAsia" w:hAnsiTheme="minorEastAsia" w:eastAsiaTheme="minorEastAsia"/>
          <w:szCs w:val="21"/>
        </w:rPr>
        <w:t>均有义务登陆宁波市公共资源交易网宁海县分网（</w:t>
      </w:r>
      <w:r>
        <w:rPr>
          <w:rFonts w:asciiTheme="minorEastAsia" w:hAnsiTheme="minorEastAsia" w:eastAsiaTheme="minorEastAsia"/>
          <w:szCs w:val="21"/>
        </w:rPr>
        <w:t>http://ninghai.nbggzy.cn/</w:t>
      </w:r>
      <w:r>
        <w:rPr>
          <w:rFonts w:hint="eastAsia" w:asciiTheme="minorEastAsia" w:hAnsiTheme="minorEastAsia" w:eastAsiaTheme="minorEastAsia"/>
          <w:szCs w:val="21"/>
        </w:rPr>
        <w:t>）、宁波政府采购网（</w:t>
      </w:r>
      <w:r>
        <w:rPr>
          <w:rFonts w:asciiTheme="minorEastAsia" w:hAnsiTheme="minorEastAsia" w:eastAsiaTheme="minorEastAsia"/>
          <w:szCs w:val="21"/>
        </w:rPr>
        <w:t>http://www.nbzfcg.cn</w:t>
      </w:r>
      <w:r>
        <w:rPr>
          <w:rFonts w:hint="eastAsia" w:asciiTheme="minorEastAsia" w:hAnsiTheme="minorEastAsia" w:eastAsiaTheme="minorEastAsia"/>
          <w:szCs w:val="21"/>
        </w:rPr>
        <w:t>）和浙江政府采购网（</w:t>
      </w:r>
      <w:r>
        <w:rPr>
          <w:rFonts w:asciiTheme="minorEastAsia" w:hAnsiTheme="minorEastAsia" w:eastAsiaTheme="minorEastAsia"/>
          <w:szCs w:val="21"/>
        </w:rPr>
        <w:t>http://www.zjzfcg.gov.cn</w:t>
      </w:r>
      <w:r>
        <w:rPr>
          <w:rFonts w:hint="eastAsia" w:asciiTheme="minorEastAsia" w:hAnsiTheme="minorEastAsia" w:eastAsiaTheme="minorEastAsia"/>
          <w:szCs w:val="21"/>
        </w:rPr>
        <w:t>）网站获取相关信息，在上述网站的修改通知，澄清说明等视为已送达各</w:t>
      </w:r>
      <w:r>
        <w:rPr>
          <w:rFonts w:hint="eastAsia" w:asciiTheme="minorEastAsia" w:hAnsiTheme="minorEastAsia" w:eastAsiaTheme="minorEastAsia"/>
          <w:szCs w:val="21"/>
          <w:lang w:eastAsia="zh-CN"/>
        </w:rPr>
        <w:t>供应商</w:t>
      </w:r>
      <w:r>
        <w:rPr>
          <w:rFonts w:hint="eastAsia" w:asciiTheme="minorEastAsia" w:hAnsiTheme="minorEastAsia" w:eastAsiaTheme="minorEastAsia"/>
          <w:szCs w:val="21"/>
        </w:rPr>
        <w:t>且已为各</w:t>
      </w:r>
      <w:r>
        <w:rPr>
          <w:rFonts w:hint="eastAsia" w:asciiTheme="minorEastAsia" w:hAnsiTheme="minorEastAsia" w:eastAsiaTheme="minorEastAsia"/>
          <w:szCs w:val="21"/>
          <w:lang w:eastAsia="zh-CN"/>
        </w:rPr>
        <w:t>供应商</w:t>
      </w:r>
      <w:r>
        <w:rPr>
          <w:rFonts w:hint="eastAsia" w:asciiTheme="minorEastAsia" w:hAnsiTheme="minorEastAsia" w:eastAsiaTheme="minorEastAsia"/>
          <w:szCs w:val="21"/>
        </w:rPr>
        <w:t>知悉，请各</w:t>
      </w:r>
      <w:r>
        <w:rPr>
          <w:rFonts w:hint="eastAsia" w:asciiTheme="minorEastAsia" w:hAnsiTheme="minorEastAsia" w:eastAsiaTheme="minorEastAsia"/>
          <w:szCs w:val="21"/>
          <w:lang w:eastAsia="zh-CN"/>
        </w:rPr>
        <w:t>供应商</w:t>
      </w:r>
      <w:r>
        <w:rPr>
          <w:rFonts w:hint="eastAsia" w:asciiTheme="minorEastAsia" w:hAnsiTheme="minorEastAsia" w:eastAsiaTheme="minorEastAsia"/>
          <w:szCs w:val="21"/>
        </w:rPr>
        <w:t>密切关注。</w:t>
      </w:r>
    </w:p>
    <w:p>
      <w:pPr>
        <w:pStyle w:val="6"/>
        <w:numPr>
          <w:ilvl w:val="0"/>
          <w:numId w:val="0"/>
        </w:numPr>
        <w:tabs>
          <w:tab w:val="left" w:pos="720"/>
          <w:tab w:val="clear" w:pos="360"/>
        </w:tabs>
        <w:adjustRightInd w:val="0"/>
        <w:spacing w:line="360" w:lineRule="auto"/>
        <w:ind w:firstLine="420" w:firstLineChars="200"/>
        <w:rPr>
          <w:rFonts w:cs="宋体"/>
          <w:szCs w:val="21"/>
        </w:rPr>
      </w:pPr>
    </w:p>
    <w:p>
      <w:pPr>
        <w:pStyle w:val="13"/>
        <w:snapToGrid w:val="0"/>
        <w:spacing w:beforeLines="0" w:after="120" w:line="360" w:lineRule="auto"/>
        <w:ind w:firstLine="413" w:firstLineChars="196"/>
        <w:outlineLvl w:val="1"/>
        <w:rPr>
          <w:rFonts w:hAnsi="宋体" w:cs="宋体"/>
          <w:b/>
          <w:sz w:val="21"/>
          <w:szCs w:val="21"/>
        </w:rPr>
      </w:pPr>
      <w:bookmarkStart w:id="36" w:name="_Toc1389"/>
      <w:r>
        <w:rPr>
          <w:rFonts w:hint="eastAsia" w:hAnsi="宋体" w:cs="宋体"/>
          <w:b/>
          <w:sz w:val="21"/>
          <w:szCs w:val="21"/>
        </w:rPr>
        <w:t>三、投标文件的编制</w:t>
      </w:r>
      <w:bookmarkEnd w:id="36"/>
    </w:p>
    <w:p>
      <w:pPr>
        <w:widowControl/>
        <w:tabs>
          <w:tab w:val="left" w:pos="645"/>
        </w:tabs>
        <w:snapToGrid w:val="0"/>
        <w:spacing w:line="360" w:lineRule="auto"/>
        <w:ind w:firstLine="211" w:firstLineChars="100"/>
        <w:rPr>
          <w:rFonts w:ascii="宋体" w:hAnsi="宋体"/>
          <w:b/>
          <w:bCs/>
          <w:szCs w:val="21"/>
        </w:rPr>
      </w:pPr>
      <w:bookmarkStart w:id="37" w:name="_Toc1582"/>
      <w:r>
        <w:rPr>
          <w:rFonts w:hint="eastAsia" w:ascii="宋体" w:hAnsi="宋体"/>
          <w:b/>
          <w:bCs/>
          <w:szCs w:val="21"/>
        </w:rPr>
        <w:t>（一）</w:t>
      </w:r>
      <w:r>
        <w:rPr>
          <w:rFonts w:hint="eastAsia" w:ascii="宋体" w:hAnsi="宋体"/>
          <w:b/>
          <w:bCs/>
          <w:szCs w:val="21"/>
          <w:lang w:val="zh-CN"/>
        </w:rPr>
        <w:t>投标</w:t>
      </w:r>
      <w:r>
        <w:rPr>
          <w:rFonts w:ascii="宋体" w:hAnsi="宋体"/>
          <w:b/>
          <w:bCs/>
          <w:szCs w:val="21"/>
          <w:lang w:val="zh-CN"/>
        </w:rPr>
        <w:t>文件</w:t>
      </w:r>
    </w:p>
    <w:p>
      <w:pPr>
        <w:widowControl/>
        <w:snapToGrid w:val="0"/>
        <w:spacing w:line="360" w:lineRule="auto"/>
        <w:ind w:firstLine="420" w:firstLineChars="200"/>
        <w:rPr>
          <w:rFonts w:ascii="宋体" w:hAnsi="宋体"/>
          <w:szCs w:val="21"/>
        </w:rPr>
      </w:pPr>
      <w:r>
        <w:rPr>
          <w:rFonts w:hint="eastAsia" w:ascii="宋体" w:hAnsi="宋体"/>
          <w:szCs w:val="21"/>
        </w:rPr>
        <w:t>1、</w:t>
      </w:r>
      <w:r>
        <w:rPr>
          <w:rFonts w:hint="eastAsia" w:ascii="宋体" w:hAnsi="宋体"/>
          <w:szCs w:val="21"/>
          <w:lang w:val="zh-CN"/>
        </w:rPr>
        <w:t>投标</w:t>
      </w:r>
      <w:r>
        <w:rPr>
          <w:rFonts w:ascii="宋体" w:hAnsi="宋体"/>
          <w:szCs w:val="21"/>
          <w:lang w:val="zh-CN"/>
        </w:rPr>
        <w:t>文件以及</w:t>
      </w:r>
      <w:r>
        <w:rPr>
          <w:rFonts w:hint="eastAsia" w:ascii="宋体" w:hAnsi="宋体"/>
          <w:szCs w:val="21"/>
          <w:lang w:val="zh-CN"/>
        </w:rPr>
        <w:t>供应商</w:t>
      </w:r>
      <w:r>
        <w:rPr>
          <w:rFonts w:ascii="宋体" w:hAnsi="宋体"/>
          <w:szCs w:val="21"/>
          <w:lang w:val="zh-CN"/>
        </w:rPr>
        <w:t>与采购代理机构就有关本次采购事宜的所有来往函电均应使用简体中文。</w:t>
      </w:r>
    </w:p>
    <w:p>
      <w:pPr>
        <w:widowControl/>
        <w:snapToGrid w:val="0"/>
        <w:spacing w:line="360" w:lineRule="auto"/>
        <w:ind w:firstLine="420" w:firstLineChars="200"/>
        <w:rPr>
          <w:rFonts w:ascii="宋体" w:hAnsi="宋体"/>
          <w:szCs w:val="21"/>
          <w:lang w:val="zh-CN"/>
        </w:rPr>
      </w:pPr>
      <w:r>
        <w:rPr>
          <w:rFonts w:hint="eastAsia" w:ascii="宋体" w:hAnsi="宋体"/>
          <w:bCs/>
          <w:szCs w:val="21"/>
        </w:rPr>
        <w:t>2、</w:t>
      </w:r>
      <w:r>
        <w:rPr>
          <w:rFonts w:ascii="宋体" w:hAnsi="宋体"/>
          <w:szCs w:val="21"/>
          <w:lang w:val="zh-CN"/>
        </w:rPr>
        <w:t>除本文件中另有规定外，响应文件所使用的计量单位，均须采用国家法定计量单位。</w:t>
      </w:r>
    </w:p>
    <w:p>
      <w:pPr>
        <w:widowControl/>
        <w:snapToGrid w:val="0"/>
        <w:spacing w:line="360" w:lineRule="auto"/>
        <w:ind w:firstLine="211" w:firstLineChars="100"/>
        <w:rPr>
          <w:rFonts w:ascii="宋体" w:hAnsi="宋体"/>
          <w:bCs/>
          <w:szCs w:val="21"/>
        </w:rPr>
      </w:pPr>
      <w:r>
        <w:rPr>
          <w:rFonts w:hint="eastAsia" w:ascii="宋体" w:hAnsi="宋体"/>
          <w:b/>
          <w:bCs/>
          <w:szCs w:val="21"/>
        </w:rPr>
        <w:t>（二）投标文件的形式和效力</w:t>
      </w:r>
    </w:p>
    <w:p>
      <w:pPr>
        <w:snapToGrid w:val="0"/>
        <w:spacing w:line="360" w:lineRule="auto"/>
        <w:ind w:firstLine="411" w:firstLineChars="196"/>
        <w:jc w:val="left"/>
        <w:rPr>
          <w:rFonts w:ascii="宋体" w:hAnsi="宋体"/>
          <w:szCs w:val="21"/>
        </w:rPr>
      </w:pPr>
      <w:r>
        <w:rPr>
          <w:rFonts w:hint="eastAsia" w:ascii="宋体" w:hAnsi="宋体"/>
          <w:szCs w:val="21"/>
        </w:rPr>
        <w:t>1、投标文件分为电子投标文件以及备份投标文件，备份投标文件包括以介质存储的数据电文形式的备份投标文件。</w:t>
      </w:r>
      <w:r>
        <w:rPr>
          <w:rFonts w:hint="eastAsia" w:ascii="宋体" w:hAnsi="宋体"/>
          <w:szCs w:val="21"/>
        </w:rPr>
        <w:cr/>
      </w:r>
      <w:r>
        <w:rPr>
          <w:rFonts w:hint="eastAsia" w:ascii="宋体" w:hAnsi="宋体"/>
          <w:szCs w:val="21"/>
        </w:rPr>
        <w:t xml:space="preserve">   2、电子投标文件，按“</w:t>
      </w:r>
      <w:r>
        <w:rPr>
          <w:rFonts w:hint="eastAsia" w:ascii="宋体" w:hAnsi="宋体"/>
          <w:szCs w:val="21"/>
          <w:lang w:eastAsia="zh-CN"/>
        </w:rPr>
        <w:t>供应商</w:t>
      </w:r>
      <w:r>
        <w:rPr>
          <w:rFonts w:hint="eastAsia" w:ascii="宋体" w:hAnsi="宋体"/>
          <w:szCs w:val="21"/>
        </w:rPr>
        <w:t>-电子招投标操作指南”及本采购文件要求制作、加密并递交，所须加盖公章部分均采用CA签章。</w:t>
      </w:r>
      <w:r>
        <w:rPr>
          <w:rFonts w:hint="eastAsia" w:ascii="宋体" w:hAnsi="宋体"/>
          <w:szCs w:val="21"/>
        </w:rPr>
        <w:cr/>
      </w:r>
      <w:r>
        <w:rPr>
          <w:rFonts w:hint="eastAsia" w:ascii="宋体" w:hAnsi="宋体"/>
          <w:szCs w:val="21"/>
        </w:rPr>
        <w:t xml:space="preserve">   3、以介质存储的数据电文形式的备份投标文件，即电子投标文件按“</w:t>
      </w:r>
      <w:r>
        <w:rPr>
          <w:rFonts w:hint="eastAsia" w:ascii="宋体" w:hAnsi="宋体"/>
          <w:szCs w:val="21"/>
          <w:lang w:eastAsia="zh-CN"/>
        </w:rPr>
        <w:t>供应商</w:t>
      </w:r>
      <w:r>
        <w:rPr>
          <w:rFonts w:hint="eastAsia" w:ascii="宋体" w:hAnsi="宋体"/>
          <w:szCs w:val="21"/>
        </w:rPr>
        <w:t>-电子招投标操作指南”制作的备份文件。</w:t>
      </w:r>
      <w:r>
        <w:rPr>
          <w:rFonts w:hint="eastAsia" w:ascii="宋体" w:hAnsi="宋体"/>
          <w:szCs w:val="21"/>
        </w:rPr>
        <w:cr/>
      </w:r>
      <w:r>
        <w:rPr>
          <w:rFonts w:hint="eastAsia" w:ascii="宋体" w:hAnsi="宋体"/>
          <w:szCs w:val="21"/>
        </w:rPr>
        <w:t xml:space="preserve">   4、纸质备份投标文件按“投标文件的组成”编制。</w:t>
      </w:r>
      <w:r>
        <w:rPr>
          <w:rFonts w:hint="eastAsia" w:ascii="宋体" w:hAnsi="宋体"/>
          <w:szCs w:val="21"/>
        </w:rPr>
        <w:cr/>
      </w:r>
      <w:r>
        <w:rPr>
          <w:rFonts w:hint="eastAsia" w:ascii="宋体" w:hAnsi="宋体"/>
          <w:szCs w:val="21"/>
        </w:rPr>
        <w:t xml:space="preserve">   5、投标文件的效力</w:t>
      </w:r>
      <w:r>
        <w:rPr>
          <w:rFonts w:hint="eastAsia" w:ascii="宋体" w:hAnsi="宋体"/>
          <w:szCs w:val="21"/>
        </w:rPr>
        <w:cr/>
      </w:r>
      <w:r>
        <w:rPr>
          <w:rFonts w:hint="eastAsia" w:ascii="宋体" w:hAnsi="宋体"/>
          <w:bCs/>
          <w:szCs w:val="21"/>
        </w:rPr>
        <w:t>投标文件的启用，按先后顺位分别为电子响应文件、以介质存储的数据电文形式的备份投标文件、纸质备份投标文件。在下一顺位的投标文件启用时，前一顺位的投标文件自动失效。</w:t>
      </w:r>
      <w:r>
        <w:rPr>
          <w:rFonts w:hint="eastAsia" w:ascii="宋体" w:hAnsi="宋体"/>
          <w:bCs/>
          <w:szCs w:val="21"/>
        </w:rPr>
        <w:cr/>
      </w:r>
      <w:r>
        <w:rPr>
          <w:rFonts w:hint="eastAsia" w:ascii="宋体" w:hAnsi="宋体"/>
          <w:szCs w:val="21"/>
        </w:rPr>
        <w:t>投标文件未按时解密，</w:t>
      </w:r>
      <w:r>
        <w:rPr>
          <w:rFonts w:hint="eastAsia" w:ascii="宋体" w:hAnsi="宋体"/>
          <w:szCs w:val="21"/>
          <w:lang w:eastAsia="zh-CN"/>
        </w:rPr>
        <w:t>供应商</w:t>
      </w:r>
      <w:r>
        <w:rPr>
          <w:rFonts w:hint="eastAsia" w:ascii="宋体" w:hAnsi="宋体"/>
          <w:szCs w:val="21"/>
        </w:rPr>
        <w:t>提供了备份投标文件的，以备份投标文件作为依据，否则视为投标文件撤回。投标文件已按时解密的，备份投标文件自动失效。</w:t>
      </w:r>
    </w:p>
    <w:p>
      <w:pPr>
        <w:snapToGrid w:val="0"/>
        <w:spacing w:line="360" w:lineRule="auto"/>
        <w:ind w:firstLine="211" w:firstLineChars="100"/>
        <w:jc w:val="left"/>
        <w:outlineLvl w:val="2"/>
        <w:rPr>
          <w:rFonts w:ascii="宋体" w:cs="宋体"/>
          <w:b/>
          <w:szCs w:val="21"/>
        </w:rPr>
      </w:pPr>
      <w:r>
        <w:rPr>
          <w:rFonts w:hint="eastAsia" w:ascii="宋体" w:hAnsi="宋体" w:cs="宋体"/>
          <w:b/>
          <w:szCs w:val="21"/>
        </w:rPr>
        <w:t>（三）投标文件的组成</w:t>
      </w:r>
      <w:bookmarkEnd w:id="37"/>
    </w:p>
    <w:p>
      <w:pPr>
        <w:snapToGrid w:val="0"/>
        <w:spacing w:line="360" w:lineRule="auto"/>
        <w:ind w:firstLine="420" w:firstLineChars="200"/>
        <w:jc w:val="left"/>
        <w:rPr>
          <w:rFonts w:ascii="宋体" w:cs="宋体"/>
          <w:szCs w:val="21"/>
        </w:rPr>
      </w:pPr>
      <w:bookmarkStart w:id="38" w:name="_Toc3020"/>
      <w:r>
        <w:rPr>
          <w:rFonts w:hint="eastAsia" w:ascii="宋体" w:hAnsi="宋体" w:cs="宋体"/>
          <w:szCs w:val="21"/>
        </w:rPr>
        <w:t>投标文件由资格审查文件、商务技术文件、报价文件组成。</w:t>
      </w:r>
    </w:p>
    <w:p>
      <w:pPr>
        <w:snapToGrid w:val="0"/>
        <w:spacing w:line="360" w:lineRule="auto"/>
        <w:ind w:firstLine="422" w:firstLineChars="200"/>
        <w:jc w:val="left"/>
        <w:rPr>
          <w:rFonts w:ascii="宋体" w:cs="宋体"/>
          <w:b/>
          <w:bCs/>
          <w:szCs w:val="21"/>
        </w:rPr>
      </w:pPr>
      <w:r>
        <w:rPr>
          <w:rFonts w:hint="eastAsia" w:ascii="宋体" w:hAnsi="宋体" w:cs="宋体"/>
          <w:b/>
          <w:bCs/>
          <w:szCs w:val="21"/>
        </w:rPr>
        <w:t>1</w:t>
      </w:r>
      <w:r>
        <w:rPr>
          <w:rFonts w:ascii="宋体" w:hAnsi="宋体" w:cs="宋体"/>
          <w:b/>
          <w:bCs/>
          <w:szCs w:val="21"/>
        </w:rPr>
        <w:t>.</w:t>
      </w:r>
      <w:r>
        <w:rPr>
          <w:rFonts w:hint="eastAsia" w:ascii="宋体" w:hAnsi="宋体" w:cs="宋体"/>
          <w:b/>
          <w:bCs/>
          <w:szCs w:val="21"/>
        </w:rPr>
        <w:t>资格审查文件：</w:t>
      </w:r>
    </w:p>
    <w:p>
      <w:pPr>
        <w:pStyle w:val="22"/>
        <w:spacing w:line="360" w:lineRule="auto"/>
        <w:ind w:firstLine="420"/>
        <w:rPr>
          <w:rFonts w:ascii="宋体" w:eastAsia="宋体" w:cs="宋体"/>
          <w:color w:val="auto"/>
          <w:sz w:val="21"/>
          <w:szCs w:val="21"/>
        </w:rPr>
      </w:pPr>
      <w:r>
        <w:rPr>
          <w:rFonts w:hint="eastAsia" w:ascii="宋体" w:eastAsia="宋体" w:cs="宋体"/>
          <w:color w:val="auto"/>
          <w:sz w:val="21"/>
          <w:szCs w:val="21"/>
        </w:rPr>
        <w:t>（</w:t>
      </w:r>
      <w:r>
        <w:rPr>
          <w:rFonts w:ascii="宋体" w:eastAsia="宋体" w:cs="宋体"/>
          <w:color w:val="auto"/>
          <w:sz w:val="21"/>
          <w:szCs w:val="21"/>
        </w:rPr>
        <w:t>1</w:t>
      </w:r>
      <w:r>
        <w:rPr>
          <w:rFonts w:hint="eastAsia" w:ascii="宋体" w:eastAsia="宋体" w:cs="宋体"/>
          <w:color w:val="auto"/>
          <w:sz w:val="21"/>
          <w:szCs w:val="21"/>
        </w:rPr>
        <w:t>）资格条件自查表（格式见第五章）；</w:t>
      </w:r>
    </w:p>
    <w:p>
      <w:pPr>
        <w:pStyle w:val="22"/>
        <w:spacing w:line="360" w:lineRule="auto"/>
        <w:ind w:firstLine="420"/>
        <w:rPr>
          <w:rFonts w:ascii="宋体" w:eastAsia="宋体" w:cs="宋体"/>
          <w:color w:val="auto"/>
          <w:sz w:val="21"/>
          <w:szCs w:val="21"/>
        </w:rPr>
      </w:pPr>
      <w:r>
        <w:rPr>
          <w:rFonts w:hint="eastAsia" w:ascii="宋体" w:eastAsia="宋体" w:cs="宋体"/>
          <w:color w:val="auto"/>
          <w:sz w:val="21"/>
          <w:szCs w:val="21"/>
        </w:rPr>
        <w:t>（</w:t>
      </w:r>
      <w:r>
        <w:rPr>
          <w:rFonts w:ascii="宋体" w:eastAsia="宋体" w:cs="宋体"/>
          <w:color w:val="auto"/>
          <w:sz w:val="21"/>
          <w:szCs w:val="21"/>
        </w:rPr>
        <w:t>2</w:t>
      </w:r>
      <w:r>
        <w:rPr>
          <w:rFonts w:hint="eastAsia" w:ascii="宋体" w:eastAsia="宋体" w:cs="宋体"/>
          <w:color w:val="auto"/>
          <w:sz w:val="21"/>
          <w:szCs w:val="21"/>
        </w:rPr>
        <w:t>）投标声明书（格式见第五章）；</w:t>
      </w:r>
    </w:p>
    <w:p>
      <w:pPr>
        <w:numPr>
          <w:ilvl w:val="-1"/>
          <w:numId w:val="0"/>
        </w:numPr>
        <w:snapToGrid w:val="0"/>
        <w:spacing w:line="360" w:lineRule="auto"/>
        <w:ind w:left="0" w:leftChars="0" w:firstLine="420" w:firstLineChars="200"/>
        <w:jc w:val="left"/>
        <w:rPr>
          <w:rFonts w:hint="eastAsia" w:ascii="宋体" w:hAnsi="宋体" w:eastAsia="宋体" w:cs="宋体"/>
          <w:highlight w:val="none"/>
          <w:lang w:eastAsia="zh-CN"/>
        </w:rPr>
      </w:pPr>
      <w:r>
        <w:rPr>
          <w:rFonts w:hint="eastAsia" w:ascii="宋体" w:hAnsi="宋体" w:cs="宋体"/>
          <w:highlight w:val="none"/>
          <w:lang w:eastAsia="zh-CN"/>
        </w:rPr>
        <w:t>（</w:t>
      </w:r>
      <w:r>
        <w:rPr>
          <w:rFonts w:hint="eastAsia" w:ascii="宋体" w:hAnsi="宋体" w:cs="宋体"/>
          <w:highlight w:val="none"/>
          <w:lang w:val="en-US" w:eastAsia="zh-CN"/>
        </w:rPr>
        <w:t>3</w:t>
      </w:r>
      <w:r>
        <w:rPr>
          <w:rFonts w:hint="eastAsia" w:ascii="宋体" w:hAnsi="宋体" w:cs="宋体"/>
          <w:highlight w:val="none"/>
          <w:lang w:eastAsia="zh-CN"/>
        </w:rPr>
        <w:t>）</w:t>
      </w:r>
      <w:r>
        <w:rPr>
          <w:rFonts w:hint="eastAsia" w:ascii="宋体" w:hAnsi="宋体" w:cs="宋体"/>
          <w:highlight w:val="none"/>
        </w:rPr>
        <w:t>有效的企业法人营业执照（或事业法人登记证）、其他组织（个体工商户）的营业执照或者民办非企业单位登记证书复印件；</w:t>
      </w:r>
      <w:r>
        <w:rPr>
          <w:rFonts w:hint="eastAsia" w:ascii="宋体" w:hAnsi="宋体" w:cs="宋体"/>
          <w:szCs w:val="21"/>
          <w:highlight w:val="none"/>
        </w:rPr>
        <w:t>投标供应商如果有名称变更的，应提供由行政主管部门出具的变更证明文件</w:t>
      </w:r>
      <w:r>
        <w:rPr>
          <w:rFonts w:hint="eastAsia" w:ascii="宋体" w:hAnsi="宋体" w:cs="宋体"/>
          <w:szCs w:val="21"/>
          <w:highlight w:val="none"/>
          <w:lang w:eastAsia="zh-CN"/>
        </w:rPr>
        <w:t>；</w:t>
      </w:r>
    </w:p>
    <w:p>
      <w:pPr>
        <w:numPr>
          <w:ilvl w:val="-1"/>
          <w:numId w:val="0"/>
        </w:numPr>
        <w:snapToGrid w:val="0"/>
        <w:spacing w:line="360" w:lineRule="auto"/>
        <w:ind w:left="0" w:leftChars="0" w:firstLine="420" w:firstLineChars="200"/>
        <w:jc w:val="left"/>
        <w:rPr>
          <w:rFonts w:ascii="宋体" w:hAnsi="宋体" w:cs="宋体"/>
          <w:highlight w:val="none"/>
        </w:rPr>
      </w:pPr>
      <w:r>
        <w:rPr>
          <w:rFonts w:hint="eastAsia" w:ascii="宋体" w:hAnsi="宋体" w:cs="宋体"/>
          <w:highlight w:val="none"/>
          <w:lang w:eastAsia="zh-CN"/>
        </w:rPr>
        <w:t>（</w:t>
      </w:r>
      <w:r>
        <w:rPr>
          <w:rFonts w:hint="eastAsia" w:ascii="宋体" w:hAnsi="宋体" w:cs="宋体"/>
          <w:highlight w:val="none"/>
          <w:lang w:val="en-US" w:eastAsia="zh-CN"/>
        </w:rPr>
        <w:t>4</w:t>
      </w:r>
      <w:r>
        <w:rPr>
          <w:rFonts w:hint="eastAsia" w:ascii="宋体" w:hAnsi="宋体" w:cs="宋体"/>
          <w:highlight w:val="none"/>
          <w:lang w:eastAsia="zh-CN"/>
        </w:rPr>
        <w:t>）</w:t>
      </w:r>
      <w:r>
        <w:rPr>
          <w:rFonts w:hint="eastAsia" w:ascii="宋体" w:hAnsi="宋体" w:cs="宋体"/>
          <w:highlight w:val="none"/>
        </w:rPr>
        <w:t>供应商特定资格条件的证明文件；</w:t>
      </w:r>
    </w:p>
    <w:p>
      <w:pPr>
        <w:numPr>
          <w:ilvl w:val="-1"/>
          <w:numId w:val="0"/>
        </w:numPr>
        <w:snapToGrid w:val="0"/>
        <w:spacing w:line="360" w:lineRule="auto"/>
        <w:ind w:left="0" w:leftChars="0" w:firstLine="420" w:firstLineChars="200"/>
        <w:jc w:val="left"/>
        <w:rPr>
          <w:rFonts w:hint="eastAsia" w:ascii="宋体" w:hAnsi="宋体" w:cs="宋体"/>
          <w:szCs w:val="21"/>
          <w:highlight w:val="none"/>
        </w:rPr>
      </w:pPr>
      <w:r>
        <w:rPr>
          <w:rFonts w:hint="eastAsia" w:ascii="宋体" w:hAnsi="宋体" w:cs="宋体"/>
          <w:szCs w:val="21"/>
          <w:highlight w:val="none"/>
          <w:lang w:eastAsia="zh-CN"/>
        </w:rPr>
        <w:t>（</w:t>
      </w:r>
      <w:r>
        <w:rPr>
          <w:rFonts w:hint="eastAsia" w:ascii="宋体" w:hAnsi="宋体" w:cs="宋体"/>
          <w:szCs w:val="21"/>
          <w:highlight w:val="none"/>
          <w:lang w:val="en-US" w:eastAsia="zh-CN"/>
        </w:rPr>
        <w:t>5</w:t>
      </w:r>
      <w:r>
        <w:rPr>
          <w:rFonts w:hint="eastAsia" w:ascii="宋体" w:hAnsi="宋体" w:cs="宋体"/>
          <w:szCs w:val="21"/>
          <w:highlight w:val="none"/>
          <w:lang w:eastAsia="zh-CN"/>
        </w:rPr>
        <w:t>）</w:t>
      </w:r>
      <w:r>
        <w:rPr>
          <w:rFonts w:hint="eastAsia" w:ascii="宋体" w:hAnsi="宋体" w:cs="宋体"/>
          <w:szCs w:val="21"/>
          <w:highlight w:val="none"/>
        </w:rPr>
        <w:t>中小企业声明函[提供中小企业声明函或残疾人福利性单位声明函（非残疾人福利性单位无需提供本函)，格式见附件或提供由省级以上监狱管理局、戒毒管理局（含新疆生产建设兵团）出具的属于监狱企业的证明文件]；</w:t>
      </w:r>
    </w:p>
    <w:p>
      <w:pPr>
        <w:snapToGrid w:val="0"/>
        <w:spacing w:line="360" w:lineRule="auto"/>
        <w:ind w:firstLine="420" w:firstLineChars="200"/>
        <w:jc w:val="left"/>
        <w:rPr>
          <w:rFonts w:asci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）招标文件要求及</w:t>
      </w:r>
      <w:r>
        <w:rPr>
          <w:rFonts w:hint="eastAsia" w:ascii="宋体" w:hAnsi="宋体" w:cs="宋体"/>
          <w:szCs w:val="21"/>
          <w:lang w:eastAsia="zh-CN"/>
        </w:rPr>
        <w:t>供应商</w:t>
      </w:r>
      <w:r>
        <w:rPr>
          <w:rFonts w:hint="eastAsia" w:ascii="宋体" w:hAnsi="宋体" w:cs="宋体"/>
          <w:szCs w:val="21"/>
        </w:rPr>
        <w:t>认为需要提供的其他资料。</w:t>
      </w:r>
    </w:p>
    <w:p>
      <w:pPr>
        <w:snapToGrid w:val="0"/>
        <w:spacing w:line="360" w:lineRule="auto"/>
        <w:ind w:firstLine="422" w:firstLineChars="200"/>
        <w:jc w:val="left"/>
        <w:rPr>
          <w:rFonts w:ascii="宋体" w:cs="宋体"/>
          <w:b/>
          <w:bCs/>
          <w:szCs w:val="21"/>
        </w:rPr>
      </w:pPr>
      <w:r>
        <w:rPr>
          <w:rFonts w:hint="eastAsia" w:ascii="宋体" w:hAnsi="宋体" w:cs="宋体"/>
          <w:b/>
          <w:bCs/>
          <w:szCs w:val="21"/>
        </w:rPr>
        <w:t>2</w:t>
      </w:r>
      <w:r>
        <w:rPr>
          <w:rFonts w:ascii="宋体" w:hAnsi="宋体" w:cs="宋体"/>
          <w:b/>
          <w:bCs/>
          <w:szCs w:val="21"/>
        </w:rPr>
        <w:t>.</w:t>
      </w:r>
      <w:r>
        <w:rPr>
          <w:rFonts w:hint="eastAsia" w:ascii="宋体" w:hAnsi="宋体" w:cs="宋体"/>
          <w:b/>
          <w:bCs/>
          <w:szCs w:val="21"/>
        </w:rPr>
        <w:t>商务技术文件：</w:t>
      </w:r>
    </w:p>
    <w:p>
      <w:pPr>
        <w:numPr>
          <w:ilvl w:val="0"/>
          <w:numId w:val="13"/>
        </w:numPr>
        <w:snapToGrid w:val="0"/>
        <w:spacing w:line="360" w:lineRule="auto"/>
        <w:ind w:firstLine="420" w:firstLineChars="200"/>
        <w:jc w:val="left"/>
        <w:rPr>
          <w:rFonts w:ascii="宋体" w:cs="宋体"/>
          <w:szCs w:val="21"/>
        </w:rPr>
      </w:pPr>
      <w:r>
        <w:rPr>
          <w:rFonts w:hint="eastAsia" w:ascii="宋体" w:hAnsi="宋体" w:cs="宋体"/>
          <w:szCs w:val="21"/>
        </w:rPr>
        <w:t>符合性自查表（</w:t>
      </w:r>
      <w:r>
        <w:rPr>
          <w:rFonts w:hint="eastAsia" w:ascii="宋体" w:cs="宋体"/>
          <w:szCs w:val="21"/>
        </w:rPr>
        <w:t>格式见第五章</w:t>
      </w:r>
      <w:r>
        <w:rPr>
          <w:rFonts w:hint="eastAsia" w:ascii="宋体" w:hAnsi="宋体" w:cs="宋体"/>
          <w:szCs w:val="21"/>
        </w:rPr>
        <w:t>）；</w:t>
      </w:r>
    </w:p>
    <w:p>
      <w:pPr>
        <w:numPr>
          <w:ilvl w:val="0"/>
          <w:numId w:val="13"/>
        </w:numPr>
        <w:snapToGrid w:val="0"/>
        <w:spacing w:line="360" w:lineRule="auto"/>
        <w:ind w:firstLine="420" w:firstLineChars="200"/>
        <w:jc w:val="left"/>
        <w:rPr>
          <w:rFonts w:ascii="宋体" w:cs="宋体"/>
          <w:szCs w:val="21"/>
        </w:rPr>
      </w:pPr>
      <w:r>
        <w:rPr>
          <w:rFonts w:hint="eastAsia" w:ascii="宋体" w:hAnsi="宋体" w:cs="宋体"/>
          <w:szCs w:val="21"/>
          <w:lang w:eastAsia="zh-CN"/>
        </w:rPr>
        <w:t>供应商</w:t>
      </w:r>
      <w:r>
        <w:rPr>
          <w:rFonts w:hint="eastAsia" w:ascii="宋体" w:hAnsi="宋体" w:cs="宋体"/>
          <w:szCs w:val="21"/>
        </w:rPr>
        <w:t>响应表（</w:t>
      </w:r>
      <w:r>
        <w:rPr>
          <w:rFonts w:hint="eastAsia" w:ascii="宋体" w:cs="宋体"/>
          <w:szCs w:val="21"/>
        </w:rPr>
        <w:t>格式见第五章</w:t>
      </w:r>
      <w:r>
        <w:rPr>
          <w:rFonts w:hint="eastAsia" w:ascii="宋体" w:hAnsi="宋体" w:cs="宋体"/>
          <w:szCs w:val="21"/>
        </w:rPr>
        <w:t>）；</w:t>
      </w:r>
    </w:p>
    <w:p>
      <w:pPr>
        <w:numPr>
          <w:ilvl w:val="0"/>
          <w:numId w:val="13"/>
        </w:numPr>
        <w:snapToGrid w:val="0"/>
        <w:spacing w:line="360" w:lineRule="auto"/>
        <w:ind w:firstLine="420" w:firstLineChars="200"/>
        <w:jc w:val="left"/>
        <w:rPr>
          <w:rFonts w:ascii="宋体" w:cs="宋体"/>
          <w:szCs w:val="21"/>
        </w:rPr>
      </w:pPr>
      <w:r>
        <w:rPr>
          <w:rFonts w:hint="eastAsia" w:ascii="宋体" w:hAnsi="宋体" w:cs="宋体"/>
          <w:szCs w:val="21"/>
        </w:rPr>
        <w:t>投标函（</w:t>
      </w:r>
      <w:r>
        <w:rPr>
          <w:rFonts w:hint="eastAsia" w:ascii="宋体" w:cs="宋体"/>
          <w:szCs w:val="21"/>
        </w:rPr>
        <w:t>格式见第五章</w:t>
      </w:r>
      <w:r>
        <w:rPr>
          <w:rFonts w:hint="eastAsia" w:ascii="宋体" w:hAnsi="宋体" w:cs="宋体"/>
          <w:szCs w:val="21"/>
        </w:rPr>
        <w:t>）；</w:t>
      </w:r>
    </w:p>
    <w:p>
      <w:pPr>
        <w:snapToGrid w:val="0"/>
        <w:spacing w:line="360" w:lineRule="auto"/>
        <w:ind w:firstLine="420" w:firstLineChars="200"/>
        <w:jc w:val="left"/>
        <w:rPr>
          <w:rFonts w:ascii="宋体" w:cs="宋体"/>
          <w:szCs w:val="21"/>
        </w:rPr>
      </w:pPr>
      <w:r>
        <w:rPr>
          <w:rFonts w:hint="eastAsia" w:ascii="宋体" w:hAnsi="宋体" w:cs="宋体"/>
          <w:szCs w:val="21"/>
        </w:rPr>
        <w:t>（4）法定代表人的身份证明或法定代表人授权书（</w:t>
      </w:r>
      <w:r>
        <w:rPr>
          <w:rFonts w:hint="eastAsia" w:ascii="宋体" w:hAnsi="宋体" w:cs="宋体"/>
          <w:szCs w:val="21"/>
          <w:lang w:eastAsia="zh-CN"/>
        </w:rPr>
        <w:t>供应商</w:t>
      </w:r>
      <w:r>
        <w:rPr>
          <w:rFonts w:hint="eastAsia" w:ascii="宋体" w:hAnsi="宋体" w:cs="宋体"/>
          <w:szCs w:val="21"/>
        </w:rPr>
        <w:t>的代表若为非法定代表人的，必须提交法定代表人授权书），并提供法定代表人和授权代表的身份证正反两面复印件（格式见附件）；</w:t>
      </w:r>
    </w:p>
    <w:p>
      <w:pPr>
        <w:snapToGrid w:val="0"/>
        <w:spacing w:line="360" w:lineRule="auto"/>
        <w:ind w:firstLine="420" w:firstLineChars="200"/>
        <w:jc w:val="left"/>
        <w:rPr>
          <w:rFonts w:ascii="宋体" w:cs="宋体"/>
          <w:szCs w:val="21"/>
        </w:rPr>
      </w:pPr>
      <w:r>
        <w:rPr>
          <w:rFonts w:hint="eastAsia" w:ascii="宋体" w:hAnsi="宋体" w:cs="宋体"/>
          <w:szCs w:val="21"/>
        </w:rPr>
        <w:t>（5）</w:t>
      </w:r>
      <w:r>
        <w:rPr>
          <w:rFonts w:hint="eastAsia" w:ascii="宋体" w:hAnsi="宋体" w:cs="宋体"/>
          <w:szCs w:val="21"/>
          <w:lang w:eastAsia="zh-CN"/>
        </w:rPr>
        <w:t>供应商</w:t>
      </w:r>
      <w:r>
        <w:rPr>
          <w:rFonts w:hint="eastAsia" w:ascii="宋体" w:hAnsi="宋体" w:cs="宋体"/>
          <w:szCs w:val="21"/>
        </w:rPr>
        <w:t>基本情况表（格式见</w:t>
      </w:r>
      <w:r>
        <w:rPr>
          <w:rFonts w:hint="eastAsia" w:ascii="宋体" w:cs="宋体"/>
          <w:szCs w:val="21"/>
        </w:rPr>
        <w:t>第五章</w:t>
      </w:r>
      <w:r>
        <w:rPr>
          <w:rFonts w:hint="eastAsia" w:ascii="宋体" w:hAnsi="宋体" w:cs="宋体"/>
          <w:szCs w:val="21"/>
        </w:rPr>
        <w:t>）；</w:t>
      </w:r>
    </w:p>
    <w:p>
      <w:pPr>
        <w:snapToGrid w:val="0"/>
        <w:spacing w:line="360" w:lineRule="auto"/>
        <w:ind w:firstLine="420" w:firstLineChars="200"/>
        <w:jc w:val="left"/>
        <w:rPr>
          <w:rFonts w:ascii="宋体" w:cs="宋体"/>
          <w:szCs w:val="21"/>
        </w:rPr>
      </w:pPr>
      <w:r>
        <w:rPr>
          <w:rFonts w:hint="eastAsia" w:ascii="宋体" w:hAnsi="宋体" w:cs="宋体"/>
          <w:szCs w:val="21"/>
        </w:rPr>
        <w:t>（6）以往业绩一览表（格式见</w:t>
      </w:r>
      <w:r>
        <w:rPr>
          <w:rFonts w:hint="eastAsia" w:ascii="宋体" w:cs="宋体"/>
          <w:szCs w:val="21"/>
        </w:rPr>
        <w:t>第五章</w:t>
      </w:r>
      <w:r>
        <w:rPr>
          <w:rFonts w:hint="eastAsia" w:ascii="宋体" w:hAnsi="宋体" w:cs="宋体"/>
          <w:szCs w:val="21"/>
        </w:rPr>
        <w:t>）；</w:t>
      </w:r>
    </w:p>
    <w:p>
      <w:pPr>
        <w:snapToGrid w:val="0"/>
        <w:spacing w:line="360" w:lineRule="auto"/>
        <w:ind w:firstLine="420" w:firstLineChars="200"/>
        <w:jc w:val="left"/>
        <w:rPr>
          <w:rFonts w:ascii="宋体" w:cs="宋体"/>
          <w:szCs w:val="21"/>
        </w:rPr>
      </w:pPr>
      <w:r>
        <w:rPr>
          <w:rFonts w:hint="eastAsia" w:ascii="宋体" w:hAnsi="宋体" w:cs="宋体"/>
          <w:szCs w:val="21"/>
        </w:rPr>
        <w:t>（7）商务条款偏离表（格式见</w:t>
      </w:r>
      <w:r>
        <w:rPr>
          <w:rFonts w:hint="eastAsia" w:ascii="宋体" w:cs="宋体"/>
          <w:szCs w:val="21"/>
        </w:rPr>
        <w:t>第五章</w:t>
      </w:r>
      <w:r>
        <w:rPr>
          <w:rFonts w:hint="eastAsia" w:ascii="宋体" w:hAnsi="宋体" w:cs="宋体"/>
          <w:szCs w:val="21"/>
        </w:rPr>
        <w:t>）；</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（8）技术条款偏离表（格式见</w:t>
      </w:r>
      <w:r>
        <w:rPr>
          <w:rFonts w:hint="eastAsia" w:ascii="宋体" w:cs="宋体"/>
          <w:szCs w:val="21"/>
        </w:rPr>
        <w:t>第五章</w:t>
      </w:r>
      <w:r>
        <w:rPr>
          <w:rFonts w:hint="eastAsia" w:ascii="宋体" w:hAnsi="宋体" w:cs="宋体"/>
          <w:szCs w:val="21"/>
        </w:rPr>
        <w:t>）；</w:t>
      </w:r>
    </w:p>
    <w:p>
      <w:pPr>
        <w:snapToGrid w:val="0"/>
        <w:spacing w:line="360" w:lineRule="auto"/>
        <w:ind w:firstLine="420"/>
        <w:jc w:val="left"/>
        <w:rPr>
          <w:rFonts w:hint="eastAsia"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9</w:t>
      </w:r>
      <w:r>
        <w:rPr>
          <w:rFonts w:hint="eastAsia" w:ascii="宋体" w:hAnsi="宋体" w:cs="宋体"/>
          <w:szCs w:val="21"/>
          <w:lang w:eastAsia="zh-CN"/>
        </w:rPr>
        <w:t>）承诺书</w:t>
      </w:r>
    </w:p>
    <w:p>
      <w:pPr>
        <w:snapToGrid w:val="0"/>
        <w:spacing w:line="360" w:lineRule="auto"/>
        <w:ind w:firstLine="420" w:firstLineChars="200"/>
        <w:jc w:val="left"/>
        <w:rPr>
          <w:rFonts w:ascii="宋体" w:cs="宋体"/>
          <w:szCs w:val="21"/>
        </w:rPr>
      </w:pPr>
      <w:r>
        <w:rPr>
          <w:rFonts w:hint="eastAsia" w:ascii="宋体" w:hAnsi="宋体" w:cs="宋体"/>
          <w:szCs w:val="21"/>
        </w:rPr>
        <w:t>（</w:t>
      </w:r>
      <w:r>
        <w:rPr>
          <w:rFonts w:hint="eastAsia" w:ascii="宋体" w:hAnsi="宋体" w:cs="宋体"/>
          <w:szCs w:val="21"/>
          <w:lang w:val="en-US" w:eastAsia="zh-CN"/>
        </w:rPr>
        <w:t>10</w:t>
      </w:r>
      <w:r>
        <w:rPr>
          <w:rFonts w:hint="eastAsia" w:ascii="宋体" w:hAnsi="宋体" w:cs="宋体"/>
          <w:szCs w:val="21"/>
        </w:rPr>
        <w:t>）评分标准、招标文件资格要求及</w:t>
      </w:r>
      <w:r>
        <w:rPr>
          <w:rFonts w:hint="eastAsia" w:ascii="宋体" w:hAnsi="宋体" w:cs="宋体"/>
          <w:szCs w:val="21"/>
          <w:lang w:eastAsia="zh-CN"/>
        </w:rPr>
        <w:t>供应商</w:t>
      </w:r>
      <w:r>
        <w:rPr>
          <w:rFonts w:hint="eastAsia" w:ascii="宋体" w:hAnsi="宋体" w:cs="宋体"/>
          <w:szCs w:val="21"/>
        </w:rPr>
        <w:t>认为需要提供的其它投标文件资料（如有）。</w:t>
      </w:r>
    </w:p>
    <w:p>
      <w:pPr>
        <w:snapToGrid w:val="0"/>
        <w:spacing w:line="360" w:lineRule="auto"/>
        <w:ind w:firstLine="422" w:firstLineChars="200"/>
        <w:jc w:val="left"/>
        <w:rPr>
          <w:rFonts w:ascii="宋体" w:cs="宋体"/>
          <w:b/>
          <w:bCs/>
          <w:szCs w:val="21"/>
        </w:rPr>
      </w:pPr>
      <w:r>
        <w:rPr>
          <w:rFonts w:hint="eastAsia" w:ascii="宋体" w:hAnsi="宋体" w:cs="宋体"/>
          <w:b/>
          <w:bCs/>
          <w:szCs w:val="21"/>
        </w:rPr>
        <w:t>3</w:t>
      </w:r>
      <w:r>
        <w:rPr>
          <w:rFonts w:ascii="宋体" w:hAnsi="宋体" w:cs="宋体"/>
          <w:b/>
          <w:bCs/>
          <w:szCs w:val="21"/>
        </w:rPr>
        <w:t>.</w:t>
      </w:r>
      <w:r>
        <w:rPr>
          <w:rFonts w:hint="eastAsia" w:ascii="宋体" w:hAnsi="宋体" w:cs="宋体"/>
          <w:b/>
          <w:bCs/>
          <w:szCs w:val="21"/>
        </w:rPr>
        <w:t>报价部分：</w:t>
      </w:r>
    </w:p>
    <w:p>
      <w:pPr>
        <w:snapToGrid w:val="0"/>
        <w:spacing w:line="360" w:lineRule="auto"/>
        <w:ind w:firstLine="420" w:firstLineChars="200"/>
        <w:jc w:val="left"/>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）开标一览表（格式见第五章）；</w:t>
      </w:r>
    </w:p>
    <w:p>
      <w:pPr>
        <w:snapToGrid w:val="0"/>
        <w:spacing w:line="360" w:lineRule="auto"/>
        <w:ind w:firstLine="420" w:firstLineChars="200"/>
        <w:jc w:val="left"/>
        <w:rPr>
          <w:rFonts w:ascii="宋体" w:cs="宋体"/>
          <w:szCs w:val="21"/>
        </w:rPr>
      </w:pPr>
      <w:r>
        <w:rPr>
          <w:rFonts w:hint="eastAsia" w:ascii="宋体" w:hAnsi="宋体" w:cs="宋体"/>
          <w:szCs w:val="21"/>
        </w:rPr>
        <w:t>（2）</w:t>
      </w:r>
      <w:r>
        <w:rPr>
          <w:rFonts w:hint="eastAsia" w:ascii="宋体" w:hAnsi="宋体" w:cs="宋体"/>
          <w:szCs w:val="21"/>
          <w:lang w:eastAsia="zh-CN"/>
        </w:rPr>
        <w:t>投标报价明细表</w:t>
      </w:r>
      <w:r>
        <w:rPr>
          <w:rFonts w:hint="eastAsia" w:ascii="宋体" w:hAnsi="宋体" w:cs="宋体"/>
          <w:szCs w:val="21"/>
        </w:rPr>
        <w:t>（格式见第五章）；</w:t>
      </w:r>
    </w:p>
    <w:p>
      <w:pPr>
        <w:snapToGrid w:val="0"/>
        <w:spacing w:line="360" w:lineRule="auto"/>
        <w:ind w:firstLine="420" w:firstLineChars="200"/>
        <w:jc w:val="left"/>
        <w:rPr>
          <w:rFonts w:asci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w:t>
      </w:r>
      <w:r>
        <w:rPr>
          <w:rFonts w:hint="eastAsia" w:ascii="宋体" w:hAnsi="宋体" w:cs="宋体"/>
          <w:szCs w:val="21"/>
          <w:lang w:eastAsia="zh-CN"/>
        </w:rPr>
        <w:t>供应商</w:t>
      </w:r>
      <w:r>
        <w:rPr>
          <w:rFonts w:hint="eastAsia" w:ascii="宋体" w:hAnsi="宋体" w:cs="宋体"/>
          <w:szCs w:val="21"/>
        </w:rPr>
        <w:t>针对报价需要说明的其他文件和说明（格式自拟）。</w:t>
      </w:r>
    </w:p>
    <w:p>
      <w:pPr>
        <w:spacing w:line="360" w:lineRule="auto"/>
        <w:ind w:firstLine="723" w:firstLineChars="3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投标文件含有采购人不能接受的附加条件的，投标无效；</w:t>
      </w:r>
    </w:p>
    <w:p>
      <w:pPr>
        <w:tabs>
          <w:tab w:val="left" w:pos="525"/>
        </w:tabs>
        <w:snapToGrid w:val="0"/>
        <w:spacing w:line="360" w:lineRule="auto"/>
        <w:ind w:firstLine="482" w:firstLineChars="200"/>
        <w:jc w:val="left"/>
        <w:outlineLvl w:val="2"/>
        <w:rPr>
          <w:rFonts w:hint="eastAsia" w:ascii="宋体" w:hAnsi="宋体" w:cs="宋体"/>
          <w:b/>
          <w:bCs/>
          <w:szCs w:val="21"/>
        </w:rPr>
      </w:pPr>
      <w:r>
        <w:rPr>
          <w:rFonts w:hint="eastAsia" w:ascii="宋体" w:hAnsi="宋体" w:cs="宋体"/>
          <w:b/>
          <w:color w:val="000000" w:themeColor="text1"/>
          <w:sz w:val="24"/>
          <w:highlight w:val="none"/>
          <w:lang w:eastAsia="zh-CN"/>
          <w14:textFill>
            <w14:solidFill>
              <w14:schemeClr w14:val="tx1"/>
            </w14:solidFill>
          </w14:textFill>
        </w:rPr>
        <w:t>供应商</w:t>
      </w:r>
      <w:r>
        <w:rPr>
          <w:rFonts w:hint="eastAsia" w:ascii="宋体" w:hAnsi="宋体" w:cs="宋体"/>
          <w:b/>
          <w:color w:val="000000" w:themeColor="text1"/>
          <w:sz w:val="24"/>
          <w:highlight w:val="none"/>
          <w14:textFill>
            <w14:solidFill>
              <w14:schemeClr w14:val="tx1"/>
            </w14:solidFill>
          </w14:textFill>
        </w:rPr>
        <w:t>提供虚假材料投标的，投标无效。</w:t>
      </w:r>
      <w:bookmarkEnd w:id="38"/>
    </w:p>
    <w:p>
      <w:pPr>
        <w:tabs>
          <w:tab w:val="left" w:pos="525"/>
        </w:tabs>
        <w:snapToGrid w:val="0"/>
        <w:spacing w:line="360" w:lineRule="auto"/>
        <w:ind w:firstLine="422" w:firstLineChars="200"/>
        <w:jc w:val="left"/>
        <w:outlineLvl w:val="2"/>
        <w:rPr>
          <w:rFonts w:ascii="宋体" w:cs="宋体"/>
          <w:b/>
          <w:bCs/>
          <w:szCs w:val="21"/>
        </w:rPr>
      </w:pPr>
      <w:r>
        <w:rPr>
          <w:rFonts w:hint="eastAsia" w:ascii="宋体" w:hAnsi="宋体" w:cs="宋体"/>
          <w:b/>
          <w:bCs/>
          <w:szCs w:val="21"/>
        </w:rPr>
        <w:t>（四）投标报价</w:t>
      </w:r>
    </w:p>
    <w:p>
      <w:pPr>
        <w:snapToGrid w:val="0"/>
        <w:spacing w:line="360" w:lineRule="auto"/>
        <w:ind w:firstLine="420" w:firstLineChars="200"/>
        <w:jc w:val="left"/>
        <w:rPr>
          <w:rFonts w:ascii="宋体" w:cs="宋体"/>
          <w:szCs w:val="21"/>
        </w:rPr>
      </w:pPr>
      <w:r>
        <w:rPr>
          <w:rFonts w:ascii="宋体" w:hAnsi="宋体" w:cs="宋体"/>
          <w:szCs w:val="21"/>
        </w:rPr>
        <w:t>1</w:t>
      </w:r>
      <w:r>
        <w:rPr>
          <w:rFonts w:hint="eastAsia" w:ascii="宋体" w:hAnsi="宋体" w:cs="宋体"/>
          <w:szCs w:val="21"/>
        </w:rPr>
        <w:t>、投标报价应按采购文件中相关附表格式填写；</w:t>
      </w:r>
    </w:p>
    <w:p>
      <w:pPr>
        <w:snapToGrid w:val="0"/>
        <w:spacing w:line="360" w:lineRule="auto"/>
        <w:ind w:firstLine="420" w:firstLineChars="200"/>
        <w:jc w:val="left"/>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、投标报价是履行合同的最终价格，具体详见第三章</w:t>
      </w:r>
      <w:r>
        <w:rPr>
          <w:rFonts w:hint="eastAsia" w:ascii="宋体" w:hAnsi="宋体" w:cs="宋体"/>
          <w:szCs w:val="21"/>
          <w:lang w:eastAsia="zh-CN"/>
        </w:rPr>
        <w:t>供应商</w:t>
      </w:r>
      <w:r>
        <w:rPr>
          <w:rFonts w:hint="eastAsia" w:ascii="宋体" w:hAnsi="宋体" w:cs="宋体"/>
          <w:szCs w:val="21"/>
        </w:rPr>
        <w:t>须知《前附表》；</w:t>
      </w:r>
    </w:p>
    <w:p>
      <w:pPr>
        <w:snapToGrid w:val="0"/>
        <w:spacing w:line="360" w:lineRule="auto"/>
        <w:ind w:firstLine="420" w:firstLineChars="200"/>
        <w:jc w:val="left"/>
        <w:rPr>
          <w:rFonts w:asci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、投标文件只允许有一个报价，有选择的或有条件的报价将不予接受。</w:t>
      </w:r>
    </w:p>
    <w:p>
      <w:pPr>
        <w:tabs>
          <w:tab w:val="left" w:pos="525"/>
        </w:tabs>
        <w:snapToGrid w:val="0"/>
        <w:spacing w:line="360" w:lineRule="auto"/>
        <w:ind w:firstLine="422" w:firstLineChars="200"/>
        <w:jc w:val="left"/>
        <w:outlineLvl w:val="2"/>
        <w:rPr>
          <w:rFonts w:ascii="宋体" w:cs="宋体"/>
          <w:b/>
          <w:szCs w:val="21"/>
        </w:rPr>
      </w:pPr>
      <w:r>
        <w:rPr>
          <w:rFonts w:hint="eastAsia" w:ascii="宋体" w:hAnsi="宋体" w:cs="宋体"/>
          <w:b/>
          <w:bCs/>
          <w:szCs w:val="21"/>
        </w:rPr>
        <w:t>（五）</w:t>
      </w:r>
      <w:r>
        <w:rPr>
          <w:rFonts w:hint="eastAsia" w:ascii="宋体" w:hAnsi="宋体" w:cs="宋体"/>
          <w:b/>
          <w:szCs w:val="21"/>
        </w:rPr>
        <w:t>投标文件的有效期</w:t>
      </w:r>
    </w:p>
    <w:p>
      <w:pPr>
        <w:tabs>
          <w:tab w:val="left" w:pos="525"/>
        </w:tabs>
        <w:snapToGrid w:val="0"/>
        <w:spacing w:line="360" w:lineRule="auto"/>
        <w:ind w:firstLine="480" w:firstLineChars="200"/>
        <w:jc w:val="left"/>
        <w:rPr>
          <w:rFonts w:ascii="宋体" w:cs="宋体"/>
          <w:kern w:val="0"/>
          <w:szCs w:val="21"/>
        </w:rPr>
      </w:pPr>
      <w:r>
        <w:rPr>
          <w:rFonts w:hint="eastAsia" w:ascii="宋体" w:hAnsi="宋体" w:cs="宋体"/>
          <w:sz w:val="24"/>
        </w:rPr>
        <w:t>★</w:t>
      </w:r>
      <w:r>
        <w:rPr>
          <w:rFonts w:ascii="宋体" w:hAnsi="宋体" w:cs="宋体"/>
          <w:kern w:val="0"/>
          <w:szCs w:val="21"/>
        </w:rPr>
        <w:t>1</w:t>
      </w:r>
      <w:r>
        <w:rPr>
          <w:rFonts w:hint="eastAsia" w:ascii="宋体" w:hAnsi="宋体" w:cs="宋体"/>
          <w:kern w:val="0"/>
          <w:szCs w:val="21"/>
        </w:rPr>
        <w:t>、自投标截止日起</w:t>
      </w:r>
      <w:r>
        <w:rPr>
          <w:rFonts w:ascii="宋体" w:hAnsi="宋体" w:cs="宋体"/>
          <w:b/>
          <w:bCs/>
          <w:kern w:val="0"/>
          <w:szCs w:val="21"/>
          <w:u w:val="single"/>
        </w:rPr>
        <w:t xml:space="preserve"> 90 </w:t>
      </w:r>
      <w:r>
        <w:rPr>
          <w:rFonts w:hint="eastAsia" w:ascii="宋体" w:hAnsi="宋体" w:cs="宋体"/>
          <w:kern w:val="0"/>
          <w:szCs w:val="21"/>
        </w:rPr>
        <w:t>天投标文件应保持有效。有效期不足的投标文件将被拒绝；</w:t>
      </w:r>
    </w:p>
    <w:p>
      <w:pPr>
        <w:tabs>
          <w:tab w:val="left" w:pos="525"/>
        </w:tabs>
        <w:snapToGrid w:val="0"/>
        <w:spacing w:line="360" w:lineRule="auto"/>
        <w:ind w:firstLine="420" w:firstLineChars="200"/>
        <w:jc w:val="left"/>
        <w:rPr>
          <w:rFonts w:ascii="宋体" w:cs="宋体"/>
          <w:szCs w:val="21"/>
        </w:rPr>
      </w:pPr>
      <w:r>
        <w:rPr>
          <w:rFonts w:ascii="宋体" w:hAnsi="宋体" w:cs="宋体"/>
          <w:szCs w:val="21"/>
        </w:rPr>
        <w:t>2</w:t>
      </w:r>
      <w:r>
        <w:rPr>
          <w:rFonts w:hint="eastAsia" w:ascii="宋体" w:hAnsi="宋体" w:cs="宋体"/>
          <w:szCs w:val="21"/>
        </w:rPr>
        <w:t>、在特殊情况下，招标人可与</w:t>
      </w:r>
      <w:r>
        <w:rPr>
          <w:rFonts w:hint="eastAsia" w:ascii="宋体" w:hAnsi="宋体" w:cs="宋体"/>
          <w:szCs w:val="21"/>
          <w:lang w:eastAsia="zh-CN"/>
        </w:rPr>
        <w:t>供应商</w:t>
      </w:r>
      <w:r>
        <w:rPr>
          <w:rFonts w:hint="eastAsia" w:ascii="宋体" w:hAnsi="宋体" w:cs="宋体"/>
          <w:szCs w:val="21"/>
        </w:rPr>
        <w:t>协商延长投标书的有效期，这种要求和答复均以书面形式进行；</w:t>
      </w:r>
    </w:p>
    <w:p>
      <w:pPr>
        <w:snapToGrid w:val="0"/>
        <w:spacing w:line="360" w:lineRule="auto"/>
        <w:ind w:firstLine="420" w:firstLineChars="200"/>
        <w:jc w:val="left"/>
        <w:rPr>
          <w:rFonts w:ascii="宋体" w:cs="宋体"/>
          <w:b/>
          <w:szCs w:val="21"/>
        </w:rPr>
      </w:pPr>
      <w:bookmarkStart w:id="39" w:name="_Toc26675"/>
      <w:r>
        <w:rPr>
          <w:rFonts w:ascii="宋体" w:hAnsi="宋体" w:cs="宋体"/>
          <w:szCs w:val="21"/>
        </w:rPr>
        <w:t>3</w:t>
      </w:r>
      <w:r>
        <w:rPr>
          <w:rFonts w:hint="eastAsia" w:ascii="宋体" w:hAnsi="宋体" w:cs="宋体"/>
          <w:szCs w:val="21"/>
        </w:rPr>
        <w:t>、同意延长有效期的</w:t>
      </w:r>
      <w:r>
        <w:rPr>
          <w:rFonts w:hint="eastAsia" w:ascii="宋体" w:hAnsi="宋体" w:cs="宋体"/>
          <w:szCs w:val="21"/>
          <w:lang w:eastAsia="zh-CN"/>
        </w:rPr>
        <w:t>供应商</w:t>
      </w:r>
      <w:r>
        <w:rPr>
          <w:rFonts w:hint="eastAsia" w:ascii="宋体" w:hAnsi="宋体" w:cs="宋体"/>
          <w:szCs w:val="21"/>
        </w:rPr>
        <w:t>不能修改投标文件</w:t>
      </w:r>
      <w:bookmarkEnd w:id="39"/>
      <w:r>
        <w:rPr>
          <w:rFonts w:hint="eastAsia" w:ascii="宋体" w:hAnsi="宋体" w:cs="宋体"/>
          <w:szCs w:val="21"/>
        </w:rPr>
        <w:t>；</w:t>
      </w:r>
    </w:p>
    <w:p>
      <w:pPr>
        <w:snapToGrid w:val="0"/>
        <w:spacing w:line="360" w:lineRule="auto"/>
        <w:ind w:firstLine="420" w:firstLineChars="200"/>
        <w:jc w:val="left"/>
        <w:rPr>
          <w:rFonts w:ascii="宋体" w:cs="宋体"/>
          <w:b/>
          <w:szCs w:val="21"/>
        </w:rPr>
      </w:pPr>
      <w:bookmarkStart w:id="40" w:name="_Toc29670"/>
      <w:r>
        <w:rPr>
          <w:rFonts w:ascii="宋体" w:hAnsi="宋体" w:cs="宋体"/>
          <w:szCs w:val="21"/>
        </w:rPr>
        <w:t>4</w:t>
      </w:r>
      <w:r>
        <w:rPr>
          <w:rFonts w:hint="eastAsia" w:ascii="宋体" w:hAnsi="宋体" w:cs="宋体"/>
          <w:szCs w:val="21"/>
        </w:rPr>
        <w:t>、中标人的投标文件自开标之日起至合同履行完毕止均应保持有效。</w:t>
      </w:r>
      <w:bookmarkEnd w:id="40"/>
    </w:p>
    <w:p>
      <w:pPr>
        <w:snapToGrid w:val="0"/>
        <w:spacing w:line="360" w:lineRule="auto"/>
        <w:ind w:firstLine="413" w:firstLineChars="196"/>
        <w:jc w:val="left"/>
        <w:outlineLvl w:val="2"/>
        <w:rPr>
          <w:rFonts w:hint="eastAsia" w:ascii="宋体" w:eastAsia="宋体" w:cs="宋体"/>
          <w:b/>
          <w:szCs w:val="21"/>
          <w:lang w:eastAsia="zh-CN"/>
        </w:rPr>
      </w:pPr>
      <w:bookmarkStart w:id="41" w:name="_Toc1449"/>
      <w:r>
        <w:rPr>
          <w:rFonts w:hint="eastAsia" w:ascii="宋体" w:hAnsi="宋体" w:cs="宋体"/>
          <w:b/>
          <w:szCs w:val="21"/>
        </w:rPr>
        <w:t>（六）投标文件的</w:t>
      </w:r>
      <w:bookmarkEnd w:id="41"/>
      <w:r>
        <w:rPr>
          <w:rFonts w:hint="eastAsia" w:ascii="宋体" w:hAnsi="宋体" w:cs="宋体"/>
          <w:b/>
          <w:szCs w:val="21"/>
          <w:lang w:val="en-US" w:eastAsia="zh-CN"/>
        </w:rPr>
        <w:t>编制</w:t>
      </w:r>
    </w:p>
    <w:p>
      <w:pPr>
        <w:spacing w:line="360" w:lineRule="auto"/>
        <w:ind w:firstLine="420" w:firstLineChars="200"/>
        <w:rPr>
          <w:rFonts w:hint="eastAsia" w:ascii="宋体" w:hAnsi="宋体" w:cs="宋体"/>
          <w:b/>
          <w:color w:val="000000" w:themeColor="text1"/>
          <w:sz w:val="21"/>
          <w:szCs w:val="21"/>
          <w:highlight w:val="none"/>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1、</w:t>
      </w:r>
      <w:r>
        <w:rPr>
          <w:rFonts w:hint="eastAsia" w:ascii="宋体" w:hAnsi="宋体" w:cs="宋体"/>
          <w:color w:val="000000" w:themeColor="text1"/>
          <w:kern w:val="0"/>
          <w:sz w:val="21"/>
          <w:szCs w:val="21"/>
          <w:highlight w:val="none"/>
          <w:lang w:val="zh-CN"/>
          <w14:textFill>
            <w14:solidFill>
              <w14:schemeClr w14:val="tx1"/>
            </w14:solidFill>
          </w14:textFill>
        </w:rPr>
        <w:t>投标文件分为资格文件、商务技术文件、报价文件三部分。各供应商在编制投标文件时请按照招标文件第六部分规定的格式进行，混乱的编排导致投标文件被误读或评标委员会查找不到有效文件是供应商的风险。</w:t>
      </w:r>
    </w:p>
    <w:p>
      <w:pPr>
        <w:spacing w:line="360" w:lineRule="auto"/>
        <w:ind w:firstLine="420" w:firstLineChars="200"/>
        <w:rPr>
          <w:rFonts w:hint="eastAsia" w:ascii="宋体" w:hAnsi="宋体" w:cs="宋体"/>
          <w:color w:val="000000" w:themeColor="text1"/>
          <w:kern w:val="0"/>
          <w:sz w:val="21"/>
          <w:szCs w:val="21"/>
          <w:highlight w:val="none"/>
          <w:lang w:val="zh-CN"/>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2、</w:t>
      </w:r>
      <w:r>
        <w:rPr>
          <w:rFonts w:hint="eastAsia" w:ascii="宋体" w:hAnsi="宋体" w:cs="宋体"/>
          <w:color w:val="000000" w:themeColor="text1"/>
          <w:kern w:val="0"/>
          <w:sz w:val="21"/>
          <w:szCs w:val="21"/>
          <w:highlight w:val="none"/>
          <w:lang w:val="zh-CN"/>
          <w14:textFill>
            <w14:solidFill>
              <w14:schemeClr w14:val="tx1"/>
            </w14:solidFill>
          </w14:textFill>
        </w:rPr>
        <w:t>供应商进行电子投标应安装客户端软件—“政采云电子交易客户端”，并按照招标文件和电子交易平台的要求编制并加密投标文件。供应商未按规定加密的投标文件，电子交易平台将拒收并提示。</w:t>
      </w:r>
    </w:p>
    <w:p>
      <w:pPr>
        <w:spacing w:line="360" w:lineRule="auto"/>
        <w:ind w:firstLine="420" w:firstLineChars="200"/>
        <w:rPr>
          <w:rFonts w:hint="eastAsia" w:ascii="宋体" w:hAnsi="宋体" w:cs="宋体"/>
          <w:color w:val="000000" w:themeColor="text1"/>
          <w:kern w:val="0"/>
          <w:sz w:val="21"/>
          <w:szCs w:val="21"/>
          <w:highlight w:val="none"/>
          <w:lang w:val="zh-CN"/>
          <w14:textFill>
            <w14:solidFill>
              <w14:schemeClr w14:val="tx1"/>
            </w14:solidFill>
          </w14:textFill>
        </w:rPr>
      </w:pPr>
      <w:r>
        <w:rPr>
          <w:rFonts w:hint="eastAsia" w:ascii="宋体" w:hAnsi="宋体" w:cs="宋体"/>
          <w:color w:val="000000" w:themeColor="text1"/>
          <w:kern w:val="0"/>
          <w:sz w:val="21"/>
          <w:szCs w:val="21"/>
          <w:highlight w:val="none"/>
          <w:lang w:val="en-US" w:eastAsia="zh-CN"/>
          <w14:textFill>
            <w14:solidFill>
              <w14:schemeClr w14:val="tx1"/>
            </w14:solidFill>
          </w14:textFill>
        </w:rPr>
        <w:t>3、</w:t>
      </w:r>
      <w:r>
        <w:rPr>
          <w:rFonts w:hint="eastAsia" w:ascii="宋体" w:hAnsi="宋体" w:cs="宋体"/>
          <w:color w:val="000000" w:themeColor="text1"/>
          <w:kern w:val="0"/>
          <w:sz w:val="21"/>
          <w:szCs w:val="21"/>
          <w:highlight w:val="none"/>
          <w:lang w:val="zh-CN"/>
          <w14:textFill>
            <w14:solidFill>
              <w14:schemeClr w14:val="tx1"/>
            </w14:solidFill>
          </w14:textFill>
        </w:rPr>
        <w:t>使用“政采云电子交易客户端”需要提前申领CA数字证书，申领流程请自行前往“浙江政府采购网-下载专区-电子交易客户端-CA驱动和申领流程”进行查阅。</w:t>
      </w:r>
    </w:p>
    <w:p>
      <w:pPr>
        <w:snapToGrid w:val="0"/>
        <w:spacing w:line="360" w:lineRule="auto"/>
        <w:ind w:firstLine="310" w:firstLineChars="147"/>
        <w:jc w:val="left"/>
        <w:rPr>
          <w:rFonts w:ascii="宋体" w:cs="宋体"/>
          <w:b/>
          <w:szCs w:val="21"/>
        </w:rPr>
      </w:pPr>
      <w:r>
        <w:rPr>
          <w:rFonts w:hint="eastAsia" w:ascii="宋体" w:hAnsi="宋体" w:cs="宋体"/>
          <w:b/>
          <w:szCs w:val="21"/>
        </w:rPr>
        <w:t>（七）投标文件的包装、递交、修改和撤回</w:t>
      </w:r>
    </w:p>
    <w:p>
      <w:pPr>
        <w:pStyle w:val="91"/>
        <w:ind w:firstLine="480"/>
        <w:rPr>
          <w:rFonts w:hint="eastAsia" w:ascii="宋体" w:hAnsi="宋体" w:cs="宋体"/>
          <w:color w:val="000000" w:themeColor="text1"/>
          <w:sz w:val="21"/>
          <w:szCs w:val="21"/>
          <w:highlight w:val="none"/>
          <w14:textFill>
            <w14:solidFill>
              <w14:schemeClr w14:val="tx1"/>
            </w14:solidFill>
          </w14:textFill>
        </w:rPr>
      </w:pPr>
      <w:bookmarkStart w:id="42" w:name="_Toc15401"/>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cs="宋体"/>
          <w:color w:val="000000" w:themeColor="text1"/>
          <w:sz w:val="21"/>
          <w:szCs w:val="21"/>
          <w:highlight w:val="none"/>
          <w14:textFill>
            <w14:solidFill>
              <w14:schemeClr w14:val="tx1"/>
            </w14:solidFill>
          </w14:textFill>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1"/>
        <w:spacing w:before="0"/>
        <w:ind w:firstLine="48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cs="宋体"/>
          <w:color w:val="000000" w:themeColor="text1"/>
          <w:sz w:val="21"/>
          <w:szCs w:val="21"/>
          <w:highlight w:val="none"/>
          <w14:textFill>
            <w14:solidFill>
              <w14:schemeClr w14:val="tx1"/>
            </w14:solidFill>
          </w14:textFill>
        </w:rPr>
        <w:t>电子交易平台收到投标文件，将妥善保存并即时向供应商发出确认回执通知。在投标截止时间前，除供应商补充、修改或者撤回投标文件外，任何单位和个人不得解密或提取投标文件。</w:t>
      </w:r>
    </w:p>
    <w:p>
      <w:pPr>
        <w:snapToGrid w:val="0"/>
        <w:spacing w:line="400" w:lineRule="exact"/>
        <w:ind w:firstLine="407" w:firstLineChars="194"/>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采购人、</w:t>
      </w:r>
      <w:r>
        <w:rPr>
          <w:rFonts w:hint="eastAsia" w:ascii="宋体" w:hAnsi="宋体" w:cs="宋体"/>
          <w:color w:val="000000" w:themeColor="text1"/>
          <w:szCs w:val="21"/>
          <w:highlight w:val="none"/>
          <w:lang w:eastAsia="zh-CN"/>
          <w14:textFill>
            <w14:solidFill>
              <w14:schemeClr w14:val="tx1"/>
            </w14:solidFill>
          </w14:textFill>
        </w:rPr>
        <w:t>采购代理机构</w:t>
      </w:r>
      <w:r>
        <w:rPr>
          <w:rFonts w:hint="eastAsia" w:ascii="宋体" w:hAnsi="宋体" w:cs="宋体"/>
          <w:color w:val="000000" w:themeColor="text1"/>
          <w:szCs w:val="21"/>
          <w:highlight w:val="none"/>
          <w14:textFill>
            <w14:solidFill>
              <w14:schemeClr w14:val="tx1"/>
            </w14:solidFill>
          </w14:textFill>
        </w:rPr>
        <w:t>可以视情况延长投标文件提交的截止时间。在上述情况下，</w:t>
      </w:r>
      <w:r>
        <w:rPr>
          <w:rFonts w:hint="eastAsia" w:ascii="宋体" w:hAnsi="宋体" w:cs="宋体"/>
          <w:color w:val="000000" w:themeColor="text1"/>
          <w:szCs w:val="21"/>
          <w:highlight w:val="none"/>
          <w:lang w:eastAsia="zh-CN"/>
          <w14:textFill>
            <w14:solidFill>
              <w14:schemeClr w14:val="tx1"/>
            </w14:solidFill>
          </w14:textFill>
        </w:rPr>
        <w:t>采购代理机构</w:t>
      </w:r>
      <w:r>
        <w:rPr>
          <w:rFonts w:hint="eastAsia" w:ascii="宋体" w:hAnsi="宋体" w:cs="宋体"/>
          <w:color w:val="000000" w:themeColor="text1"/>
          <w:szCs w:val="21"/>
          <w:highlight w:val="none"/>
          <w14:textFill>
            <w14:solidFill>
              <w14:schemeClr w14:val="tx1"/>
            </w14:solidFill>
          </w14:textFill>
        </w:rPr>
        <w:t>与</w:t>
      </w:r>
      <w:r>
        <w:rPr>
          <w:rFonts w:hint="eastAsia" w:ascii="宋体" w:hAnsi="宋体" w:cs="宋体"/>
          <w:color w:val="000000" w:themeColor="text1"/>
          <w:szCs w:val="21"/>
          <w:highlight w:val="none"/>
          <w:lang w:eastAsia="zh-CN"/>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以前在投标截止期方面的全部权利、责任和义务，将适用于延长至新的投标截止期。</w:t>
      </w:r>
    </w:p>
    <w:p>
      <w:pPr>
        <w:pStyle w:val="13"/>
        <w:spacing w:line="360" w:lineRule="auto"/>
        <w:ind w:firstLine="211" w:firstLineChars="100"/>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lang w:eastAsia="zh-CN"/>
          <w14:textFill>
            <w14:solidFill>
              <w14:schemeClr w14:val="tx1"/>
            </w14:solidFill>
          </w14:textFill>
        </w:rPr>
        <w:t>（</w:t>
      </w:r>
      <w:r>
        <w:rPr>
          <w:rFonts w:hint="eastAsia" w:hAnsi="宋体" w:cs="宋体"/>
          <w:b/>
          <w:color w:val="000000" w:themeColor="text1"/>
          <w:sz w:val="21"/>
          <w:szCs w:val="21"/>
          <w:highlight w:val="none"/>
          <w:lang w:val="en-US" w:eastAsia="zh-CN"/>
          <w14:textFill>
            <w14:solidFill>
              <w14:schemeClr w14:val="tx1"/>
            </w14:solidFill>
          </w14:textFill>
        </w:rPr>
        <w:t>八</w:t>
      </w:r>
      <w:r>
        <w:rPr>
          <w:rFonts w:hint="eastAsia" w:hAnsi="宋体" w:cs="宋体"/>
          <w:b/>
          <w:color w:val="000000" w:themeColor="text1"/>
          <w:sz w:val="21"/>
          <w:szCs w:val="21"/>
          <w:highlight w:val="none"/>
          <w:lang w:eastAsia="zh-CN"/>
          <w14:textFill>
            <w14:solidFill>
              <w14:schemeClr w14:val="tx1"/>
            </w14:solidFill>
          </w14:textFill>
        </w:rPr>
        <w:t>）</w:t>
      </w:r>
      <w:r>
        <w:rPr>
          <w:rFonts w:hint="eastAsia" w:hAnsi="宋体" w:cs="宋体"/>
          <w:b/>
          <w:color w:val="000000" w:themeColor="text1"/>
          <w:sz w:val="21"/>
          <w:szCs w:val="21"/>
          <w:highlight w:val="none"/>
          <w14:textFill>
            <w14:solidFill>
              <w14:schemeClr w14:val="tx1"/>
            </w14:solidFill>
          </w14:textFill>
        </w:rPr>
        <w:t>备份投标文件（文件后缀为：bfbs）</w:t>
      </w:r>
    </w:p>
    <w:p>
      <w:pPr>
        <w:pStyle w:val="13"/>
        <w:spacing w:line="360" w:lineRule="auto"/>
        <w:ind w:firstLine="315" w:firstLineChars="150"/>
        <w:rPr>
          <w:rFonts w:hAnsi="宋体" w:cs="宋体"/>
          <w:b/>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 xml:space="preserve"> </w:t>
      </w:r>
      <w:r>
        <w:rPr>
          <w:rFonts w:hint="eastAsia" w:hAnsi="宋体" w:cs="宋体"/>
          <w:color w:val="000000" w:themeColor="text1"/>
          <w:sz w:val="21"/>
          <w:szCs w:val="21"/>
          <w:highlight w:val="none"/>
          <w:lang w:eastAsia="zh-CN"/>
          <w14:textFill>
            <w14:solidFill>
              <w14:schemeClr w14:val="tx1"/>
            </w14:solidFill>
          </w14:textFill>
        </w:rPr>
        <w:t>1、供应商</w:t>
      </w:r>
      <w:r>
        <w:rPr>
          <w:rFonts w:hint="eastAsia" w:hAnsi="宋体" w:cs="宋体"/>
          <w:color w:val="000000" w:themeColor="text1"/>
          <w:sz w:val="21"/>
          <w:szCs w:val="21"/>
          <w:highlight w:val="none"/>
          <w14:textFill>
            <w14:solidFill>
              <w14:schemeClr w14:val="tx1"/>
            </w14:solidFill>
          </w14:textFill>
        </w:rPr>
        <w:t>在电子交易平台传输递交投标文件后，还可以在投标截止时间前直接提交或者以邮政快递方式递交备份投标文件1份，</w:t>
      </w:r>
      <w:r>
        <w:rPr>
          <w:rFonts w:hint="eastAsia" w:hAnsi="宋体" w:cs="宋体"/>
          <w:b/>
          <w:color w:val="000000" w:themeColor="text1"/>
          <w:sz w:val="21"/>
          <w:szCs w:val="21"/>
          <w:highlight w:val="none"/>
          <w14:textFill>
            <w14:solidFill>
              <w14:schemeClr w14:val="tx1"/>
            </w14:solidFill>
          </w14:textFill>
        </w:rPr>
        <w:t>但采购人、</w:t>
      </w:r>
      <w:r>
        <w:rPr>
          <w:rFonts w:hint="eastAsia" w:hAnsi="宋体" w:cs="宋体"/>
          <w:b/>
          <w:color w:val="000000" w:themeColor="text1"/>
          <w:sz w:val="21"/>
          <w:szCs w:val="21"/>
          <w:highlight w:val="none"/>
          <w:lang w:eastAsia="zh-CN"/>
          <w14:textFill>
            <w14:solidFill>
              <w14:schemeClr w14:val="tx1"/>
            </w14:solidFill>
          </w14:textFill>
        </w:rPr>
        <w:t>采购代理机构</w:t>
      </w:r>
      <w:r>
        <w:rPr>
          <w:rFonts w:hint="eastAsia" w:hAnsi="宋体" w:cs="宋体"/>
          <w:b/>
          <w:color w:val="000000" w:themeColor="text1"/>
          <w:sz w:val="21"/>
          <w:szCs w:val="21"/>
          <w:highlight w:val="none"/>
          <w14:textFill>
            <w14:solidFill>
              <w14:schemeClr w14:val="tx1"/>
            </w14:solidFill>
          </w14:textFill>
        </w:rPr>
        <w:t>不强制或变相强制</w:t>
      </w:r>
      <w:r>
        <w:rPr>
          <w:rFonts w:hint="eastAsia" w:hAnsi="宋体" w:cs="宋体"/>
          <w:b/>
          <w:color w:val="000000" w:themeColor="text1"/>
          <w:sz w:val="21"/>
          <w:szCs w:val="21"/>
          <w:highlight w:val="none"/>
          <w:lang w:eastAsia="zh-CN"/>
          <w14:textFill>
            <w14:solidFill>
              <w14:schemeClr w14:val="tx1"/>
            </w14:solidFill>
          </w14:textFill>
        </w:rPr>
        <w:t>供应商</w:t>
      </w:r>
      <w:r>
        <w:rPr>
          <w:rFonts w:hint="eastAsia" w:hAnsi="宋体" w:cs="宋体"/>
          <w:b/>
          <w:color w:val="000000" w:themeColor="text1"/>
          <w:sz w:val="21"/>
          <w:szCs w:val="21"/>
          <w:highlight w:val="none"/>
          <w14:textFill>
            <w14:solidFill>
              <w14:schemeClr w14:val="tx1"/>
            </w14:solidFill>
          </w14:textFill>
        </w:rPr>
        <w:t>提交备份投标文件。</w:t>
      </w:r>
    </w:p>
    <w:p>
      <w:pPr>
        <w:pStyle w:val="13"/>
        <w:spacing w:line="360" w:lineRule="auto"/>
        <w:ind w:firstLine="420" w:firstLineChars="200"/>
        <w:rPr>
          <w:rFonts w:hAnsi="宋体" w:cs="宋体"/>
          <w:b/>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lang w:eastAsia="zh-CN"/>
          <w14:textFill>
            <w14:solidFill>
              <w14:schemeClr w14:val="tx1"/>
            </w14:solidFill>
          </w14:textFill>
        </w:rPr>
        <w:t>2、</w:t>
      </w:r>
      <w:r>
        <w:rPr>
          <w:rFonts w:hint="eastAsia" w:hAnsi="宋体" w:cs="宋体"/>
          <w:color w:val="000000" w:themeColor="text1"/>
          <w:sz w:val="21"/>
          <w:szCs w:val="21"/>
          <w:highlight w:val="none"/>
          <w14:textFill>
            <w14:solidFill>
              <w14:schemeClr w14:val="tx1"/>
            </w14:solidFill>
          </w14:textFill>
        </w:rPr>
        <w:t>备份投标文件须在“政采云投标客户端”制作生成，并储存在</w:t>
      </w:r>
      <w:r>
        <w:rPr>
          <w:rFonts w:hint="eastAsia" w:hAnsi="宋体" w:cs="宋体"/>
          <w:color w:val="000000" w:themeColor="text1"/>
          <w:sz w:val="21"/>
          <w:szCs w:val="21"/>
          <w:highlight w:val="none"/>
          <w:lang w:val="en-US" w:eastAsia="zh-CN"/>
          <w14:textFill>
            <w14:solidFill>
              <w14:schemeClr w14:val="tx1"/>
            </w14:solidFill>
          </w14:textFill>
        </w:rPr>
        <w:t>U</w:t>
      </w:r>
      <w:r>
        <w:rPr>
          <w:rFonts w:hint="eastAsia" w:hAnsi="宋体" w:cs="宋体"/>
          <w:color w:val="000000" w:themeColor="text1"/>
          <w:sz w:val="21"/>
          <w:szCs w:val="21"/>
          <w:highlight w:val="none"/>
          <w14:textFill>
            <w14:solidFill>
              <w14:schemeClr w14:val="tx1"/>
            </w14:solidFill>
          </w14:textFill>
        </w:rPr>
        <w:t>盘中。备份投标文件应当密封包装并在包装上加盖公章并注明投标项目名称，</w:t>
      </w:r>
      <w:r>
        <w:rPr>
          <w:rFonts w:hint="eastAsia" w:hAnsi="宋体" w:cs="宋体"/>
          <w:color w:val="000000" w:themeColor="text1"/>
          <w:sz w:val="21"/>
          <w:szCs w:val="21"/>
          <w:highlight w:val="none"/>
          <w:lang w:eastAsia="zh-CN"/>
          <w14:textFill>
            <w14:solidFill>
              <w14:schemeClr w14:val="tx1"/>
            </w14:solidFill>
          </w14:textFill>
        </w:rPr>
        <w:t>供应商</w:t>
      </w:r>
      <w:r>
        <w:rPr>
          <w:rFonts w:hint="eastAsia" w:hAnsi="宋体" w:cs="宋体"/>
          <w:color w:val="000000" w:themeColor="text1"/>
          <w:sz w:val="21"/>
          <w:szCs w:val="21"/>
          <w:highlight w:val="none"/>
          <w14:textFill>
            <w14:solidFill>
              <w14:schemeClr w14:val="tx1"/>
            </w14:solidFill>
          </w14:textFill>
        </w:rPr>
        <w:t>名称(联合体投标的，包装物封面需注明联合体投标，并注明联合体成员各方的名称和联合协议中约定的牵头人的名称)。</w:t>
      </w:r>
      <w:r>
        <w:rPr>
          <w:rFonts w:hint="eastAsia" w:hAnsi="宋体" w:cs="宋体"/>
          <w:b/>
          <w:color w:val="000000" w:themeColor="text1"/>
          <w:sz w:val="21"/>
          <w:szCs w:val="21"/>
          <w:highlight w:val="none"/>
          <w14:textFill>
            <w14:solidFill>
              <w14:schemeClr w14:val="tx1"/>
            </w14:solidFill>
          </w14:textFill>
        </w:rPr>
        <w:t>不符合上述制作、存储、密封规定的备份投标文件将被视为无效或者被拒绝接收。</w:t>
      </w:r>
    </w:p>
    <w:p>
      <w:pPr>
        <w:pStyle w:val="13"/>
        <w:spacing w:line="360" w:lineRule="auto"/>
        <w:ind w:firstLine="420"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lang w:eastAsia="zh-CN"/>
          <w14:textFill>
            <w14:solidFill>
              <w14:schemeClr w14:val="tx1"/>
            </w14:solidFill>
          </w14:textFill>
        </w:rPr>
        <w:t>3、</w:t>
      </w:r>
      <w:r>
        <w:rPr>
          <w:rFonts w:hint="eastAsia" w:hAnsi="宋体" w:cs="宋体"/>
          <w:color w:val="000000" w:themeColor="text1"/>
          <w:sz w:val="21"/>
          <w:szCs w:val="21"/>
          <w:highlight w:val="none"/>
          <w14:textFill>
            <w14:solidFill>
              <w14:schemeClr w14:val="tx1"/>
            </w14:solidFill>
          </w14:textFill>
        </w:rPr>
        <w:t>直接提交备份投标文件的，</w:t>
      </w:r>
      <w:r>
        <w:rPr>
          <w:rFonts w:hint="eastAsia" w:hAnsi="宋体" w:cs="宋体"/>
          <w:color w:val="000000" w:themeColor="text1"/>
          <w:sz w:val="21"/>
          <w:szCs w:val="21"/>
          <w:highlight w:val="none"/>
          <w:lang w:eastAsia="zh-CN"/>
          <w14:textFill>
            <w14:solidFill>
              <w14:schemeClr w14:val="tx1"/>
            </w14:solidFill>
          </w14:textFill>
        </w:rPr>
        <w:t>供应商</w:t>
      </w:r>
      <w:r>
        <w:rPr>
          <w:rFonts w:hint="eastAsia" w:hAnsi="宋体" w:cs="宋体"/>
          <w:color w:val="000000" w:themeColor="text1"/>
          <w:sz w:val="21"/>
          <w:szCs w:val="21"/>
          <w:highlight w:val="none"/>
          <w14:textFill>
            <w14:solidFill>
              <w14:schemeClr w14:val="tx1"/>
            </w14:solidFill>
          </w14:textFill>
        </w:rPr>
        <w:t>应于投标截止时间前在</w:t>
      </w:r>
      <w:r>
        <w:rPr>
          <w:rFonts w:hint="eastAsia" w:hAnsi="宋体" w:cs="宋体"/>
          <w:snapToGrid/>
          <w:color w:val="000000" w:themeColor="text1"/>
          <w:sz w:val="21"/>
          <w:szCs w:val="21"/>
          <w:highlight w:val="none"/>
          <w14:textFill>
            <w14:solidFill>
              <w14:schemeClr w14:val="tx1"/>
            </w14:solidFill>
          </w14:textFill>
        </w:rPr>
        <w:t>招标文件第</w:t>
      </w:r>
      <w:r>
        <w:rPr>
          <w:rFonts w:hint="eastAsia" w:hAnsi="宋体" w:cs="宋体"/>
          <w:snapToGrid/>
          <w:color w:val="000000" w:themeColor="text1"/>
          <w:sz w:val="21"/>
          <w:szCs w:val="21"/>
          <w:highlight w:val="none"/>
          <w:lang w:eastAsia="zh-CN"/>
          <w14:textFill>
            <w14:solidFill>
              <w14:schemeClr w14:val="tx1"/>
            </w14:solidFill>
          </w14:textFill>
        </w:rPr>
        <w:t>一</w:t>
      </w:r>
      <w:r>
        <w:rPr>
          <w:rFonts w:hint="eastAsia" w:hAnsi="宋体" w:cs="宋体"/>
          <w:snapToGrid/>
          <w:color w:val="000000" w:themeColor="text1"/>
          <w:sz w:val="21"/>
          <w:szCs w:val="21"/>
          <w:highlight w:val="none"/>
          <w14:textFill>
            <w14:solidFill>
              <w14:schemeClr w14:val="tx1"/>
            </w14:solidFill>
          </w14:textFill>
        </w:rPr>
        <w:t>部分</w:t>
      </w:r>
      <w:r>
        <w:rPr>
          <w:rFonts w:hint="eastAsia" w:hAnsi="宋体" w:cs="宋体"/>
          <w:snapToGrid/>
          <w:color w:val="000000" w:themeColor="text1"/>
          <w:sz w:val="21"/>
          <w:szCs w:val="21"/>
          <w:highlight w:val="none"/>
          <w:lang w:val="en-US" w:eastAsia="zh-CN"/>
          <w14:textFill>
            <w14:solidFill>
              <w14:schemeClr w14:val="tx1"/>
            </w14:solidFill>
          </w14:textFill>
        </w:rPr>
        <w:t>招标公告</w:t>
      </w:r>
      <w:r>
        <w:rPr>
          <w:rFonts w:hint="eastAsia" w:hAnsi="宋体" w:cs="宋体"/>
          <w:snapToGrid/>
          <w:color w:val="000000" w:themeColor="text1"/>
          <w:sz w:val="21"/>
          <w:szCs w:val="21"/>
          <w:highlight w:val="none"/>
          <w14:textFill>
            <w14:solidFill>
              <w14:schemeClr w14:val="tx1"/>
            </w14:solidFill>
          </w14:textFill>
        </w:rPr>
        <w:t>规定的备份投标文件送达地点</w:t>
      </w:r>
      <w:r>
        <w:rPr>
          <w:rFonts w:hint="eastAsia" w:hAnsi="宋体" w:cs="宋体"/>
          <w:color w:val="000000" w:themeColor="text1"/>
          <w:sz w:val="21"/>
          <w:szCs w:val="21"/>
          <w:highlight w:val="none"/>
          <w14:textFill>
            <w14:solidFill>
              <w14:schemeClr w14:val="tx1"/>
            </w14:solidFill>
          </w14:textFill>
        </w:rPr>
        <w:t>将备份投标文件提交给</w:t>
      </w:r>
      <w:r>
        <w:rPr>
          <w:rFonts w:hint="eastAsia" w:hAnsi="宋体" w:cs="宋体"/>
          <w:color w:val="000000" w:themeColor="text1"/>
          <w:sz w:val="21"/>
          <w:szCs w:val="21"/>
          <w:highlight w:val="none"/>
          <w:lang w:eastAsia="zh-CN"/>
          <w14:textFill>
            <w14:solidFill>
              <w14:schemeClr w14:val="tx1"/>
            </w14:solidFill>
          </w14:textFill>
        </w:rPr>
        <w:t>采购代理机构</w:t>
      </w:r>
      <w:r>
        <w:rPr>
          <w:rFonts w:hint="eastAsia" w:hAnsi="宋体" w:cs="宋体"/>
          <w:color w:val="000000" w:themeColor="text1"/>
          <w:sz w:val="21"/>
          <w:szCs w:val="21"/>
          <w:highlight w:val="none"/>
          <w14:textFill>
            <w14:solidFill>
              <w14:schemeClr w14:val="tx1"/>
            </w14:solidFill>
          </w14:textFill>
        </w:rPr>
        <w:t>，</w:t>
      </w:r>
      <w:r>
        <w:rPr>
          <w:rFonts w:hint="eastAsia" w:hAnsi="宋体" w:cs="宋体"/>
          <w:color w:val="000000" w:themeColor="text1"/>
          <w:sz w:val="21"/>
          <w:szCs w:val="21"/>
          <w:highlight w:val="none"/>
          <w:lang w:eastAsia="zh-CN"/>
          <w14:textFill>
            <w14:solidFill>
              <w14:schemeClr w14:val="tx1"/>
            </w14:solidFill>
          </w14:textFill>
        </w:rPr>
        <w:t>采购代理机构</w:t>
      </w:r>
      <w:r>
        <w:rPr>
          <w:rFonts w:hint="eastAsia" w:hAnsi="宋体" w:cs="宋体"/>
          <w:color w:val="000000" w:themeColor="text1"/>
          <w:sz w:val="21"/>
          <w:szCs w:val="21"/>
          <w:highlight w:val="none"/>
          <w14:textFill>
            <w14:solidFill>
              <w14:schemeClr w14:val="tx1"/>
            </w14:solidFill>
          </w14:textFill>
        </w:rPr>
        <w:t>将拒绝接受逾期送达的备份投标文件。</w:t>
      </w:r>
    </w:p>
    <w:p>
      <w:pPr>
        <w:pStyle w:val="13"/>
        <w:spacing w:line="360" w:lineRule="auto"/>
        <w:ind w:firstLine="420" w:firstLineChars="200"/>
        <w:rPr>
          <w:rFonts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lang w:eastAsia="zh-CN"/>
          <w14:textFill>
            <w14:solidFill>
              <w14:schemeClr w14:val="tx1"/>
            </w14:solidFill>
          </w14:textFill>
        </w:rPr>
        <w:t>4、</w:t>
      </w:r>
      <w:r>
        <w:rPr>
          <w:rFonts w:hint="eastAsia" w:hAnsi="宋体" w:cs="宋体"/>
          <w:color w:val="000000" w:themeColor="text1"/>
          <w:sz w:val="21"/>
          <w:szCs w:val="21"/>
          <w:highlight w:val="none"/>
          <w14:textFill>
            <w14:solidFill>
              <w14:schemeClr w14:val="tx1"/>
            </w14:solidFill>
          </w14:textFill>
        </w:rPr>
        <w:t>以邮政快递方式递交备份投标文件的，</w:t>
      </w:r>
      <w:r>
        <w:rPr>
          <w:rFonts w:hint="eastAsia" w:hAnsi="宋体" w:cs="宋体"/>
          <w:color w:val="000000" w:themeColor="text1"/>
          <w:sz w:val="21"/>
          <w:szCs w:val="21"/>
          <w:highlight w:val="none"/>
          <w:lang w:eastAsia="zh-CN"/>
          <w14:textFill>
            <w14:solidFill>
              <w14:schemeClr w14:val="tx1"/>
            </w14:solidFill>
          </w14:textFill>
        </w:rPr>
        <w:t>供应商</w:t>
      </w:r>
      <w:r>
        <w:rPr>
          <w:rFonts w:hint="eastAsia" w:hAnsi="宋体" w:cs="宋体"/>
          <w:color w:val="000000" w:themeColor="text1"/>
          <w:sz w:val="21"/>
          <w:szCs w:val="21"/>
          <w:highlight w:val="none"/>
          <w14:textFill>
            <w14:solidFill>
              <w14:schemeClr w14:val="tx1"/>
            </w14:solidFill>
          </w14:textFill>
        </w:rPr>
        <w:t>应先将备份投标文件按要求密封和标记，再进行邮政快递包装后邮寄。备份投标文件须在</w:t>
      </w:r>
      <w:r>
        <w:rPr>
          <w:rFonts w:hint="eastAsia" w:hAnsi="宋体" w:cs="宋体"/>
          <w:snapToGrid/>
          <w:color w:val="000000" w:themeColor="text1"/>
          <w:sz w:val="21"/>
          <w:szCs w:val="21"/>
          <w:highlight w:val="none"/>
          <w14:textFill>
            <w14:solidFill>
              <w14:schemeClr w14:val="tx1"/>
            </w14:solidFill>
          </w14:textFill>
        </w:rPr>
        <w:t>第</w:t>
      </w:r>
      <w:r>
        <w:rPr>
          <w:rFonts w:hint="eastAsia" w:hAnsi="宋体" w:cs="宋体"/>
          <w:snapToGrid/>
          <w:color w:val="000000" w:themeColor="text1"/>
          <w:sz w:val="21"/>
          <w:szCs w:val="21"/>
          <w:highlight w:val="none"/>
          <w:lang w:eastAsia="zh-CN"/>
          <w14:textFill>
            <w14:solidFill>
              <w14:schemeClr w14:val="tx1"/>
            </w14:solidFill>
          </w14:textFill>
        </w:rPr>
        <w:t>一章</w:t>
      </w:r>
      <w:r>
        <w:rPr>
          <w:rFonts w:hint="eastAsia" w:hAnsi="宋体" w:cs="宋体"/>
          <w:snapToGrid/>
          <w:color w:val="000000" w:themeColor="text1"/>
          <w:sz w:val="21"/>
          <w:szCs w:val="21"/>
          <w:highlight w:val="none"/>
          <w:lang w:val="en-US" w:eastAsia="zh-CN"/>
          <w14:textFill>
            <w14:solidFill>
              <w14:schemeClr w14:val="tx1"/>
            </w14:solidFill>
          </w14:textFill>
        </w:rPr>
        <w:t>招标公告</w:t>
      </w:r>
      <w:r>
        <w:rPr>
          <w:rFonts w:hint="eastAsia" w:hAnsi="宋体" w:cs="宋体"/>
          <w:snapToGrid/>
          <w:color w:val="000000" w:themeColor="text1"/>
          <w:sz w:val="21"/>
          <w:szCs w:val="21"/>
          <w:highlight w:val="none"/>
          <w14:textFill>
            <w14:solidFill>
              <w14:schemeClr w14:val="tx1"/>
            </w14:solidFill>
          </w14:textFill>
        </w:rPr>
        <w:t>规定的备份投标文件送达</w:t>
      </w:r>
      <w:r>
        <w:rPr>
          <w:rFonts w:hint="eastAsia" w:hAnsi="宋体" w:cs="宋体"/>
          <w:color w:val="000000" w:themeColor="text1"/>
          <w:sz w:val="21"/>
          <w:szCs w:val="21"/>
          <w:highlight w:val="none"/>
          <w14:textFill>
            <w14:solidFill>
              <w14:schemeClr w14:val="tx1"/>
            </w14:solidFill>
          </w14:textFill>
        </w:rPr>
        <w:t>截止时间之前送达</w:t>
      </w:r>
      <w:r>
        <w:rPr>
          <w:rFonts w:hint="eastAsia" w:hAnsi="宋体" w:cs="宋体"/>
          <w:snapToGrid/>
          <w:color w:val="000000" w:themeColor="text1"/>
          <w:sz w:val="21"/>
          <w:szCs w:val="21"/>
          <w:highlight w:val="none"/>
          <w14:textFill>
            <w14:solidFill>
              <w14:schemeClr w14:val="tx1"/>
            </w14:solidFill>
          </w14:textFill>
        </w:rPr>
        <w:t>第</w:t>
      </w:r>
      <w:r>
        <w:rPr>
          <w:rFonts w:hint="eastAsia" w:hAnsi="宋体" w:cs="宋体"/>
          <w:snapToGrid/>
          <w:color w:val="000000" w:themeColor="text1"/>
          <w:sz w:val="21"/>
          <w:szCs w:val="21"/>
          <w:highlight w:val="none"/>
          <w:lang w:eastAsia="zh-CN"/>
          <w14:textFill>
            <w14:solidFill>
              <w14:schemeClr w14:val="tx1"/>
            </w14:solidFill>
          </w14:textFill>
        </w:rPr>
        <w:t>一章</w:t>
      </w:r>
      <w:r>
        <w:rPr>
          <w:rFonts w:hint="eastAsia" w:hAnsi="宋体" w:cs="宋体"/>
          <w:snapToGrid/>
          <w:color w:val="000000" w:themeColor="text1"/>
          <w:sz w:val="21"/>
          <w:szCs w:val="21"/>
          <w:highlight w:val="none"/>
          <w:lang w:val="en-US" w:eastAsia="zh-CN"/>
          <w14:textFill>
            <w14:solidFill>
              <w14:schemeClr w14:val="tx1"/>
            </w14:solidFill>
          </w14:textFill>
        </w:rPr>
        <w:t>招标公告</w:t>
      </w:r>
      <w:r>
        <w:rPr>
          <w:rFonts w:hint="eastAsia" w:hAnsi="宋体" w:cs="宋体"/>
          <w:snapToGrid/>
          <w:color w:val="000000" w:themeColor="text1"/>
          <w:sz w:val="21"/>
          <w:szCs w:val="21"/>
          <w:highlight w:val="none"/>
          <w14:textFill>
            <w14:solidFill>
              <w14:schemeClr w14:val="tx1"/>
            </w14:solidFill>
          </w14:textFill>
        </w:rPr>
        <w:t>规定的备份投标文件送达地点；</w:t>
      </w:r>
      <w:r>
        <w:rPr>
          <w:rFonts w:hint="eastAsia" w:hAnsi="宋体" w:cs="宋体"/>
          <w:color w:val="000000" w:themeColor="text1"/>
          <w:sz w:val="21"/>
          <w:szCs w:val="21"/>
          <w:highlight w:val="none"/>
          <w14:textFill>
            <w14:solidFill>
              <w14:schemeClr w14:val="tx1"/>
            </w14:solidFill>
          </w14:textFill>
        </w:rPr>
        <w:t>送达时间以签收人签收时间为准。</w:t>
      </w:r>
      <w:r>
        <w:rPr>
          <w:rFonts w:hint="eastAsia" w:hAnsi="宋体" w:cs="宋体"/>
          <w:color w:val="000000" w:themeColor="text1"/>
          <w:sz w:val="21"/>
          <w:szCs w:val="21"/>
          <w:highlight w:val="none"/>
          <w:lang w:eastAsia="zh-CN"/>
          <w14:textFill>
            <w14:solidFill>
              <w14:schemeClr w14:val="tx1"/>
            </w14:solidFill>
          </w14:textFill>
        </w:rPr>
        <w:t>采购代理机构</w:t>
      </w:r>
      <w:r>
        <w:rPr>
          <w:rFonts w:hint="eastAsia" w:hAnsi="宋体" w:cs="宋体"/>
          <w:color w:val="000000" w:themeColor="text1"/>
          <w:sz w:val="21"/>
          <w:szCs w:val="21"/>
          <w:highlight w:val="none"/>
          <w14:textFill>
            <w14:solidFill>
              <w14:schemeClr w14:val="tx1"/>
            </w14:solidFill>
          </w14:textFill>
        </w:rPr>
        <w:t>将拒绝接受逾期送达的备份投标文件。邮寄过程中，电子备份投标文件发生泄露、遗失、损坏或延期送达等情况的，由</w:t>
      </w:r>
      <w:r>
        <w:rPr>
          <w:rFonts w:hint="eastAsia" w:hAnsi="宋体" w:cs="宋体"/>
          <w:color w:val="000000" w:themeColor="text1"/>
          <w:sz w:val="21"/>
          <w:szCs w:val="21"/>
          <w:highlight w:val="none"/>
          <w:lang w:eastAsia="zh-CN"/>
          <w14:textFill>
            <w14:solidFill>
              <w14:schemeClr w14:val="tx1"/>
            </w14:solidFill>
          </w14:textFill>
        </w:rPr>
        <w:t>供应商</w:t>
      </w:r>
      <w:r>
        <w:rPr>
          <w:rFonts w:hint="eastAsia" w:hAnsi="宋体" w:cs="宋体"/>
          <w:color w:val="000000" w:themeColor="text1"/>
          <w:sz w:val="21"/>
          <w:szCs w:val="21"/>
          <w:highlight w:val="none"/>
          <w14:textFill>
            <w14:solidFill>
              <w14:schemeClr w14:val="tx1"/>
            </w14:solidFill>
          </w14:textFill>
        </w:rPr>
        <w:t>自行负责。</w:t>
      </w:r>
    </w:p>
    <w:p>
      <w:pPr>
        <w:pStyle w:val="13"/>
        <w:spacing w:line="360" w:lineRule="auto"/>
        <w:ind w:firstLine="420" w:firstLineChars="199"/>
        <w:rPr>
          <w:rFonts w:hAnsi="宋体" w:cs="宋体"/>
          <w:b/>
          <w:color w:val="000000" w:themeColor="text1"/>
          <w:sz w:val="21"/>
          <w:szCs w:val="21"/>
          <w:highlight w:val="none"/>
          <w14:textFill>
            <w14:solidFill>
              <w14:schemeClr w14:val="tx1"/>
            </w14:solidFill>
          </w14:textFill>
        </w:rPr>
      </w:pPr>
      <w:r>
        <w:rPr>
          <w:rFonts w:hint="eastAsia" w:hAnsi="宋体" w:cs="宋体"/>
          <w:b/>
          <w:color w:val="000000" w:themeColor="text1"/>
          <w:sz w:val="21"/>
          <w:szCs w:val="21"/>
          <w:highlight w:val="none"/>
          <w:lang w:eastAsia="zh-CN"/>
          <w14:textFill>
            <w14:solidFill>
              <w14:schemeClr w14:val="tx1"/>
            </w14:solidFill>
          </w14:textFill>
        </w:rPr>
        <w:t>5、供应商</w:t>
      </w:r>
      <w:r>
        <w:rPr>
          <w:rFonts w:hint="eastAsia" w:hAnsi="宋体" w:cs="宋体"/>
          <w:b/>
          <w:color w:val="000000" w:themeColor="text1"/>
          <w:sz w:val="21"/>
          <w:szCs w:val="21"/>
          <w:highlight w:val="none"/>
          <w14:textFill>
            <w14:solidFill>
              <w14:schemeClr w14:val="tx1"/>
            </w14:solidFill>
          </w14:textFill>
        </w:rPr>
        <w:t>仅提交备份投标文件，未在电子交易平台传输递交投标文件的，投标无效。</w:t>
      </w:r>
    </w:p>
    <w:bookmarkEnd w:id="42"/>
    <w:p>
      <w:pPr>
        <w:pStyle w:val="11"/>
        <w:snapToGrid w:val="0"/>
        <w:spacing w:line="360" w:lineRule="auto"/>
        <w:ind w:firstLine="398" w:firstLineChars="196"/>
        <w:jc w:val="left"/>
        <w:rPr>
          <w:rFonts w:hAnsi="宋体" w:cs="宋体"/>
          <w:b/>
          <w:snapToGrid w:val="0"/>
          <w:sz w:val="21"/>
          <w:szCs w:val="21"/>
        </w:rPr>
      </w:pPr>
      <w:bookmarkStart w:id="43" w:name="_Toc12832"/>
      <w:r>
        <w:rPr>
          <w:rFonts w:hint="eastAsia" w:hAnsi="宋体" w:cs="宋体"/>
          <w:b/>
          <w:sz w:val="21"/>
          <w:szCs w:val="21"/>
        </w:rPr>
        <w:t>四、开标</w:t>
      </w:r>
      <w:bookmarkEnd w:id="43"/>
    </w:p>
    <w:p>
      <w:pPr>
        <w:pStyle w:val="104"/>
        <w:spacing w:before="0" w:line="360" w:lineRule="auto"/>
        <w:ind w:left="0" w:firstLine="420" w:firstLineChars="200"/>
        <w:contextualSpacing/>
        <w:rPr>
          <w:rFonts w:ascii="宋体" w:hAnsi="宋体" w:cs="宋体"/>
          <w:color w:val="000000" w:themeColor="text1"/>
          <w:sz w:val="21"/>
          <w:szCs w:val="21"/>
          <w:highlight w:val="none"/>
          <w14:textFill>
            <w14:solidFill>
              <w14:schemeClr w14:val="tx1"/>
            </w14:solidFill>
          </w14:textFill>
        </w:rPr>
      </w:pPr>
      <w:bookmarkStart w:id="44" w:name="_Toc22883"/>
      <w:r>
        <w:rPr>
          <w:rFonts w:hint="eastAsia" w:ascii="宋体" w:hAnsi="宋体" w:cs="宋体"/>
          <w:color w:val="000000" w:themeColor="text1"/>
          <w:sz w:val="21"/>
          <w:szCs w:val="21"/>
          <w:highlight w:val="none"/>
          <w:lang w:eastAsia="zh-CN"/>
          <w14:textFill>
            <w14:solidFill>
              <w14:schemeClr w14:val="tx1"/>
            </w14:solidFill>
          </w14:textFill>
        </w:rPr>
        <w:t>1、采购代理机构</w:t>
      </w:r>
      <w:r>
        <w:rPr>
          <w:rFonts w:hint="eastAsia" w:ascii="宋体" w:hAnsi="宋体" w:cs="宋体"/>
          <w:color w:val="000000" w:themeColor="text1"/>
          <w:sz w:val="21"/>
          <w:szCs w:val="21"/>
          <w:highlight w:val="none"/>
          <w14:textFill>
            <w14:solidFill>
              <w14:schemeClr w14:val="tx1"/>
            </w14:solidFill>
          </w14:textFill>
        </w:rPr>
        <w:t>按照招标文件规定的时间通过电子交易平台组织开标，所有</w:t>
      </w:r>
      <w:r>
        <w:rPr>
          <w:rFonts w:hint="eastAsia" w:ascii="宋体" w:hAnsi="宋体" w:cs="宋体"/>
          <w:color w:val="000000" w:themeColor="text1"/>
          <w:sz w:val="21"/>
          <w:szCs w:val="21"/>
          <w:highlight w:val="none"/>
          <w:lang w:eastAsia="zh-CN"/>
          <w14:textFill>
            <w14:solidFill>
              <w14:schemeClr w14:val="tx1"/>
            </w14:solidFill>
          </w14:textFill>
        </w:rPr>
        <w:t>供应商</w:t>
      </w:r>
      <w:r>
        <w:rPr>
          <w:rFonts w:hint="eastAsia" w:ascii="宋体" w:hAnsi="宋体" w:cs="宋体"/>
          <w:color w:val="000000" w:themeColor="text1"/>
          <w:sz w:val="21"/>
          <w:szCs w:val="21"/>
          <w:highlight w:val="none"/>
          <w14:textFill>
            <w14:solidFill>
              <w14:schemeClr w14:val="tx1"/>
            </w14:solidFill>
          </w14:textFill>
        </w:rPr>
        <w:t>均应当准时在线参加。</w:t>
      </w:r>
      <w:r>
        <w:rPr>
          <w:rFonts w:hint="eastAsia" w:ascii="宋体" w:hAnsi="宋体" w:cs="宋体"/>
          <w:color w:val="000000" w:themeColor="text1"/>
          <w:sz w:val="21"/>
          <w:szCs w:val="21"/>
          <w:highlight w:val="none"/>
          <w:lang w:eastAsia="zh-CN"/>
          <w14:textFill>
            <w14:solidFill>
              <w14:schemeClr w14:val="tx1"/>
            </w14:solidFill>
          </w14:textFill>
        </w:rPr>
        <w:t>供应商</w:t>
      </w:r>
      <w:r>
        <w:rPr>
          <w:rFonts w:hint="eastAsia" w:ascii="宋体" w:hAnsi="宋体" w:cs="宋体"/>
          <w:color w:val="000000" w:themeColor="text1"/>
          <w:sz w:val="21"/>
          <w:szCs w:val="21"/>
          <w:highlight w:val="none"/>
          <w14:textFill>
            <w14:solidFill>
              <w14:schemeClr w14:val="tx1"/>
            </w14:solidFill>
          </w14:textFill>
        </w:rPr>
        <w:t>不足3家的，不得开标。</w:t>
      </w:r>
    </w:p>
    <w:p>
      <w:pPr>
        <w:pStyle w:val="104"/>
        <w:pageBreakBefore w:val="0"/>
        <w:shd w:val="clear"/>
        <w:kinsoku/>
        <w:wordWrap/>
        <w:overflowPunct/>
        <w:topLinePunct w:val="0"/>
        <w:bidi w:val="0"/>
        <w:spacing w:before="0" w:beforeAutospacing="0" w:line="348" w:lineRule="auto"/>
        <w:ind w:left="0" w:firstLine="420" w:firstLineChars="200"/>
        <w:contextualSpacing/>
        <w:textAlignment w:val="auto"/>
        <w:outlineLvl w:val="9"/>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2、</w:t>
      </w:r>
      <w:r>
        <w:rPr>
          <w:rFonts w:hint="eastAsia" w:ascii="宋体" w:hAnsi="宋体" w:cs="宋体"/>
          <w:color w:val="000000" w:themeColor="text1"/>
          <w:sz w:val="21"/>
          <w:szCs w:val="21"/>
          <w:highlight w:val="none"/>
          <w14:textFill>
            <w14:solidFill>
              <w14:schemeClr w14:val="tx1"/>
            </w14:solidFill>
          </w14:textFill>
        </w:rPr>
        <w:t>开标时，电子交易平台按开标时间自动提取所有投标文件。</w:t>
      </w:r>
      <w:r>
        <w:rPr>
          <w:rFonts w:hint="eastAsia" w:ascii="宋体" w:hAnsi="宋体" w:cs="宋体"/>
          <w:color w:val="000000" w:themeColor="text1"/>
          <w:sz w:val="21"/>
          <w:szCs w:val="21"/>
          <w:highlight w:val="none"/>
          <w:lang w:eastAsia="zh-CN"/>
          <w14:textFill>
            <w14:solidFill>
              <w14:schemeClr w14:val="tx1"/>
            </w14:solidFill>
          </w14:textFill>
        </w:rPr>
        <w:t>采购代理机构</w:t>
      </w:r>
      <w:r>
        <w:rPr>
          <w:rFonts w:hint="eastAsia" w:ascii="宋体" w:hAnsi="宋体" w:cs="宋体"/>
          <w:color w:val="000000" w:themeColor="text1"/>
          <w:sz w:val="21"/>
          <w:szCs w:val="21"/>
          <w:highlight w:val="none"/>
          <w14:textFill>
            <w14:solidFill>
              <w14:schemeClr w14:val="tx1"/>
            </w14:solidFill>
          </w14:textFill>
        </w:rPr>
        <w:t>依托电子交易平台发起开始解密指令，</w:t>
      </w:r>
      <w:r>
        <w:rPr>
          <w:rFonts w:hint="eastAsia" w:ascii="宋体" w:hAnsi="宋体" w:cs="宋体"/>
          <w:color w:val="000000" w:themeColor="text1"/>
          <w:sz w:val="21"/>
          <w:szCs w:val="21"/>
          <w:highlight w:val="none"/>
          <w:lang w:eastAsia="zh-CN"/>
          <w14:textFill>
            <w14:solidFill>
              <w14:schemeClr w14:val="tx1"/>
            </w14:solidFill>
          </w14:textFill>
        </w:rPr>
        <w:t>供应商</w:t>
      </w:r>
      <w:r>
        <w:rPr>
          <w:rFonts w:hint="eastAsia" w:ascii="宋体" w:hAnsi="宋体" w:cs="宋体"/>
          <w:color w:val="000000" w:themeColor="text1"/>
          <w:sz w:val="21"/>
          <w:szCs w:val="21"/>
          <w:highlight w:val="none"/>
          <w14:textFill>
            <w14:solidFill>
              <w14:schemeClr w14:val="tx1"/>
            </w14:solidFill>
          </w14:textFill>
        </w:rPr>
        <w:t>按照平台提示和招标文件的规定在半小时内完成在线解密。</w:t>
      </w:r>
    </w:p>
    <w:p>
      <w:pPr>
        <w:pStyle w:val="104"/>
        <w:pageBreakBefore w:val="0"/>
        <w:shd w:val="clear"/>
        <w:kinsoku/>
        <w:wordWrap/>
        <w:overflowPunct/>
        <w:topLinePunct w:val="0"/>
        <w:bidi w:val="0"/>
        <w:spacing w:before="0" w:beforeAutospacing="0" w:line="348" w:lineRule="auto"/>
        <w:ind w:left="0" w:firstLine="420" w:firstLineChars="200"/>
        <w:contextualSpacing/>
        <w:textAlignment w:val="auto"/>
        <w:outlineLvl w:val="9"/>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2.1具体</w:t>
      </w:r>
      <w:r>
        <w:rPr>
          <w:rFonts w:hint="eastAsia" w:ascii="宋体" w:hAnsi="宋体" w:eastAsia="宋体" w:cs="宋体"/>
          <w:color w:val="000000" w:themeColor="text1"/>
          <w:sz w:val="21"/>
          <w:szCs w:val="21"/>
          <w:highlight w:val="none"/>
          <w:lang w:eastAsia="zh-CN"/>
          <w14:textFill>
            <w14:solidFill>
              <w14:schemeClr w14:val="tx1"/>
            </w14:solidFill>
          </w14:textFill>
        </w:rPr>
        <w:t>开标程序：</w:t>
      </w:r>
    </w:p>
    <w:p>
      <w:pPr>
        <w:pStyle w:val="104"/>
        <w:pageBreakBefore w:val="0"/>
        <w:shd w:val="clear"/>
        <w:kinsoku/>
        <w:wordWrap/>
        <w:overflowPunct/>
        <w:topLinePunct w:val="0"/>
        <w:bidi w:val="0"/>
        <w:spacing w:before="0" w:beforeAutospacing="0" w:line="348" w:lineRule="auto"/>
        <w:ind w:left="0" w:firstLine="420" w:firstLineChars="200"/>
        <w:contextualSpacing/>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第一阶段：</w:t>
      </w:r>
    </w:p>
    <w:p>
      <w:pPr>
        <w:pStyle w:val="104"/>
        <w:pageBreakBefore w:val="0"/>
        <w:shd w:val="clear"/>
        <w:kinsoku/>
        <w:wordWrap/>
        <w:overflowPunct/>
        <w:topLinePunct w:val="0"/>
        <w:bidi w:val="0"/>
        <w:spacing w:before="0" w:beforeAutospacing="0" w:line="348" w:lineRule="auto"/>
        <w:ind w:left="0" w:firstLine="420" w:firstLineChars="200"/>
        <w:contextualSpacing/>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（1）投标截止时间后，供应商登录政府采购云平台，用“项目采购-开标评标”功能对电子投标文件进行在线解密，在线解密电子投标文件时间为开标时间后30分钟内。</w:t>
      </w:r>
    </w:p>
    <w:p>
      <w:pPr>
        <w:pStyle w:val="104"/>
        <w:pageBreakBefore w:val="0"/>
        <w:shd w:val="clear"/>
        <w:kinsoku/>
        <w:wordWrap/>
        <w:overflowPunct/>
        <w:topLinePunct w:val="0"/>
        <w:bidi w:val="0"/>
        <w:spacing w:before="0" w:beforeAutospacing="0" w:line="348" w:lineRule="auto"/>
        <w:ind w:left="0" w:firstLine="420" w:firstLineChars="200"/>
        <w:contextualSpacing/>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（2）在政府采购云平台开启已解密供应商的“资格文件、商务技术文件”，并做开标记录；</w:t>
      </w:r>
    </w:p>
    <w:p>
      <w:pPr>
        <w:pStyle w:val="104"/>
        <w:pageBreakBefore w:val="0"/>
        <w:shd w:val="clear"/>
        <w:kinsoku/>
        <w:wordWrap/>
        <w:overflowPunct/>
        <w:topLinePunct w:val="0"/>
        <w:bidi w:val="0"/>
        <w:spacing w:before="0" w:beforeAutospacing="0" w:line="348" w:lineRule="auto"/>
        <w:ind w:left="0" w:firstLine="420" w:firstLineChars="200"/>
        <w:contextualSpacing/>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第二阶段：</w:t>
      </w:r>
    </w:p>
    <w:p>
      <w:pPr>
        <w:pStyle w:val="104"/>
        <w:pageBreakBefore w:val="0"/>
        <w:shd w:val="clear"/>
        <w:kinsoku/>
        <w:wordWrap/>
        <w:overflowPunct/>
        <w:topLinePunct w:val="0"/>
        <w:bidi w:val="0"/>
        <w:spacing w:before="0" w:beforeAutospacing="0" w:line="348" w:lineRule="auto"/>
        <w:ind w:left="0" w:firstLine="420" w:firstLineChars="200"/>
        <w:contextualSpacing/>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（1）在政府采购云平台宣告第一阶段评审无效供应商名单及理由；</w:t>
      </w:r>
    </w:p>
    <w:p>
      <w:pPr>
        <w:pStyle w:val="104"/>
        <w:pageBreakBefore w:val="0"/>
        <w:shd w:val="clear"/>
        <w:kinsoku/>
        <w:wordWrap/>
        <w:overflowPunct/>
        <w:topLinePunct w:val="0"/>
        <w:bidi w:val="0"/>
        <w:spacing w:before="0" w:beforeAutospacing="0" w:line="348" w:lineRule="auto"/>
        <w:ind w:left="0" w:firstLine="420" w:firstLineChars="200"/>
        <w:contextualSpacing/>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（2）公布经第一阶段评审符合招标文件要求的供应商的商务技术得分情况；</w:t>
      </w:r>
    </w:p>
    <w:p>
      <w:pPr>
        <w:pStyle w:val="104"/>
        <w:pageBreakBefore w:val="0"/>
        <w:shd w:val="clear"/>
        <w:kinsoku/>
        <w:wordWrap/>
        <w:overflowPunct/>
        <w:topLinePunct w:val="0"/>
        <w:bidi w:val="0"/>
        <w:spacing w:before="0" w:beforeAutospacing="0" w:line="348" w:lineRule="auto"/>
        <w:ind w:left="0" w:firstLine="420" w:firstLineChars="200"/>
        <w:contextualSpacing/>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（3）在政府采购云平台开启除第一阶段无效标外的供应商的“报价文件”，并做开标记录；</w:t>
      </w:r>
    </w:p>
    <w:p>
      <w:pPr>
        <w:pStyle w:val="104"/>
        <w:pageBreakBefore w:val="0"/>
        <w:shd w:val="clear"/>
        <w:kinsoku/>
        <w:wordWrap/>
        <w:overflowPunct/>
        <w:topLinePunct w:val="0"/>
        <w:bidi w:val="0"/>
        <w:spacing w:before="0" w:beforeAutospacing="0" w:line="348" w:lineRule="auto"/>
        <w:ind w:left="0" w:firstLine="420" w:firstLineChars="200"/>
        <w:contextualSpacing/>
        <w:textAlignment w:val="auto"/>
        <w:outlineLvl w:val="9"/>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（4）在政府采购云平台公布评审结果。</w:t>
      </w:r>
    </w:p>
    <w:p>
      <w:pPr>
        <w:pStyle w:val="104"/>
        <w:pageBreakBefore w:val="0"/>
        <w:shd w:val="clear"/>
        <w:kinsoku/>
        <w:wordWrap/>
        <w:overflowPunct/>
        <w:topLinePunct w:val="0"/>
        <w:bidi w:val="0"/>
        <w:spacing w:before="0" w:beforeAutospacing="0" w:line="348" w:lineRule="auto"/>
        <w:ind w:left="0" w:firstLine="420" w:firstLineChars="200"/>
        <w:contextualSpacing/>
        <w:textAlignment w:val="auto"/>
        <w:outlineLvl w:val="9"/>
        <w:rPr>
          <w:rFonts w:ascii="宋体" w:hAnsi="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（5）开标会议结束。</w:t>
      </w:r>
    </w:p>
    <w:p>
      <w:pPr>
        <w:pStyle w:val="104"/>
        <w:spacing w:before="0" w:line="360" w:lineRule="auto"/>
        <w:ind w:left="0" w:firstLine="210" w:firstLineChars="100"/>
        <w:contextualSpacing/>
        <w:rPr>
          <w:rFonts w:ascii="宋体" w:hAnsi="宋体" w:cs="宋体"/>
          <w:b/>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　</w:t>
      </w:r>
      <w:r>
        <w:rPr>
          <w:rFonts w:hint="eastAsia" w:ascii="宋体" w:hAnsi="宋体" w:cs="宋体"/>
          <w:color w:val="000000" w:themeColor="text1"/>
          <w:sz w:val="21"/>
          <w:szCs w:val="21"/>
          <w:highlight w:val="none"/>
          <w:lang w:eastAsia="zh-CN"/>
          <w14:textFill>
            <w14:solidFill>
              <w14:schemeClr w14:val="tx1"/>
            </w14:solidFill>
          </w14:textFill>
        </w:rPr>
        <w:t>3、</w:t>
      </w:r>
      <w:r>
        <w:rPr>
          <w:rFonts w:hint="eastAsia" w:ascii="宋体" w:hAnsi="宋体" w:cs="宋体"/>
          <w:b/>
          <w:color w:val="000000" w:themeColor="text1"/>
          <w:sz w:val="21"/>
          <w:szCs w:val="21"/>
          <w:highlight w:val="none"/>
          <w14:textFill>
            <w14:solidFill>
              <w14:schemeClr w14:val="tx1"/>
            </w14:solidFill>
          </w14:textFill>
        </w:rPr>
        <w:t>投标文件未按时解密，</w:t>
      </w:r>
      <w:r>
        <w:rPr>
          <w:rFonts w:hint="eastAsia" w:ascii="宋体" w:hAnsi="宋体" w:cs="宋体"/>
          <w:b/>
          <w:color w:val="000000" w:themeColor="text1"/>
          <w:sz w:val="21"/>
          <w:szCs w:val="21"/>
          <w:highlight w:val="none"/>
          <w:lang w:eastAsia="zh-CN"/>
          <w14:textFill>
            <w14:solidFill>
              <w14:schemeClr w14:val="tx1"/>
            </w14:solidFill>
          </w14:textFill>
        </w:rPr>
        <w:t>供应商</w:t>
      </w:r>
      <w:r>
        <w:rPr>
          <w:rFonts w:hint="eastAsia" w:ascii="宋体" w:hAnsi="宋体" w:cs="宋体"/>
          <w:b/>
          <w:color w:val="000000" w:themeColor="text1"/>
          <w:sz w:val="21"/>
          <w:szCs w:val="21"/>
          <w:highlight w:val="none"/>
          <w14:textFill>
            <w14:solidFill>
              <w14:schemeClr w14:val="tx1"/>
            </w14:solidFill>
          </w14:textFill>
        </w:rPr>
        <w:t>提供了备份投标文件的，以备份投标文件作为依据，否则视为投标文件撤回。投标文件已按时解密的，备份投标文件自动失效。</w:t>
      </w:r>
    </w:p>
    <w:p>
      <w:pPr>
        <w:pStyle w:val="13"/>
        <w:snapToGrid w:val="0"/>
        <w:spacing w:before="120" w:after="120" w:line="360" w:lineRule="auto"/>
        <w:ind w:left="772" w:leftChars="267" w:hanging="211" w:hangingChars="100"/>
        <w:rPr>
          <w:rFonts w:hAnsi="宋体" w:cs="宋体"/>
          <w:b/>
          <w:sz w:val="21"/>
          <w:szCs w:val="21"/>
        </w:rPr>
      </w:pPr>
      <w:r>
        <w:rPr>
          <w:rFonts w:hint="eastAsia" w:hAnsi="宋体" w:cs="宋体"/>
          <w:b/>
          <w:sz w:val="21"/>
          <w:szCs w:val="21"/>
        </w:rPr>
        <w:t>五、评标</w:t>
      </w:r>
      <w:bookmarkEnd w:id="44"/>
    </w:p>
    <w:p>
      <w:pPr>
        <w:pStyle w:val="13"/>
        <w:snapToGrid w:val="0"/>
        <w:spacing w:before="120" w:after="120" w:line="360" w:lineRule="auto"/>
        <w:ind w:left="690" w:leftChars="228" w:hanging="211" w:hangingChars="100"/>
        <w:rPr>
          <w:rFonts w:hAnsi="宋体" w:cs="宋体"/>
          <w:b/>
          <w:sz w:val="21"/>
          <w:szCs w:val="21"/>
        </w:rPr>
      </w:pPr>
      <w:r>
        <w:rPr>
          <w:rFonts w:hint="eastAsia" w:hAnsi="宋体" w:cs="宋体"/>
          <w:b/>
          <w:sz w:val="21"/>
          <w:szCs w:val="21"/>
        </w:rPr>
        <w:t>（一）组建评标委员会</w:t>
      </w:r>
    </w:p>
    <w:p>
      <w:pPr>
        <w:pStyle w:val="13"/>
        <w:snapToGrid w:val="0"/>
        <w:spacing w:before="120" w:after="120" w:line="360" w:lineRule="auto"/>
        <w:ind w:firstLine="420" w:firstLineChars="200"/>
        <w:rPr>
          <w:rFonts w:hAnsi="宋体" w:cs="宋体"/>
          <w:sz w:val="21"/>
          <w:szCs w:val="21"/>
        </w:rPr>
      </w:pPr>
      <w:r>
        <w:rPr>
          <w:rFonts w:hint="eastAsia" w:hAnsi="宋体" w:cs="宋体"/>
          <w:sz w:val="21"/>
          <w:szCs w:val="21"/>
        </w:rPr>
        <w:t>本项目评标委员会按照相关法律规定组成。</w:t>
      </w:r>
    </w:p>
    <w:p>
      <w:pPr>
        <w:pStyle w:val="13"/>
        <w:snapToGrid w:val="0"/>
        <w:spacing w:before="120" w:after="120" w:line="360" w:lineRule="auto"/>
        <w:ind w:left="690" w:leftChars="228" w:hanging="211" w:hangingChars="100"/>
        <w:rPr>
          <w:rFonts w:hAnsi="宋体" w:cs="宋体"/>
          <w:b/>
          <w:sz w:val="21"/>
          <w:szCs w:val="21"/>
        </w:rPr>
      </w:pPr>
      <w:r>
        <w:rPr>
          <w:rFonts w:hint="eastAsia" w:hAnsi="宋体" w:cs="宋体"/>
          <w:b/>
          <w:sz w:val="21"/>
          <w:szCs w:val="21"/>
        </w:rPr>
        <w:t>（二）评标的方式</w:t>
      </w:r>
    </w:p>
    <w:p>
      <w:pPr>
        <w:pStyle w:val="13"/>
        <w:snapToGrid w:val="0"/>
        <w:spacing w:before="120" w:after="120" w:line="360" w:lineRule="auto"/>
        <w:ind w:firstLine="420" w:firstLineChars="200"/>
        <w:rPr>
          <w:rFonts w:hAnsi="宋体" w:cs="宋体"/>
          <w:sz w:val="21"/>
          <w:szCs w:val="21"/>
        </w:rPr>
      </w:pPr>
      <w:r>
        <w:rPr>
          <w:rFonts w:hint="eastAsia" w:hAnsi="宋体" w:cs="宋体"/>
          <w:sz w:val="21"/>
          <w:szCs w:val="21"/>
        </w:rPr>
        <w:t>本项目评标的依据为采购文件和投标文件。</w:t>
      </w:r>
    </w:p>
    <w:p>
      <w:pPr>
        <w:pStyle w:val="13"/>
        <w:snapToGrid w:val="0"/>
        <w:spacing w:before="120" w:after="120" w:line="360" w:lineRule="auto"/>
        <w:ind w:left="690" w:leftChars="228" w:hanging="211" w:hangingChars="100"/>
        <w:rPr>
          <w:rFonts w:hAnsi="宋体" w:cs="宋体"/>
          <w:b/>
          <w:sz w:val="21"/>
          <w:szCs w:val="21"/>
        </w:rPr>
      </w:pPr>
      <w:r>
        <w:rPr>
          <w:rFonts w:hint="eastAsia" w:hAnsi="宋体" w:cs="宋体"/>
          <w:b/>
          <w:sz w:val="21"/>
          <w:szCs w:val="21"/>
        </w:rPr>
        <w:t>（三）</w:t>
      </w:r>
      <w:r>
        <w:rPr>
          <w:rFonts w:hint="eastAsia" w:hAnsi="宋体" w:cs="宋体"/>
          <w:b/>
          <w:bCs/>
          <w:sz w:val="21"/>
          <w:szCs w:val="21"/>
        </w:rPr>
        <w:t>评标程序</w:t>
      </w:r>
    </w:p>
    <w:p>
      <w:pPr>
        <w:spacing w:line="360" w:lineRule="auto"/>
        <w:ind w:firstLine="420" w:firstLineChars="200"/>
        <w:rPr>
          <w:rFonts w:ascii="宋体" w:cs="宋体"/>
          <w:b/>
          <w:szCs w:val="21"/>
        </w:rPr>
      </w:pPr>
      <w:r>
        <w:rPr>
          <w:rFonts w:ascii="宋体" w:hAnsi="宋体" w:cs="宋体"/>
          <w:szCs w:val="21"/>
        </w:rPr>
        <w:t>1.</w:t>
      </w:r>
      <w:r>
        <w:rPr>
          <w:rFonts w:hint="eastAsia" w:ascii="宋体" w:hAnsi="宋体" w:cs="宋体"/>
          <w:b/>
          <w:szCs w:val="21"/>
        </w:rPr>
        <w:t>资格条件审查</w:t>
      </w:r>
    </w:p>
    <w:p>
      <w:pPr>
        <w:spacing w:line="360" w:lineRule="auto"/>
        <w:ind w:firstLine="522" w:firstLineChars="249"/>
        <w:rPr>
          <w:rFonts w:ascii="宋体" w:cs="宋体"/>
          <w:szCs w:val="21"/>
        </w:rPr>
      </w:pPr>
      <w:r>
        <w:rPr>
          <w:rFonts w:hint="eastAsia" w:ascii="宋体" w:hAnsi="宋体" w:cs="宋体"/>
          <w:szCs w:val="21"/>
        </w:rPr>
        <w:t>由采购人或代理机构对</w:t>
      </w:r>
      <w:r>
        <w:rPr>
          <w:rFonts w:hint="eastAsia" w:ascii="宋体" w:hAnsi="宋体" w:cs="宋体"/>
          <w:szCs w:val="21"/>
          <w:lang w:eastAsia="zh-CN"/>
        </w:rPr>
        <w:t>供应商</w:t>
      </w:r>
      <w:r>
        <w:rPr>
          <w:rFonts w:hint="eastAsia" w:ascii="宋体" w:hAnsi="宋体" w:cs="宋体"/>
          <w:szCs w:val="21"/>
        </w:rPr>
        <w:t>的资格进行审查。</w:t>
      </w:r>
    </w:p>
    <w:tbl>
      <w:tblPr>
        <w:tblStyle w:val="30"/>
        <w:tblW w:w="8790"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7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spacing w:line="360" w:lineRule="auto"/>
              <w:jc w:val="center"/>
              <w:rPr>
                <w:rFonts w:ascii="宋体" w:cs="宋体"/>
                <w:szCs w:val="21"/>
              </w:rPr>
            </w:pPr>
            <w:r>
              <w:rPr>
                <w:rFonts w:hint="eastAsia" w:ascii="宋体" w:hAnsi="宋体" w:cs="宋体"/>
                <w:szCs w:val="21"/>
              </w:rPr>
              <w:t>审查类别</w:t>
            </w:r>
          </w:p>
        </w:tc>
        <w:tc>
          <w:tcPr>
            <w:tcW w:w="7440" w:type="dxa"/>
          </w:tcPr>
          <w:p>
            <w:pPr>
              <w:spacing w:line="360" w:lineRule="auto"/>
              <w:jc w:val="center"/>
              <w:rPr>
                <w:rFonts w:ascii="宋体" w:cs="宋体"/>
                <w:szCs w:val="21"/>
              </w:rPr>
            </w:pPr>
            <w:r>
              <w:rPr>
                <w:rFonts w:hint="eastAsia" w:ascii="宋体" w:hAnsi="宋体" w:cs="宋体"/>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Merge w:val="restart"/>
            <w:vAlign w:val="center"/>
          </w:tcPr>
          <w:p>
            <w:pPr>
              <w:spacing w:line="360" w:lineRule="auto"/>
              <w:jc w:val="center"/>
              <w:rPr>
                <w:rFonts w:ascii="宋体" w:cs="宋体"/>
                <w:szCs w:val="21"/>
              </w:rPr>
            </w:pPr>
            <w:r>
              <w:rPr>
                <w:rFonts w:hint="eastAsia" w:ascii="宋体" w:hAnsi="宋体" w:cs="宋体"/>
                <w:szCs w:val="21"/>
              </w:rPr>
              <w:t>资格条件审查</w:t>
            </w:r>
          </w:p>
        </w:tc>
        <w:tc>
          <w:tcPr>
            <w:tcW w:w="7440" w:type="dxa"/>
          </w:tcPr>
          <w:p>
            <w:pPr>
              <w:spacing w:line="360" w:lineRule="auto"/>
              <w:rPr>
                <w:rFonts w:ascii="宋体" w:hAnsi="宋体" w:cs="宋体"/>
                <w:szCs w:val="21"/>
              </w:rPr>
            </w:pPr>
            <w:r>
              <w:rPr>
                <w:rFonts w:hint="eastAsia" w:ascii="宋体" w:hAnsi="宋体" w:cs="宋体"/>
                <w:szCs w:val="21"/>
              </w:rPr>
              <w:t>（一）符合《中华人民共和国政府采购法》第二十二条规定的</w:t>
            </w:r>
            <w:r>
              <w:rPr>
                <w:rFonts w:hint="eastAsia" w:ascii="宋体" w:hAnsi="宋体" w:cs="宋体"/>
                <w:szCs w:val="21"/>
                <w:lang w:eastAsia="zh-CN"/>
              </w:rPr>
              <w:t>供应商</w:t>
            </w:r>
            <w:r>
              <w:rPr>
                <w:rFonts w:hint="eastAsia" w:ascii="宋体" w:hAnsi="宋体" w:cs="宋体"/>
                <w:szCs w:val="21"/>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Merge w:val="continue"/>
          </w:tcPr>
          <w:p>
            <w:pPr>
              <w:spacing w:line="360" w:lineRule="auto"/>
              <w:rPr>
                <w:rFonts w:ascii="宋体" w:cs="宋体"/>
                <w:szCs w:val="21"/>
              </w:rPr>
            </w:pPr>
          </w:p>
        </w:tc>
        <w:tc>
          <w:tcPr>
            <w:tcW w:w="7440" w:type="dxa"/>
          </w:tcPr>
          <w:p>
            <w:pPr>
              <w:spacing w:line="360" w:lineRule="auto"/>
              <w:rPr>
                <w:rFonts w:ascii="宋体" w:hAnsi="宋体" w:cs="宋体"/>
                <w:szCs w:val="21"/>
              </w:rPr>
            </w:pPr>
            <w:r>
              <w:rPr>
                <w:rFonts w:hint="eastAsia" w:ascii="宋体" w:hAnsi="宋体" w:cs="宋体"/>
                <w:szCs w:val="21"/>
              </w:rPr>
              <w:t>（二）单位负责人为同一人或者存在直接控股、管理关系的不同</w:t>
            </w:r>
            <w:r>
              <w:rPr>
                <w:rFonts w:hint="eastAsia" w:ascii="宋体" w:hAnsi="宋体" w:cs="宋体"/>
                <w:szCs w:val="21"/>
                <w:lang w:eastAsia="zh-CN"/>
              </w:rPr>
              <w:t>供应商</w:t>
            </w:r>
            <w:r>
              <w:rPr>
                <w:rFonts w:hint="eastAsia" w:ascii="宋体" w:hAnsi="宋体" w:cs="宋体"/>
                <w:szCs w:val="21"/>
              </w:rPr>
              <w:t>，不得参加同一合同项下的政府采购活动。除单一来源采购项目外，为采购项目提供整体设计、规范编制或者项目管理、监理、检测等服务的</w:t>
            </w:r>
            <w:r>
              <w:rPr>
                <w:rFonts w:hint="eastAsia" w:ascii="宋体" w:hAnsi="宋体" w:cs="宋体"/>
                <w:szCs w:val="21"/>
                <w:lang w:eastAsia="zh-CN"/>
              </w:rPr>
              <w:t>供应商</w:t>
            </w:r>
            <w:r>
              <w:rPr>
                <w:rFonts w:hint="eastAsia" w:ascii="宋体" w:hAnsi="宋体" w:cs="宋体"/>
                <w:szCs w:val="21"/>
              </w:rPr>
              <w:t>，不得再参加该采购项目的其他采购活动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50" w:type="dxa"/>
            <w:vMerge w:val="continue"/>
          </w:tcPr>
          <w:p>
            <w:pPr>
              <w:spacing w:line="360" w:lineRule="auto"/>
              <w:rPr>
                <w:rFonts w:ascii="宋体" w:cs="宋体"/>
                <w:szCs w:val="21"/>
              </w:rPr>
            </w:pPr>
          </w:p>
        </w:tc>
        <w:tc>
          <w:tcPr>
            <w:tcW w:w="7440" w:type="dxa"/>
          </w:tcPr>
          <w:p>
            <w:pPr>
              <w:spacing w:line="360" w:lineRule="auto"/>
              <w:rPr>
                <w:rFonts w:ascii="宋体" w:hAnsi="宋体" w:cs="宋体"/>
                <w:szCs w:val="21"/>
              </w:rPr>
            </w:pPr>
            <w:r>
              <w:rPr>
                <w:rFonts w:hint="eastAsia" w:ascii="宋体" w:hAnsi="宋体" w:cs="宋体"/>
                <w:szCs w:val="21"/>
              </w:rPr>
              <w:t>（三）</w:t>
            </w:r>
            <w:r>
              <w:rPr>
                <w:rFonts w:hint="eastAsia" w:ascii="宋体" w:hAnsi="宋体" w:cs="宋体"/>
                <w:szCs w:val="21"/>
                <w:lang w:eastAsia="zh-CN"/>
              </w:rPr>
              <w:t>供应商</w:t>
            </w:r>
            <w:r>
              <w:rPr>
                <w:rFonts w:hint="eastAsia" w:ascii="宋体" w:hAnsi="宋体" w:cs="宋体"/>
                <w:szCs w:val="21"/>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w:t>
            </w:r>
            <w:r>
              <w:rPr>
                <w:rFonts w:hint="eastAsia" w:ascii="宋体" w:hAnsi="宋体" w:cs="宋体"/>
                <w:szCs w:val="21"/>
                <w:lang w:eastAsia="zh-CN"/>
              </w:rPr>
              <w:t>供应商</w:t>
            </w:r>
            <w:r>
              <w:rPr>
                <w:rFonts w:hint="eastAsia" w:ascii="宋体" w:hAnsi="宋体" w:cs="宋体"/>
                <w:szCs w:val="21"/>
              </w:rPr>
              <w:t>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Merge w:val="continue"/>
          </w:tcPr>
          <w:p>
            <w:pPr>
              <w:spacing w:line="360" w:lineRule="auto"/>
              <w:rPr>
                <w:rFonts w:ascii="宋体" w:cs="宋体"/>
                <w:szCs w:val="21"/>
              </w:rPr>
            </w:pPr>
          </w:p>
        </w:tc>
        <w:tc>
          <w:tcPr>
            <w:tcW w:w="7440" w:type="dxa"/>
          </w:tcPr>
          <w:p>
            <w:pPr>
              <w:spacing w:line="360" w:lineRule="auto"/>
              <w:rPr>
                <w:rFonts w:ascii="宋体" w:hAnsi="宋体" w:cs="宋体"/>
                <w:szCs w:val="21"/>
              </w:rPr>
            </w:pPr>
            <w:r>
              <w:rPr>
                <w:rFonts w:hint="eastAsia" w:ascii="宋体" w:hAnsi="宋体" w:cs="宋体"/>
                <w:szCs w:val="21"/>
              </w:rPr>
              <w:t>（四）本次招标不接受联合体投标；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spacing w:line="360" w:lineRule="auto"/>
              <w:rPr>
                <w:rFonts w:ascii="宋体" w:cs="宋体"/>
                <w:szCs w:val="21"/>
              </w:rPr>
            </w:pPr>
          </w:p>
        </w:tc>
        <w:tc>
          <w:tcPr>
            <w:tcW w:w="7440" w:type="dxa"/>
          </w:tcPr>
          <w:p>
            <w:pPr>
              <w:spacing w:line="360" w:lineRule="auto"/>
              <w:rPr>
                <w:rFonts w:ascii="宋体" w:hAnsi="宋体" w:cs="宋体"/>
                <w:szCs w:val="21"/>
              </w:rPr>
            </w:pPr>
            <w:r>
              <w:rPr>
                <w:rFonts w:hint="eastAsia" w:ascii="宋体" w:hAnsi="宋体" w:cs="宋体"/>
                <w:szCs w:val="21"/>
              </w:rPr>
              <w:t>（五）采购文件要求的其他资格条件（如有）</w:t>
            </w:r>
          </w:p>
        </w:tc>
      </w:tr>
    </w:tbl>
    <w:p>
      <w:pPr>
        <w:spacing w:line="360" w:lineRule="auto"/>
        <w:ind w:firstLine="422" w:firstLineChars="200"/>
        <w:rPr>
          <w:rFonts w:ascii="宋体" w:cs="宋体"/>
          <w:b/>
          <w:szCs w:val="21"/>
        </w:rPr>
      </w:pPr>
      <w:r>
        <w:rPr>
          <w:rFonts w:ascii="宋体" w:hAnsi="宋体" w:cs="宋体"/>
          <w:b/>
          <w:szCs w:val="21"/>
        </w:rPr>
        <w:t>2.</w:t>
      </w:r>
      <w:r>
        <w:rPr>
          <w:rFonts w:hint="eastAsia" w:ascii="宋体" w:hAnsi="宋体" w:cs="宋体"/>
          <w:b/>
          <w:szCs w:val="21"/>
        </w:rPr>
        <w:t>符合性审查</w:t>
      </w:r>
    </w:p>
    <w:p>
      <w:pPr>
        <w:spacing w:line="360" w:lineRule="auto"/>
        <w:ind w:firstLine="420" w:firstLineChars="200"/>
        <w:rPr>
          <w:rFonts w:ascii="宋体" w:cs="宋体"/>
          <w:szCs w:val="21"/>
        </w:rPr>
      </w:pPr>
      <w:r>
        <w:rPr>
          <w:rFonts w:hint="eastAsia" w:ascii="宋体" w:hAnsi="宋体" w:cs="宋体"/>
          <w:kern w:val="0"/>
          <w:szCs w:val="21"/>
        </w:rPr>
        <w:t>评标委员会应当对符合资格的</w:t>
      </w:r>
      <w:r>
        <w:rPr>
          <w:rFonts w:hint="eastAsia" w:ascii="宋体" w:hAnsi="宋体" w:cs="宋体"/>
          <w:kern w:val="0"/>
          <w:szCs w:val="21"/>
          <w:lang w:eastAsia="zh-CN"/>
        </w:rPr>
        <w:t>供应商</w:t>
      </w:r>
      <w:r>
        <w:rPr>
          <w:rFonts w:hint="eastAsia" w:ascii="宋体" w:hAnsi="宋体" w:cs="宋体"/>
          <w:kern w:val="0"/>
          <w:szCs w:val="21"/>
        </w:rPr>
        <w:t>的投标文件进行符合性审查，以确定其是否满足采购文件的实质性要求。</w:t>
      </w:r>
    </w:p>
    <w:tbl>
      <w:tblPr>
        <w:tblStyle w:val="30"/>
        <w:tblW w:w="8745" w:type="dxa"/>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tcPr>
          <w:p>
            <w:pPr>
              <w:spacing w:line="360" w:lineRule="auto"/>
              <w:jc w:val="center"/>
              <w:rPr>
                <w:rFonts w:ascii="宋体" w:cs="宋体"/>
                <w:szCs w:val="21"/>
              </w:rPr>
            </w:pPr>
            <w:r>
              <w:rPr>
                <w:rFonts w:hint="eastAsia" w:ascii="宋体" w:hAnsi="宋体" w:cs="宋体"/>
                <w:szCs w:val="21"/>
              </w:rPr>
              <w:t>审查类别</w:t>
            </w:r>
          </w:p>
        </w:tc>
        <w:tc>
          <w:tcPr>
            <w:tcW w:w="7308" w:type="dxa"/>
          </w:tcPr>
          <w:p>
            <w:pPr>
              <w:spacing w:line="360" w:lineRule="auto"/>
              <w:jc w:val="center"/>
              <w:rPr>
                <w:rFonts w:ascii="宋体" w:cs="宋体"/>
                <w:szCs w:val="21"/>
              </w:rPr>
            </w:pPr>
            <w:r>
              <w:rPr>
                <w:rFonts w:hint="eastAsia" w:ascii="宋体" w:hAnsi="宋体" w:cs="宋体"/>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37" w:type="dxa"/>
            <w:vMerge w:val="restart"/>
            <w:vAlign w:val="center"/>
          </w:tcPr>
          <w:p>
            <w:pPr>
              <w:spacing w:line="360" w:lineRule="auto"/>
              <w:jc w:val="center"/>
              <w:rPr>
                <w:rFonts w:ascii="宋体" w:cs="宋体"/>
                <w:szCs w:val="21"/>
              </w:rPr>
            </w:pPr>
            <w:r>
              <w:rPr>
                <w:rFonts w:hint="eastAsia" w:ascii="宋体" w:hAnsi="宋体" w:cs="宋体"/>
                <w:szCs w:val="21"/>
              </w:rPr>
              <w:t>符合性审查</w:t>
            </w:r>
          </w:p>
        </w:tc>
        <w:tc>
          <w:tcPr>
            <w:tcW w:w="7308" w:type="dxa"/>
            <w:vAlign w:val="center"/>
          </w:tcPr>
          <w:p>
            <w:pPr>
              <w:tabs>
                <w:tab w:val="left" w:pos="612"/>
              </w:tabs>
              <w:spacing w:before="120" w:beforeLines="50" w:after="120" w:afterLines="50" w:line="360" w:lineRule="auto"/>
              <w:rPr>
                <w:rFonts w:ascii="宋体" w:cs="宋体"/>
                <w:szCs w:val="21"/>
              </w:rPr>
            </w:pPr>
            <w:r>
              <w:rPr>
                <w:rFonts w:hint="eastAsia" w:ascii="宋体" w:hAnsi="宋体" w:cs="宋体"/>
                <w:szCs w:val="21"/>
              </w:rPr>
              <w:t>投标函已提交并符合采购文件要求的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tcPr>
          <w:p>
            <w:pPr>
              <w:spacing w:line="360" w:lineRule="auto"/>
              <w:rPr>
                <w:rFonts w:ascii="宋体" w:cs="宋体"/>
                <w:szCs w:val="21"/>
              </w:rPr>
            </w:pPr>
          </w:p>
        </w:tc>
        <w:tc>
          <w:tcPr>
            <w:tcW w:w="7308" w:type="dxa"/>
            <w:vAlign w:val="center"/>
          </w:tcPr>
          <w:p>
            <w:pPr>
              <w:tabs>
                <w:tab w:val="left" w:pos="612"/>
              </w:tabs>
              <w:spacing w:before="120" w:beforeLines="50" w:after="120" w:afterLines="50" w:line="360" w:lineRule="auto"/>
              <w:rPr>
                <w:rFonts w:ascii="宋体" w:cs="宋体"/>
                <w:szCs w:val="21"/>
              </w:rPr>
            </w:pPr>
            <w:r>
              <w:rPr>
                <w:rFonts w:hint="eastAsia" w:ascii="宋体" w:hAnsi="宋体" w:cs="宋体"/>
                <w:szCs w:val="21"/>
              </w:rPr>
              <w:t>按照采购文件规定要求签署、盖章且投标文件有法定代表人</w:t>
            </w:r>
            <w:r>
              <w:rPr>
                <w:rFonts w:hint="eastAsia" w:ascii="宋体" w:hAnsi="宋体" w:cs="宋体"/>
                <w:szCs w:val="21"/>
                <w:lang w:eastAsia="zh-TW"/>
              </w:rPr>
              <w:t>签署本人姓名（或印盖本人姓名章）</w:t>
            </w:r>
            <w:r>
              <w:rPr>
                <w:rFonts w:hint="eastAsia" w:ascii="宋体" w:hAnsi="宋体" w:cs="宋体"/>
                <w:szCs w:val="21"/>
              </w:rPr>
              <w:t>，或</w:t>
            </w:r>
            <w:r>
              <w:rPr>
                <w:rFonts w:hint="eastAsia" w:ascii="宋体" w:hAnsi="宋体" w:cs="宋体"/>
                <w:szCs w:val="21"/>
                <w:lang w:eastAsia="zh-TW"/>
              </w:rPr>
              <w:t>签署</w:t>
            </w:r>
            <w:r>
              <w:rPr>
                <w:rFonts w:hint="eastAsia" w:ascii="宋体" w:hAnsi="宋体" w:cs="宋体"/>
                <w:szCs w:val="21"/>
              </w:rPr>
              <w:t>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tcPr>
          <w:p>
            <w:pPr>
              <w:spacing w:line="360" w:lineRule="auto"/>
              <w:rPr>
                <w:rFonts w:ascii="宋体" w:cs="宋体"/>
                <w:szCs w:val="21"/>
              </w:rPr>
            </w:pPr>
          </w:p>
        </w:tc>
        <w:tc>
          <w:tcPr>
            <w:tcW w:w="7308" w:type="dxa"/>
            <w:vAlign w:val="center"/>
          </w:tcPr>
          <w:p>
            <w:pPr>
              <w:tabs>
                <w:tab w:val="left" w:pos="612"/>
              </w:tabs>
              <w:spacing w:before="120" w:beforeLines="50" w:after="120" w:afterLines="50" w:line="360" w:lineRule="auto"/>
              <w:rPr>
                <w:rFonts w:ascii="宋体" w:cs="宋体"/>
                <w:kern w:val="0"/>
                <w:szCs w:val="21"/>
              </w:rPr>
            </w:pPr>
            <w:r>
              <w:rPr>
                <w:rFonts w:hint="eastAsia" w:ascii="宋体" w:hAnsi="宋体" w:cs="宋体"/>
                <w:szCs w:val="21"/>
              </w:rPr>
              <w:t>投标文件完全满足采购文件的实质性条款（即标注</w:t>
            </w:r>
            <w:r>
              <w:rPr>
                <w:rFonts w:hint="eastAsia" w:ascii="宋体" w:hAnsi="宋体" w:cs="宋体"/>
                <w:sz w:val="24"/>
              </w:rPr>
              <w:t>★</w:t>
            </w:r>
            <w:r>
              <w:rPr>
                <w:rFonts w:hint="eastAsia" w:ascii="宋体" w:hAnsi="宋体" w:cs="宋体"/>
                <w:szCs w:val="21"/>
              </w:rPr>
              <w:t>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tcPr>
          <w:p>
            <w:pPr>
              <w:spacing w:line="360" w:lineRule="auto"/>
              <w:rPr>
                <w:rFonts w:ascii="宋体" w:cs="宋体"/>
                <w:szCs w:val="21"/>
              </w:rPr>
            </w:pPr>
          </w:p>
        </w:tc>
        <w:tc>
          <w:tcPr>
            <w:tcW w:w="7308" w:type="dxa"/>
            <w:vAlign w:val="center"/>
          </w:tcPr>
          <w:p>
            <w:pPr>
              <w:spacing w:before="120" w:beforeLines="50" w:after="120" w:afterLines="50" w:line="360" w:lineRule="auto"/>
              <w:rPr>
                <w:rFonts w:ascii="宋体" w:cs="宋体"/>
                <w:szCs w:val="21"/>
              </w:rPr>
            </w:pPr>
            <w:r>
              <w:rPr>
                <w:rFonts w:hint="eastAsia" w:ascii="宋体" w:hAnsi="宋体" w:cs="宋体"/>
                <w:szCs w:val="21"/>
              </w:rPr>
              <w:t>投标文件没有采购文件中规定的其它无效投标条款的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tcPr>
          <w:p>
            <w:pPr>
              <w:spacing w:line="360" w:lineRule="auto"/>
              <w:rPr>
                <w:rFonts w:ascii="宋体" w:cs="宋体"/>
                <w:szCs w:val="21"/>
              </w:rPr>
            </w:pPr>
          </w:p>
        </w:tc>
        <w:tc>
          <w:tcPr>
            <w:tcW w:w="7308" w:type="dxa"/>
            <w:vAlign w:val="center"/>
          </w:tcPr>
          <w:p>
            <w:pPr>
              <w:spacing w:before="120" w:beforeLines="50" w:after="120" w:afterLines="50" w:line="360" w:lineRule="auto"/>
              <w:rPr>
                <w:rFonts w:ascii="宋体" w:cs="宋体"/>
                <w:szCs w:val="21"/>
              </w:rPr>
            </w:pPr>
            <w:r>
              <w:rPr>
                <w:rFonts w:hint="eastAsia" w:ascii="宋体" w:hAnsi="宋体" w:cs="宋体"/>
                <w:szCs w:val="21"/>
              </w:rPr>
              <w:t>按有关法律、法规、规章不属于投标无效的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tcPr>
          <w:p>
            <w:pPr>
              <w:spacing w:line="360" w:lineRule="auto"/>
              <w:rPr>
                <w:rFonts w:ascii="宋体" w:cs="宋体"/>
                <w:szCs w:val="21"/>
              </w:rPr>
            </w:pPr>
          </w:p>
        </w:tc>
        <w:tc>
          <w:tcPr>
            <w:tcW w:w="7308" w:type="dxa"/>
            <w:vAlign w:val="center"/>
          </w:tcPr>
          <w:p>
            <w:pPr>
              <w:spacing w:before="120" w:beforeLines="50" w:after="120" w:afterLines="50" w:line="360" w:lineRule="auto"/>
              <w:rPr>
                <w:rFonts w:ascii="宋体" w:cs="宋体"/>
                <w:szCs w:val="21"/>
              </w:rPr>
            </w:pPr>
            <w:r>
              <w:rPr>
                <w:rFonts w:hint="eastAsia" w:ascii="宋体" w:hAnsi="宋体" w:cs="宋体"/>
                <w:szCs w:val="21"/>
              </w:rPr>
              <w:t>按照采购文件要求提供其他证明材料（如有）</w:t>
            </w:r>
          </w:p>
        </w:tc>
      </w:tr>
    </w:tbl>
    <w:p>
      <w:pPr>
        <w:spacing w:line="360" w:lineRule="auto"/>
        <w:ind w:firstLine="422" w:firstLineChars="200"/>
        <w:rPr>
          <w:rFonts w:ascii="宋体" w:cs="宋体"/>
          <w:b/>
          <w:szCs w:val="21"/>
        </w:rPr>
      </w:pPr>
      <w:r>
        <w:rPr>
          <w:rFonts w:ascii="宋体" w:hAnsi="宋体" w:cs="宋体"/>
          <w:b/>
          <w:szCs w:val="21"/>
        </w:rPr>
        <w:t>3.</w:t>
      </w:r>
      <w:r>
        <w:rPr>
          <w:rFonts w:hint="eastAsia" w:ascii="宋体" w:hAnsi="宋体" w:cs="宋体"/>
          <w:b/>
          <w:szCs w:val="21"/>
        </w:rPr>
        <w:t>详细评审</w:t>
      </w:r>
    </w:p>
    <w:p>
      <w:pPr>
        <w:spacing w:line="360" w:lineRule="auto"/>
        <w:ind w:firstLine="420" w:firstLineChars="200"/>
        <w:rPr>
          <w:rFonts w:ascii="宋体" w:cs="宋体"/>
          <w:kern w:val="0"/>
          <w:szCs w:val="21"/>
        </w:rPr>
      </w:pPr>
      <w:r>
        <w:rPr>
          <w:rFonts w:hint="eastAsia" w:ascii="宋体" w:hAnsi="宋体" w:cs="宋体"/>
          <w:kern w:val="0"/>
          <w:szCs w:val="21"/>
        </w:rPr>
        <w:t>评标委员会对资格审查、符合性审查合格的投标文件，依照本办法对投标文件作进一步评审、比较。评标委员会成员经过阅标、审标和询标，对各</w:t>
      </w:r>
      <w:r>
        <w:rPr>
          <w:rFonts w:hint="eastAsia" w:ascii="宋体" w:hAnsi="宋体" w:cs="宋体"/>
          <w:kern w:val="0"/>
          <w:szCs w:val="21"/>
          <w:lang w:eastAsia="zh-CN"/>
        </w:rPr>
        <w:t>供应商</w:t>
      </w:r>
      <w:r>
        <w:rPr>
          <w:rFonts w:hint="eastAsia" w:ascii="宋体" w:hAnsi="宋体" w:cs="宋体"/>
          <w:kern w:val="0"/>
          <w:szCs w:val="21"/>
        </w:rPr>
        <w:t>进行打分；</w:t>
      </w:r>
    </w:p>
    <w:p>
      <w:pPr>
        <w:spacing w:line="360" w:lineRule="auto"/>
        <w:ind w:firstLine="420" w:firstLineChars="200"/>
        <w:rPr>
          <w:rFonts w:ascii="宋体" w:cs="宋体"/>
          <w:kern w:val="0"/>
          <w:szCs w:val="21"/>
        </w:rPr>
      </w:pPr>
      <w:r>
        <w:rPr>
          <w:rFonts w:hint="eastAsia" w:ascii="宋体" w:hAnsi="宋体" w:cs="宋体"/>
          <w:kern w:val="0"/>
          <w:szCs w:val="21"/>
        </w:rPr>
        <w:t>评委打分参照本部分《</w:t>
      </w:r>
      <w:r>
        <w:rPr>
          <w:rFonts w:hint="eastAsia" w:ascii="宋体" w:hAnsi="宋体" w:cs="宋体"/>
          <w:kern w:val="0"/>
          <w:szCs w:val="21"/>
          <w:lang w:eastAsia="zh-CN"/>
        </w:rPr>
        <w:t>宁海县桥头胡街道环卫保洁服务项目</w:t>
      </w:r>
      <w:r>
        <w:rPr>
          <w:rFonts w:hint="eastAsia" w:ascii="宋体" w:hAnsi="宋体" w:cs="宋体"/>
          <w:kern w:val="0"/>
          <w:szCs w:val="21"/>
          <w:lang w:val="zh-CN"/>
        </w:rPr>
        <w:t>评分</w:t>
      </w:r>
      <w:r>
        <w:rPr>
          <w:rFonts w:hint="eastAsia" w:ascii="宋体" w:hAnsi="宋体" w:cs="宋体"/>
          <w:kern w:val="0"/>
          <w:szCs w:val="21"/>
        </w:rPr>
        <w:t>表》。由各评标委员会成员根据</w:t>
      </w:r>
      <w:r>
        <w:rPr>
          <w:rFonts w:hint="eastAsia" w:ascii="宋体" w:hAnsi="宋体" w:cs="宋体"/>
          <w:kern w:val="0"/>
          <w:szCs w:val="21"/>
          <w:lang w:eastAsia="zh-CN"/>
        </w:rPr>
        <w:t>供应商</w:t>
      </w:r>
      <w:r>
        <w:rPr>
          <w:rFonts w:hint="eastAsia" w:ascii="宋体" w:hAnsi="宋体" w:cs="宋体"/>
          <w:kern w:val="0"/>
          <w:szCs w:val="21"/>
        </w:rPr>
        <w:t>的投标文件及相关澄清文件，进行独立打分。评委打分采用记名方式，取算术平均分（小数点后保留一位小数）。</w:t>
      </w:r>
    </w:p>
    <w:p>
      <w:pPr>
        <w:snapToGrid w:val="0"/>
        <w:spacing w:before="120" w:beforeLines="50" w:line="360" w:lineRule="auto"/>
        <w:ind w:firstLine="413" w:firstLineChars="196"/>
        <w:rPr>
          <w:rFonts w:ascii="宋体" w:cs="宋体"/>
          <w:b/>
          <w:szCs w:val="21"/>
        </w:rPr>
      </w:pPr>
      <w:bookmarkStart w:id="45" w:name="_Toc13921"/>
      <w:r>
        <w:rPr>
          <w:rFonts w:ascii="宋体" w:hAnsi="宋体" w:cs="宋体"/>
          <w:b/>
          <w:szCs w:val="21"/>
        </w:rPr>
        <w:t>4.</w:t>
      </w:r>
      <w:r>
        <w:rPr>
          <w:rFonts w:hint="eastAsia" w:ascii="宋体" w:hAnsi="宋体" w:cs="宋体"/>
          <w:b/>
          <w:szCs w:val="21"/>
        </w:rPr>
        <w:t>投标无效的情形</w:t>
      </w:r>
      <w:bookmarkEnd w:id="45"/>
    </w:p>
    <w:p>
      <w:pPr>
        <w:snapToGrid w:val="0"/>
        <w:spacing w:line="360" w:lineRule="auto"/>
        <w:ind w:firstLine="420" w:firstLineChars="200"/>
        <w:rPr>
          <w:rFonts w:ascii="宋体" w:cs="宋体"/>
          <w:bCs/>
          <w:szCs w:val="21"/>
        </w:rPr>
      </w:pPr>
      <w:r>
        <w:rPr>
          <w:rFonts w:hint="eastAsia" w:ascii="宋体" w:hAnsi="宋体" w:cs="宋体"/>
          <w:bCs/>
          <w:szCs w:val="21"/>
        </w:rPr>
        <w:t>实质上没有响应采购文件要求的投标将被视为无效投标。</w:t>
      </w:r>
      <w:r>
        <w:rPr>
          <w:rFonts w:hint="eastAsia" w:ascii="宋体" w:hAnsi="宋体" w:cs="宋体"/>
          <w:bCs/>
          <w:szCs w:val="21"/>
          <w:lang w:eastAsia="zh-CN"/>
        </w:rPr>
        <w:t>供应商</w:t>
      </w:r>
      <w:r>
        <w:rPr>
          <w:rFonts w:hint="eastAsia" w:ascii="宋体" w:hAnsi="宋体" w:cs="宋体"/>
          <w:bCs/>
          <w:szCs w:val="21"/>
        </w:rPr>
        <w:t>不得通过修正或撤消不合要求的偏离或保留从而使其投标成为实质上响应的投标，但经评标委员会认定属于</w:t>
      </w:r>
      <w:r>
        <w:rPr>
          <w:rFonts w:hint="eastAsia" w:ascii="宋体" w:hAnsi="宋体" w:cs="宋体"/>
          <w:bCs/>
          <w:szCs w:val="21"/>
          <w:lang w:eastAsia="zh-CN"/>
        </w:rPr>
        <w:t>供应商</w:t>
      </w:r>
      <w:r>
        <w:rPr>
          <w:rFonts w:hint="eastAsia" w:ascii="宋体" w:hAnsi="宋体" w:cs="宋体"/>
          <w:bCs/>
          <w:szCs w:val="21"/>
        </w:rPr>
        <w:t>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w:t>
      </w:r>
      <w:r>
        <w:rPr>
          <w:rFonts w:hint="eastAsia" w:ascii="宋体" w:hAnsi="宋体" w:cs="宋体"/>
          <w:bCs/>
          <w:szCs w:val="21"/>
          <w:lang w:eastAsia="zh-CN"/>
        </w:rPr>
        <w:t>供应商</w:t>
      </w:r>
      <w:r>
        <w:rPr>
          <w:rFonts w:hint="eastAsia" w:ascii="宋体" w:hAnsi="宋体" w:cs="宋体"/>
          <w:bCs/>
          <w:szCs w:val="21"/>
        </w:rPr>
        <w:t>修改、补正投标文件后，不影响评标委员会对其投标文件所作的评价和评分结果。</w:t>
      </w:r>
    </w:p>
    <w:p>
      <w:pPr>
        <w:pStyle w:val="11"/>
        <w:snapToGrid w:val="0"/>
        <w:spacing w:line="360" w:lineRule="auto"/>
        <w:ind w:left="420" w:firstLine="0"/>
        <w:rPr>
          <w:rFonts w:hAnsi="宋体" w:cs="宋体"/>
          <w:b/>
          <w:bCs/>
          <w:sz w:val="21"/>
          <w:szCs w:val="21"/>
        </w:rPr>
      </w:pPr>
      <w:r>
        <w:rPr>
          <w:rFonts w:hint="eastAsia" w:hAnsi="宋体" w:cs="宋体"/>
          <w:b/>
          <w:bCs/>
          <w:sz w:val="21"/>
          <w:szCs w:val="21"/>
        </w:rPr>
        <w:t>在资格审查中，如发现下列情形之一的，投标文件将被视为无效：</w:t>
      </w:r>
    </w:p>
    <w:p>
      <w:pPr>
        <w:numPr>
          <w:ilvl w:val="0"/>
          <w:numId w:val="14"/>
        </w:numPr>
        <w:snapToGrid w:val="0"/>
        <w:spacing w:line="360" w:lineRule="auto"/>
        <w:ind w:firstLine="411" w:firstLineChars="196"/>
        <w:rPr>
          <w:rFonts w:ascii="宋体" w:cs="宋体"/>
          <w:szCs w:val="21"/>
        </w:rPr>
      </w:pPr>
      <w:r>
        <w:rPr>
          <w:rFonts w:hint="eastAsia" w:ascii="宋体" w:hAnsi="宋体" w:cs="宋体"/>
          <w:szCs w:val="21"/>
        </w:rPr>
        <w:t>资格证明文件不全的，或者不符合采购文件标明的资格要求的；</w:t>
      </w:r>
    </w:p>
    <w:p>
      <w:pPr>
        <w:pStyle w:val="11"/>
        <w:snapToGrid w:val="0"/>
        <w:spacing w:line="360" w:lineRule="auto"/>
        <w:ind w:left="420" w:firstLine="0"/>
        <w:rPr>
          <w:rFonts w:hAnsi="宋体" w:cs="宋体"/>
          <w:b/>
          <w:bCs/>
          <w:sz w:val="21"/>
          <w:szCs w:val="21"/>
        </w:rPr>
      </w:pPr>
      <w:r>
        <w:rPr>
          <w:rFonts w:hint="eastAsia" w:hAnsi="宋体" w:cs="宋体"/>
          <w:b/>
          <w:bCs/>
          <w:sz w:val="21"/>
          <w:szCs w:val="21"/>
        </w:rPr>
        <w:t>在符合性审查和商务评审时，如发现下列情形之一的，投标文件将被视为无效：</w:t>
      </w:r>
    </w:p>
    <w:p>
      <w:pPr>
        <w:snapToGrid w:val="0"/>
        <w:spacing w:line="360" w:lineRule="auto"/>
        <w:ind w:firstLine="411" w:firstLineChars="196"/>
        <w:rPr>
          <w:rFonts w:ascii="宋体" w:cs="宋体"/>
          <w:bCs/>
          <w:kern w:val="0"/>
          <w:szCs w:val="21"/>
        </w:rPr>
      </w:pPr>
      <w:r>
        <w:rPr>
          <w:rFonts w:hint="eastAsia" w:ascii="宋体" w:hAnsi="宋体" w:cs="宋体"/>
          <w:szCs w:val="21"/>
        </w:rPr>
        <w:t>（1）投标文件无法定代表人签字</w:t>
      </w:r>
      <w:r>
        <w:rPr>
          <w:rFonts w:ascii="宋体" w:hAnsi="宋体" w:cs="宋体"/>
          <w:szCs w:val="21"/>
        </w:rPr>
        <w:t>,</w:t>
      </w:r>
      <w:r>
        <w:rPr>
          <w:rFonts w:hint="eastAsia" w:ascii="宋体" w:hAnsi="宋体" w:cs="宋体"/>
          <w:szCs w:val="21"/>
        </w:rPr>
        <w:t>或未</w:t>
      </w:r>
      <w:r>
        <w:rPr>
          <w:rFonts w:hint="eastAsia" w:ascii="宋体" w:hAnsi="宋体" w:cs="宋体"/>
          <w:bCs/>
          <w:kern w:val="0"/>
          <w:szCs w:val="21"/>
        </w:rPr>
        <w:t>提供法定代表人授权委托书、投标声明书或者填写项目不齐全的；</w:t>
      </w:r>
    </w:p>
    <w:p>
      <w:pPr>
        <w:snapToGrid w:val="0"/>
        <w:spacing w:line="360" w:lineRule="auto"/>
        <w:ind w:firstLine="411" w:firstLineChars="196"/>
        <w:rPr>
          <w:rFonts w:ascii="宋体" w:hAnsi="宋体" w:cs="宋体"/>
          <w:szCs w:val="21"/>
        </w:rPr>
      </w:pPr>
      <w:r>
        <w:rPr>
          <w:rFonts w:hint="eastAsia" w:ascii="宋体" w:hAnsi="宋体" w:cs="宋体"/>
          <w:szCs w:val="21"/>
        </w:rPr>
        <w:t>（2）投标代表人未能出具身份证明或与法定代表人授权委托人身份不符的；</w:t>
      </w:r>
    </w:p>
    <w:p>
      <w:pPr>
        <w:pStyle w:val="11"/>
        <w:snapToGrid w:val="0"/>
        <w:spacing w:line="360" w:lineRule="auto"/>
        <w:ind w:firstLine="395" w:firstLineChars="196"/>
        <w:rPr>
          <w:rFonts w:hAnsi="宋体" w:cs="宋体"/>
          <w:snapToGrid w:val="0"/>
          <w:sz w:val="21"/>
          <w:szCs w:val="21"/>
        </w:rPr>
      </w:pPr>
      <w:r>
        <w:rPr>
          <w:rFonts w:hint="eastAsia" w:hAnsi="宋体" w:cs="宋体"/>
          <w:sz w:val="21"/>
          <w:szCs w:val="21"/>
        </w:rPr>
        <w:t>（</w:t>
      </w:r>
      <w:r>
        <w:rPr>
          <w:rFonts w:hint="eastAsia" w:hAnsi="宋体" w:cs="宋体"/>
          <w:snapToGrid w:val="0"/>
          <w:sz w:val="21"/>
          <w:szCs w:val="21"/>
        </w:rPr>
        <w:t>3）</w:t>
      </w:r>
      <w:r>
        <w:rPr>
          <w:rFonts w:hint="eastAsia" w:hAnsi="宋体" w:cs="宋体"/>
          <w:sz w:val="21"/>
          <w:szCs w:val="21"/>
        </w:rPr>
        <w:t>投标文件格式不规范、项目不齐全或者内容虚假的；</w:t>
      </w:r>
    </w:p>
    <w:p>
      <w:pPr>
        <w:pStyle w:val="11"/>
        <w:snapToGrid w:val="0"/>
        <w:spacing w:line="360" w:lineRule="auto"/>
        <w:ind w:firstLine="395" w:firstLineChars="196"/>
        <w:rPr>
          <w:rFonts w:hAnsi="宋体" w:cs="宋体"/>
          <w:snapToGrid w:val="0"/>
          <w:sz w:val="21"/>
          <w:szCs w:val="21"/>
        </w:rPr>
      </w:pPr>
      <w:r>
        <w:rPr>
          <w:rFonts w:hint="eastAsia" w:hAnsi="宋体" w:cs="宋体"/>
          <w:sz w:val="21"/>
          <w:szCs w:val="21"/>
        </w:rPr>
        <w:t>（4）投标文件的实质性内容未使用中文表述、意思表述不明确、前后矛盾或者使用计量单位不符合采购文件要求的（经评标委员会认定并允许其当场更正的笔误除外）；</w:t>
      </w:r>
    </w:p>
    <w:p>
      <w:pPr>
        <w:pStyle w:val="11"/>
        <w:snapToGrid w:val="0"/>
        <w:spacing w:line="360" w:lineRule="auto"/>
        <w:ind w:firstLine="398" w:firstLineChars="196"/>
        <w:rPr>
          <w:rFonts w:hAnsi="宋体" w:cs="宋体"/>
          <w:b/>
          <w:snapToGrid w:val="0"/>
          <w:sz w:val="21"/>
          <w:szCs w:val="21"/>
        </w:rPr>
      </w:pPr>
      <w:r>
        <w:rPr>
          <w:rFonts w:hint="eastAsia" w:hAnsi="宋体" w:cs="宋体"/>
          <w:b/>
          <w:sz w:val="21"/>
          <w:szCs w:val="21"/>
        </w:rPr>
        <w:t>（</w:t>
      </w:r>
      <w:r>
        <w:rPr>
          <w:rFonts w:hint="eastAsia" w:hAnsi="宋体" w:cs="宋体"/>
          <w:b/>
          <w:snapToGrid w:val="0"/>
          <w:sz w:val="21"/>
          <w:szCs w:val="21"/>
        </w:rPr>
        <w:t>5）投标有效期、交货时间、质保期等商务条款不能满足采购文件要求的；</w:t>
      </w:r>
    </w:p>
    <w:p>
      <w:pPr>
        <w:pStyle w:val="11"/>
        <w:snapToGrid w:val="0"/>
        <w:spacing w:line="360" w:lineRule="auto"/>
        <w:ind w:firstLine="395" w:firstLineChars="196"/>
        <w:rPr>
          <w:rFonts w:hAnsi="宋体" w:cs="宋体"/>
          <w:sz w:val="21"/>
          <w:szCs w:val="21"/>
        </w:rPr>
      </w:pPr>
      <w:r>
        <w:rPr>
          <w:rFonts w:hint="eastAsia" w:hAnsi="宋体" w:cs="宋体"/>
          <w:sz w:val="21"/>
          <w:szCs w:val="21"/>
        </w:rPr>
        <w:t>（6）未实质性响应采购文件要求或者投标文件有采购人不能接受的附加条件的；</w:t>
      </w:r>
    </w:p>
    <w:p>
      <w:pPr>
        <w:pStyle w:val="11"/>
        <w:snapToGrid w:val="0"/>
        <w:spacing w:line="360" w:lineRule="auto"/>
        <w:ind w:firstLine="395" w:firstLineChars="196"/>
        <w:rPr>
          <w:rFonts w:hAnsi="宋体" w:cs="宋体"/>
          <w:sz w:val="21"/>
          <w:szCs w:val="21"/>
        </w:rPr>
      </w:pPr>
      <w:r>
        <w:rPr>
          <w:rFonts w:hint="eastAsia" w:hAnsi="宋体" w:cs="宋体"/>
          <w:sz w:val="21"/>
          <w:szCs w:val="21"/>
        </w:rPr>
        <w:t>（7）未按规定签章的；</w:t>
      </w:r>
    </w:p>
    <w:p>
      <w:pPr>
        <w:pStyle w:val="11"/>
        <w:snapToGrid w:val="0"/>
        <w:spacing w:line="360" w:lineRule="auto"/>
        <w:ind w:firstLine="395" w:firstLineChars="196"/>
        <w:rPr>
          <w:rFonts w:hAnsi="宋体" w:cs="宋体"/>
          <w:sz w:val="21"/>
          <w:szCs w:val="21"/>
        </w:rPr>
      </w:pPr>
      <w:r>
        <w:rPr>
          <w:rFonts w:hint="eastAsia" w:hAnsi="宋体" w:cs="宋体"/>
          <w:sz w:val="21"/>
          <w:szCs w:val="21"/>
        </w:rPr>
        <w:t>（8）投标文件的关键内容字迹模糊、无法辨认的，或者投标文件中经修正的内容字迹模糊难以辩认或者修改处未按规定签名盖章。</w:t>
      </w:r>
    </w:p>
    <w:p>
      <w:pPr>
        <w:pStyle w:val="11"/>
        <w:snapToGrid w:val="0"/>
        <w:spacing w:line="360" w:lineRule="auto"/>
        <w:ind w:left="420" w:firstLine="0"/>
        <w:rPr>
          <w:rFonts w:hAnsi="宋体" w:cs="宋体"/>
          <w:b/>
          <w:bCs/>
          <w:sz w:val="21"/>
          <w:szCs w:val="21"/>
        </w:rPr>
      </w:pPr>
      <w:r>
        <w:rPr>
          <w:rFonts w:hint="eastAsia" w:hAnsi="宋体" w:cs="宋体"/>
          <w:b/>
          <w:bCs/>
          <w:sz w:val="21"/>
          <w:szCs w:val="21"/>
        </w:rPr>
        <w:t>在技术评审时，如发现下列情形之一的，投标文件将被视为无效：</w:t>
      </w:r>
    </w:p>
    <w:p>
      <w:pPr>
        <w:pStyle w:val="11"/>
        <w:snapToGrid w:val="0"/>
        <w:spacing w:line="360" w:lineRule="auto"/>
        <w:ind w:firstLine="395" w:firstLineChars="196"/>
        <w:rPr>
          <w:rFonts w:hAnsi="宋体" w:cs="宋体"/>
          <w:sz w:val="21"/>
          <w:szCs w:val="21"/>
        </w:rPr>
      </w:pPr>
      <w:r>
        <w:rPr>
          <w:rFonts w:hint="eastAsia" w:hAnsi="宋体" w:cs="宋体"/>
          <w:sz w:val="21"/>
          <w:szCs w:val="21"/>
        </w:rPr>
        <w:t>（</w:t>
      </w:r>
      <w:r>
        <w:rPr>
          <w:rFonts w:hAnsi="宋体" w:cs="宋体"/>
          <w:sz w:val="21"/>
          <w:szCs w:val="21"/>
        </w:rPr>
        <w:t>1</w:t>
      </w:r>
      <w:r>
        <w:rPr>
          <w:rFonts w:hint="eastAsia" w:hAnsi="宋体" w:cs="宋体"/>
          <w:sz w:val="21"/>
          <w:szCs w:val="21"/>
        </w:rPr>
        <w:t>）未提供或未如实提供投标货物或服务的技术参数，或者投标文件标明的响应或偏离与事实不符或虚假投标的；</w:t>
      </w:r>
    </w:p>
    <w:p>
      <w:pPr>
        <w:pStyle w:val="11"/>
        <w:snapToGrid w:val="0"/>
        <w:spacing w:line="360" w:lineRule="auto"/>
        <w:ind w:firstLine="395" w:firstLineChars="196"/>
        <w:rPr>
          <w:rFonts w:hAnsi="宋体" w:cs="宋体"/>
          <w:sz w:val="21"/>
          <w:szCs w:val="21"/>
        </w:rPr>
      </w:pPr>
      <w:r>
        <w:rPr>
          <w:rFonts w:hint="eastAsia" w:hAnsi="宋体" w:cs="宋体"/>
          <w:sz w:val="21"/>
          <w:szCs w:val="21"/>
        </w:rPr>
        <w:t>（</w:t>
      </w:r>
      <w:r>
        <w:rPr>
          <w:rFonts w:hAnsi="宋体" w:cs="宋体"/>
          <w:sz w:val="21"/>
          <w:szCs w:val="21"/>
        </w:rPr>
        <w:t>2</w:t>
      </w:r>
      <w:r>
        <w:rPr>
          <w:rFonts w:hint="eastAsia" w:hAnsi="宋体" w:cs="宋体"/>
          <w:sz w:val="21"/>
          <w:szCs w:val="21"/>
        </w:rPr>
        <w:t>）</w:t>
      </w:r>
      <w:r>
        <w:rPr>
          <w:rFonts w:hint="eastAsia" w:hAnsi="宋体" w:cs="宋体"/>
          <w:snapToGrid w:val="0"/>
          <w:sz w:val="21"/>
          <w:szCs w:val="21"/>
        </w:rPr>
        <w:t>明显不符合采购文件要求的规格型号、质量标准，或者与</w:t>
      </w:r>
      <w:r>
        <w:rPr>
          <w:rFonts w:hint="eastAsia" w:hAnsi="宋体" w:cs="宋体"/>
          <w:sz w:val="21"/>
          <w:szCs w:val="21"/>
        </w:rPr>
        <w:t>采购文件中标“</w:t>
      </w:r>
      <w:r>
        <w:rPr>
          <w:rFonts w:hint="eastAsia" w:hAnsi="宋体" w:cs="宋体"/>
          <w:sz w:val="24"/>
        </w:rPr>
        <w:t>★</w:t>
      </w:r>
      <w:r>
        <w:rPr>
          <w:rFonts w:hint="eastAsia" w:hAnsi="宋体" w:cs="宋体"/>
          <w:sz w:val="21"/>
          <w:szCs w:val="21"/>
        </w:rPr>
        <w:t>”的技术指标、主要功能项目发生实质性偏离的；</w:t>
      </w:r>
    </w:p>
    <w:p>
      <w:pPr>
        <w:pStyle w:val="11"/>
        <w:snapToGrid w:val="0"/>
        <w:spacing w:line="360" w:lineRule="auto"/>
        <w:ind w:firstLine="395" w:firstLineChars="196"/>
        <w:rPr>
          <w:rFonts w:hAnsi="宋体" w:cs="宋体"/>
          <w:sz w:val="21"/>
          <w:szCs w:val="21"/>
        </w:rPr>
      </w:pPr>
      <w:r>
        <w:rPr>
          <w:rFonts w:hint="eastAsia" w:hAnsi="宋体" w:cs="宋体"/>
          <w:sz w:val="21"/>
          <w:szCs w:val="21"/>
        </w:rPr>
        <w:t>（</w:t>
      </w:r>
      <w:r>
        <w:rPr>
          <w:rFonts w:hAnsi="宋体" w:cs="宋体"/>
          <w:sz w:val="21"/>
          <w:szCs w:val="21"/>
        </w:rPr>
        <w:t>3</w:t>
      </w:r>
      <w:r>
        <w:rPr>
          <w:rFonts w:hint="eastAsia" w:hAnsi="宋体" w:cs="宋体"/>
          <w:sz w:val="21"/>
          <w:szCs w:val="21"/>
        </w:rPr>
        <w:t>）投标技术方案不明确，存在一个或一个以上备选（替代）投标方案的；</w:t>
      </w:r>
    </w:p>
    <w:p>
      <w:pPr>
        <w:pStyle w:val="11"/>
        <w:snapToGrid w:val="0"/>
        <w:spacing w:line="360" w:lineRule="auto"/>
        <w:ind w:firstLine="404" w:firstLineChars="200"/>
        <w:rPr>
          <w:rFonts w:hAnsi="宋体" w:cs="宋体"/>
          <w:sz w:val="21"/>
          <w:szCs w:val="21"/>
        </w:rPr>
      </w:pPr>
      <w:r>
        <w:rPr>
          <w:rFonts w:hint="eastAsia" w:hAnsi="宋体" w:cs="宋体"/>
          <w:sz w:val="21"/>
          <w:szCs w:val="21"/>
        </w:rPr>
        <w:t>（</w:t>
      </w:r>
      <w:r>
        <w:rPr>
          <w:rFonts w:hAnsi="宋体" w:cs="宋体"/>
          <w:sz w:val="21"/>
          <w:szCs w:val="21"/>
        </w:rPr>
        <w:t>4</w:t>
      </w:r>
      <w:r>
        <w:rPr>
          <w:rFonts w:hint="eastAsia" w:hAnsi="宋体" w:cs="宋体"/>
          <w:sz w:val="21"/>
          <w:szCs w:val="21"/>
        </w:rPr>
        <w:t>）与其他参加本次投标</w:t>
      </w:r>
      <w:r>
        <w:rPr>
          <w:rFonts w:hint="eastAsia" w:hAnsi="宋体" w:cs="宋体"/>
          <w:sz w:val="21"/>
          <w:szCs w:val="21"/>
          <w:lang w:eastAsia="zh-CN"/>
        </w:rPr>
        <w:t>供应商</w:t>
      </w:r>
      <w:r>
        <w:rPr>
          <w:rFonts w:hint="eastAsia" w:hAnsi="宋体" w:cs="宋体"/>
          <w:sz w:val="21"/>
          <w:szCs w:val="21"/>
        </w:rPr>
        <w:t>的投标文件（技术文件）的文字表述内容相同连续</w:t>
      </w:r>
      <w:r>
        <w:rPr>
          <w:rFonts w:hAnsi="宋体" w:cs="宋体"/>
          <w:sz w:val="21"/>
          <w:szCs w:val="21"/>
        </w:rPr>
        <w:t>20</w:t>
      </w:r>
      <w:r>
        <w:rPr>
          <w:rFonts w:hint="eastAsia" w:hAnsi="宋体" w:cs="宋体"/>
          <w:sz w:val="21"/>
          <w:szCs w:val="21"/>
        </w:rPr>
        <w:t>行以上或者差错相同</w:t>
      </w:r>
      <w:r>
        <w:rPr>
          <w:rFonts w:hAnsi="宋体" w:cs="宋体"/>
          <w:sz w:val="21"/>
          <w:szCs w:val="21"/>
        </w:rPr>
        <w:t>2</w:t>
      </w:r>
      <w:r>
        <w:rPr>
          <w:rFonts w:hint="eastAsia" w:hAnsi="宋体" w:cs="宋体"/>
          <w:sz w:val="21"/>
          <w:szCs w:val="21"/>
        </w:rPr>
        <w:t>处以上的。</w:t>
      </w:r>
    </w:p>
    <w:p>
      <w:pPr>
        <w:pStyle w:val="11"/>
        <w:snapToGrid w:val="0"/>
        <w:spacing w:line="360" w:lineRule="auto"/>
        <w:ind w:left="420" w:firstLine="0"/>
        <w:rPr>
          <w:rFonts w:hAnsi="宋体" w:cs="宋体"/>
          <w:b/>
          <w:bCs/>
          <w:sz w:val="21"/>
          <w:szCs w:val="21"/>
        </w:rPr>
      </w:pPr>
      <w:r>
        <w:rPr>
          <w:rFonts w:hint="eastAsia" w:hAnsi="宋体" w:cs="宋体"/>
          <w:b/>
          <w:bCs/>
          <w:sz w:val="21"/>
          <w:szCs w:val="21"/>
        </w:rPr>
        <w:t>在报价评审时，如发现下列情形之一的，投标文件将被视为无效：</w:t>
      </w:r>
    </w:p>
    <w:p>
      <w:pPr>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）未采用人民币报价或者未按照采购文件标明的币种报价的；</w:t>
      </w:r>
    </w:p>
    <w:p>
      <w:pPr>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）报价超出最高限价，或者超出采购预算金额</w:t>
      </w:r>
      <w:r>
        <w:rPr>
          <w:rFonts w:ascii="宋体" w:hAnsi="宋体" w:cs="宋体"/>
          <w:szCs w:val="21"/>
        </w:rPr>
        <w:t>(</w:t>
      </w:r>
      <w:r>
        <w:rPr>
          <w:rFonts w:hint="eastAsia" w:ascii="宋体" w:hAnsi="宋体" w:cs="宋体"/>
          <w:szCs w:val="21"/>
        </w:rPr>
        <w:t>自主创新产品除外</w:t>
      </w:r>
      <w:r>
        <w:rPr>
          <w:rFonts w:ascii="宋体" w:hAnsi="宋体" w:cs="宋体"/>
          <w:szCs w:val="21"/>
        </w:rPr>
        <w:t>)</w:t>
      </w:r>
      <w:r>
        <w:rPr>
          <w:rFonts w:hint="eastAsia" w:ascii="宋体" w:hAnsi="宋体" w:cs="宋体"/>
          <w:szCs w:val="21"/>
        </w:rPr>
        <w:t>，采购人不能支付的；</w:t>
      </w:r>
    </w:p>
    <w:p>
      <w:pPr>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）投标报价具有选择性；</w:t>
      </w:r>
    </w:p>
    <w:p>
      <w:pPr>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）投标报价中出现重大缺项、漏项；</w:t>
      </w:r>
    </w:p>
    <w:p>
      <w:pPr>
        <w:spacing w:line="360" w:lineRule="auto"/>
        <w:ind w:firstLine="420" w:firstLineChars="200"/>
        <w:rPr>
          <w:rFonts w:asci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）评标委员会认为</w:t>
      </w:r>
      <w:r>
        <w:rPr>
          <w:rFonts w:hint="eastAsia" w:ascii="宋体" w:hAnsi="宋体" w:cs="宋体"/>
          <w:szCs w:val="21"/>
          <w:lang w:eastAsia="zh-CN"/>
        </w:rPr>
        <w:t>供应商</w:t>
      </w:r>
      <w:r>
        <w:rPr>
          <w:rFonts w:hint="eastAsia" w:ascii="宋体" w:hAnsi="宋体" w:cs="宋体"/>
          <w:szCs w:val="21"/>
        </w:rPr>
        <w:t>的报价明显低于其他通过符合性审查</w:t>
      </w:r>
      <w:r>
        <w:rPr>
          <w:rFonts w:hint="eastAsia" w:ascii="宋体" w:hAnsi="宋体" w:cs="宋体"/>
          <w:szCs w:val="21"/>
          <w:lang w:eastAsia="zh-CN"/>
        </w:rPr>
        <w:t>供应商</w:t>
      </w:r>
      <w:r>
        <w:rPr>
          <w:rFonts w:hint="eastAsia" w:ascii="宋体" w:hAnsi="宋体" w:cs="宋体"/>
          <w:szCs w:val="21"/>
        </w:rPr>
        <w:t>的报价，有可能影响产品质量或者不能诚信履约的，且不能在评标现场合理时间内提供相关证明材料说明其报价的合理性的。</w:t>
      </w:r>
    </w:p>
    <w:p>
      <w:pPr>
        <w:pStyle w:val="11"/>
        <w:snapToGrid w:val="0"/>
        <w:spacing w:line="360" w:lineRule="auto"/>
        <w:ind w:left="420" w:firstLine="0"/>
        <w:rPr>
          <w:rFonts w:hAnsi="宋体" w:cs="宋体"/>
          <w:b/>
          <w:sz w:val="21"/>
          <w:szCs w:val="21"/>
        </w:rPr>
      </w:pPr>
      <w:r>
        <w:rPr>
          <w:rFonts w:hint="eastAsia" w:hAnsi="宋体" w:cs="宋体"/>
          <w:b/>
          <w:sz w:val="21"/>
          <w:szCs w:val="21"/>
        </w:rPr>
        <w:t>法律、法规和采购文件规定的其他无效情形。</w:t>
      </w:r>
    </w:p>
    <w:p>
      <w:pPr>
        <w:snapToGrid w:val="0"/>
        <w:spacing w:line="360" w:lineRule="auto"/>
        <w:ind w:firstLine="422" w:firstLineChars="200"/>
        <w:rPr>
          <w:rFonts w:ascii="宋体" w:cs="宋体"/>
          <w:b/>
          <w:szCs w:val="21"/>
        </w:rPr>
      </w:pPr>
      <w:r>
        <w:rPr>
          <w:rFonts w:hint="eastAsia" w:ascii="宋体" w:hAnsi="宋体" w:cs="宋体"/>
          <w:b/>
          <w:szCs w:val="21"/>
        </w:rPr>
        <w:t>（四）澄清问题的形式</w:t>
      </w:r>
    </w:p>
    <w:p>
      <w:pPr>
        <w:spacing w:line="360" w:lineRule="auto"/>
        <w:ind w:firstLine="420" w:firstLineChars="200"/>
        <w:rPr>
          <w:rFonts w:ascii="宋体" w:cs="宋体"/>
          <w:b/>
          <w:bCs/>
          <w:szCs w:val="21"/>
        </w:rPr>
      </w:pPr>
      <w:r>
        <w:rPr>
          <w:rFonts w:hint="eastAsia" w:ascii="宋体" w:hAnsi="宋体" w:cs="宋体"/>
          <w:szCs w:val="21"/>
        </w:rPr>
        <w:t>对于投标文件中含义不明确、同类问题表述不一致或者有明显文字和计算错误的内容，</w:t>
      </w:r>
      <w:r>
        <w:rPr>
          <w:rFonts w:hint="eastAsia" w:ascii="宋体" w:hAnsi="宋体" w:cs="宋体"/>
          <w:b/>
          <w:bCs/>
          <w:szCs w:val="21"/>
        </w:rPr>
        <w:t>评标委员会应当以书面形式要求</w:t>
      </w:r>
      <w:r>
        <w:rPr>
          <w:rFonts w:hint="eastAsia" w:ascii="宋体" w:hAnsi="宋体" w:cs="宋体"/>
          <w:b/>
          <w:bCs/>
          <w:szCs w:val="21"/>
          <w:lang w:eastAsia="zh-CN"/>
        </w:rPr>
        <w:t>供应商</w:t>
      </w:r>
      <w:r>
        <w:rPr>
          <w:rFonts w:hint="eastAsia" w:ascii="宋体" w:hAnsi="宋体" w:cs="宋体"/>
          <w:b/>
          <w:bCs/>
          <w:szCs w:val="21"/>
        </w:rPr>
        <w:t>作出必要的澄清、说明或者补正。</w:t>
      </w:r>
      <w:r>
        <w:rPr>
          <w:rFonts w:hint="eastAsia" w:ascii="宋体" w:hAnsi="宋体" w:cs="宋体"/>
          <w:szCs w:val="21"/>
          <w:lang w:eastAsia="zh-CN"/>
        </w:rPr>
        <w:t>供应商</w:t>
      </w:r>
      <w:r>
        <w:rPr>
          <w:rFonts w:hint="eastAsia" w:ascii="宋体" w:hAnsi="宋体" w:cs="宋体"/>
          <w:szCs w:val="21"/>
        </w:rPr>
        <w:t>的澄清、说明或者补正应当采用书面形式，并加盖公章，或者由法定代表人或其授权的代表签字。</w:t>
      </w:r>
      <w:r>
        <w:rPr>
          <w:rFonts w:hint="eastAsia" w:ascii="宋体" w:hAnsi="宋体" w:cs="宋体"/>
          <w:b/>
          <w:bCs/>
          <w:szCs w:val="21"/>
          <w:lang w:eastAsia="zh-CN"/>
        </w:rPr>
        <w:t>供应商</w:t>
      </w:r>
      <w:r>
        <w:rPr>
          <w:rFonts w:hint="eastAsia" w:ascii="宋体" w:hAnsi="宋体" w:cs="宋体"/>
          <w:b/>
          <w:bCs/>
          <w:szCs w:val="21"/>
        </w:rPr>
        <w:t>的澄清、说明或者补正不得超出投标文件的范围或者改变投标文件的实质性内容。</w:t>
      </w:r>
    </w:p>
    <w:p>
      <w:pPr>
        <w:pStyle w:val="13"/>
        <w:snapToGrid w:val="0"/>
        <w:spacing w:before="120" w:after="120" w:line="360" w:lineRule="auto"/>
        <w:ind w:left="690" w:leftChars="228" w:hanging="211" w:hangingChars="100"/>
        <w:rPr>
          <w:rFonts w:hAnsi="宋体" w:cs="宋体"/>
          <w:b/>
          <w:sz w:val="21"/>
          <w:szCs w:val="21"/>
        </w:rPr>
      </w:pPr>
      <w:r>
        <w:rPr>
          <w:rFonts w:hint="eastAsia" w:hAnsi="宋体" w:cs="宋体"/>
          <w:b/>
          <w:bCs/>
          <w:sz w:val="21"/>
          <w:szCs w:val="21"/>
        </w:rPr>
        <w:t>（五）</w:t>
      </w:r>
      <w:r>
        <w:rPr>
          <w:rFonts w:hint="eastAsia" w:hAnsi="宋体" w:cs="宋体"/>
          <w:b/>
          <w:sz w:val="21"/>
          <w:szCs w:val="21"/>
        </w:rPr>
        <w:t>错误修正</w:t>
      </w:r>
    </w:p>
    <w:p>
      <w:pPr>
        <w:snapToGrid w:val="0"/>
        <w:spacing w:line="360" w:lineRule="auto"/>
        <w:ind w:firstLine="420" w:firstLineChars="200"/>
        <w:rPr>
          <w:rFonts w:ascii="宋体" w:cs="宋体"/>
          <w:szCs w:val="21"/>
        </w:rPr>
      </w:pPr>
      <w:r>
        <w:rPr>
          <w:rFonts w:hint="eastAsia" w:ascii="宋体" w:hAnsi="宋体" w:cs="宋体"/>
          <w:szCs w:val="21"/>
        </w:rPr>
        <w:t>投标文件报价出现前后不一致的，除采购文件另有规定外，按照下列规定修正：</w:t>
      </w:r>
    </w:p>
    <w:p>
      <w:pPr>
        <w:snapToGrid w:val="0"/>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、投标文件中开标一览表（报价表）内容与投标文件中相应内容不一致的，以开标一览表（报价表）为准；</w:t>
      </w:r>
    </w:p>
    <w:p>
      <w:pPr>
        <w:snapToGrid w:val="0"/>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、大写金额和小写金额不一致的，以大写金额为准；</w:t>
      </w:r>
    </w:p>
    <w:p>
      <w:pPr>
        <w:snapToGrid w:val="0"/>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、单价金额小数点或者百分比有明显错位的，以开标一览表的总价为准，并修改单价；</w:t>
      </w:r>
    </w:p>
    <w:p>
      <w:pPr>
        <w:snapToGrid w:val="0"/>
        <w:spacing w:line="360" w:lineRule="auto"/>
        <w:ind w:firstLine="420" w:firstLineChars="200"/>
        <w:rPr>
          <w:rFonts w:ascii="宋体" w:cs="宋体"/>
          <w:szCs w:val="21"/>
        </w:rPr>
      </w:pPr>
      <w:r>
        <w:rPr>
          <w:rFonts w:ascii="宋体" w:hAnsi="宋体" w:cs="宋体"/>
          <w:szCs w:val="21"/>
        </w:rPr>
        <w:t>4</w:t>
      </w:r>
      <w:r>
        <w:rPr>
          <w:rFonts w:hint="eastAsia" w:ascii="宋体" w:hAnsi="宋体" w:cs="宋体"/>
          <w:szCs w:val="21"/>
        </w:rPr>
        <w:t>、总价金额与按单价汇总金额不一致的，以单价金额计算结果为准。</w:t>
      </w:r>
    </w:p>
    <w:p>
      <w:pPr>
        <w:snapToGrid w:val="0"/>
        <w:spacing w:line="360" w:lineRule="auto"/>
        <w:ind w:firstLine="422" w:firstLineChars="200"/>
        <w:rPr>
          <w:rFonts w:ascii="宋体" w:cs="宋体"/>
          <w:b/>
          <w:bCs/>
          <w:szCs w:val="21"/>
        </w:rPr>
      </w:pPr>
      <w:r>
        <w:rPr>
          <w:rFonts w:hint="eastAsia" w:ascii="宋体" w:hAnsi="宋体" w:cs="宋体"/>
          <w:b/>
          <w:bCs/>
          <w:szCs w:val="21"/>
        </w:rPr>
        <w:t>同时出现两种以上不一致的，按照前款规定的顺序修正。修正后的报价经</w:t>
      </w:r>
      <w:r>
        <w:rPr>
          <w:rFonts w:hint="eastAsia" w:ascii="宋体" w:hAnsi="宋体" w:cs="宋体"/>
          <w:b/>
          <w:bCs/>
          <w:szCs w:val="21"/>
          <w:lang w:eastAsia="zh-CN"/>
        </w:rPr>
        <w:t>供应商</w:t>
      </w:r>
      <w:r>
        <w:rPr>
          <w:rFonts w:hint="eastAsia" w:ascii="宋体" w:hAnsi="宋体" w:cs="宋体"/>
          <w:b/>
          <w:bCs/>
          <w:szCs w:val="21"/>
        </w:rPr>
        <w:t>确认后产生约束力，</w:t>
      </w:r>
      <w:r>
        <w:rPr>
          <w:rFonts w:hint="eastAsia" w:ascii="宋体" w:hAnsi="宋体" w:cs="宋体"/>
          <w:b/>
          <w:bCs/>
          <w:szCs w:val="21"/>
          <w:lang w:eastAsia="zh-CN"/>
        </w:rPr>
        <w:t>供应商</w:t>
      </w:r>
      <w:r>
        <w:rPr>
          <w:rFonts w:hint="eastAsia" w:ascii="宋体" w:hAnsi="宋体" w:cs="宋体"/>
          <w:b/>
          <w:bCs/>
          <w:szCs w:val="21"/>
        </w:rPr>
        <w:t>不确认的，其投标无效。</w:t>
      </w:r>
    </w:p>
    <w:p>
      <w:pPr>
        <w:pStyle w:val="13"/>
        <w:tabs>
          <w:tab w:val="left" w:pos="630"/>
        </w:tabs>
        <w:snapToGrid w:val="0"/>
        <w:spacing w:before="120" w:after="120" w:line="360" w:lineRule="auto"/>
        <w:ind w:firstLine="413" w:firstLineChars="196"/>
        <w:rPr>
          <w:rFonts w:hAnsi="宋体" w:cs="宋体"/>
          <w:b/>
          <w:sz w:val="21"/>
          <w:szCs w:val="21"/>
        </w:rPr>
      </w:pPr>
      <w:r>
        <w:rPr>
          <w:rFonts w:hint="eastAsia" w:hAnsi="宋体" w:cs="宋体"/>
          <w:b/>
          <w:sz w:val="21"/>
          <w:szCs w:val="21"/>
        </w:rPr>
        <w:t>（六）评标原则和评标办法</w:t>
      </w:r>
    </w:p>
    <w:p>
      <w:pPr>
        <w:pStyle w:val="13"/>
        <w:snapToGrid w:val="0"/>
        <w:spacing w:before="120" w:after="120" w:line="360" w:lineRule="auto"/>
        <w:ind w:firstLine="420" w:firstLineChars="200"/>
        <w:rPr>
          <w:rFonts w:hAnsi="宋体" w:cs="宋体"/>
          <w:sz w:val="21"/>
          <w:szCs w:val="21"/>
        </w:rPr>
      </w:pPr>
      <w:r>
        <w:rPr>
          <w:rFonts w:hAnsi="宋体" w:cs="宋体"/>
          <w:sz w:val="21"/>
          <w:szCs w:val="21"/>
        </w:rPr>
        <w:t>1</w:t>
      </w:r>
      <w:r>
        <w:rPr>
          <w:rFonts w:hint="eastAsia" w:hAnsi="宋体" w:cs="宋体"/>
          <w:sz w:val="21"/>
          <w:szCs w:val="21"/>
        </w:rPr>
        <w:t>、评标原则。评标委员会必须公平、公正、客观，不带任何倾向性和启发性；不得向外界透露任何与评标有关的内容；任何单位和个人不得干扰、影响评标的正常进行；评标委员会及有关工作人员不得私下与</w:t>
      </w:r>
      <w:r>
        <w:rPr>
          <w:rFonts w:hint="eastAsia" w:hAnsi="宋体" w:cs="宋体"/>
          <w:sz w:val="21"/>
          <w:szCs w:val="21"/>
          <w:lang w:eastAsia="zh-CN"/>
        </w:rPr>
        <w:t>供应商</w:t>
      </w:r>
      <w:r>
        <w:rPr>
          <w:rFonts w:hint="eastAsia" w:hAnsi="宋体" w:cs="宋体"/>
          <w:sz w:val="21"/>
          <w:szCs w:val="21"/>
        </w:rPr>
        <w:t>接触。</w:t>
      </w:r>
    </w:p>
    <w:p>
      <w:pPr>
        <w:pStyle w:val="13"/>
        <w:snapToGrid w:val="0"/>
        <w:spacing w:before="120" w:after="120" w:line="360" w:lineRule="auto"/>
        <w:ind w:firstLine="420" w:firstLineChars="200"/>
        <w:rPr>
          <w:rFonts w:hAnsi="宋体" w:cs="宋体"/>
          <w:sz w:val="21"/>
          <w:szCs w:val="21"/>
        </w:rPr>
      </w:pPr>
      <w:r>
        <w:rPr>
          <w:rFonts w:hAnsi="宋体" w:cs="宋体"/>
          <w:sz w:val="21"/>
          <w:szCs w:val="21"/>
        </w:rPr>
        <w:t>2</w:t>
      </w:r>
      <w:r>
        <w:rPr>
          <w:rFonts w:hint="eastAsia" w:hAnsi="宋体" w:cs="宋体"/>
          <w:sz w:val="21"/>
          <w:szCs w:val="21"/>
        </w:rPr>
        <w:t>、评标办法。本项目评标办法是</w:t>
      </w:r>
      <w:r>
        <w:rPr>
          <w:rFonts w:hint="eastAsia" w:hAnsi="宋体" w:cs="宋体"/>
          <w:sz w:val="21"/>
          <w:szCs w:val="21"/>
          <w:u w:val="single"/>
        </w:rPr>
        <w:t>综合评分法</w:t>
      </w:r>
      <w:r>
        <w:rPr>
          <w:rFonts w:hint="eastAsia" w:hAnsi="宋体" w:cs="宋体"/>
          <w:sz w:val="21"/>
          <w:szCs w:val="21"/>
        </w:rPr>
        <w:t>，具体评标内容及评分标准等详见《第四章：评标办法及评分标准》。</w:t>
      </w:r>
    </w:p>
    <w:p>
      <w:pPr>
        <w:pStyle w:val="13"/>
        <w:tabs>
          <w:tab w:val="left" w:pos="630"/>
        </w:tabs>
        <w:snapToGrid w:val="0"/>
        <w:spacing w:before="120" w:after="120" w:line="360" w:lineRule="auto"/>
        <w:ind w:firstLine="413" w:firstLineChars="196"/>
        <w:rPr>
          <w:rFonts w:hAnsi="宋体" w:cs="宋体"/>
          <w:b/>
          <w:sz w:val="21"/>
          <w:szCs w:val="21"/>
        </w:rPr>
      </w:pPr>
      <w:r>
        <w:rPr>
          <w:rFonts w:hint="eastAsia" w:hAnsi="宋体" w:cs="宋体"/>
          <w:b/>
          <w:sz w:val="21"/>
          <w:szCs w:val="21"/>
        </w:rPr>
        <w:t>（七）评审专家有下列情形之一的，受到邀请应主动提出回避，采购当事人也可以要求该评审专家回避：</w:t>
      </w:r>
    </w:p>
    <w:p>
      <w:pPr>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、本人、配偶或直系亲属</w:t>
      </w:r>
      <w:r>
        <w:rPr>
          <w:rFonts w:ascii="宋体" w:hAnsi="宋体" w:cs="宋体"/>
          <w:szCs w:val="21"/>
        </w:rPr>
        <w:t>3</w:t>
      </w:r>
      <w:r>
        <w:rPr>
          <w:rFonts w:hint="eastAsia" w:ascii="宋体" w:hAnsi="宋体" w:cs="宋体"/>
          <w:szCs w:val="21"/>
        </w:rPr>
        <w:t>年内曾在参加该采购项目的</w:t>
      </w:r>
      <w:r>
        <w:rPr>
          <w:rFonts w:hint="eastAsia" w:ascii="宋体" w:hAnsi="宋体" w:cs="宋体"/>
          <w:szCs w:val="21"/>
          <w:lang w:eastAsia="zh-CN"/>
        </w:rPr>
        <w:t>供应商</w:t>
      </w:r>
      <w:r>
        <w:rPr>
          <w:rFonts w:hint="eastAsia" w:ascii="宋体" w:hAnsi="宋体" w:cs="宋体"/>
          <w:szCs w:val="21"/>
        </w:rPr>
        <w:t>中任职（包括一般工作）或担任顾问，或与参加该采购项目的</w:t>
      </w:r>
      <w:r>
        <w:rPr>
          <w:rFonts w:hint="eastAsia" w:ascii="宋体" w:hAnsi="宋体" w:cs="宋体"/>
          <w:szCs w:val="21"/>
          <w:lang w:eastAsia="zh-CN"/>
        </w:rPr>
        <w:t>供应商</w:t>
      </w:r>
      <w:r>
        <w:rPr>
          <w:rFonts w:hint="eastAsia" w:ascii="宋体" w:hAnsi="宋体" w:cs="宋体"/>
          <w:szCs w:val="21"/>
        </w:rPr>
        <w:t>发生过法律纠纷；</w:t>
      </w:r>
    </w:p>
    <w:p>
      <w:pPr>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、任职单位与采购人或参加该采购项目</w:t>
      </w:r>
      <w:r>
        <w:rPr>
          <w:rFonts w:hint="eastAsia" w:ascii="宋体" w:hAnsi="宋体" w:cs="宋体"/>
          <w:szCs w:val="21"/>
          <w:lang w:eastAsia="zh-CN"/>
        </w:rPr>
        <w:t>供应商</w:t>
      </w:r>
      <w:r>
        <w:rPr>
          <w:rFonts w:hint="eastAsia" w:ascii="宋体" w:hAnsi="宋体" w:cs="宋体"/>
          <w:szCs w:val="21"/>
        </w:rPr>
        <w:t>存在行政隶属关系；</w:t>
      </w:r>
    </w:p>
    <w:p>
      <w:pPr>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、曾经参加过该采购项目的进口产品或采购文件、采购需求、采购方式的论证和咨询服务工作；</w:t>
      </w:r>
    </w:p>
    <w:p>
      <w:pPr>
        <w:spacing w:line="360" w:lineRule="auto"/>
        <w:ind w:firstLine="420" w:firstLineChars="200"/>
        <w:rPr>
          <w:rFonts w:ascii="宋体" w:cs="宋体"/>
          <w:szCs w:val="21"/>
        </w:rPr>
      </w:pPr>
      <w:r>
        <w:rPr>
          <w:rFonts w:ascii="宋体" w:hAnsi="宋体" w:cs="宋体"/>
          <w:szCs w:val="21"/>
        </w:rPr>
        <w:t>4</w:t>
      </w:r>
      <w:r>
        <w:rPr>
          <w:rFonts w:hint="eastAsia" w:ascii="宋体" w:hAnsi="宋体" w:cs="宋体"/>
          <w:szCs w:val="21"/>
        </w:rPr>
        <w:t>、是参加该采购项目</w:t>
      </w:r>
      <w:r>
        <w:rPr>
          <w:rFonts w:hint="eastAsia" w:ascii="宋体" w:hAnsi="宋体" w:cs="宋体"/>
          <w:szCs w:val="21"/>
          <w:lang w:eastAsia="zh-CN"/>
        </w:rPr>
        <w:t>供应商</w:t>
      </w:r>
      <w:r>
        <w:rPr>
          <w:rFonts w:hint="eastAsia" w:ascii="宋体" w:hAnsi="宋体" w:cs="宋体"/>
          <w:szCs w:val="21"/>
        </w:rPr>
        <w:t>的上级主管部门、控股或参股单位的工作人员，或与该</w:t>
      </w:r>
      <w:r>
        <w:rPr>
          <w:rFonts w:hint="eastAsia" w:ascii="宋体" w:hAnsi="宋体" w:cs="宋体"/>
          <w:szCs w:val="21"/>
          <w:lang w:eastAsia="zh-CN"/>
        </w:rPr>
        <w:t>供应商</w:t>
      </w:r>
      <w:r>
        <w:rPr>
          <w:rFonts w:hint="eastAsia" w:ascii="宋体" w:hAnsi="宋体" w:cs="宋体"/>
          <w:szCs w:val="21"/>
        </w:rPr>
        <w:t>存在其他经济利益关系；</w:t>
      </w:r>
    </w:p>
    <w:p>
      <w:pPr>
        <w:spacing w:line="360" w:lineRule="auto"/>
        <w:ind w:firstLine="420" w:firstLineChars="200"/>
        <w:rPr>
          <w:rFonts w:ascii="宋体" w:cs="宋体"/>
          <w:szCs w:val="21"/>
        </w:rPr>
      </w:pPr>
      <w:r>
        <w:rPr>
          <w:rFonts w:ascii="宋体" w:hAnsi="宋体" w:cs="宋体"/>
          <w:szCs w:val="21"/>
        </w:rPr>
        <w:t>5</w:t>
      </w:r>
      <w:r>
        <w:rPr>
          <w:rFonts w:hint="eastAsia" w:ascii="宋体" w:hAnsi="宋体" w:cs="宋体"/>
          <w:szCs w:val="21"/>
        </w:rPr>
        <w:t>、评审委员会成员之间具有配偶、近亲属关系；</w:t>
      </w:r>
    </w:p>
    <w:p>
      <w:pPr>
        <w:spacing w:line="360" w:lineRule="auto"/>
        <w:ind w:firstLine="420" w:firstLineChars="200"/>
        <w:rPr>
          <w:rFonts w:ascii="宋体" w:cs="宋体"/>
          <w:szCs w:val="21"/>
        </w:rPr>
      </w:pPr>
      <w:r>
        <w:rPr>
          <w:rFonts w:ascii="宋体" w:hAnsi="宋体" w:cs="宋体"/>
          <w:szCs w:val="21"/>
        </w:rPr>
        <w:t>6</w:t>
      </w:r>
      <w:r>
        <w:rPr>
          <w:rFonts w:hint="eastAsia" w:ascii="宋体" w:hAnsi="宋体" w:cs="宋体"/>
          <w:szCs w:val="21"/>
        </w:rPr>
        <w:t>、同一单位的评审专家在同一项目评审委员会成员中超过一名；</w:t>
      </w:r>
    </w:p>
    <w:p>
      <w:pPr>
        <w:spacing w:line="360" w:lineRule="auto"/>
        <w:ind w:firstLine="420" w:firstLineChars="200"/>
        <w:rPr>
          <w:rFonts w:ascii="宋体" w:cs="宋体"/>
          <w:szCs w:val="21"/>
        </w:rPr>
      </w:pPr>
      <w:r>
        <w:rPr>
          <w:rFonts w:ascii="宋体" w:hAnsi="宋体" w:cs="宋体"/>
          <w:szCs w:val="21"/>
        </w:rPr>
        <w:t>7</w:t>
      </w:r>
      <w:r>
        <w:rPr>
          <w:rFonts w:hint="eastAsia" w:ascii="宋体" w:hAnsi="宋体" w:cs="宋体"/>
          <w:szCs w:val="21"/>
        </w:rPr>
        <w:t>、法律、法规、规章规定应当回避以及其他可能影响公正评审的。</w:t>
      </w:r>
    </w:p>
    <w:p>
      <w:pPr>
        <w:spacing w:line="360" w:lineRule="auto"/>
        <w:ind w:firstLine="422" w:firstLineChars="200"/>
        <w:rPr>
          <w:rFonts w:ascii="宋体" w:cs="宋体"/>
          <w:szCs w:val="21"/>
        </w:rPr>
      </w:pPr>
      <w:r>
        <w:rPr>
          <w:rFonts w:hint="eastAsia" w:ascii="宋体" w:hAnsi="宋体" w:cs="宋体"/>
          <w:b/>
          <w:szCs w:val="21"/>
        </w:rPr>
        <w:t>（八）评标委员会判断投标文件的有效性、合格性和响应情况，仅依据</w:t>
      </w:r>
      <w:r>
        <w:rPr>
          <w:rFonts w:hint="eastAsia" w:ascii="宋体" w:hAnsi="宋体" w:cs="宋体"/>
          <w:b/>
          <w:szCs w:val="21"/>
          <w:lang w:eastAsia="zh-CN"/>
        </w:rPr>
        <w:t>供应商</w:t>
      </w:r>
      <w:r>
        <w:rPr>
          <w:rFonts w:hint="eastAsia" w:ascii="宋体" w:hAnsi="宋体" w:cs="宋体"/>
          <w:b/>
          <w:szCs w:val="21"/>
        </w:rPr>
        <w:t>所递交一切文件的真实表述，不受与本项目无直接关联的外部信息、传言而影响自身的专业判断。</w:t>
      </w:r>
    </w:p>
    <w:p>
      <w:pPr>
        <w:pStyle w:val="13"/>
        <w:tabs>
          <w:tab w:val="left" w:pos="630"/>
        </w:tabs>
        <w:snapToGrid w:val="0"/>
        <w:spacing w:before="120" w:after="120" w:line="360" w:lineRule="auto"/>
        <w:ind w:firstLine="413" w:firstLineChars="196"/>
        <w:rPr>
          <w:rFonts w:hAnsi="宋体" w:cs="宋体"/>
          <w:b/>
          <w:sz w:val="21"/>
          <w:szCs w:val="21"/>
        </w:rPr>
      </w:pPr>
      <w:r>
        <w:rPr>
          <w:rFonts w:hint="eastAsia" w:hAnsi="宋体" w:cs="宋体"/>
          <w:b/>
          <w:sz w:val="21"/>
          <w:szCs w:val="21"/>
        </w:rPr>
        <w:t>（九）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13"/>
        <w:tabs>
          <w:tab w:val="left" w:pos="630"/>
        </w:tabs>
        <w:snapToGrid w:val="0"/>
        <w:spacing w:before="120" w:after="120" w:line="360" w:lineRule="auto"/>
        <w:ind w:firstLine="413" w:firstLineChars="196"/>
        <w:rPr>
          <w:rFonts w:hAnsi="宋体" w:cs="宋体"/>
          <w:b/>
          <w:sz w:val="21"/>
          <w:szCs w:val="21"/>
        </w:rPr>
      </w:pPr>
      <w:r>
        <w:rPr>
          <w:rFonts w:hint="eastAsia" w:hAnsi="宋体" w:cs="宋体"/>
          <w:b/>
          <w:sz w:val="21"/>
          <w:szCs w:val="21"/>
        </w:rPr>
        <w:t>（十）评标过程的监控</w:t>
      </w:r>
    </w:p>
    <w:p>
      <w:pPr>
        <w:pStyle w:val="13"/>
        <w:snapToGrid w:val="0"/>
        <w:spacing w:before="120" w:after="120" w:line="360" w:lineRule="auto"/>
        <w:ind w:firstLine="420"/>
        <w:rPr>
          <w:rFonts w:hAnsi="宋体" w:cs="宋体"/>
          <w:sz w:val="21"/>
          <w:szCs w:val="21"/>
        </w:rPr>
      </w:pPr>
      <w:r>
        <w:rPr>
          <w:rFonts w:hAnsi="宋体" w:cs="宋体"/>
          <w:sz w:val="21"/>
          <w:szCs w:val="21"/>
        </w:rPr>
        <w:t>1</w:t>
      </w:r>
      <w:r>
        <w:rPr>
          <w:rFonts w:hint="eastAsia" w:hAnsi="宋体" w:cs="宋体"/>
          <w:sz w:val="21"/>
          <w:szCs w:val="21"/>
        </w:rPr>
        <w:t>、本项目评标过程实行全程录音、录像监控，</w:t>
      </w:r>
      <w:r>
        <w:rPr>
          <w:rFonts w:hint="eastAsia" w:hAnsi="宋体" w:cs="宋体"/>
          <w:sz w:val="21"/>
          <w:szCs w:val="21"/>
          <w:lang w:eastAsia="zh-CN"/>
        </w:rPr>
        <w:t>供应商</w:t>
      </w:r>
      <w:r>
        <w:rPr>
          <w:rFonts w:hint="eastAsia" w:hAnsi="宋体" w:cs="宋体"/>
          <w:sz w:val="21"/>
          <w:szCs w:val="21"/>
        </w:rPr>
        <w:t>在评标过程中所进行的试图影响评标结果的不公正活动，可能导致其投标被拒绝；</w:t>
      </w:r>
    </w:p>
    <w:p>
      <w:pPr>
        <w:pStyle w:val="13"/>
        <w:snapToGrid w:val="0"/>
        <w:spacing w:before="120" w:after="120" w:line="360" w:lineRule="auto"/>
        <w:ind w:firstLine="420"/>
        <w:rPr>
          <w:rFonts w:hAnsi="宋体" w:cs="宋体"/>
          <w:b/>
          <w:sz w:val="21"/>
          <w:szCs w:val="21"/>
        </w:rPr>
      </w:pPr>
      <w:r>
        <w:rPr>
          <w:rFonts w:hAnsi="宋体" w:cs="宋体"/>
          <w:sz w:val="21"/>
          <w:szCs w:val="21"/>
        </w:rPr>
        <w:t>2</w:t>
      </w:r>
      <w:r>
        <w:rPr>
          <w:rFonts w:hint="eastAsia" w:hAnsi="宋体" w:cs="宋体"/>
          <w:sz w:val="21"/>
          <w:szCs w:val="21"/>
        </w:rPr>
        <w:t>、开标后到中标通知书发出之前，所有涉及评标委员会名单以及对投标文件的澄清、评价、比较等情况，评标委员会成员、采购人和采购代理机构的有关人员均不得向</w:t>
      </w:r>
      <w:r>
        <w:rPr>
          <w:rFonts w:hint="eastAsia" w:hAnsi="宋体" w:cs="宋体"/>
          <w:sz w:val="21"/>
          <w:szCs w:val="21"/>
          <w:lang w:eastAsia="zh-CN"/>
        </w:rPr>
        <w:t>供应商</w:t>
      </w:r>
      <w:r>
        <w:rPr>
          <w:rFonts w:hint="eastAsia" w:hAnsi="宋体" w:cs="宋体"/>
          <w:sz w:val="21"/>
          <w:szCs w:val="21"/>
        </w:rPr>
        <w:t>或其他无关人员透露。</w:t>
      </w:r>
      <w:bookmarkStart w:id="46" w:name="_Toc16897"/>
      <w:bookmarkStart w:id="47" w:name="_Toc317685590"/>
    </w:p>
    <w:p>
      <w:pPr>
        <w:pStyle w:val="13"/>
        <w:snapToGrid w:val="0"/>
        <w:spacing w:before="120" w:after="120" w:line="360" w:lineRule="auto"/>
        <w:ind w:left="772" w:leftChars="267" w:hanging="211" w:hangingChars="100"/>
        <w:rPr>
          <w:rFonts w:hAnsi="宋体" w:cs="宋体"/>
          <w:b/>
          <w:sz w:val="21"/>
          <w:szCs w:val="21"/>
        </w:rPr>
      </w:pPr>
      <w:r>
        <w:rPr>
          <w:rFonts w:hint="eastAsia" w:hAnsi="宋体" w:cs="宋体"/>
          <w:b/>
          <w:sz w:val="21"/>
          <w:szCs w:val="21"/>
        </w:rPr>
        <w:t>六、采购方式变更</w:t>
      </w:r>
      <w:bookmarkEnd w:id="46"/>
      <w:bookmarkEnd w:id="47"/>
    </w:p>
    <w:p>
      <w:pPr>
        <w:pStyle w:val="26"/>
        <w:widowControl w:val="0"/>
        <w:snapToGrid w:val="0"/>
        <w:spacing w:before="120" w:beforeLines="50" w:beforeAutospacing="0" w:after="120" w:afterLines="50" w:afterAutospacing="0" w:line="360" w:lineRule="auto"/>
        <w:ind w:firstLine="420" w:firstLineChars="200"/>
        <w:jc w:val="both"/>
        <w:rPr>
          <w:sz w:val="21"/>
          <w:szCs w:val="21"/>
        </w:rPr>
      </w:pPr>
      <w:r>
        <w:rPr>
          <w:rFonts w:hint="eastAsia"/>
          <w:kern w:val="2"/>
          <w:sz w:val="21"/>
          <w:szCs w:val="21"/>
        </w:rPr>
        <w:t>政府采购的国内公开招标，采购响应截至时间至或评审期间，出现参与采购响应或者对采购文件作出实质性响应的</w:t>
      </w:r>
      <w:r>
        <w:rPr>
          <w:rFonts w:hint="eastAsia"/>
          <w:kern w:val="2"/>
          <w:sz w:val="21"/>
          <w:szCs w:val="21"/>
          <w:lang w:eastAsia="zh-CN"/>
        </w:rPr>
        <w:t>供应商</w:t>
      </w:r>
      <w:r>
        <w:rPr>
          <w:rFonts w:hint="eastAsia"/>
          <w:kern w:val="2"/>
          <w:sz w:val="21"/>
          <w:szCs w:val="21"/>
        </w:rPr>
        <w:t>不足</w:t>
      </w:r>
      <w:r>
        <w:rPr>
          <w:kern w:val="2"/>
          <w:sz w:val="21"/>
          <w:szCs w:val="21"/>
        </w:rPr>
        <w:t>3</w:t>
      </w:r>
      <w:r>
        <w:rPr>
          <w:rFonts w:hint="eastAsia"/>
          <w:kern w:val="2"/>
          <w:sz w:val="21"/>
          <w:szCs w:val="21"/>
        </w:rPr>
        <w:t>家的情况，则重新招标。</w:t>
      </w:r>
    </w:p>
    <w:p>
      <w:pPr>
        <w:pStyle w:val="13"/>
        <w:snapToGrid w:val="0"/>
        <w:spacing w:before="120" w:after="120" w:line="360" w:lineRule="auto"/>
        <w:ind w:left="772" w:leftChars="267" w:hanging="211" w:hangingChars="100"/>
        <w:rPr>
          <w:rFonts w:hAnsi="宋体" w:cs="宋体"/>
          <w:b/>
          <w:sz w:val="21"/>
          <w:szCs w:val="21"/>
        </w:rPr>
      </w:pPr>
      <w:bookmarkStart w:id="48" w:name="_Toc9029"/>
      <w:r>
        <w:rPr>
          <w:rFonts w:hint="eastAsia" w:hAnsi="宋体" w:cs="宋体"/>
          <w:b/>
          <w:sz w:val="21"/>
          <w:szCs w:val="21"/>
        </w:rPr>
        <w:t>七、定标</w:t>
      </w:r>
      <w:bookmarkEnd w:id="48"/>
    </w:p>
    <w:p>
      <w:pPr>
        <w:pStyle w:val="13"/>
        <w:snapToGrid w:val="0"/>
        <w:spacing w:beforeLines="0" w:afterLines="0" w:line="360" w:lineRule="auto"/>
        <w:ind w:firstLine="413" w:firstLineChars="196"/>
        <w:rPr>
          <w:rFonts w:hAnsi="宋体" w:cs="宋体"/>
          <w:b/>
          <w:bCs/>
          <w:sz w:val="21"/>
          <w:szCs w:val="21"/>
        </w:rPr>
      </w:pPr>
      <w:r>
        <w:rPr>
          <w:rFonts w:hint="eastAsia" w:hAnsi="宋体" w:cs="宋体"/>
          <w:b/>
          <w:bCs/>
          <w:sz w:val="21"/>
          <w:szCs w:val="21"/>
        </w:rPr>
        <w:t>（一）确定中标</w:t>
      </w:r>
      <w:r>
        <w:rPr>
          <w:rFonts w:hint="eastAsia" w:hAnsi="宋体" w:cs="宋体"/>
          <w:b/>
          <w:bCs/>
          <w:sz w:val="21"/>
          <w:szCs w:val="21"/>
          <w:lang w:eastAsia="zh-CN"/>
        </w:rPr>
        <w:t>供应商</w:t>
      </w:r>
      <w:r>
        <w:rPr>
          <w:rFonts w:hint="eastAsia" w:hAnsi="宋体" w:cs="宋体"/>
          <w:b/>
          <w:bCs/>
          <w:sz w:val="21"/>
          <w:szCs w:val="21"/>
        </w:rPr>
        <w:t>。本项目由采购人（或采购人事先授权评标委员会）确定中标</w:t>
      </w:r>
      <w:r>
        <w:rPr>
          <w:rFonts w:hint="eastAsia" w:hAnsi="宋体" w:cs="宋体"/>
          <w:b/>
          <w:bCs/>
          <w:sz w:val="21"/>
          <w:szCs w:val="21"/>
          <w:lang w:eastAsia="zh-CN"/>
        </w:rPr>
        <w:t>供应商</w:t>
      </w:r>
      <w:r>
        <w:rPr>
          <w:rFonts w:hint="eastAsia" w:hAnsi="宋体" w:cs="宋体"/>
          <w:b/>
          <w:bCs/>
          <w:sz w:val="21"/>
          <w:szCs w:val="21"/>
        </w:rPr>
        <w:t>。</w:t>
      </w:r>
    </w:p>
    <w:p>
      <w:pPr>
        <w:pStyle w:val="13"/>
        <w:snapToGrid w:val="0"/>
        <w:spacing w:before="120" w:after="120" w:line="360" w:lineRule="auto"/>
        <w:ind w:firstLine="420"/>
        <w:rPr>
          <w:rFonts w:hAnsi="宋体" w:cs="宋体"/>
          <w:sz w:val="21"/>
          <w:szCs w:val="21"/>
        </w:rPr>
      </w:pPr>
      <w:r>
        <w:rPr>
          <w:rFonts w:hAnsi="宋体" w:cs="宋体"/>
          <w:sz w:val="21"/>
          <w:szCs w:val="21"/>
        </w:rPr>
        <w:t>1</w:t>
      </w:r>
      <w:r>
        <w:rPr>
          <w:rFonts w:hint="eastAsia" w:hAnsi="宋体" w:cs="宋体"/>
          <w:sz w:val="21"/>
          <w:szCs w:val="21"/>
        </w:rPr>
        <w:t>、采购代理机构应当在评标结束后</w:t>
      </w:r>
      <w:r>
        <w:rPr>
          <w:rFonts w:hAnsi="宋体" w:cs="宋体"/>
          <w:sz w:val="21"/>
          <w:szCs w:val="21"/>
        </w:rPr>
        <w:t>2</w:t>
      </w:r>
      <w:r>
        <w:rPr>
          <w:rFonts w:hint="eastAsia" w:hAnsi="宋体" w:cs="宋体"/>
          <w:sz w:val="21"/>
          <w:szCs w:val="21"/>
        </w:rPr>
        <w:t>个工作日内将评标报告送采购人；</w:t>
      </w:r>
    </w:p>
    <w:p>
      <w:pPr>
        <w:pStyle w:val="13"/>
        <w:snapToGrid w:val="0"/>
        <w:spacing w:before="120" w:after="120" w:line="360" w:lineRule="auto"/>
        <w:ind w:firstLine="420"/>
        <w:rPr>
          <w:rFonts w:hAnsi="宋体" w:cs="宋体"/>
          <w:sz w:val="21"/>
          <w:szCs w:val="21"/>
        </w:rPr>
      </w:pPr>
      <w:r>
        <w:rPr>
          <w:rFonts w:hAnsi="宋体" w:cs="宋体"/>
          <w:sz w:val="21"/>
          <w:szCs w:val="21"/>
        </w:rPr>
        <w:t>2</w:t>
      </w:r>
      <w:r>
        <w:rPr>
          <w:rFonts w:hint="eastAsia" w:hAnsi="宋体" w:cs="宋体"/>
          <w:sz w:val="21"/>
          <w:szCs w:val="21"/>
        </w:rPr>
        <w:t>、采购人应当自收到评标报告之日起</w:t>
      </w:r>
      <w:r>
        <w:rPr>
          <w:rFonts w:hAnsi="宋体" w:cs="宋体"/>
          <w:sz w:val="21"/>
          <w:szCs w:val="21"/>
        </w:rPr>
        <w:t>5</w:t>
      </w:r>
      <w:r>
        <w:rPr>
          <w:rFonts w:hint="eastAsia" w:hAnsi="宋体" w:cs="宋体"/>
          <w:sz w:val="21"/>
          <w:szCs w:val="21"/>
        </w:rPr>
        <w:t>个工作日内，在评标报告确定的中标候选人名单中按顺序确定中标人。中标候选人并列的，由采购人或者采购人委托评标委员会按照采购文件规定的方式确定中标人；采购文件未规定的，采取随机抽取的方式确定；</w:t>
      </w:r>
    </w:p>
    <w:p>
      <w:pPr>
        <w:pStyle w:val="13"/>
        <w:snapToGrid w:val="0"/>
        <w:spacing w:before="120" w:after="120" w:line="360" w:lineRule="auto"/>
        <w:ind w:firstLine="420"/>
        <w:rPr>
          <w:rFonts w:hAnsi="宋体" w:cs="宋体"/>
          <w:sz w:val="21"/>
          <w:szCs w:val="21"/>
        </w:rPr>
      </w:pPr>
      <w:r>
        <w:rPr>
          <w:rFonts w:hAnsi="宋体" w:cs="宋体"/>
          <w:sz w:val="21"/>
          <w:szCs w:val="21"/>
        </w:rPr>
        <w:t>3</w:t>
      </w:r>
      <w:r>
        <w:rPr>
          <w:rFonts w:hint="eastAsia" w:hAnsi="宋体" w:cs="宋体"/>
          <w:sz w:val="21"/>
          <w:szCs w:val="21"/>
        </w:rPr>
        <w:t>、采购人依法确定中标人后</w:t>
      </w:r>
      <w:r>
        <w:rPr>
          <w:rFonts w:hAnsi="宋体" w:cs="宋体"/>
          <w:sz w:val="21"/>
          <w:szCs w:val="21"/>
        </w:rPr>
        <w:t>2</w:t>
      </w:r>
      <w:r>
        <w:rPr>
          <w:rFonts w:hint="eastAsia" w:hAnsi="宋体" w:cs="宋体"/>
          <w:sz w:val="21"/>
          <w:szCs w:val="21"/>
        </w:rPr>
        <w:t>个工作日内，采购代理机构以书面形式发出《中标通知书》</w:t>
      </w:r>
      <w:r>
        <w:rPr>
          <w:rFonts w:hAnsi="宋体" w:cs="宋体"/>
          <w:sz w:val="21"/>
          <w:szCs w:val="21"/>
        </w:rPr>
        <w:t>,</w:t>
      </w:r>
      <w:r>
        <w:rPr>
          <w:rFonts w:hint="eastAsia" w:hAnsi="宋体" w:cs="宋体"/>
          <w:sz w:val="21"/>
          <w:szCs w:val="21"/>
        </w:rPr>
        <w:t>并同时在相关网站上发布中标公告。不在中标名单之列者即为落标人，采购代理机构不再以其它方式另行通知；</w:t>
      </w:r>
    </w:p>
    <w:p>
      <w:pPr>
        <w:snapToGrid w:val="0"/>
        <w:spacing w:line="360" w:lineRule="auto"/>
        <w:ind w:firstLine="420" w:firstLineChars="200"/>
        <w:rPr>
          <w:rFonts w:ascii="宋体" w:cs="宋体"/>
          <w:szCs w:val="21"/>
        </w:rPr>
      </w:pPr>
      <w:r>
        <w:rPr>
          <w:rFonts w:ascii="宋体" w:hAnsi="宋体" w:cs="宋体"/>
          <w:szCs w:val="21"/>
        </w:rPr>
        <w:t>4</w:t>
      </w:r>
      <w:r>
        <w:rPr>
          <w:rFonts w:hint="eastAsia" w:ascii="宋体" w:hAnsi="宋体" w:cs="宋体"/>
          <w:szCs w:val="21"/>
        </w:rPr>
        <w:t>、各参加政府采购活动的</w:t>
      </w:r>
      <w:r>
        <w:rPr>
          <w:rFonts w:hint="eastAsia" w:ascii="宋体" w:hAnsi="宋体" w:cs="宋体"/>
          <w:szCs w:val="21"/>
          <w:lang w:eastAsia="zh-CN"/>
        </w:rPr>
        <w:t>供应商</w:t>
      </w:r>
      <w:r>
        <w:rPr>
          <w:rFonts w:hint="eastAsia" w:ascii="宋体" w:hAnsi="宋体" w:cs="宋体"/>
          <w:szCs w:val="21"/>
        </w:rPr>
        <w:t>认为该中标结果和采购过程等使自己的权益受到损害的，可以自本公告期限届满之日（自本公告发布之日起至第</w:t>
      </w:r>
      <w:r>
        <w:rPr>
          <w:rFonts w:ascii="宋体" w:hAnsi="宋体" w:cs="宋体"/>
          <w:szCs w:val="21"/>
        </w:rPr>
        <w:t>2</w:t>
      </w:r>
      <w:r>
        <w:rPr>
          <w:rFonts w:hint="eastAsia" w:ascii="宋体" w:hAnsi="宋体" w:cs="宋体"/>
          <w:szCs w:val="21"/>
        </w:rPr>
        <w:t>日</w:t>
      </w:r>
      <w:r>
        <w:rPr>
          <w:rFonts w:ascii="宋体" w:hAnsi="宋体" w:cs="宋体"/>
          <w:szCs w:val="21"/>
        </w:rPr>
        <w:t>24</w:t>
      </w:r>
      <w:r>
        <w:rPr>
          <w:rFonts w:hint="eastAsia" w:ascii="宋体" w:hAnsi="宋体" w:cs="宋体"/>
          <w:szCs w:val="21"/>
        </w:rPr>
        <w:t>时止）起</w:t>
      </w:r>
      <w:r>
        <w:rPr>
          <w:rFonts w:ascii="宋体" w:hAnsi="宋体" w:cs="宋体"/>
          <w:szCs w:val="21"/>
        </w:rPr>
        <w:t>7</w:t>
      </w:r>
      <w:r>
        <w:rPr>
          <w:rFonts w:hint="eastAsia" w:ascii="宋体" w:hAnsi="宋体" w:cs="宋体"/>
          <w:szCs w:val="21"/>
        </w:rPr>
        <w:t>个工作日内，以书面形式向采购人提出质疑。质疑</w:t>
      </w:r>
      <w:r>
        <w:rPr>
          <w:rFonts w:hint="eastAsia" w:ascii="宋体" w:hAnsi="宋体" w:cs="宋体"/>
          <w:szCs w:val="21"/>
          <w:lang w:eastAsia="zh-CN"/>
        </w:rPr>
        <w:t>供应商</w:t>
      </w:r>
      <w:r>
        <w:rPr>
          <w:rFonts w:hint="eastAsia" w:ascii="宋体" w:hAnsi="宋体" w:cs="宋体"/>
          <w:szCs w:val="21"/>
        </w:rPr>
        <w:t>对采购人、采购代理机构的答复不满意或者采购人、采购代理机构未在规定的时间内作出答复的，可以再答复期满后十五个工作日内向同级政府采购监督管理部门投诉；</w:t>
      </w:r>
    </w:p>
    <w:p>
      <w:pPr>
        <w:pStyle w:val="13"/>
        <w:snapToGrid w:val="0"/>
        <w:spacing w:before="120" w:after="120" w:line="360" w:lineRule="auto"/>
        <w:ind w:firstLine="211" w:firstLineChars="100"/>
        <w:rPr>
          <w:rFonts w:hAnsi="宋体" w:cs="宋体"/>
          <w:b/>
          <w:sz w:val="21"/>
          <w:szCs w:val="21"/>
        </w:rPr>
      </w:pPr>
      <w:bookmarkStart w:id="49" w:name="_Toc17747"/>
      <w:r>
        <w:rPr>
          <w:rFonts w:hint="eastAsia" w:hAnsi="宋体" w:cs="宋体"/>
          <w:b/>
          <w:sz w:val="21"/>
          <w:szCs w:val="21"/>
        </w:rPr>
        <w:t>八、合同授予</w:t>
      </w:r>
      <w:bookmarkEnd w:id="49"/>
    </w:p>
    <w:p>
      <w:pPr>
        <w:snapToGrid w:val="0"/>
        <w:spacing w:line="360" w:lineRule="auto"/>
        <w:ind w:firstLine="413" w:firstLineChars="196"/>
        <w:rPr>
          <w:rFonts w:ascii="宋体" w:cs="宋体"/>
          <w:b/>
          <w:bCs/>
          <w:szCs w:val="21"/>
        </w:rPr>
      </w:pPr>
      <w:r>
        <w:rPr>
          <w:rFonts w:hint="eastAsia" w:ascii="宋体" w:hAnsi="宋体" w:cs="宋体"/>
          <w:b/>
          <w:bCs/>
          <w:szCs w:val="21"/>
        </w:rPr>
        <w:t>（一）签订合同</w:t>
      </w:r>
    </w:p>
    <w:p>
      <w:pPr>
        <w:snapToGrid w:val="0"/>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、采购人与中标</w:t>
      </w:r>
      <w:r>
        <w:rPr>
          <w:rFonts w:hint="eastAsia" w:ascii="宋体" w:hAnsi="宋体" w:cs="宋体"/>
          <w:szCs w:val="21"/>
          <w:lang w:eastAsia="zh-CN"/>
        </w:rPr>
        <w:t>供应商</w:t>
      </w:r>
      <w:r>
        <w:rPr>
          <w:rFonts w:hint="eastAsia" w:ascii="宋体" w:hAnsi="宋体" w:cs="宋体"/>
          <w:szCs w:val="21"/>
        </w:rPr>
        <w:t>应当在《中标通知书》发出之日起</w:t>
      </w:r>
      <w:r>
        <w:rPr>
          <w:rFonts w:hint="eastAsia" w:ascii="宋体" w:hAnsi="宋体" w:cs="宋体"/>
          <w:b/>
          <w:szCs w:val="21"/>
          <w:u w:val="single"/>
        </w:rPr>
        <w:t>3</w:t>
      </w:r>
      <w:r>
        <w:rPr>
          <w:rFonts w:ascii="宋体" w:hAnsi="宋体" w:cs="宋体"/>
          <w:b/>
          <w:szCs w:val="21"/>
          <w:u w:val="single"/>
        </w:rPr>
        <w:t>0</w:t>
      </w:r>
      <w:r>
        <w:rPr>
          <w:rFonts w:hint="eastAsia" w:ascii="宋体" w:hAnsi="宋体" w:cs="宋体"/>
          <w:szCs w:val="21"/>
        </w:rPr>
        <w:t>日内签订政府采购合同。同时，采购代理机构对合同内容进行审查，如发现与采购结果和投标承诺内容不一致的，应予以纠正；</w:t>
      </w:r>
    </w:p>
    <w:p>
      <w:pPr>
        <w:snapToGrid w:val="0"/>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、中标</w:t>
      </w:r>
      <w:r>
        <w:rPr>
          <w:rFonts w:hint="eastAsia" w:ascii="宋体" w:hAnsi="宋体" w:cs="宋体"/>
          <w:szCs w:val="21"/>
          <w:lang w:eastAsia="zh-CN"/>
        </w:rPr>
        <w:t>供应商</w:t>
      </w:r>
      <w:r>
        <w:rPr>
          <w:rFonts w:hint="eastAsia" w:ascii="宋体" w:hAnsi="宋体" w:cs="宋体"/>
          <w:szCs w:val="21"/>
        </w:rPr>
        <w:t>拖延、拒签合同的，将被取消中标资格。</w:t>
      </w:r>
    </w:p>
    <w:p>
      <w:pPr>
        <w:spacing w:line="360" w:lineRule="auto"/>
        <w:ind w:firstLine="211" w:firstLineChars="100"/>
        <w:rPr>
          <w:rFonts w:hint="eastAsia" w:ascii="宋体" w:hAnsi="宋体" w:cs="宋体"/>
          <w:b/>
          <w:color w:val="000000" w:themeColor="text1"/>
          <w:sz w:val="21"/>
          <w:szCs w:val="21"/>
          <w:highlight w:val="none"/>
          <w14:textFill>
            <w14:solidFill>
              <w14:schemeClr w14:val="tx1"/>
            </w14:solidFill>
          </w14:textFill>
        </w:rPr>
      </w:pPr>
      <w:bookmarkStart w:id="50" w:name="_Toc2054"/>
      <w:r>
        <w:rPr>
          <w:rFonts w:hint="eastAsia" w:ascii="宋体" w:hAnsi="宋体" w:cs="宋体"/>
          <w:b/>
          <w:color w:val="000000" w:themeColor="text1"/>
          <w:sz w:val="21"/>
          <w:szCs w:val="21"/>
          <w:highlight w:val="none"/>
          <w:lang w:val="en-US" w:eastAsia="zh-CN"/>
          <w14:textFill>
            <w14:solidFill>
              <w14:schemeClr w14:val="tx1"/>
            </w14:solidFill>
          </w14:textFill>
        </w:rPr>
        <w:t>九、</w:t>
      </w:r>
      <w:r>
        <w:rPr>
          <w:rFonts w:hint="eastAsia" w:ascii="宋体" w:hAnsi="宋体" w:cs="宋体"/>
          <w:b/>
          <w:color w:val="000000" w:themeColor="text1"/>
          <w:sz w:val="21"/>
          <w:szCs w:val="21"/>
          <w:highlight w:val="none"/>
          <w14:textFill>
            <w14:solidFill>
              <w14:schemeClr w14:val="tx1"/>
            </w14:solidFill>
          </w14:textFill>
        </w:rPr>
        <w:t xml:space="preserve"> </w:t>
      </w:r>
      <w:r>
        <w:rPr>
          <w:rFonts w:hint="eastAsia" w:asciiTheme="minorEastAsia" w:hAnsiTheme="minorEastAsia" w:eastAsiaTheme="minorEastAsia"/>
          <w:b/>
          <w:color w:val="auto"/>
          <w:szCs w:val="21"/>
        </w:rPr>
        <w:t>质疑与投诉</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autoSpaceDE w:val="0"/>
        <w:autoSpaceDN w:val="0"/>
        <w:spacing w:line="360" w:lineRule="auto"/>
        <w:ind w:firstLine="420" w:firstLineChars="200"/>
        <w:jc w:val="both"/>
        <w:rPr>
          <w:rFonts w:hint="eastAsia" w:ascii="宋体" w:hAnsi="宋体" w:eastAsia="宋体" w:cs="宋体"/>
          <w:color w:val="auto"/>
          <w:szCs w:val="21"/>
        </w:rPr>
      </w:pPr>
      <w:r>
        <w:rPr>
          <w:rFonts w:hint="eastAsia" w:ascii="宋体" w:hAnsi="宋体" w:eastAsia="宋体" w:cs="宋体"/>
          <w:color w:val="auto"/>
          <w:szCs w:val="21"/>
        </w:rPr>
        <w:t>（一）供应商询问</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供应商对政府采购活动事项有疑问的，可以向采购人提出询问，采购人应当及时作出答复，但答复的内容不得涉及商业秘密。</w:t>
      </w:r>
    </w:p>
    <w:p>
      <w:pPr>
        <w:autoSpaceDE w:val="0"/>
        <w:autoSpaceDN w:val="0"/>
        <w:spacing w:line="360" w:lineRule="auto"/>
        <w:ind w:firstLine="420" w:firstLineChars="200"/>
        <w:jc w:val="both"/>
        <w:rPr>
          <w:rFonts w:hint="eastAsia" w:ascii="宋体" w:hAnsi="宋体" w:eastAsia="宋体" w:cs="宋体"/>
          <w:color w:val="auto"/>
          <w:szCs w:val="21"/>
        </w:rPr>
      </w:pPr>
      <w:r>
        <w:rPr>
          <w:rFonts w:hint="eastAsia" w:ascii="宋体" w:hAnsi="宋体" w:eastAsia="宋体" w:cs="宋体"/>
          <w:color w:val="auto"/>
          <w:szCs w:val="21"/>
        </w:rPr>
        <w:t>（二）供应商质疑</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1.提出质疑的供应商应当是参与所质疑项目采购活动的供应商。潜在供应商已依法获取其可质疑的招标文件的，可以对该文件提出质疑。未提交投标文件的供应商，视为与采购结果没有利害关系，不得就采购响应截止时间后的采购过程、采购结果提出质疑。</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2.供应商认为招标文件、采购过程、中标或者成交结果使自己的权益受到损害的，可以在知道或者应知其权益受到损害之日起七个工作日内，以书面形式向采购人、采购代理机构提出质疑。</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（1）对招标文件提出质疑的，质疑期限自供应商获得招标文件之日或者招标公告期限届满之日起计算，且应当在采购响应截止时间之前提出。</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（2）对采购过程提出质疑的，质疑期限自各采购程序环节结束之日起计算。</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（3）对采购结果提出质疑的，质疑期限自采购结果公告期限届满之日起计算。</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（4）供应商应在法定质疑期内一次性提出针对同一采购程序环节的质疑。</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3.供应商提出质疑应当提交质疑函和必要的证明材料。质疑函应当包括下列内容：</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（1）供应商的姓名或者名称、地址、邮编、联系人及联系电话；</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（2）质疑项目的名称、编号；</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（3）具体、明确的质疑事项和与质疑事项相关的请求；</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（4）事实依据；</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（5）必要的法律依据；</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（6）提出质疑的日期。</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质疑书应当署名。供应商为自然人的，应当由本人签字；供应商为法人或者其他组织的，应当由法定代表人、主要负责人，或者其授权代表签字或者盖章，并加盖公章。</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4.供应商提交的质疑函需一式三份。质疑函应当以书面形式提出，质疑函格式和内容须符合财政部《质疑函范本》要求，供应商可到浙江政府采购网下载专区自行下载。</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相关联系方式。</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6.质疑人因故不能自行办理质疑事项的，可以委托代理人办理质疑事宜，但应当向被质疑人提交授权委托书，并载明委托代理的具体权限和事项。</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7.质疑人提供的相关材料中有外文资料的，应当将与质疑相关的外文资料完整、客观、真实地翻译为中文，并注明翻译人员姓名、工作单位、联系方式等信息。</w:t>
      </w:r>
    </w:p>
    <w:p>
      <w:pPr>
        <w:pStyle w:val="13"/>
        <w:spacing w:beforeLines="0" w:afterLines="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8.询问或者质疑事项可能影响采购结果的，采购人应当暂停签订合同，已经签订合同的，应当中止履行合同。</w:t>
      </w:r>
    </w:p>
    <w:p>
      <w:pPr>
        <w:autoSpaceDE w:val="0"/>
        <w:autoSpaceDN w:val="0"/>
        <w:spacing w:line="360" w:lineRule="auto"/>
        <w:ind w:firstLine="420" w:firstLineChars="200"/>
        <w:jc w:val="both"/>
        <w:rPr>
          <w:rFonts w:hint="eastAsia" w:ascii="宋体" w:hAnsi="宋体" w:eastAsia="宋体" w:cs="宋体"/>
          <w:color w:val="auto"/>
          <w:szCs w:val="21"/>
        </w:rPr>
      </w:pPr>
      <w:r>
        <w:rPr>
          <w:rFonts w:hint="eastAsia" w:ascii="宋体" w:hAnsi="宋体" w:eastAsia="宋体" w:cs="宋体"/>
          <w:color w:val="auto"/>
          <w:szCs w:val="21"/>
        </w:rPr>
        <w:t>（三）供应商投诉</w:t>
      </w:r>
    </w:p>
    <w:p>
      <w:pPr>
        <w:spacing w:line="360" w:lineRule="auto"/>
        <w:ind w:firstLine="0" w:firstLineChars="0"/>
        <w:jc w:val="left"/>
        <w:rPr>
          <w:rFonts w:hint="eastAsia" w:ascii="宋体" w:hAnsi="宋体" w:eastAsia="宋体" w:cs="宋体"/>
          <w:color w:val="auto"/>
          <w:szCs w:val="21"/>
        </w:rPr>
      </w:pPr>
      <w:r>
        <w:rPr>
          <w:rFonts w:hint="eastAsia" w:ascii="宋体" w:hAnsi="宋体" w:eastAsia="宋体" w:cs="宋体"/>
          <w:color w:val="auto"/>
          <w:szCs w:val="21"/>
        </w:rPr>
        <w:t>1.质疑供应商对采购人、采购代理机构的答复不满意，或者采购人、采购代理机构未在规定时间内作出答复的，可以在答复期满后十五个工作日内向同级政府采购监督管理部门投诉。</w:t>
      </w:r>
    </w:p>
    <w:p>
      <w:pPr>
        <w:spacing w:line="360" w:lineRule="auto"/>
        <w:ind w:left="0" w:leftChars="0" w:firstLine="0" w:firstLineChars="0"/>
        <w:jc w:val="left"/>
        <w:rPr>
          <w:rFonts w:hint="eastAsia" w:ascii="宋体" w:hAnsi="宋体" w:eastAsia="宋体" w:cs="宋体"/>
          <w:color w:val="auto"/>
          <w:kern w:val="2"/>
          <w:sz w:val="21"/>
          <w:szCs w:val="21"/>
        </w:rPr>
      </w:pPr>
      <w:r>
        <w:rPr>
          <w:rFonts w:hint="eastAsia" w:ascii="宋体" w:hAnsi="宋体" w:eastAsia="宋体"/>
          <w:color w:val="auto"/>
          <w:sz w:val="21"/>
          <w:szCs w:val="21"/>
        </w:rPr>
        <w:t>2.</w:t>
      </w:r>
      <w:r>
        <w:rPr>
          <w:rFonts w:hint="eastAsia" w:ascii="宋体" w:hAnsi="宋体" w:eastAsia="宋体" w:cs="宋体"/>
          <w:color w:val="auto"/>
          <w:kern w:val="2"/>
          <w:sz w:val="21"/>
          <w:szCs w:val="21"/>
        </w:rPr>
        <w:t>供应商投诉的事项不得超出已质疑事项的范围，但基于质疑答复内容提出的投诉事项除外。</w:t>
      </w:r>
    </w:p>
    <w:p>
      <w:pPr>
        <w:spacing w:line="360" w:lineRule="auto"/>
        <w:ind w:left="0" w:leftChars="0" w:firstLine="0" w:firstLineChars="0"/>
        <w:jc w:val="left"/>
        <w:rPr>
          <w:rFonts w:hAnsi="宋体" w:cs="宋体"/>
          <w:b/>
          <w:sz w:val="30"/>
          <w:szCs w:val="30"/>
        </w:rPr>
      </w:pPr>
      <w:r>
        <w:rPr>
          <w:rFonts w:hint="eastAsia" w:ascii="宋体" w:hAnsi="宋体" w:eastAsia="宋体" w:cs="宋体"/>
          <w:color w:val="auto"/>
          <w:kern w:val="2"/>
          <w:sz w:val="21"/>
          <w:szCs w:val="21"/>
        </w:rPr>
        <w:t>3.供应商投诉应当有明确的请求和必要的证明材料</w:t>
      </w:r>
      <w:r>
        <w:rPr>
          <w:rFonts w:hint="eastAsia" w:cs="Times New Roman" w:asciiTheme="minorEastAsia" w:hAnsiTheme="minorEastAsia" w:eastAsiaTheme="minorEastAsia"/>
          <w:color w:val="auto"/>
          <w:kern w:val="2"/>
          <w:sz w:val="21"/>
          <w:szCs w:val="21"/>
        </w:rPr>
        <w:t>。</w:t>
      </w:r>
      <w:bookmarkEnd w:id="50"/>
      <w:r>
        <w:rPr>
          <w:rFonts w:hAnsi="宋体" w:cs="宋体"/>
          <w:b/>
          <w:sz w:val="30"/>
          <w:szCs w:val="30"/>
        </w:rPr>
        <w:br w:type="page"/>
      </w:r>
      <w:bookmarkStart w:id="51" w:name="_Toc275"/>
      <w:r>
        <w:rPr>
          <w:rFonts w:hint="eastAsia" w:hAnsi="宋体" w:cs="宋体"/>
          <w:b/>
          <w:sz w:val="30"/>
          <w:szCs w:val="30"/>
          <w:lang w:val="en-US" w:eastAsia="zh-CN"/>
        </w:rPr>
        <w:t xml:space="preserve">                 </w:t>
      </w:r>
      <w:r>
        <w:rPr>
          <w:rFonts w:hint="eastAsia" w:hAnsi="宋体" w:cs="宋体"/>
          <w:b/>
          <w:sz w:val="30"/>
          <w:szCs w:val="30"/>
        </w:rPr>
        <w:t>第四章 评标办法及评分标准</w:t>
      </w:r>
      <w:bookmarkEnd w:id="51"/>
    </w:p>
    <w:p>
      <w:pPr>
        <w:snapToGrid w:val="0"/>
        <w:spacing w:line="480" w:lineRule="exact"/>
        <w:ind w:firstLine="630" w:firstLineChars="300"/>
        <w:rPr>
          <w:rFonts w:ascii="宋体" w:hAnsi="宋体" w:cs="宋体"/>
          <w:szCs w:val="21"/>
        </w:rPr>
      </w:pPr>
      <w:r>
        <w:rPr>
          <w:rFonts w:hint="eastAsia" w:ascii="宋体" w:hAnsi="宋体" w:cs="宋体"/>
          <w:szCs w:val="21"/>
        </w:rPr>
        <w:t>本办法严格遵照《中华人民共和国政府采购法》、《政府采购货物和服务招标投标管理办法》、《中华人民共和国政府采购法实施条例》等规定，结合项目所在地政府有关政府采购规定和项目的实际情况制定。本次采购为</w:t>
      </w:r>
      <w:r>
        <w:rPr>
          <w:rFonts w:hint="eastAsia" w:ascii="宋体" w:hAnsi="宋体" w:cs="宋体"/>
          <w:szCs w:val="21"/>
          <w:lang w:eastAsia="zh-CN"/>
        </w:rPr>
        <w:t>非</w:t>
      </w:r>
      <w:r>
        <w:rPr>
          <w:rFonts w:hint="eastAsia" w:ascii="宋体" w:hAnsi="宋体" w:cs="宋体"/>
          <w:szCs w:val="21"/>
        </w:rPr>
        <w:t>专门面向中小企业，本次评标将对中小企业声明函满足采购文件要求的小型和微型企业产品的价格给予10%的扣除，对联合体投标（如有）中小企业声明函满足采购文件要求的小型和微型企业产品的价格给予3%的扣除，用扣除后的价格参与评审。</w:t>
      </w:r>
    </w:p>
    <w:p>
      <w:pPr>
        <w:snapToGrid w:val="0"/>
        <w:spacing w:line="480" w:lineRule="exact"/>
        <w:ind w:firstLine="422" w:firstLineChars="200"/>
        <w:rPr>
          <w:rFonts w:ascii="宋体" w:cs="宋体"/>
          <w:b/>
          <w:szCs w:val="21"/>
        </w:rPr>
      </w:pPr>
      <w:r>
        <w:rPr>
          <w:rFonts w:hint="eastAsia" w:ascii="宋体" w:hAnsi="宋体" w:cs="宋体"/>
          <w:b/>
          <w:szCs w:val="21"/>
        </w:rPr>
        <w:t>一、总则</w:t>
      </w:r>
    </w:p>
    <w:p>
      <w:pPr>
        <w:snapToGrid w:val="0"/>
        <w:spacing w:line="480" w:lineRule="exact"/>
        <w:ind w:firstLine="420" w:firstLineChars="200"/>
        <w:rPr>
          <w:rFonts w:ascii="宋体" w:cs="宋体"/>
          <w:szCs w:val="21"/>
        </w:rPr>
      </w:pPr>
      <w:r>
        <w:rPr>
          <w:rFonts w:hint="eastAsia" w:ascii="宋体" w:hAnsi="宋体" w:cs="宋体"/>
          <w:szCs w:val="21"/>
        </w:rPr>
        <w:t>招标活动遵循公平、公正、科学、择优的原则依法进行，招标活动及当事人接受依法实施的监督。本次招标采用综合评分法。</w:t>
      </w:r>
    </w:p>
    <w:p>
      <w:pPr>
        <w:snapToGrid w:val="0"/>
        <w:spacing w:line="480" w:lineRule="exact"/>
        <w:ind w:firstLine="422" w:firstLineChars="200"/>
        <w:rPr>
          <w:rFonts w:ascii="宋体" w:cs="宋体"/>
          <w:b/>
          <w:szCs w:val="21"/>
        </w:rPr>
      </w:pPr>
      <w:r>
        <w:rPr>
          <w:rFonts w:hint="eastAsia" w:ascii="宋体" w:hAnsi="宋体" w:cs="宋体"/>
          <w:b/>
          <w:szCs w:val="21"/>
        </w:rPr>
        <w:t>二、评标组织</w:t>
      </w:r>
    </w:p>
    <w:p>
      <w:pPr>
        <w:snapToGrid w:val="0"/>
        <w:spacing w:line="480" w:lineRule="exact"/>
        <w:ind w:firstLine="420" w:firstLineChars="200"/>
        <w:rPr>
          <w:rFonts w:ascii="宋体" w:cs="宋体"/>
          <w:szCs w:val="21"/>
        </w:rPr>
      </w:pPr>
      <w:r>
        <w:rPr>
          <w:rFonts w:hint="eastAsia" w:ascii="宋体" w:hAnsi="宋体" w:cs="宋体"/>
          <w:szCs w:val="21"/>
        </w:rPr>
        <w:t>评标委员会：依法组建评标委员会。评标委员会由采购人、技术、经济方面专家等有关人员组成。</w:t>
      </w:r>
    </w:p>
    <w:p>
      <w:pPr>
        <w:snapToGrid w:val="0"/>
        <w:spacing w:line="480" w:lineRule="exact"/>
        <w:ind w:firstLine="422" w:firstLineChars="200"/>
        <w:rPr>
          <w:rFonts w:ascii="宋体" w:cs="宋体"/>
          <w:b/>
          <w:szCs w:val="21"/>
        </w:rPr>
      </w:pPr>
      <w:r>
        <w:rPr>
          <w:rFonts w:hint="eastAsia" w:ascii="宋体" w:hAnsi="宋体" w:cs="宋体"/>
          <w:b/>
          <w:szCs w:val="21"/>
        </w:rPr>
        <w:t>三、评标程序</w:t>
      </w:r>
    </w:p>
    <w:p>
      <w:pPr>
        <w:spacing w:line="360" w:lineRule="exact"/>
        <w:ind w:firstLine="378" w:firstLineChars="180"/>
        <w:rPr>
          <w:rFonts w:ascii="宋体"/>
        </w:rPr>
      </w:pPr>
      <w:r>
        <w:rPr>
          <w:rFonts w:hint="eastAsia" w:ascii="宋体" w:hAnsi="宋体"/>
        </w:rPr>
        <w:t>详见第三章《</w:t>
      </w:r>
      <w:r>
        <w:rPr>
          <w:rFonts w:hint="eastAsia" w:ascii="宋体" w:hAnsi="宋体"/>
          <w:lang w:eastAsia="zh-CN"/>
        </w:rPr>
        <w:t>供应商</w:t>
      </w:r>
      <w:r>
        <w:rPr>
          <w:rFonts w:hint="eastAsia" w:ascii="宋体" w:hAnsi="宋体"/>
        </w:rPr>
        <w:t>须知》</w:t>
      </w:r>
    </w:p>
    <w:p>
      <w:pPr>
        <w:snapToGrid w:val="0"/>
        <w:spacing w:line="480" w:lineRule="exact"/>
        <w:ind w:firstLine="422" w:firstLineChars="200"/>
        <w:rPr>
          <w:rFonts w:ascii="宋体" w:cs="宋体"/>
          <w:b/>
          <w:szCs w:val="21"/>
        </w:rPr>
      </w:pPr>
      <w:r>
        <w:rPr>
          <w:rFonts w:hint="eastAsia" w:ascii="宋体" w:hAnsi="宋体" w:cs="宋体"/>
          <w:b/>
          <w:szCs w:val="21"/>
        </w:rPr>
        <w:t>四、评标过程</w:t>
      </w:r>
    </w:p>
    <w:p>
      <w:pPr>
        <w:spacing w:line="360" w:lineRule="exact"/>
        <w:ind w:firstLine="378" w:firstLineChars="180"/>
        <w:rPr>
          <w:rFonts w:ascii="宋体" w:cs="宋体"/>
          <w:szCs w:val="21"/>
        </w:rPr>
      </w:pPr>
      <w:r>
        <w:rPr>
          <w:rFonts w:hint="eastAsia" w:ascii="宋体" w:hAnsi="宋体"/>
        </w:rPr>
        <w:t>详见第三章《</w:t>
      </w:r>
      <w:r>
        <w:rPr>
          <w:rFonts w:hint="eastAsia" w:ascii="宋体" w:hAnsi="宋体"/>
          <w:lang w:eastAsia="zh-CN"/>
        </w:rPr>
        <w:t>供应商</w:t>
      </w:r>
      <w:r>
        <w:rPr>
          <w:rFonts w:hint="eastAsia" w:ascii="宋体" w:hAnsi="宋体"/>
        </w:rPr>
        <w:t>须知》</w:t>
      </w:r>
    </w:p>
    <w:p>
      <w:pPr>
        <w:snapToGrid w:val="0"/>
        <w:spacing w:line="480" w:lineRule="exact"/>
        <w:ind w:firstLine="422" w:firstLineChars="200"/>
        <w:rPr>
          <w:rFonts w:ascii="宋体" w:cs="宋体"/>
          <w:b/>
          <w:szCs w:val="21"/>
        </w:rPr>
      </w:pPr>
      <w:r>
        <w:rPr>
          <w:rFonts w:hint="eastAsia" w:ascii="宋体" w:hAnsi="宋体" w:cs="宋体"/>
          <w:b/>
          <w:szCs w:val="21"/>
        </w:rPr>
        <w:t>五、中标原则</w:t>
      </w:r>
    </w:p>
    <w:p>
      <w:pPr>
        <w:snapToGrid w:val="0"/>
        <w:spacing w:line="480" w:lineRule="exact"/>
        <w:ind w:firstLine="420" w:firstLineChars="200"/>
        <w:rPr>
          <w:rFonts w:ascii="宋体" w:cs="宋体"/>
          <w:szCs w:val="21"/>
        </w:rPr>
      </w:pPr>
      <w:r>
        <w:rPr>
          <w:rFonts w:hint="eastAsia" w:ascii="宋体" w:hAnsi="宋体" w:cs="宋体"/>
          <w:szCs w:val="21"/>
        </w:rPr>
        <w:t>评标小组在审标、询标的基础上根据事先制定的评标办法对各</w:t>
      </w:r>
      <w:r>
        <w:rPr>
          <w:rFonts w:hint="eastAsia" w:ascii="宋体" w:hAnsi="宋体" w:cs="宋体"/>
          <w:szCs w:val="21"/>
          <w:lang w:eastAsia="zh-CN"/>
        </w:rPr>
        <w:t>供应商</w:t>
      </w:r>
      <w:r>
        <w:rPr>
          <w:rFonts w:hint="eastAsia" w:ascii="宋体" w:hAnsi="宋体" w:cs="宋体"/>
          <w:szCs w:val="21"/>
        </w:rPr>
        <w:t>的投标文件进行评定，推荐综合得分</w:t>
      </w:r>
      <w:r>
        <w:rPr>
          <w:rFonts w:hint="eastAsia" w:ascii="宋体" w:hAnsi="宋体" w:cs="宋体"/>
          <w:szCs w:val="21"/>
          <w:lang w:val="en-US" w:eastAsia="zh-CN"/>
        </w:rPr>
        <w:t>第一名</w:t>
      </w:r>
      <w:r>
        <w:rPr>
          <w:rFonts w:hint="eastAsia" w:ascii="宋体" w:hAnsi="宋体" w:cs="宋体"/>
          <w:szCs w:val="21"/>
        </w:rPr>
        <w:t>的</w:t>
      </w:r>
      <w:r>
        <w:rPr>
          <w:rFonts w:hint="eastAsia" w:ascii="宋体" w:hAnsi="宋体" w:cs="宋体"/>
          <w:szCs w:val="21"/>
          <w:lang w:eastAsia="zh-CN"/>
        </w:rPr>
        <w:t>供应商</w:t>
      </w:r>
      <w:r>
        <w:rPr>
          <w:rFonts w:hint="eastAsia" w:ascii="宋体" w:hAnsi="宋体" w:cs="宋体"/>
          <w:szCs w:val="21"/>
        </w:rPr>
        <w:t>为中标候选人。</w:t>
      </w:r>
    </w:p>
    <w:p>
      <w:pPr>
        <w:snapToGrid w:val="0"/>
        <w:spacing w:line="480" w:lineRule="exact"/>
        <w:ind w:firstLine="420" w:firstLineChars="200"/>
        <w:rPr>
          <w:rFonts w:ascii="宋体" w:cs="宋体"/>
          <w:szCs w:val="21"/>
        </w:rPr>
      </w:pPr>
      <w:r>
        <w:rPr>
          <w:rFonts w:hint="eastAsia" w:ascii="宋体" w:hAnsi="宋体" w:cs="宋体"/>
          <w:szCs w:val="21"/>
        </w:rPr>
        <w:t>六、中标结果</w:t>
      </w:r>
    </w:p>
    <w:p>
      <w:pPr>
        <w:snapToGrid w:val="0"/>
        <w:spacing w:line="480" w:lineRule="exact"/>
        <w:ind w:firstLine="420" w:firstLineChars="200"/>
        <w:rPr>
          <w:rFonts w:ascii="宋体" w:cs="宋体"/>
          <w:szCs w:val="21"/>
        </w:rPr>
      </w:pPr>
      <w:r>
        <w:rPr>
          <w:rFonts w:hint="eastAsia" w:ascii="宋体" w:hAnsi="宋体" w:cs="宋体"/>
          <w:szCs w:val="21"/>
        </w:rPr>
        <w:t>采购机构将中标结果在招标公告发布的网站上公示，根据公示和决标结果，向中标人发出中标通知书。</w:t>
      </w:r>
    </w:p>
    <w:p>
      <w:pPr>
        <w:snapToGrid w:val="0"/>
        <w:spacing w:line="480" w:lineRule="exact"/>
        <w:ind w:firstLine="422" w:firstLineChars="200"/>
        <w:rPr>
          <w:rFonts w:ascii="宋体" w:cs="宋体"/>
          <w:b/>
          <w:szCs w:val="21"/>
        </w:rPr>
      </w:pPr>
      <w:r>
        <w:rPr>
          <w:rFonts w:hint="eastAsia" w:ascii="宋体" w:hAnsi="宋体" w:cs="宋体"/>
          <w:b/>
          <w:szCs w:val="21"/>
        </w:rPr>
        <w:t>如中标人因自身原因放弃中标或因不可抗力不能履行合同的，则重新招标。</w:t>
      </w:r>
    </w:p>
    <w:p>
      <w:pPr>
        <w:snapToGrid w:val="0"/>
        <w:spacing w:line="480" w:lineRule="exact"/>
        <w:rPr>
          <w:rFonts w:ascii="宋体" w:cs="宋体"/>
          <w:b/>
          <w:szCs w:val="21"/>
        </w:rPr>
      </w:pPr>
    </w:p>
    <w:p>
      <w:pPr>
        <w:snapToGrid w:val="0"/>
        <w:spacing w:line="480" w:lineRule="exact"/>
        <w:rPr>
          <w:rFonts w:ascii="宋体" w:cs="宋体"/>
          <w:b/>
          <w:szCs w:val="21"/>
        </w:rPr>
      </w:pPr>
    </w:p>
    <w:p>
      <w:pPr>
        <w:snapToGrid w:val="0"/>
        <w:spacing w:line="480" w:lineRule="exact"/>
        <w:rPr>
          <w:rFonts w:ascii="宋体" w:cs="宋体"/>
          <w:b/>
          <w:szCs w:val="21"/>
        </w:rPr>
      </w:pPr>
    </w:p>
    <w:p>
      <w:pPr>
        <w:snapToGrid w:val="0"/>
        <w:spacing w:line="480" w:lineRule="exact"/>
        <w:rPr>
          <w:rFonts w:ascii="宋体" w:cs="宋体"/>
          <w:b/>
          <w:szCs w:val="21"/>
        </w:rPr>
      </w:pPr>
    </w:p>
    <w:p>
      <w:pPr>
        <w:snapToGrid w:val="0"/>
        <w:spacing w:line="480" w:lineRule="exact"/>
        <w:rPr>
          <w:rFonts w:ascii="宋体" w:cs="宋体"/>
          <w:b/>
          <w:szCs w:val="21"/>
        </w:rPr>
      </w:pPr>
    </w:p>
    <w:p>
      <w:pPr>
        <w:pStyle w:val="44"/>
      </w:pPr>
    </w:p>
    <w:p>
      <w:pPr>
        <w:widowControl/>
        <w:jc w:val="left"/>
        <w:rPr>
          <w:rFonts w:ascii="宋体" w:cs="宋体"/>
          <w:b/>
          <w:szCs w:val="21"/>
        </w:rPr>
      </w:pPr>
      <w:r>
        <w:rPr>
          <w:rFonts w:ascii="宋体" w:cs="宋体"/>
          <w:b/>
          <w:szCs w:val="21"/>
        </w:rPr>
        <w:br w:type="page"/>
      </w:r>
    </w:p>
    <w:p>
      <w:pPr>
        <w:snapToGrid w:val="0"/>
        <w:spacing w:line="480" w:lineRule="exact"/>
        <w:ind w:firstLine="1928" w:firstLineChars="800"/>
        <w:rPr>
          <w:rFonts w:ascii="宋体" w:hAnsi="宋体" w:cs="宋体"/>
          <w:b/>
          <w:sz w:val="24"/>
        </w:rPr>
      </w:pPr>
      <w:r>
        <w:rPr>
          <w:rFonts w:hint="eastAsia" w:ascii="宋体" w:hAnsi="宋体" w:cs="宋体"/>
          <w:b/>
          <w:sz w:val="24"/>
          <w:lang w:val="zh-CN"/>
        </w:rPr>
        <w:t>宁海县桥头胡街道环卫保洁服务项目</w:t>
      </w:r>
      <w:r>
        <w:rPr>
          <w:rFonts w:hint="eastAsia" w:ascii="宋体" w:hAnsi="宋体" w:cs="宋体"/>
          <w:b/>
          <w:sz w:val="24"/>
        </w:rPr>
        <w:t>评分表</w:t>
      </w:r>
    </w:p>
    <w:tbl>
      <w:tblPr>
        <w:tblStyle w:val="30"/>
        <w:tblW w:w="9376"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065"/>
        <w:gridCol w:w="1365"/>
        <w:gridCol w:w="1262"/>
        <w:gridCol w:w="394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386" w:type="dxa"/>
            <w:gridSpan w:val="5"/>
            <w:tcBorders>
              <w:tl2br w:val="single" w:color="auto" w:sz="4" w:space="0"/>
            </w:tcBorders>
            <w:noWrap w:val="0"/>
            <w:vAlign w:val="center"/>
          </w:tcPr>
          <w:p>
            <w:pPr>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评分标准及分值                                                      供应商</w:t>
            </w:r>
          </w:p>
        </w:tc>
        <w:tc>
          <w:tcPr>
            <w:tcW w:w="840" w:type="dxa"/>
            <w:noWrap w:val="0"/>
            <w:vAlign w:val="center"/>
          </w:tcPr>
          <w:p>
            <w:pPr>
              <w:adjustRightInd/>
              <w:spacing w:before="120" w:beforeLines="50"/>
              <w:jc w:val="center"/>
              <w:textAlignment w:val="auto"/>
              <w:rPr>
                <w:rFonts w:hint="eastAsia" w:ascii="宋体" w:hAnsi="宋体" w:eastAsia="宋体" w:cs="宋体"/>
                <w:b/>
                <w:color w:val="auto"/>
                <w:szCs w:val="21"/>
                <w:highlight w:val="none"/>
              </w:rPr>
            </w:pPr>
            <w:r>
              <w:rPr>
                <w:rFonts w:hint="eastAsia" w:ascii="宋体" w:hAnsi="宋体" w:eastAsia="宋体" w:cs="宋体"/>
                <w:snapToGrid w:val="0"/>
                <w:spacing w:val="-4"/>
                <w:kern w:val="2"/>
                <w:sz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49" w:type="dxa"/>
            <w:vMerge w:val="restart"/>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商务技术分</w:t>
            </w:r>
            <w:r>
              <w:rPr>
                <w:rFonts w:hint="eastAsia" w:ascii="宋体" w:hAnsi="宋体" w:cs="宋体"/>
                <w:color w:val="auto"/>
                <w:szCs w:val="21"/>
                <w:highlight w:val="none"/>
                <w:lang w:val="en-US" w:eastAsia="zh-CN"/>
              </w:rPr>
              <w:t>70</w:t>
            </w:r>
            <w:r>
              <w:rPr>
                <w:rFonts w:hint="eastAsia" w:ascii="宋体" w:hAnsi="宋体" w:eastAsia="宋体" w:cs="宋体"/>
                <w:color w:val="auto"/>
                <w:szCs w:val="21"/>
                <w:highlight w:val="none"/>
              </w:rPr>
              <w:t>分</w:t>
            </w:r>
          </w:p>
        </w:tc>
        <w:tc>
          <w:tcPr>
            <w:tcW w:w="1065" w:type="dxa"/>
            <w:vMerge w:val="restart"/>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1、保洁服务方案</w:t>
            </w:r>
          </w:p>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57</w:t>
            </w:r>
            <w:r>
              <w:rPr>
                <w:rFonts w:hint="eastAsia" w:ascii="宋体" w:hAnsi="宋体" w:eastAsia="宋体" w:cs="宋体"/>
                <w:color w:val="auto"/>
                <w:szCs w:val="21"/>
                <w:highlight w:val="none"/>
              </w:rPr>
              <w:t>分）</w:t>
            </w:r>
          </w:p>
        </w:tc>
        <w:tc>
          <w:tcPr>
            <w:tcW w:w="1365" w:type="dxa"/>
            <w:vMerge w:val="restart"/>
            <w:noWrap w:val="0"/>
            <w:vAlign w:val="center"/>
          </w:tcPr>
          <w:p>
            <w:pPr>
              <w:spacing w:line="3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1.1对本项目的了解情况及重点、难点分析（</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p>
        </w:tc>
        <w:tc>
          <w:tcPr>
            <w:tcW w:w="5207" w:type="dxa"/>
            <w:gridSpan w:val="2"/>
            <w:noWrap w:val="0"/>
            <w:vAlign w:val="center"/>
          </w:tcPr>
          <w:p>
            <w:pPr>
              <w:spacing w:line="340" w:lineRule="exac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1.1.1</w:t>
            </w:r>
            <w:r>
              <w:rPr>
                <w:rFonts w:hint="eastAsia" w:ascii="宋体" w:hAnsi="宋体" w:eastAsia="宋体" w:cs="宋体"/>
                <w:color w:val="auto"/>
                <w:szCs w:val="21"/>
                <w:highlight w:val="none"/>
              </w:rPr>
              <w:t>根据供应商提供的针对</w:t>
            </w:r>
            <w:r>
              <w:rPr>
                <w:rFonts w:hint="eastAsia" w:ascii="宋体" w:hAnsi="宋体" w:cs="宋体"/>
                <w:color w:val="auto"/>
                <w:szCs w:val="21"/>
                <w:highlight w:val="none"/>
                <w:lang w:val="en-US" w:eastAsia="zh-CN"/>
              </w:rPr>
              <w:t>保洁</w:t>
            </w:r>
            <w:r>
              <w:rPr>
                <w:rFonts w:hint="eastAsia" w:ascii="宋体" w:hAnsi="宋体" w:cs="宋体"/>
                <w:color w:val="auto"/>
                <w:szCs w:val="21"/>
                <w:highlight w:val="none"/>
                <w:lang w:eastAsia="zh-CN"/>
              </w:rPr>
              <w:t>服务区域的了解情况</w:t>
            </w:r>
            <w:r>
              <w:rPr>
                <w:rFonts w:hint="eastAsia" w:ascii="宋体" w:hAnsi="宋体" w:eastAsia="宋体" w:cs="宋体"/>
                <w:color w:val="auto"/>
                <w:szCs w:val="21"/>
                <w:highlight w:val="none"/>
                <w:lang w:val="en-US" w:eastAsia="zh-CN"/>
              </w:rPr>
              <w:t>是否全面</w:t>
            </w:r>
            <w:r>
              <w:rPr>
                <w:rFonts w:hint="eastAsia" w:ascii="宋体" w:hAnsi="宋体" w:eastAsia="宋体" w:cs="宋体"/>
                <w:color w:val="auto"/>
                <w:szCs w:val="21"/>
                <w:highlight w:val="none"/>
              </w:rPr>
              <w:t>进行评议</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欠全面的</w:t>
            </w:r>
            <w:r>
              <w:rPr>
                <w:rFonts w:hint="eastAsia" w:ascii="宋体" w:hAnsi="宋体" w:cs="宋体"/>
                <w:color w:val="auto"/>
                <w:szCs w:val="21"/>
                <w:highlight w:val="none"/>
                <w:lang w:val="en-US" w:eastAsia="zh-CN"/>
              </w:rPr>
              <w:t>扣1</w:t>
            </w:r>
            <w:r>
              <w:rPr>
                <w:rFonts w:hint="eastAsia" w:ascii="宋体" w:hAnsi="宋体" w:eastAsia="宋体" w:cs="宋体"/>
                <w:color w:val="auto"/>
                <w:szCs w:val="21"/>
                <w:highlight w:val="none"/>
              </w:rPr>
              <w:t>分；</w:t>
            </w:r>
            <w:r>
              <w:rPr>
                <w:rFonts w:hint="eastAsia" w:ascii="宋体" w:hAnsi="宋体" w:cs="宋体"/>
                <w:color w:val="auto"/>
                <w:szCs w:val="21"/>
                <w:highlight w:val="none"/>
                <w:lang w:val="en-US" w:eastAsia="zh-CN"/>
              </w:rPr>
              <w:t>不全面的扣2分</w:t>
            </w:r>
            <w:r>
              <w:rPr>
                <w:rFonts w:hint="eastAsia" w:ascii="宋体" w:hAnsi="宋体" w:eastAsia="宋体" w:cs="宋体"/>
                <w:color w:val="auto"/>
                <w:szCs w:val="21"/>
                <w:highlight w:val="none"/>
              </w:rPr>
              <w:t>。</w:t>
            </w:r>
          </w:p>
        </w:tc>
        <w:tc>
          <w:tcPr>
            <w:tcW w:w="840" w:type="dxa"/>
            <w:noWrap w:val="0"/>
            <w:vAlign w:val="center"/>
          </w:tcPr>
          <w:p>
            <w:pPr>
              <w:adjustRightInd/>
              <w:spacing w:line="240" w:lineRule="auto"/>
              <w:jc w:val="center"/>
              <w:textAlignment w:val="auto"/>
              <w:rPr>
                <w:rFonts w:hint="eastAsia" w:ascii="宋体" w:hAnsi="宋体" w:eastAsia="宋体" w:cs="宋体"/>
                <w:color w:val="auto"/>
                <w:szCs w:val="21"/>
                <w:highlight w:val="none"/>
              </w:rPr>
            </w:pPr>
            <w:r>
              <w:rPr>
                <w:rFonts w:hint="eastAsia" w:ascii="宋体" w:hAnsi="宋体" w:cs="宋体"/>
                <w:kern w:val="2"/>
                <w:sz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749"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vMerge w:val="continue"/>
            <w:noWrap w:val="0"/>
            <w:vAlign w:val="center"/>
          </w:tcPr>
          <w:p>
            <w:pPr>
              <w:spacing w:line="340" w:lineRule="exact"/>
              <w:rPr>
                <w:rFonts w:hint="eastAsia" w:ascii="宋体" w:hAnsi="宋体" w:eastAsia="宋体" w:cs="宋体"/>
                <w:color w:val="auto"/>
                <w:szCs w:val="21"/>
                <w:highlight w:val="none"/>
              </w:rPr>
            </w:pPr>
          </w:p>
        </w:tc>
        <w:tc>
          <w:tcPr>
            <w:tcW w:w="5207" w:type="dxa"/>
            <w:gridSpan w:val="2"/>
            <w:noWrap w:val="0"/>
            <w:vAlign w:val="center"/>
          </w:tcPr>
          <w:p>
            <w:pPr>
              <w:spacing w:line="3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1.1.2</w:t>
            </w:r>
            <w:r>
              <w:rPr>
                <w:rFonts w:hint="eastAsia" w:ascii="宋体" w:hAnsi="宋体" w:eastAsia="宋体" w:cs="宋体"/>
                <w:color w:val="auto"/>
                <w:szCs w:val="21"/>
                <w:highlight w:val="none"/>
              </w:rPr>
              <w:t>根据供应商提供的针对保洁服务区域的</w:t>
            </w:r>
            <w:r>
              <w:rPr>
                <w:rFonts w:hint="eastAsia" w:ascii="宋体" w:hAnsi="宋体" w:cs="宋体"/>
                <w:color w:val="auto"/>
                <w:szCs w:val="21"/>
                <w:highlight w:val="none"/>
                <w:lang w:val="en-US" w:eastAsia="zh-CN"/>
              </w:rPr>
              <w:t>重点及难点得</w:t>
            </w:r>
            <w:r>
              <w:rPr>
                <w:rFonts w:hint="eastAsia" w:ascii="宋体" w:hAnsi="宋体" w:eastAsia="宋体" w:cs="宋体"/>
                <w:color w:val="auto"/>
                <w:szCs w:val="21"/>
                <w:highlight w:val="none"/>
                <w:lang w:val="en-US" w:eastAsia="zh-CN"/>
              </w:rPr>
              <w:t>解决</w:t>
            </w:r>
            <w:r>
              <w:rPr>
                <w:rFonts w:hint="eastAsia" w:ascii="宋体" w:hAnsi="宋体" w:cs="宋体"/>
                <w:color w:val="auto"/>
                <w:szCs w:val="21"/>
                <w:highlight w:val="none"/>
                <w:lang w:val="en-US" w:eastAsia="zh-CN"/>
              </w:rPr>
              <w:t>方法、措施是否合理</w:t>
            </w:r>
            <w:r>
              <w:rPr>
                <w:rFonts w:hint="eastAsia" w:ascii="宋体" w:hAnsi="宋体" w:eastAsia="宋体" w:cs="宋体"/>
                <w:color w:val="auto"/>
                <w:szCs w:val="21"/>
                <w:highlight w:val="none"/>
              </w:rPr>
              <w:t>进行评议</w:t>
            </w:r>
            <w:r>
              <w:rPr>
                <w:rFonts w:hint="eastAsia" w:ascii="宋体" w:hAnsi="宋体" w:eastAsia="宋体" w:cs="宋体"/>
                <w:color w:val="auto"/>
                <w:szCs w:val="21"/>
                <w:highlight w:val="none"/>
                <w:lang w:eastAsia="zh-CN"/>
              </w:rPr>
              <w:t>：</w:t>
            </w:r>
            <w:r>
              <w:rPr>
                <w:rFonts w:hint="eastAsia" w:ascii="宋体" w:hAnsi="宋体" w:cs="宋体"/>
                <w:color w:val="auto"/>
                <w:szCs w:val="21"/>
                <w:highlight w:val="none"/>
                <w:lang w:eastAsia="zh-CN"/>
              </w:rPr>
              <w:t>欠准确欠合理的扣</w:t>
            </w:r>
            <w:r>
              <w:rPr>
                <w:rFonts w:hint="eastAsia" w:ascii="宋体" w:hAnsi="宋体" w:cs="宋体"/>
                <w:color w:val="auto"/>
                <w:szCs w:val="21"/>
                <w:highlight w:val="none"/>
                <w:lang w:val="en-US" w:eastAsia="zh-CN"/>
              </w:rPr>
              <w:t>1分，不准确不合理的扣2分</w:t>
            </w:r>
            <w:r>
              <w:rPr>
                <w:rFonts w:hint="eastAsia" w:ascii="宋体" w:hAnsi="宋体" w:eastAsia="宋体" w:cs="宋体"/>
                <w:color w:val="auto"/>
                <w:szCs w:val="21"/>
                <w:highlight w:val="none"/>
              </w:rPr>
              <w:t>。</w:t>
            </w:r>
          </w:p>
        </w:tc>
        <w:tc>
          <w:tcPr>
            <w:tcW w:w="840" w:type="dxa"/>
            <w:noWrap w:val="0"/>
            <w:vAlign w:val="center"/>
          </w:tcPr>
          <w:p>
            <w:pPr>
              <w:adjustRightInd/>
              <w:spacing w:line="240" w:lineRule="auto"/>
              <w:jc w:val="center"/>
              <w:textAlignment w:val="auto"/>
              <w:rPr>
                <w:rFonts w:hint="eastAsia" w:ascii="宋体" w:hAnsi="宋体" w:eastAsia="宋体" w:cs="宋体"/>
                <w:color w:val="auto"/>
                <w:szCs w:val="21"/>
                <w:highlight w:val="none"/>
                <w:lang w:val="en-US" w:eastAsia="zh-CN"/>
              </w:rPr>
            </w:pPr>
            <w:r>
              <w:rPr>
                <w:rFonts w:hint="eastAsia" w:ascii="宋体" w:hAnsi="宋体" w:cs="宋体"/>
                <w:kern w:val="2"/>
                <w:sz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vMerge w:val="continue"/>
            <w:noWrap w:val="0"/>
            <w:vAlign w:val="center"/>
          </w:tcPr>
          <w:p>
            <w:pPr>
              <w:widowControl w:val="0"/>
              <w:spacing w:after="120" w:afterLines="0"/>
              <w:jc w:val="both"/>
              <w:rPr>
                <w:rFonts w:hint="eastAsia" w:ascii="Tahoma" w:hAnsi="Tahoma" w:eastAsia="宋体" w:cs="Times New Roman"/>
                <w:kern w:val="2"/>
                <w:sz w:val="28"/>
                <w:szCs w:val="24"/>
                <w:highlight w:val="none"/>
                <w:lang w:val="en-US" w:eastAsia="zh-CN" w:bidi="ar-SA"/>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noWrap w:val="0"/>
            <w:vAlign w:val="center"/>
          </w:tcPr>
          <w:p>
            <w:pPr>
              <w:spacing w:line="34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1.2重点、难点解决方案（3分）</w:t>
            </w:r>
          </w:p>
        </w:tc>
        <w:tc>
          <w:tcPr>
            <w:tcW w:w="5207" w:type="dxa"/>
            <w:gridSpan w:val="2"/>
            <w:noWrap w:val="0"/>
            <w:vAlign w:val="center"/>
          </w:tcPr>
          <w:p>
            <w:pPr>
              <w:spacing w:line="34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1.2.1根据供应商提供的针对保洁服务区域的重点及难点的解决方法、措施是否合理进行评议。</w:t>
            </w:r>
          </w:p>
        </w:tc>
        <w:tc>
          <w:tcPr>
            <w:tcW w:w="840" w:type="dxa"/>
            <w:noWrap w:val="0"/>
            <w:vAlign w:val="center"/>
          </w:tcPr>
          <w:p>
            <w:pPr>
              <w:spacing w:line="231"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vMerge w:val="continue"/>
            <w:noWrap w:val="0"/>
            <w:vAlign w:val="center"/>
          </w:tcPr>
          <w:p>
            <w:pPr>
              <w:widowControl w:val="0"/>
              <w:spacing w:after="120" w:afterLines="0"/>
              <w:jc w:val="both"/>
              <w:rPr>
                <w:rFonts w:hint="eastAsia" w:ascii="Tahoma" w:hAnsi="Tahoma" w:eastAsia="宋体" w:cs="Times New Roman"/>
                <w:kern w:val="2"/>
                <w:sz w:val="28"/>
                <w:szCs w:val="24"/>
                <w:highlight w:val="none"/>
                <w:lang w:val="en-US" w:eastAsia="zh-CN" w:bidi="ar-SA"/>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vMerge w:val="restart"/>
            <w:noWrap w:val="0"/>
            <w:vAlign w:val="center"/>
          </w:tcPr>
          <w:p>
            <w:pPr>
              <w:spacing w:line="3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保洁方案（</w:t>
            </w:r>
            <w:r>
              <w:rPr>
                <w:rFonts w:hint="eastAsia" w:ascii="宋体" w:hAnsi="宋体" w:cs="宋体"/>
                <w:color w:val="auto"/>
                <w:szCs w:val="21"/>
                <w:highlight w:val="none"/>
                <w:lang w:val="en-US" w:eastAsia="zh-CN"/>
              </w:rPr>
              <w:t>15</w:t>
            </w:r>
            <w:r>
              <w:rPr>
                <w:rFonts w:hint="eastAsia" w:ascii="宋体" w:hAnsi="宋体" w:eastAsia="宋体" w:cs="宋体"/>
                <w:color w:val="auto"/>
                <w:szCs w:val="21"/>
                <w:highlight w:val="none"/>
              </w:rPr>
              <w:t>分）</w:t>
            </w:r>
          </w:p>
        </w:tc>
        <w:tc>
          <w:tcPr>
            <w:tcW w:w="5207" w:type="dxa"/>
            <w:gridSpan w:val="2"/>
            <w:noWrap w:val="0"/>
            <w:vAlign w:val="center"/>
          </w:tcPr>
          <w:p>
            <w:pPr>
              <w:spacing w:line="340" w:lineRule="exac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lang w:val="en-US" w:eastAsia="zh-CN"/>
              </w:rPr>
              <w:t>.1评委根据供应商提供的针对本次招标范围内实际情况制定的道路人工保洁方案</w:t>
            </w:r>
            <w:r>
              <w:rPr>
                <w:rFonts w:hint="eastAsia" w:ascii="宋体" w:hAnsi="宋体" w:cs="宋体"/>
                <w:color w:val="auto"/>
                <w:szCs w:val="21"/>
                <w:highlight w:val="none"/>
                <w:lang w:val="en-US" w:eastAsia="zh-CN"/>
              </w:rPr>
              <w:t>和河道人工保洁方案</w:t>
            </w:r>
            <w:r>
              <w:rPr>
                <w:rFonts w:hint="eastAsia" w:ascii="宋体" w:hAnsi="宋体" w:eastAsia="宋体" w:cs="宋体"/>
                <w:color w:val="auto"/>
                <w:szCs w:val="21"/>
                <w:highlight w:val="none"/>
                <w:lang w:val="en-US" w:eastAsia="zh-CN"/>
              </w:rPr>
              <w:t>是否</w:t>
            </w:r>
            <w:r>
              <w:rPr>
                <w:rFonts w:hint="eastAsia" w:ascii="宋体" w:hAnsi="宋体" w:cs="宋体"/>
                <w:color w:val="auto"/>
                <w:szCs w:val="21"/>
                <w:highlight w:val="none"/>
                <w:lang w:val="en-US" w:eastAsia="zh-CN"/>
              </w:rPr>
              <w:t>可行性</w:t>
            </w:r>
            <w:r>
              <w:rPr>
                <w:rFonts w:hint="eastAsia" w:ascii="宋体" w:hAnsi="宋体" w:eastAsia="宋体" w:cs="宋体"/>
                <w:color w:val="auto"/>
                <w:szCs w:val="21"/>
                <w:highlight w:val="none"/>
                <w:lang w:val="en-US" w:eastAsia="zh-CN"/>
              </w:rPr>
              <w:t>进行评议。</w:t>
            </w:r>
          </w:p>
        </w:tc>
        <w:tc>
          <w:tcPr>
            <w:tcW w:w="840" w:type="dxa"/>
            <w:noWrap w:val="0"/>
            <w:vAlign w:val="center"/>
          </w:tcPr>
          <w:p>
            <w:pPr>
              <w:spacing w:line="231"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49" w:type="dxa"/>
            <w:vMerge w:val="continue"/>
            <w:noWrap w:val="0"/>
            <w:vAlign w:val="center"/>
          </w:tcPr>
          <w:p>
            <w:pPr>
              <w:widowControl w:val="0"/>
              <w:spacing w:after="120" w:afterLines="0"/>
              <w:jc w:val="both"/>
              <w:rPr>
                <w:rFonts w:hint="eastAsia" w:ascii="Tahoma" w:hAnsi="Tahoma" w:eastAsia="宋体" w:cs="Times New Roman"/>
                <w:kern w:val="2"/>
                <w:sz w:val="28"/>
                <w:szCs w:val="24"/>
                <w:highlight w:val="none"/>
                <w:lang w:val="en-US" w:eastAsia="zh-CN" w:bidi="ar-SA"/>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vMerge w:val="continue"/>
            <w:noWrap w:val="0"/>
            <w:vAlign w:val="center"/>
          </w:tcPr>
          <w:p>
            <w:pPr>
              <w:spacing w:line="340" w:lineRule="exact"/>
              <w:rPr>
                <w:rFonts w:hint="eastAsia" w:ascii="宋体" w:hAnsi="宋体" w:eastAsia="宋体" w:cs="宋体"/>
                <w:color w:val="auto"/>
                <w:szCs w:val="21"/>
                <w:highlight w:val="none"/>
              </w:rPr>
            </w:pPr>
          </w:p>
        </w:tc>
        <w:tc>
          <w:tcPr>
            <w:tcW w:w="5207" w:type="dxa"/>
            <w:gridSpan w:val="2"/>
            <w:noWrap w:val="0"/>
            <w:vAlign w:val="center"/>
          </w:tcPr>
          <w:p>
            <w:pPr>
              <w:spacing w:line="34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lang w:val="en-US" w:eastAsia="zh-CN"/>
              </w:rPr>
              <w:t>.2评委根据供应商提供的针对本次招标范围内实际情况制定的绿化带保洁方案是否可行进行评议。</w:t>
            </w:r>
          </w:p>
        </w:tc>
        <w:tc>
          <w:tcPr>
            <w:tcW w:w="840" w:type="dxa"/>
            <w:noWrap w:val="0"/>
            <w:vAlign w:val="center"/>
          </w:tcPr>
          <w:p>
            <w:pPr>
              <w:spacing w:line="231"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49" w:type="dxa"/>
            <w:vMerge w:val="continue"/>
            <w:noWrap w:val="0"/>
            <w:vAlign w:val="center"/>
          </w:tcPr>
          <w:p>
            <w:pPr>
              <w:widowControl w:val="0"/>
              <w:spacing w:after="120" w:afterLines="0"/>
              <w:jc w:val="both"/>
              <w:rPr>
                <w:rFonts w:hint="eastAsia" w:ascii="Tahoma" w:hAnsi="Tahoma" w:eastAsia="宋体" w:cs="Times New Roman"/>
                <w:kern w:val="2"/>
                <w:sz w:val="28"/>
                <w:szCs w:val="24"/>
                <w:highlight w:val="none"/>
                <w:lang w:val="en-US" w:eastAsia="zh-CN" w:bidi="ar-SA"/>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vMerge w:val="continue"/>
            <w:noWrap w:val="0"/>
            <w:vAlign w:val="center"/>
          </w:tcPr>
          <w:p>
            <w:pPr>
              <w:spacing w:line="340" w:lineRule="exact"/>
              <w:rPr>
                <w:rFonts w:hint="eastAsia" w:ascii="宋体" w:hAnsi="宋体" w:eastAsia="宋体" w:cs="宋体"/>
                <w:color w:val="auto"/>
                <w:szCs w:val="21"/>
                <w:highlight w:val="none"/>
              </w:rPr>
            </w:pPr>
          </w:p>
        </w:tc>
        <w:tc>
          <w:tcPr>
            <w:tcW w:w="5207" w:type="dxa"/>
            <w:gridSpan w:val="2"/>
            <w:noWrap w:val="0"/>
            <w:vAlign w:val="center"/>
          </w:tcPr>
          <w:p>
            <w:pPr>
              <w:spacing w:line="34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lang w:val="en-US" w:eastAsia="zh-CN"/>
              </w:rPr>
              <w:t>.3评委根据供应商提供的针对本次招标范围内实际情况制定的</w:t>
            </w:r>
            <w:r>
              <w:rPr>
                <w:rFonts w:hint="eastAsia" w:ascii="宋体" w:hAnsi="宋体" w:cs="宋体"/>
                <w:color w:val="auto"/>
                <w:szCs w:val="21"/>
                <w:highlight w:val="none"/>
                <w:lang w:val="en-US" w:eastAsia="zh-CN"/>
              </w:rPr>
              <w:t>公厕保洁</w:t>
            </w:r>
            <w:r>
              <w:rPr>
                <w:rFonts w:hint="eastAsia" w:ascii="宋体" w:hAnsi="宋体" w:eastAsia="宋体" w:cs="宋体"/>
                <w:color w:val="auto"/>
                <w:szCs w:val="21"/>
                <w:highlight w:val="none"/>
                <w:lang w:val="en-US" w:eastAsia="zh-CN"/>
              </w:rPr>
              <w:t>方案是否全面进行评议。</w:t>
            </w:r>
          </w:p>
        </w:tc>
        <w:tc>
          <w:tcPr>
            <w:tcW w:w="840" w:type="dxa"/>
            <w:noWrap w:val="0"/>
            <w:vAlign w:val="center"/>
          </w:tcPr>
          <w:p>
            <w:pPr>
              <w:spacing w:line="231"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49" w:type="dxa"/>
            <w:vMerge w:val="continue"/>
            <w:noWrap w:val="0"/>
            <w:vAlign w:val="center"/>
          </w:tcPr>
          <w:p>
            <w:pPr>
              <w:widowControl w:val="0"/>
              <w:spacing w:after="120" w:afterLines="0"/>
              <w:jc w:val="both"/>
              <w:rPr>
                <w:rFonts w:hint="eastAsia" w:ascii="Tahoma" w:hAnsi="Tahoma" w:eastAsia="宋体" w:cs="Times New Roman"/>
                <w:kern w:val="2"/>
                <w:sz w:val="28"/>
                <w:szCs w:val="24"/>
                <w:highlight w:val="none"/>
                <w:lang w:val="en-US" w:eastAsia="zh-CN" w:bidi="ar-SA"/>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vMerge w:val="continue"/>
            <w:noWrap w:val="0"/>
            <w:vAlign w:val="center"/>
          </w:tcPr>
          <w:p>
            <w:pPr>
              <w:spacing w:line="340" w:lineRule="exact"/>
              <w:rPr>
                <w:rFonts w:hint="eastAsia" w:ascii="宋体" w:hAnsi="宋体" w:eastAsia="宋体" w:cs="宋体"/>
                <w:color w:val="auto"/>
                <w:szCs w:val="21"/>
                <w:highlight w:val="none"/>
              </w:rPr>
            </w:pPr>
          </w:p>
        </w:tc>
        <w:tc>
          <w:tcPr>
            <w:tcW w:w="1262" w:type="dxa"/>
            <w:vMerge w:val="restart"/>
            <w:noWrap w:val="0"/>
            <w:vAlign w:val="center"/>
          </w:tcPr>
          <w:p>
            <w:pPr>
              <w:spacing w:line="340" w:lineRule="exac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1.3.4机械化保洁方案（6分）</w:t>
            </w:r>
          </w:p>
          <w:p>
            <w:pPr>
              <w:spacing w:line="340" w:lineRule="exact"/>
              <w:rPr>
                <w:rFonts w:hint="eastAsia" w:ascii="宋体" w:hAnsi="宋体" w:eastAsia="宋体" w:cs="宋体"/>
                <w:color w:val="auto"/>
                <w:kern w:val="2"/>
                <w:sz w:val="21"/>
                <w:szCs w:val="21"/>
                <w:highlight w:val="none"/>
                <w:lang w:val="en-US" w:eastAsia="zh-CN" w:bidi="ar-SA"/>
              </w:rPr>
            </w:pPr>
          </w:p>
        </w:tc>
        <w:tc>
          <w:tcPr>
            <w:tcW w:w="3945" w:type="dxa"/>
            <w:noWrap w:val="0"/>
            <w:vAlign w:val="center"/>
          </w:tcPr>
          <w:p>
            <w:pPr>
              <w:spacing w:line="34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lang w:val="en-US" w:eastAsia="zh-CN"/>
              </w:rPr>
              <w:t>.4.1评委根据供应商提供的针对本次招标范围内实际情况制定的保洁区域机扫方案是否完善进行评议。</w:t>
            </w:r>
          </w:p>
        </w:tc>
        <w:tc>
          <w:tcPr>
            <w:tcW w:w="840" w:type="dxa"/>
            <w:noWrap w:val="0"/>
            <w:vAlign w:val="center"/>
          </w:tcPr>
          <w:p>
            <w:pPr>
              <w:spacing w:line="231"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49" w:type="dxa"/>
            <w:vMerge w:val="continue"/>
            <w:noWrap w:val="0"/>
            <w:vAlign w:val="center"/>
          </w:tcPr>
          <w:p>
            <w:pPr>
              <w:widowControl w:val="0"/>
              <w:spacing w:after="120" w:afterLines="0"/>
              <w:jc w:val="both"/>
              <w:rPr>
                <w:rFonts w:hint="eastAsia" w:ascii="Tahoma" w:hAnsi="Tahoma" w:eastAsia="宋体" w:cs="Times New Roman"/>
                <w:kern w:val="2"/>
                <w:sz w:val="28"/>
                <w:szCs w:val="24"/>
                <w:highlight w:val="none"/>
                <w:lang w:val="en-US" w:eastAsia="zh-CN" w:bidi="ar-SA"/>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vMerge w:val="continue"/>
            <w:noWrap w:val="0"/>
            <w:vAlign w:val="center"/>
          </w:tcPr>
          <w:p>
            <w:pPr>
              <w:spacing w:line="340" w:lineRule="exact"/>
              <w:rPr>
                <w:rFonts w:hint="eastAsia" w:ascii="宋体" w:hAnsi="宋体" w:eastAsia="宋体" w:cs="宋体"/>
                <w:color w:val="auto"/>
                <w:szCs w:val="21"/>
                <w:highlight w:val="none"/>
              </w:rPr>
            </w:pPr>
          </w:p>
        </w:tc>
        <w:tc>
          <w:tcPr>
            <w:tcW w:w="1262" w:type="dxa"/>
            <w:vMerge w:val="continue"/>
            <w:noWrap w:val="0"/>
            <w:vAlign w:val="center"/>
          </w:tcPr>
          <w:p>
            <w:pPr>
              <w:spacing w:line="340" w:lineRule="exact"/>
              <w:rPr>
                <w:rFonts w:hint="eastAsia" w:ascii="宋体" w:hAnsi="宋体" w:eastAsia="宋体" w:cs="宋体"/>
                <w:color w:val="auto"/>
                <w:kern w:val="2"/>
                <w:sz w:val="21"/>
                <w:szCs w:val="21"/>
                <w:highlight w:val="none"/>
                <w:lang w:val="en-US" w:eastAsia="zh-CN" w:bidi="ar-SA"/>
              </w:rPr>
            </w:pPr>
          </w:p>
        </w:tc>
        <w:tc>
          <w:tcPr>
            <w:tcW w:w="3945" w:type="dxa"/>
            <w:noWrap w:val="0"/>
            <w:vAlign w:val="center"/>
          </w:tcPr>
          <w:p>
            <w:pPr>
              <w:spacing w:line="340" w:lineRule="exac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lang w:val="en-US" w:eastAsia="zh-CN"/>
              </w:rPr>
              <w:t>.4.1评委根据供应商提供的针对本次招标范围内实际情况制定的道路洒水、冲洗方案是否详细进行评议。</w:t>
            </w:r>
          </w:p>
        </w:tc>
        <w:tc>
          <w:tcPr>
            <w:tcW w:w="840" w:type="dxa"/>
            <w:noWrap w:val="0"/>
            <w:vAlign w:val="center"/>
          </w:tcPr>
          <w:p>
            <w:pPr>
              <w:spacing w:line="231"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vMerge w:val="continue"/>
            <w:noWrap w:val="0"/>
            <w:vAlign w:val="center"/>
          </w:tcPr>
          <w:p>
            <w:pPr>
              <w:widowControl w:val="0"/>
              <w:spacing w:after="120" w:afterLines="0"/>
              <w:ind w:firstLine="280" w:firstLineChars="100"/>
              <w:jc w:val="both"/>
              <w:rPr>
                <w:rFonts w:hint="eastAsia" w:ascii="Tahoma" w:hAnsi="Tahoma" w:eastAsia="宋体" w:cs="Times New Roman"/>
                <w:kern w:val="2"/>
                <w:sz w:val="28"/>
                <w:szCs w:val="24"/>
                <w:highlight w:val="none"/>
                <w:lang w:val="en-US" w:eastAsia="zh-CN" w:bidi="ar-SA"/>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noWrap w:val="0"/>
            <w:vAlign w:val="center"/>
          </w:tcPr>
          <w:p>
            <w:pPr>
              <w:spacing w:line="3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果壳箱清洗和管理方案</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分）</w:t>
            </w:r>
          </w:p>
        </w:tc>
        <w:tc>
          <w:tcPr>
            <w:tcW w:w="5207" w:type="dxa"/>
            <w:gridSpan w:val="2"/>
            <w:noWrap w:val="0"/>
            <w:vAlign w:val="center"/>
          </w:tcPr>
          <w:p>
            <w:pPr>
              <w:spacing w:line="34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lang w:val="en-US" w:eastAsia="zh-CN"/>
              </w:rPr>
              <w:t>.1评委根据供应商提供的针对本次招标范围内实际情况制定的</w:t>
            </w:r>
            <w:r>
              <w:rPr>
                <w:rFonts w:hint="eastAsia" w:ascii="宋体" w:hAnsi="宋体" w:cs="宋体"/>
                <w:color w:val="auto"/>
                <w:szCs w:val="21"/>
                <w:highlight w:val="none"/>
                <w:lang w:val="en-US" w:eastAsia="zh-CN"/>
              </w:rPr>
              <w:t>果壳箱清洗和管理</w:t>
            </w:r>
            <w:r>
              <w:rPr>
                <w:rFonts w:hint="eastAsia" w:ascii="宋体" w:hAnsi="宋体" w:eastAsia="宋体" w:cs="宋体"/>
                <w:color w:val="auto"/>
                <w:szCs w:val="21"/>
                <w:highlight w:val="none"/>
                <w:lang w:val="en-US" w:eastAsia="zh-CN"/>
              </w:rPr>
              <w:t>方案是否全面进行评议。</w:t>
            </w:r>
          </w:p>
        </w:tc>
        <w:tc>
          <w:tcPr>
            <w:tcW w:w="840" w:type="dxa"/>
            <w:noWrap w:val="0"/>
            <w:vAlign w:val="center"/>
          </w:tcPr>
          <w:p>
            <w:pPr>
              <w:spacing w:line="231"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vMerge w:val="continue"/>
            <w:noWrap w:val="0"/>
            <w:vAlign w:val="center"/>
          </w:tcPr>
          <w:p>
            <w:pPr>
              <w:widowControl w:val="0"/>
              <w:spacing w:after="120" w:afterLines="0"/>
              <w:ind w:firstLine="280" w:firstLineChars="100"/>
              <w:jc w:val="both"/>
              <w:rPr>
                <w:rFonts w:hint="eastAsia" w:ascii="Tahoma" w:hAnsi="Tahoma" w:eastAsia="宋体" w:cs="Times New Roman"/>
                <w:kern w:val="2"/>
                <w:sz w:val="28"/>
                <w:szCs w:val="24"/>
                <w:highlight w:val="none"/>
                <w:lang w:val="en-US" w:eastAsia="zh-CN" w:bidi="ar-SA"/>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vMerge w:val="restart"/>
            <w:noWrap w:val="0"/>
            <w:vAlign w:val="center"/>
          </w:tcPr>
          <w:p>
            <w:pPr>
              <w:spacing w:line="34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1.5垃圾处理清运方案（9分）</w:t>
            </w:r>
          </w:p>
        </w:tc>
        <w:tc>
          <w:tcPr>
            <w:tcW w:w="5207" w:type="dxa"/>
            <w:gridSpan w:val="2"/>
            <w:noWrap w:val="0"/>
            <w:vAlign w:val="center"/>
          </w:tcPr>
          <w:p>
            <w:pPr>
              <w:spacing w:line="34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1.5.1评委根据供应商提供的针对本次招标范围内实际情况制定的生活垃圾清运方案是否科学进行评议。</w:t>
            </w:r>
          </w:p>
        </w:tc>
        <w:tc>
          <w:tcPr>
            <w:tcW w:w="840" w:type="dxa"/>
            <w:noWrap w:val="0"/>
            <w:vAlign w:val="center"/>
          </w:tcPr>
          <w:p>
            <w:pPr>
              <w:spacing w:line="231" w:lineRule="exact"/>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49" w:type="dxa"/>
            <w:vMerge w:val="continue"/>
            <w:noWrap w:val="0"/>
            <w:vAlign w:val="center"/>
          </w:tcPr>
          <w:p>
            <w:pPr>
              <w:widowControl w:val="0"/>
              <w:spacing w:after="120" w:afterLines="0"/>
              <w:ind w:firstLine="280" w:firstLineChars="100"/>
              <w:jc w:val="both"/>
              <w:rPr>
                <w:rFonts w:hint="eastAsia" w:ascii="Tahoma" w:hAnsi="Tahoma" w:eastAsia="宋体" w:cs="Times New Roman"/>
                <w:kern w:val="2"/>
                <w:sz w:val="28"/>
                <w:szCs w:val="24"/>
                <w:highlight w:val="none"/>
                <w:lang w:val="en-US" w:eastAsia="zh-CN" w:bidi="ar-SA"/>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vMerge w:val="continue"/>
            <w:noWrap w:val="0"/>
            <w:vAlign w:val="center"/>
          </w:tcPr>
          <w:p>
            <w:pPr>
              <w:spacing w:line="340" w:lineRule="exact"/>
              <w:rPr>
                <w:rFonts w:hint="eastAsia" w:ascii="宋体" w:hAnsi="宋体" w:eastAsia="宋体" w:cs="宋体"/>
                <w:color w:val="auto"/>
                <w:szCs w:val="21"/>
                <w:highlight w:val="none"/>
              </w:rPr>
            </w:pPr>
          </w:p>
        </w:tc>
        <w:tc>
          <w:tcPr>
            <w:tcW w:w="5207" w:type="dxa"/>
            <w:gridSpan w:val="2"/>
            <w:noWrap w:val="0"/>
            <w:vAlign w:val="center"/>
          </w:tcPr>
          <w:p>
            <w:pPr>
              <w:spacing w:line="340" w:lineRule="exac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1.5.2评委根据供应商提供的针对本次招标范围内实际情况制定的沿街商铺垃圾收运方案是否科学进行评议。</w:t>
            </w:r>
          </w:p>
        </w:tc>
        <w:tc>
          <w:tcPr>
            <w:tcW w:w="840" w:type="dxa"/>
            <w:noWrap w:val="0"/>
            <w:vAlign w:val="center"/>
          </w:tcPr>
          <w:p>
            <w:pPr>
              <w:spacing w:line="231"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49" w:type="dxa"/>
            <w:vMerge w:val="continue"/>
            <w:noWrap w:val="0"/>
            <w:vAlign w:val="center"/>
          </w:tcPr>
          <w:p>
            <w:pPr>
              <w:widowControl w:val="0"/>
              <w:spacing w:after="120" w:afterLines="0"/>
              <w:ind w:firstLine="280" w:firstLineChars="100"/>
              <w:jc w:val="both"/>
              <w:rPr>
                <w:rFonts w:hint="eastAsia" w:ascii="Tahoma" w:hAnsi="Tahoma" w:eastAsia="宋体" w:cs="Times New Roman"/>
                <w:kern w:val="2"/>
                <w:sz w:val="28"/>
                <w:szCs w:val="24"/>
                <w:highlight w:val="none"/>
                <w:lang w:val="en-US" w:eastAsia="zh-CN" w:bidi="ar-SA"/>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vMerge w:val="continue"/>
            <w:noWrap w:val="0"/>
            <w:vAlign w:val="center"/>
          </w:tcPr>
          <w:p>
            <w:pPr>
              <w:spacing w:line="340" w:lineRule="exact"/>
              <w:rPr>
                <w:rFonts w:hint="eastAsia" w:ascii="宋体" w:hAnsi="宋体" w:eastAsia="宋体" w:cs="宋体"/>
                <w:color w:val="auto"/>
                <w:szCs w:val="21"/>
                <w:highlight w:val="none"/>
              </w:rPr>
            </w:pPr>
          </w:p>
        </w:tc>
        <w:tc>
          <w:tcPr>
            <w:tcW w:w="5207" w:type="dxa"/>
            <w:gridSpan w:val="2"/>
            <w:noWrap w:val="0"/>
            <w:vAlign w:val="center"/>
          </w:tcPr>
          <w:p>
            <w:pPr>
              <w:spacing w:line="340" w:lineRule="exac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1.5.3评委根据供应商针对河道浮萍水草旺发处理措施及秋冬落叶处理措施是否科学进行评议。</w:t>
            </w:r>
          </w:p>
        </w:tc>
        <w:tc>
          <w:tcPr>
            <w:tcW w:w="840" w:type="dxa"/>
            <w:noWrap w:val="0"/>
            <w:vAlign w:val="center"/>
          </w:tcPr>
          <w:p>
            <w:pPr>
              <w:spacing w:line="231"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49" w:type="dxa"/>
            <w:vMerge w:val="continue"/>
            <w:noWrap w:val="0"/>
            <w:vAlign w:val="center"/>
          </w:tcPr>
          <w:p>
            <w:pPr>
              <w:widowControl w:val="0"/>
              <w:spacing w:after="120" w:afterLines="0"/>
              <w:ind w:firstLine="280" w:firstLineChars="100"/>
              <w:jc w:val="both"/>
              <w:rPr>
                <w:rFonts w:hint="eastAsia" w:ascii="Tahoma" w:hAnsi="Tahoma" w:eastAsia="宋体" w:cs="Times New Roman"/>
                <w:kern w:val="2"/>
                <w:sz w:val="28"/>
                <w:szCs w:val="24"/>
                <w:highlight w:val="none"/>
                <w:lang w:val="en-US" w:eastAsia="zh-CN" w:bidi="ar-SA"/>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noWrap w:val="0"/>
            <w:vAlign w:val="center"/>
          </w:tcPr>
          <w:p>
            <w:pPr>
              <w:spacing w:line="34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1.6人员保障方案（3分）</w:t>
            </w:r>
          </w:p>
        </w:tc>
        <w:tc>
          <w:tcPr>
            <w:tcW w:w="5207" w:type="dxa"/>
            <w:gridSpan w:val="2"/>
            <w:noWrap w:val="0"/>
            <w:vAlign w:val="center"/>
          </w:tcPr>
          <w:p>
            <w:pPr>
              <w:spacing w:line="340" w:lineRule="exact"/>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1.6.1评委根据供应商提供的合同执行期间的人员保障方案是否完善进行评议。</w:t>
            </w:r>
          </w:p>
        </w:tc>
        <w:tc>
          <w:tcPr>
            <w:tcW w:w="840" w:type="dxa"/>
            <w:noWrap w:val="0"/>
            <w:vAlign w:val="center"/>
          </w:tcPr>
          <w:p>
            <w:pPr>
              <w:spacing w:line="231"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749"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vMerge w:val="restart"/>
            <w:noWrap w:val="0"/>
            <w:vAlign w:val="center"/>
          </w:tcPr>
          <w:p>
            <w:pPr>
              <w:spacing w:line="3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7</w:t>
            </w:r>
            <w:r>
              <w:rPr>
                <w:rFonts w:hint="eastAsia" w:ascii="宋体" w:hAnsi="宋体" w:eastAsia="宋体" w:cs="宋体"/>
                <w:color w:val="auto"/>
                <w:szCs w:val="21"/>
                <w:highlight w:val="none"/>
              </w:rPr>
              <w:t>机械</w:t>
            </w:r>
            <w:r>
              <w:rPr>
                <w:rFonts w:hint="eastAsia" w:ascii="宋体" w:hAnsi="宋体" w:cs="宋体"/>
                <w:color w:val="auto"/>
                <w:szCs w:val="21"/>
                <w:highlight w:val="none"/>
                <w:lang w:val="en-US" w:eastAsia="zh-CN"/>
              </w:rPr>
              <w:t>车辆</w:t>
            </w:r>
            <w:r>
              <w:rPr>
                <w:rFonts w:hint="eastAsia" w:ascii="宋体" w:hAnsi="宋体" w:eastAsia="宋体" w:cs="宋体"/>
                <w:color w:val="auto"/>
                <w:szCs w:val="21"/>
                <w:highlight w:val="none"/>
              </w:rPr>
              <w:t>的配置情况（</w:t>
            </w:r>
            <w:r>
              <w:rPr>
                <w:rFonts w:hint="eastAsia" w:ascii="宋体" w:hAnsi="宋体" w:cs="宋体"/>
                <w:color w:val="auto"/>
                <w:szCs w:val="21"/>
                <w:highlight w:val="none"/>
                <w:lang w:val="en-US" w:eastAsia="zh-CN"/>
              </w:rPr>
              <w:t>10</w:t>
            </w:r>
            <w:r>
              <w:rPr>
                <w:rFonts w:hint="eastAsia" w:ascii="宋体" w:hAnsi="宋体" w:eastAsia="宋体" w:cs="宋体"/>
                <w:color w:val="auto"/>
                <w:szCs w:val="21"/>
                <w:highlight w:val="none"/>
              </w:rPr>
              <w:t>分）</w:t>
            </w:r>
          </w:p>
        </w:tc>
        <w:tc>
          <w:tcPr>
            <w:tcW w:w="5207" w:type="dxa"/>
            <w:gridSpan w:val="2"/>
            <w:noWrap w:val="0"/>
            <w:vAlign w:val="center"/>
          </w:tcPr>
          <w:p>
            <w:pPr>
              <w:snapToGrid w:val="0"/>
              <w:spacing w:line="340" w:lineRule="exact"/>
              <w:rPr>
                <w:rFonts w:hint="default" w:ascii="Times New Roman" w:hAnsi="Times New Roman" w:eastAsia="宋体" w:cs="Times New Roman"/>
                <w:color w:val="auto"/>
                <w:highlight w:val="none"/>
                <w:lang w:val="en-US" w:eastAsia="zh-CN"/>
              </w:rPr>
            </w:pPr>
            <w:r>
              <w:rPr>
                <w:rFonts w:hint="eastAsia" w:ascii="宋体" w:hAnsi="宋体" w:cs="宋体"/>
                <w:color w:val="auto"/>
                <w:szCs w:val="21"/>
                <w:highlight w:val="none"/>
                <w:lang w:val="en-US" w:eastAsia="zh-CN"/>
              </w:rPr>
              <w:t>1.7.1供应商自有1辆道路污染清除车（深度保洁车）的，得2分。（注：投标文件中须提供车辆45°照片、行驶证、购买发票加盖公章的复印件）</w:t>
            </w:r>
          </w:p>
        </w:tc>
        <w:tc>
          <w:tcPr>
            <w:tcW w:w="840" w:type="dxa"/>
            <w:noWrap w:val="0"/>
            <w:vAlign w:val="center"/>
          </w:tcPr>
          <w:p>
            <w:pPr>
              <w:spacing w:line="36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749"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vMerge w:val="continue"/>
            <w:noWrap w:val="0"/>
            <w:vAlign w:val="center"/>
          </w:tcPr>
          <w:p>
            <w:pPr>
              <w:spacing w:line="340" w:lineRule="exact"/>
              <w:rPr>
                <w:rFonts w:hint="eastAsia" w:ascii="宋体" w:hAnsi="宋体" w:eastAsia="宋体" w:cs="宋体"/>
                <w:color w:val="auto"/>
                <w:szCs w:val="21"/>
                <w:highlight w:val="none"/>
              </w:rPr>
            </w:pPr>
          </w:p>
        </w:tc>
        <w:tc>
          <w:tcPr>
            <w:tcW w:w="5207" w:type="dxa"/>
            <w:gridSpan w:val="2"/>
            <w:noWrap w:val="0"/>
            <w:vAlign w:val="center"/>
          </w:tcPr>
          <w:p>
            <w:pPr>
              <w:snapToGrid w:val="0"/>
              <w:spacing w:line="34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1.7.2针对本项目拟投入的新能源车辆配置情况（2分）：自有1辆新能源作业车辆（总质量</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15.8吨及以上的机扫车或洗扫一体车或洒水车）的，得2分。（注：投标文件中须提供车辆45°照片、行驶证、购买发票加盖公章的复印件）</w:t>
            </w:r>
          </w:p>
        </w:tc>
        <w:tc>
          <w:tcPr>
            <w:tcW w:w="840" w:type="dxa"/>
            <w:noWrap w:val="0"/>
            <w:vAlign w:val="center"/>
          </w:tcPr>
          <w:p>
            <w:pPr>
              <w:spacing w:line="36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749"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vMerge w:val="continue"/>
            <w:noWrap w:val="0"/>
            <w:vAlign w:val="center"/>
          </w:tcPr>
          <w:p>
            <w:pPr>
              <w:spacing w:line="340" w:lineRule="exact"/>
              <w:rPr>
                <w:rFonts w:hint="eastAsia" w:ascii="宋体" w:hAnsi="宋体" w:eastAsia="宋体" w:cs="宋体"/>
                <w:color w:val="auto"/>
                <w:szCs w:val="21"/>
                <w:highlight w:val="none"/>
              </w:rPr>
            </w:pPr>
          </w:p>
        </w:tc>
        <w:tc>
          <w:tcPr>
            <w:tcW w:w="5207" w:type="dxa"/>
            <w:gridSpan w:val="2"/>
            <w:noWrap w:val="0"/>
            <w:vAlign w:val="center"/>
          </w:tcPr>
          <w:p>
            <w:pPr>
              <w:snapToGrid w:val="0"/>
              <w:spacing w:line="34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1.7.3针对本项目拟投入的机扫车（或洗扫一体车）配置情况（2分）：自有总质量</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15.8吨机扫车（或洗扫一体车）的，得2分。（注：投标文件中须提供车辆45°照片、行驶证、购买发票加盖公章的复印件）</w:t>
            </w:r>
          </w:p>
        </w:tc>
        <w:tc>
          <w:tcPr>
            <w:tcW w:w="840" w:type="dxa"/>
            <w:noWrap w:val="0"/>
            <w:vAlign w:val="center"/>
          </w:tcPr>
          <w:p>
            <w:pPr>
              <w:spacing w:line="36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749"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vMerge w:val="continue"/>
            <w:noWrap w:val="0"/>
            <w:vAlign w:val="center"/>
          </w:tcPr>
          <w:p>
            <w:pPr>
              <w:spacing w:line="340" w:lineRule="exact"/>
              <w:rPr>
                <w:rFonts w:hint="eastAsia" w:ascii="宋体" w:hAnsi="宋体" w:eastAsia="宋体" w:cs="宋体"/>
                <w:color w:val="auto"/>
                <w:szCs w:val="21"/>
                <w:highlight w:val="none"/>
              </w:rPr>
            </w:pPr>
          </w:p>
        </w:tc>
        <w:tc>
          <w:tcPr>
            <w:tcW w:w="5207" w:type="dxa"/>
            <w:gridSpan w:val="2"/>
            <w:noWrap w:val="0"/>
            <w:vAlign w:val="center"/>
          </w:tcPr>
          <w:p>
            <w:pPr>
              <w:snapToGrid w:val="0"/>
              <w:spacing w:line="34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1.7.4针对本项目拟投入的垃圾压缩车辆配置情况（4分）：自有总质量</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15.8吨垃圾压缩车数量1辆得1分，最高得4分。（注：投标文件中须提供车辆45°照片、行驶证、购买发票加盖公章的复印件）</w:t>
            </w:r>
          </w:p>
        </w:tc>
        <w:tc>
          <w:tcPr>
            <w:tcW w:w="840" w:type="dxa"/>
            <w:noWrap w:val="0"/>
            <w:vAlign w:val="center"/>
          </w:tcPr>
          <w:p>
            <w:pPr>
              <w:spacing w:line="36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vMerge w:val="restart"/>
            <w:noWrap w:val="0"/>
            <w:vAlign w:val="center"/>
          </w:tcPr>
          <w:p>
            <w:pPr>
              <w:spacing w:line="3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rPr>
              <w:t>质量保障措施、服务响应及承诺（</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p>
        </w:tc>
        <w:tc>
          <w:tcPr>
            <w:tcW w:w="5207" w:type="dxa"/>
            <w:gridSpan w:val="2"/>
            <w:noWrap w:val="0"/>
            <w:vAlign w:val="center"/>
          </w:tcPr>
          <w:p>
            <w:pPr>
              <w:snapToGrid w:val="0"/>
              <w:spacing w:line="34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lang w:val="en-US" w:eastAsia="zh-CN"/>
              </w:rPr>
              <w:t>.1评委根据供应商提供的质量保障措施是否全面进行评议。</w:t>
            </w:r>
          </w:p>
        </w:tc>
        <w:tc>
          <w:tcPr>
            <w:tcW w:w="840" w:type="dxa"/>
            <w:noWrap w:val="0"/>
            <w:vAlign w:val="center"/>
          </w:tcPr>
          <w:p>
            <w:pPr>
              <w:spacing w:line="36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49"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vMerge w:val="continue"/>
            <w:noWrap w:val="0"/>
            <w:vAlign w:val="center"/>
          </w:tcPr>
          <w:p>
            <w:pPr>
              <w:spacing w:line="340" w:lineRule="exact"/>
              <w:rPr>
                <w:rFonts w:hint="eastAsia" w:ascii="宋体" w:hAnsi="宋体" w:eastAsia="宋体" w:cs="宋体"/>
                <w:color w:val="auto"/>
                <w:szCs w:val="21"/>
                <w:highlight w:val="none"/>
              </w:rPr>
            </w:pPr>
          </w:p>
        </w:tc>
        <w:tc>
          <w:tcPr>
            <w:tcW w:w="5207" w:type="dxa"/>
            <w:gridSpan w:val="2"/>
            <w:noWrap w:val="0"/>
            <w:vAlign w:val="center"/>
          </w:tcPr>
          <w:p>
            <w:pPr>
              <w:snapToGrid w:val="0"/>
              <w:spacing w:line="34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lang w:val="en-US" w:eastAsia="zh-CN"/>
              </w:rPr>
              <w:t>.2评委根据供应商提供的服务响应情况和响应承诺是否合理可行进行评议。</w:t>
            </w:r>
          </w:p>
        </w:tc>
        <w:tc>
          <w:tcPr>
            <w:tcW w:w="840" w:type="dxa"/>
            <w:noWrap w:val="0"/>
            <w:vAlign w:val="center"/>
          </w:tcPr>
          <w:p>
            <w:pPr>
              <w:spacing w:line="36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vMerge w:val="restart"/>
            <w:noWrap w:val="0"/>
            <w:vAlign w:val="center"/>
          </w:tcPr>
          <w:p>
            <w:pPr>
              <w:spacing w:line="3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rPr>
              <w:t>安全教育及安全经营方案（</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分）</w:t>
            </w:r>
          </w:p>
        </w:tc>
        <w:tc>
          <w:tcPr>
            <w:tcW w:w="5207" w:type="dxa"/>
            <w:gridSpan w:val="2"/>
            <w:noWrap w:val="0"/>
            <w:vAlign w:val="center"/>
          </w:tcPr>
          <w:p>
            <w:pPr>
              <w:snapToGrid w:val="0"/>
              <w:spacing w:line="340" w:lineRule="exac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lang w:val="en-US" w:eastAsia="zh-CN"/>
              </w:rPr>
              <w:t>.1评委根据各供应商提供的安全教育方案和培训方案是否全面进行评议。</w:t>
            </w:r>
          </w:p>
        </w:tc>
        <w:tc>
          <w:tcPr>
            <w:tcW w:w="840" w:type="dxa"/>
            <w:noWrap w:val="0"/>
            <w:vAlign w:val="center"/>
          </w:tcPr>
          <w:p>
            <w:pPr>
              <w:spacing w:line="36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49"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vMerge w:val="continue"/>
            <w:noWrap w:val="0"/>
            <w:vAlign w:val="center"/>
          </w:tcPr>
          <w:p>
            <w:pPr>
              <w:spacing w:line="340" w:lineRule="exact"/>
              <w:rPr>
                <w:rFonts w:hint="eastAsia" w:ascii="宋体" w:hAnsi="宋体" w:eastAsia="宋体" w:cs="宋体"/>
                <w:color w:val="auto"/>
                <w:szCs w:val="21"/>
                <w:highlight w:val="none"/>
              </w:rPr>
            </w:pPr>
          </w:p>
        </w:tc>
        <w:tc>
          <w:tcPr>
            <w:tcW w:w="5207" w:type="dxa"/>
            <w:gridSpan w:val="2"/>
            <w:noWrap w:val="0"/>
            <w:vAlign w:val="center"/>
          </w:tcPr>
          <w:p>
            <w:pPr>
              <w:snapToGrid w:val="0"/>
              <w:spacing w:line="340" w:lineRule="exac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lang w:val="en-US" w:eastAsia="zh-CN"/>
              </w:rPr>
              <w:t>.2评委根据各供应商提供的安全保障措施</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安全生产责任分配</w:t>
            </w:r>
            <w:r>
              <w:rPr>
                <w:rFonts w:hint="eastAsia" w:ascii="宋体" w:hAnsi="宋体" w:cs="宋体"/>
                <w:color w:val="auto"/>
                <w:szCs w:val="21"/>
                <w:highlight w:val="none"/>
                <w:lang w:val="en-US" w:eastAsia="zh-CN"/>
              </w:rPr>
              <w:t>、</w:t>
            </w:r>
            <w:r>
              <w:rPr>
                <w:rFonts w:hint="eastAsia" w:ascii="宋体" w:hAnsi="宋体" w:eastAsia="宋体" w:cs="宋体"/>
                <w:color w:val="auto"/>
                <w:szCs w:val="21"/>
                <w:highlight w:val="none"/>
                <w:lang w:val="en-US" w:eastAsia="zh-CN"/>
              </w:rPr>
              <w:t>安全事故善后措施和赔偿方案是否可行进行评议。</w:t>
            </w:r>
          </w:p>
        </w:tc>
        <w:tc>
          <w:tcPr>
            <w:tcW w:w="840" w:type="dxa"/>
            <w:noWrap w:val="0"/>
            <w:vAlign w:val="center"/>
          </w:tcPr>
          <w:p>
            <w:pPr>
              <w:spacing w:line="36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749"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365" w:type="dxa"/>
            <w:noWrap w:val="0"/>
            <w:vAlign w:val="center"/>
          </w:tcPr>
          <w:p>
            <w:pPr>
              <w:spacing w:line="3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10</w:t>
            </w:r>
            <w:r>
              <w:rPr>
                <w:rFonts w:hint="eastAsia" w:ascii="宋体" w:hAnsi="宋体" w:eastAsia="宋体" w:cs="宋体"/>
                <w:color w:val="auto"/>
                <w:szCs w:val="21"/>
                <w:highlight w:val="none"/>
              </w:rPr>
              <w:t>交接方案（</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分）</w:t>
            </w:r>
          </w:p>
        </w:tc>
        <w:tc>
          <w:tcPr>
            <w:tcW w:w="5207" w:type="dxa"/>
            <w:gridSpan w:val="2"/>
            <w:noWrap w:val="0"/>
            <w:vAlign w:val="center"/>
          </w:tcPr>
          <w:p>
            <w:pPr>
              <w:spacing w:line="34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10</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供应商提供的保洁人员人事交接方案是否合理进行评议</w:t>
            </w:r>
            <w:r>
              <w:rPr>
                <w:rFonts w:hint="eastAsia" w:ascii="宋体" w:hAnsi="宋体" w:eastAsia="宋体" w:cs="宋体"/>
                <w:color w:val="auto"/>
                <w:szCs w:val="21"/>
                <w:highlight w:val="none"/>
                <w:lang w:val="en-US" w:eastAsia="zh-CN"/>
              </w:rPr>
              <w:t>。</w:t>
            </w:r>
          </w:p>
        </w:tc>
        <w:tc>
          <w:tcPr>
            <w:tcW w:w="840" w:type="dxa"/>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065" w:type="dxa"/>
            <w:vMerge w:val="restart"/>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2、特殊情况的应急保障措施（</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p>
        </w:tc>
        <w:tc>
          <w:tcPr>
            <w:tcW w:w="6572" w:type="dxa"/>
            <w:gridSpan w:val="3"/>
            <w:noWrap w:val="0"/>
            <w:vAlign w:val="center"/>
          </w:tcPr>
          <w:p>
            <w:pPr>
              <w:spacing w:line="34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2.1评委根据各供应商提供的针对大型活动、节庆假日、创优评优和突击检查等特殊时期的应急保障措施是否全面进行评议。</w:t>
            </w:r>
          </w:p>
        </w:tc>
        <w:tc>
          <w:tcPr>
            <w:tcW w:w="840" w:type="dxa"/>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6572" w:type="dxa"/>
            <w:gridSpan w:val="3"/>
            <w:noWrap w:val="0"/>
            <w:vAlign w:val="center"/>
          </w:tcPr>
          <w:p>
            <w:pPr>
              <w:spacing w:line="340" w:lineRule="exac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2.2评委根据各供应商提供的针对防台防汛期间、雨雪冰冻极端天气的应急保障措施是否</w:t>
            </w:r>
            <w:r>
              <w:rPr>
                <w:rFonts w:hint="eastAsia" w:ascii="宋体" w:hAnsi="宋体" w:cs="宋体"/>
                <w:color w:val="auto"/>
                <w:sz w:val="21"/>
                <w:szCs w:val="21"/>
                <w:highlight w:val="none"/>
                <w:lang w:val="en-US" w:eastAsia="zh-CN"/>
              </w:rPr>
              <w:t>完善</w:t>
            </w:r>
            <w:r>
              <w:rPr>
                <w:rFonts w:hint="eastAsia" w:ascii="宋体" w:hAnsi="宋体" w:eastAsia="宋体" w:cs="宋体"/>
                <w:color w:val="auto"/>
                <w:sz w:val="21"/>
                <w:szCs w:val="21"/>
                <w:highlight w:val="none"/>
                <w:lang w:val="en-US" w:eastAsia="zh-CN"/>
              </w:rPr>
              <w:t>进行评议。</w:t>
            </w:r>
          </w:p>
        </w:tc>
        <w:tc>
          <w:tcPr>
            <w:tcW w:w="840" w:type="dxa"/>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065" w:type="dxa"/>
            <w:vMerge w:val="restart"/>
            <w:noWrap w:val="0"/>
            <w:vAlign w:val="center"/>
          </w:tcPr>
          <w:p>
            <w:pPr>
              <w:spacing w:line="40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3、针对本项目的督检制度（</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分）</w:t>
            </w:r>
          </w:p>
        </w:tc>
        <w:tc>
          <w:tcPr>
            <w:tcW w:w="6572" w:type="dxa"/>
            <w:gridSpan w:val="3"/>
            <w:noWrap w:val="0"/>
            <w:vAlign w:val="center"/>
          </w:tcPr>
          <w:p>
            <w:pPr>
              <w:spacing w:line="34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3.1评委根据供应商提供的针对本项目的巡回保洁制度是否科学进行评议。</w:t>
            </w:r>
          </w:p>
        </w:tc>
        <w:tc>
          <w:tcPr>
            <w:tcW w:w="840" w:type="dxa"/>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6572" w:type="dxa"/>
            <w:gridSpan w:val="3"/>
            <w:noWrap w:val="0"/>
            <w:vAlign w:val="center"/>
          </w:tcPr>
          <w:p>
            <w:pPr>
              <w:spacing w:line="34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3.2评委根据供应商提供的针对本项目的检查监督制度和违规处罚制度是否科学进行评议。</w:t>
            </w:r>
          </w:p>
        </w:tc>
        <w:tc>
          <w:tcPr>
            <w:tcW w:w="840" w:type="dxa"/>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065" w:type="dxa"/>
            <w:vMerge w:val="restart"/>
            <w:noWrap w:val="0"/>
            <w:vAlign w:val="center"/>
          </w:tcPr>
          <w:p>
            <w:pPr>
              <w:spacing w:line="40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4、</w:t>
            </w:r>
            <w:r>
              <w:rPr>
                <w:rFonts w:hint="eastAsia" w:ascii="宋体" w:hAnsi="宋体" w:cs="宋体"/>
                <w:color w:val="auto"/>
                <w:szCs w:val="21"/>
                <w:highlight w:val="none"/>
                <w:lang w:eastAsia="zh-CN"/>
              </w:rPr>
              <w:t>人员投入方案（</w:t>
            </w:r>
            <w:r>
              <w:rPr>
                <w:rFonts w:hint="eastAsia" w:ascii="宋体" w:hAnsi="宋体" w:cs="宋体"/>
                <w:color w:val="auto"/>
                <w:szCs w:val="21"/>
                <w:highlight w:val="none"/>
                <w:lang w:val="en-US" w:eastAsia="zh-CN"/>
              </w:rPr>
              <w:t>8分</w:t>
            </w:r>
            <w:r>
              <w:rPr>
                <w:rFonts w:hint="eastAsia" w:ascii="宋体" w:hAnsi="宋体" w:cs="宋体"/>
                <w:color w:val="auto"/>
                <w:szCs w:val="21"/>
                <w:highlight w:val="none"/>
                <w:lang w:eastAsia="zh-CN"/>
              </w:rPr>
              <w:t>）</w:t>
            </w:r>
          </w:p>
        </w:tc>
        <w:tc>
          <w:tcPr>
            <w:tcW w:w="6572" w:type="dxa"/>
            <w:gridSpan w:val="3"/>
            <w:noWrap w:val="0"/>
            <w:vAlign w:val="center"/>
          </w:tcPr>
          <w:p>
            <w:pPr>
              <w:spacing w:line="340" w:lineRule="exac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4.1</w:t>
            </w:r>
            <w:r>
              <w:rPr>
                <w:rFonts w:hint="eastAsia" w:ascii="宋体" w:hAnsi="宋体" w:cs="宋体"/>
                <w:color w:val="auto"/>
                <w:sz w:val="21"/>
                <w:szCs w:val="21"/>
                <w:highlight w:val="none"/>
                <w:lang w:val="en-US" w:eastAsia="zh-CN"/>
              </w:rPr>
              <w:t>供应商拟投入的作业人员具有城市河道水面保洁作业上岗证的，每具有个得0.5分，本项最高得4分（投标文件中需提供相关证明材料复印件加盖公章）</w:t>
            </w:r>
          </w:p>
        </w:tc>
        <w:tc>
          <w:tcPr>
            <w:tcW w:w="840" w:type="dxa"/>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49"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065"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6572" w:type="dxa"/>
            <w:gridSpan w:val="3"/>
            <w:noWrap w:val="0"/>
            <w:vAlign w:val="center"/>
          </w:tcPr>
          <w:p>
            <w:pPr>
              <w:spacing w:line="34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4.2</w:t>
            </w:r>
            <w:r>
              <w:rPr>
                <w:rFonts w:hint="eastAsia" w:ascii="宋体" w:hAnsi="宋体" w:cs="宋体"/>
                <w:color w:val="auto"/>
                <w:sz w:val="21"/>
                <w:szCs w:val="21"/>
                <w:highlight w:val="none"/>
                <w:lang w:val="en-US" w:eastAsia="zh-CN"/>
              </w:rPr>
              <w:t>评委根据供应商拟投入的作业人员整体能力经验进行评议。（投标文件中需提供相关证明材料复印件加盖公章）</w:t>
            </w:r>
          </w:p>
        </w:tc>
        <w:tc>
          <w:tcPr>
            <w:tcW w:w="840" w:type="dxa"/>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065" w:type="dxa"/>
            <w:noWrap w:val="0"/>
            <w:vAlign w:val="center"/>
          </w:tcPr>
          <w:p>
            <w:pPr>
              <w:spacing w:line="34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5、服务能力及便捷性（</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w:t>
            </w:r>
          </w:p>
        </w:tc>
        <w:tc>
          <w:tcPr>
            <w:tcW w:w="6572" w:type="dxa"/>
            <w:gridSpan w:val="3"/>
            <w:noWrap w:val="0"/>
            <w:vAlign w:val="center"/>
          </w:tcPr>
          <w:p>
            <w:pPr>
              <w:spacing w:line="34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5.1评委根据各供应商的服务便捷性方案是否可行进行评议。（投标文件中须提供相关证明材料。）</w:t>
            </w:r>
          </w:p>
        </w:tc>
        <w:tc>
          <w:tcPr>
            <w:tcW w:w="840" w:type="dxa"/>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vMerge w:val="continue"/>
            <w:noWrap w:val="0"/>
            <w:vAlign w:val="center"/>
          </w:tcPr>
          <w:p>
            <w:pPr>
              <w:spacing w:line="400" w:lineRule="exact"/>
              <w:jc w:val="center"/>
              <w:rPr>
                <w:rFonts w:hint="eastAsia" w:ascii="宋体" w:hAnsi="宋体" w:eastAsia="宋体" w:cs="宋体"/>
                <w:color w:val="auto"/>
                <w:szCs w:val="21"/>
                <w:highlight w:val="none"/>
              </w:rPr>
            </w:pPr>
          </w:p>
        </w:tc>
        <w:tc>
          <w:tcPr>
            <w:tcW w:w="1065" w:type="dxa"/>
            <w:noWrap w:val="0"/>
            <w:vAlign w:val="center"/>
          </w:tcPr>
          <w:p>
            <w:pPr>
              <w:spacing w:line="340" w:lineRule="exact"/>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6、业绩（2分）</w:t>
            </w:r>
          </w:p>
        </w:tc>
        <w:tc>
          <w:tcPr>
            <w:tcW w:w="6572" w:type="dxa"/>
            <w:gridSpan w:val="3"/>
            <w:noWrap w:val="0"/>
            <w:vAlign w:val="center"/>
          </w:tcPr>
          <w:p>
            <w:pPr>
              <w:spacing w:line="340" w:lineRule="exact"/>
              <w:rPr>
                <w:rFonts w:hint="default" w:ascii="宋体" w:hAnsi="宋体" w:eastAsia="宋体" w:cs="宋体"/>
                <w:color w:val="auto"/>
                <w:sz w:val="21"/>
                <w:szCs w:val="21"/>
                <w:highlight w:val="none"/>
                <w:lang w:val="en-US" w:eastAsia="zh-CN"/>
              </w:rPr>
            </w:pPr>
            <w:bookmarkStart w:id="75" w:name="_GoBack"/>
            <w:r>
              <w:rPr>
                <w:rFonts w:hint="eastAsia" w:ascii="宋体" w:hAnsi="宋体" w:cs="宋体"/>
                <w:color w:val="auto"/>
                <w:sz w:val="21"/>
                <w:szCs w:val="21"/>
                <w:highlight w:val="none"/>
                <w:lang w:val="en-US" w:eastAsia="zh-CN"/>
              </w:rPr>
              <w:t>6.1自2019年1月1日（以合同签订时间为准）以来，供应商承担过道路和河道保洁项目（合同内容需同时包含道路保洁和河道保洁）的，每提供一个得1分，满分2分。（注：投标文件中须提供中标（成交）通知书、合同复印件加盖公章；须提供不同的保洁项目，续签合同不予计算）</w:t>
            </w:r>
            <w:bookmarkEnd w:id="75"/>
          </w:p>
        </w:tc>
        <w:tc>
          <w:tcPr>
            <w:tcW w:w="840" w:type="dxa"/>
            <w:noWrap w:val="0"/>
            <w:vAlign w:val="center"/>
          </w:tcPr>
          <w:p>
            <w:pPr>
              <w:spacing w:line="40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9" w:type="dxa"/>
            <w:noWrap w:val="0"/>
            <w:vAlign w:val="center"/>
          </w:tcPr>
          <w:p>
            <w:pPr>
              <w:spacing w:line="40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价格分</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0分</w:t>
            </w:r>
          </w:p>
        </w:tc>
        <w:tc>
          <w:tcPr>
            <w:tcW w:w="7637" w:type="dxa"/>
            <w:gridSpan w:val="4"/>
            <w:noWrap w:val="0"/>
            <w:vAlign w:val="center"/>
          </w:tcPr>
          <w:p>
            <w:pPr>
              <w:spacing w:line="360" w:lineRule="exac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参与评审的价格=</w:t>
            </w:r>
            <w:r>
              <w:rPr>
                <w:rFonts w:hint="eastAsia" w:ascii="宋体" w:hAnsi="宋体" w:eastAsia="宋体" w:cs="宋体"/>
                <w:color w:val="auto"/>
                <w:szCs w:val="21"/>
                <w:highlight w:val="none"/>
                <w:lang w:bidi="ar"/>
              </w:rPr>
              <w:t>投标报价</w:t>
            </w:r>
          </w:p>
          <w:p>
            <w:pPr>
              <w:spacing w:line="36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满足采购要求的有效投标且参与评审的价格最低的参与评审的价格为评标基准价，得</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0分。</w:t>
            </w:r>
          </w:p>
          <w:p>
            <w:pPr>
              <w:spacing w:line="360" w:lineRule="exact"/>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color w:val="auto"/>
                <w:szCs w:val="21"/>
                <w:highlight w:val="none"/>
              </w:rPr>
              <w:t>其他投标报价得分计算公式如下：投标报价得分=（评标基准价/参与评审的价格）×</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0%×100。</w:t>
            </w:r>
          </w:p>
        </w:tc>
        <w:tc>
          <w:tcPr>
            <w:tcW w:w="840" w:type="dxa"/>
            <w:noWrap w:val="0"/>
            <w:vAlign w:val="center"/>
          </w:tcPr>
          <w:p>
            <w:pPr>
              <w:spacing w:line="40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20</w:t>
            </w:r>
          </w:p>
        </w:tc>
      </w:tr>
    </w:tbl>
    <w:p>
      <w:pPr>
        <w:pStyle w:val="40"/>
        <w:ind w:left="0" w:leftChars="0" w:firstLine="0"/>
        <w:rPr>
          <w:rFonts w:ascii="宋体" w:hAnsi="宋体" w:cs="宋体"/>
          <w:b/>
          <w:sz w:val="24"/>
        </w:rPr>
      </w:pPr>
    </w:p>
    <w:p>
      <w:pPr>
        <w:pStyle w:val="40"/>
        <w:rPr>
          <w:rFonts w:ascii="宋体" w:hAnsi="宋体" w:cs="宋体"/>
          <w:b/>
          <w:sz w:val="24"/>
        </w:rPr>
      </w:pPr>
    </w:p>
    <w:p>
      <w:pPr>
        <w:pStyle w:val="9"/>
        <w:rPr>
          <w:rFonts w:ascii="宋体" w:hAnsi="宋体" w:cs="宋体"/>
          <w:sz w:val="24"/>
        </w:rPr>
      </w:pPr>
    </w:p>
    <w:p>
      <w:pPr>
        <w:pStyle w:val="28"/>
        <w:ind w:firstLine="210"/>
      </w:pPr>
    </w:p>
    <w:p>
      <w:pPr>
        <w:pStyle w:val="13"/>
        <w:snapToGrid w:val="0"/>
        <w:spacing w:beforeLines="0" w:after="120"/>
        <w:rPr>
          <w:rFonts w:hAnsi="宋体" w:cs="宋体"/>
          <w:b/>
          <w:sz w:val="30"/>
          <w:szCs w:val="30"/>
        </w:rPr>
      </w:pPr>
    </w:p>
    <w:p>
      <w:pPr>
        <w:pStyle w:val="13"/>
        <w:snapToGrid w:val="0"/>
        <w:spacing w:beforeLines="0" w:after="120"/>
        <w:rPr>
          <w:rFonts w:hAnsi="宋体" w:cs="宋体"/>
          <w:b/>
          <w:sz w:val="30"/>
          <w:szCs w:val="30"/>
        </w:rPr>
      </w:pPr>
    </w:p>
    <w:p>
      <w:pPr>
        <w:pStyle w:val="13"/>
        <w:snapToGrid w:val="0"/>
        <w:spacing w:beforeLines="0" w:after="120"/>
        <w:rPr>
          <w:rFonts w:hAnsi="宋体" w:cs="宋体"/>
          <w:b/>
          <w:sz w:val="30"/>
          <w:szCs w:val="30"/>
        </w:rPr>
      </w:pPr>
    </w:p>
    <w:p>
      <w:pPr>
        <w:pStyle w:val="13"/>
        <w:snapToGrid w:val="0"/>
        <w:spacing w:beforeLines="0" w:after="120"/>
        <w:rPr>
          <w:rFonts w:hAnsi="宋体" w:cs="宋体"/>
          <w:b/>
          <w:sz w:val="30"/>
          <w:szCs w:val="30"/>
        </w:rPr>
      </w:pPr>
    </w:p>
    <w:p>
      <w:pPr>
        <w:pStyle w:val="13"/>
        <w:snapToGrid w:val="0"/>
        <w:spacing w:beforeLines="0" w:after="120"/>
        <w:rPr>
          <w:rFonts w:hAnsi="宋体" w:cs="宋体"/>
          <w:b/>
          <w:sz w:val="30"/>
          <w:szCs w:val="30"/>
        </w:rPr>
      </w:pPr>
    </w:p>
    <w:p>
      <w:pPr>
        <w:pStyle w:val="13"/>
        <w:snapToGrid w:val="0"/>
        <w:spacing w:beforeLines="0" w:after="120"/>
        <w:rPr>
          <w:rFonts w:hAnsi="宋体" w:cs="宋体"/>
          <w:b/>
          <w:sz w:val="30"/>
          <w:szCs w:val="30"/>
        </w:rPr>
      </w:pPr>
    </w:p>
    <w:p>
      <w:pPr>
        <w:pStyle w:val="13"/>
        <w:snapToGrid w:val="0"/>
        <w:spacing w:beforeLines="0" w:after="120"/>
        <w:rPr>
          <w:rFonts w:hAnsi="宋体" w:cs="宋体"/>
          <w:b/>
          <w:sz w:val="30"/>
          <w:szCs w:val="30"/>
        </w:rPr>
      </w:pPr>
    </w:p>
    <w:p>
      <w:pPr>
        <w:pStyle w:val="13"/>
        <w:snapToGrid w:val="0"/>
        <w:spacing w:beforeLines="0" w:after="120"/>
        <w:rPr>
          <w:rFonts w:hAnsi="宋体" w:cs="宋体"/>
          <w:b/>
          <w:sz w:val="30"/>
          <w:szCs w:val="30"/>
        </w:rPr>
      </w:pPr>
    </w:p>
    <w:p>
      <w:pPr>
        <w:pStyle w:val="13"/>
        <w:snapToGrid w:val="0"/>
        <w:spacing w:beforeLines="0" w:after="120"/>
        <w:rPr>
          <w:rFonts w:hAnsi="宋体" w:cs="宋体"/>
          <w:b/>
          <w:sz w:val="30"/>
          <w:szCs w:val="30"/>
        </w:rPr>
      </w:pPr>
    </w:p>
    <w:p>
      <w:pPr>
        <w:pStyle w:val="13"/>
        <w:snapToGrid w:val="0"/>
        <w:spacing w:beforeLines="0" w:after="120"/>
        <w:rPr>
          <w:rFonts w:hAnsi="宋体" w:cs="宋体"/>
          <w:b/>
          <w:sz w:val="30"/>
          <w:szCs w:val="30"/>
        </w:rPr>
      </w:pPr>
    </w:p>
    <w:p>
      <w:pPr>
        <w:pStyle w:val="13"/>
        <w:snapToGrid w:val="0"/>
        <w:spacing w:beforeLines="0" w:after="120"/>
        <w:rPr>
          <w:rFonts w:hAnsi="宋体" w:cs="宋体"/>
          <w:b/>
          <w:sz w:val="30"/>
          <w:szCs w:val="30"/>
        </w:rPr>
      </w:pPr>
    </w:p>
    <w:p>
      <w:pPr>
        <w:pStyle w:val="13"/>
        <w:snapToGrid w:val="0"/>
        <w:spacing w:beforeLines="0" w:after="120"/>
        <w:rPr>
          <w:rFonts w:hAnsi="宋体" w:cs="宋体"/>
          <w:b/>
          <w:sz w:val="30"/>
          <w:szCs w:val="30"/>
        </w:rPr>
      </w:pPr>
    </w:p>
    <w:p>
      <w:pPr>
        <w:pStyle w:val="13"/>
        <w:snapToGrid w:val="0"/>
        <w:spacing w:beforeLines="0" w:after="120"/>
        <w:rPr>
          <w:rFonts w:hAnsi="宋体" w:cs="宋体"/>
          <w:b/>
          <w:sz w:val="30"/>
          <w:szCs w:val="30"/>
        </w:rPr>
      </w:pPr>
    </w:p>
    <w:p>
      <w:pPr>
        <w:pStyle w:val="13"/>
        <w:snapToGrid w:val="0"/>
        <w:spacing w:beforeLines="0" w:after="120"/>
        <w:rPr>
          <w:rFonts w:hAnsi="宋体" w:cs="宋体"/>
          <w:b/>
          <w:sz w:val="30"/>
          <w:szCs w:val="30"/>
        </w:rPr>
      </w:pPr>
    </w:p>
    <w:p>
      <w:pPr>
        <w:pStyle w:val="13"/>
        <w:snapToGrid w:val="0"/>
        <w:spacing w:beforeLines="0" w:after="120"/>
        <w:rPr>
          <w:rFonts w:hAnsi="宋体" w:cs="宋体"/>
          <w:b/>
          <w:sz w:val="30"/>
          <w:szCs w:val="30"/>
        </w:rPr>
      </w:pPr>
    </w:p>
    <w:p>
      <w:pPr>
        <w:pStyle w:val="13"/>
        <w:snapToGrid w:val="0"/>
        <w:spacing w:beforeLines="0" w:after="120"/>
        <w:rPr>
          <w:rFonts w:hAnsi="宋体" w:cs="宋体"/>
          <w:b/>
          <w:sz w:val="30"/>
          <w:szCs w:val="30"/>
        </w:rPr>
      </w:pPr>
    </w:p>
    <w:p>
      <w:pPr>
        <w:pStyle w:val="13"/>
        <w:snapToGrid w:val="0"/>
        <w:spacing w:beforeLines="0" w:after="120"/>
        <w:ind w:firstLine="3313" w:firstLineChars="1100"/>
        <w:outlineLvl w:val="0"/>
        <w:rPr>
          <w:rFonts w:hAnsi="宋体" w:cs="宋体"/>
          <w:b/>
          <w:sz w:val="30"/>
          <w:szCs w:val="30"/>
        </w:rPr>
      </w:pPr>
      <w:r>
        <w:rPr>
          <w:rFonts w:hint="eastAsia" w:hAnsi="宋体" w:cs="宋体"/>
          <w:b/>
          <w:sz w:val="30"/>
          <w:szCs w:val="30"/>
        </w:rPr>
        <w:t>第五章　投标文件格式</w:t>
      </w:r>
    </w:p>
    <w:p>
      <w:pPr>
        <w:snapToGrid w:val="0"/>
        <w:spacing w:line="400" w:lineRule="exact"/>
        <w:rPr>
          <w:rFonts w:ascii="宋体" w:cs="宋体"/>
          <w:b/>
          <w:bCs/>
          <w:szCs w:val="21"/>
        </w:rPr>
      </w:pPr>
      <w:bookmarkStart w:id="52" w:name="_Toc22236"/>
    </w:p>
    <w:bookmarkEnd w:id="52"/>
    <w:p>
      <w:pPr>
        <w:snapToGrid w:val="0"/>
        <w:spacing w:line="400" w:lineRule="exact"/>
        <w:jc w:val="center"/>
        <w:outlineLvl w:val="1"/>
        <w:rPr>
          <w:rFonts w:ascii="宋体" w:cs="宋体"/>
          <w:b/>
          <w:bCs/>
          <w:szCs w:val="21"/>
        </w:rPr>
      </w:pPr>
      <w:bookmarkStart w:id="53" w:name="_Toc463726844"/>
      <w:bookmarkStart w:id="54" w:name="_Toc5919"/>
      <w:bookmarkStart w:id="55" w:name="_Toc1252"/>
      <w:bookmarkStart w:id="56" w:name="_Toc19589"/>
      <w:r>
        <w:rPr>
          <w:rFonts w:hint="eastAsia" w:ascii="宋体" w:hAnsi="宋体" w:cs="宋体"/>
          <w:b/>
          <w:bCs/>
          <w:szCs w:val="21"/>
        </w:rPr>
        <w:t>一、投标文件外层包装封面格式</w:t>
      </w:r>
    </w:p>
    <w:p>
      <w:pPr>
        <w:snapToGrid w:val="0"/>
        <w:spacing w:line="400" w:lineRule="exact"/>
        <w:rPr>
          <w:rFonts w:ascii="宋体" w:cs="宋体"/>
          <w:szCs w:val="21"/>
        </w:rPr>
      </w:pPr>
    </w:p>
    <w:p>
      <w:pPr>
        <w:snapToGrid w:val="0"/>
        <w:spacing w:line="400" w:lineRule="exact"/>
        <w:rPr>
          <w:rFonts w:ascii="宋体" w:cs="宋体"/>
          <w:szCs w:val="21"/>
        </w:rPr>
      </w:pPr>
      <w:r>
        <w:rPr>
          <w:rFonts w:hint="eastAsia" w:ascii="宋体" w:hAnsi="宋体" w:cs="宋体"/>
          <w:szCs w:val="21"/>
        </w:rPr>
        <w:t>所有投标文件的外包装封面格式：</w:t>
      </w:r>
    </w:p>
    <w:p>
      <w:pPr>
        <w:snapToGrid w:val="0"/>
        <w:spacing w:line="400" w:lineRule="exact"/>
        <w:rPr>
          <w:rFonts w:ascii="宋体" w:cs="宋体"/>
          <w:bCs/>
          <w:szCs w:val="21"/>
        </w:rPr>
      </w:pPr>
    </w:p>
    <w:p>
      <w:pPr>
        <w:snapToGrid w:val="0"/>
        <w:spacing w:before="120" w:beforeLines="50" w:after="50"/>
        <w:ind w:firstLine="3675" w:firstLineChars="1750"/>
        <w:rPr>
          <w:rFonts w:ascii="宋体"/>
          <w:szCs w:val="21"/>
        </w:rPr>
      </w:pPr>
      <w:r>
        <w:rPr>
          <w:rFonts w:hint="eastAsia" w:ascii="宋体" w:hAnsi="宋体"/>
          <w:szCs w:val="21"/>
        </w:rPr>
        <w:t>资格审查文件</w:t>
      </w:r>
    </w:p>
    <w:p>
      <w:pPr>
        <w:snapToGrid w:val="0"/>
        <w:spacing w:line="400" w:lineRule="exact"/>
        <w:jc w:val="center"/>
        <w:rPr>
          <w:rFonts w:ascii="宋体" w:cs="宋体"/>
          <w:b/>
          <w:szCs w:val="21"/>
        </w:rPr>
      </w:pPr>
    </w:p>
    <w:p>
      <w:pPr>
        <w:snapToGrid w:val="0"/>
        <w:spacing w:line="400" w:lineRule="exact"/>
        <w:rPr>
          <w:rFonts w:ascii="宋体" w:cs="宋体"/>
          <w:bCs/>
          <w:szCs w:val="21"/>
        </w:rPr>
      </w:pPr>
    </w:p>
    <w:p>
      <w:pPr>
        <w:snapToGrid w:val="0"/>
        <w:spacing w:line="400" w:lineRule="exact"/>
        <w:rPr>
          <w:rFonts w:ascii="宋体" w:cs="宋体"/>
          <w:bCs/>
          <w:szCs w:val="21"/>
        </w:rPr>
      </w:pPr>
    </w:p>
    <w:p>
      <w:pPr>
        <w:snapToGrid w:val="0"/>
        <w:spacing w:line="400" w:lineRule="exact"/>
        <w:ind w:firstLine="1050" w:firstLineChars="500"/>
        <w:rPr>
          <w:rFonts w:ascii="宋体" w:cs="宋体"/>
          <w:bCs/>
          <w:szCs w:val="21"/>
        </w:rPr>
      </w:pPr>
      <w:r>
        <w:rPr>
          <w:rFonts w:hint="eastAsia" w:ascii="宋体" w:hAnsi="宋体" w:cs="宋体"/>
          <w:bCs/>
          <w:szCs w:val="21"/>
        </w:rPr>
        <w:t>项目名称：</w:t>
      </w:r>
    </w:p>
    <w:p>
      <w:pPr>
        <w:snapToGrid w:val="0"/>
        <w:spacing w:line="400" w:lineRule="exact"/>
        <w:ind w:firstLine="1050" w:firstLineChars="500"/>
        <w:rPr>
          <w:rFonts w:ascii="宋体" w:cs="宋体"/>
          <w:bCs/>
          <w:szCs w:val="21"/>
        </w:rPr>
      </w:pPr>
      <w:r>
        <w:rPr>
          <w:rFonts w:hint="eastAsia" w:ascii="宋体" w:hAnsi="宋体" w:cs="宋体"/>
          <w:bCs/>
          <w:szCs w:val="21"/>
        </w:rPr>
        <w:t>项目编号：</w:t>
      </w:r>
    </w:p>
    <w:p>
      <w:pPr>
        <w:snapToGrid w:val="0"/>
        <w:spacing w:line="400" w:lineRule="exact"/>
        <w:ind w:firstLine="1050" w:firstLineChars="500"/>
        <w:rPr>
          <w:rFonts w:ascii="宋体" w:cs="宋体"/>
          <w:bCs/>
          <w:szCs w:val="21"/>
        </w:rPr>
      </w:pPr>
      <w:r>
        <w:rPr>
          <w:rFonts w:hint="eastAsia" w:ascii="宋体" w:hAnsi="宋体" w:cs="宋体"/>
          <w:bCs/>
          <w:szCs w:val="21"/>
        </w:rPr>
        <w:t>投标文件名称：投标文件</w:t>
      </w:r>
    </w:p>
    <w:p>
      <w:pPr>
        <w:snapToGrid w:val="0"/>
        <w:spacing w:line="400" w:lineRule="exact"/>
        <w:ind w:firstLine="1050" w:firstLineChars="500"/>
        <w:rPr>
          <w:rFonts w:ascii="宋体" w:cs="宋体"/>
          <w:bCs/>
          <w:szCs w:val="21"/>
        </w:rPr>
      </w:pPr>
      <w:r>
        <w:rPr>
          <w:rFonts w:hint="eastAsia" w:ascii="宋体" w:hAnsi="宋体" w:cs="宋体"/>
          <w:bCs/>
          <w:szCs w:val="21"/>
          <w:lang w:eastAsia="zh-CN"/>
        </w:rPr>
        <w:t>供应商</w:t>
      </w:r>
      <w:r>
        <w:rPr>
          <w:rFonts w:hint="eastAsia" w:ascii="宋体" w:hAnsi="宋体" w:cs="宋体"/>
          <w:bCs/>
          <w:szCs w:val="21"/>
        </w:rPr>
        <w:t>名称：</w:t>
      </w:r>
    </w:p>
    <w:p>
      <w:pPr>
        <w:snapToGrid w:val="0"/>
        <w:spacing w:line="400" w:lineRule="exact"/>
        <w:ind w:firstLine="1050" w:firstLineChars="500"/>
        <w:rPr>
          <w:rFonts w:ascii="宋体" w:cs="宋体"/>
          <w:bCs/>
          <w:szCs w:val="21"/>
        </w:rPr>
      </w:pPr>
      <w:r>
        <w:rPr>
          <w:rFonts w:hint="eastAsia" w:ascii="宋体" w:hAnsi="宋体" w:cs="宋体"/>
          <w:bCs/>
          <w:szCs w:val="21"/>
          <w:lang w:eastAsia="zh-CN"/>
        </w:rPr>
        <w:t>供应商</w:t>
      </w:r>
      <w:r>
        <w:rPr>
          <w:rFonts w:hint="eastAsia" w:ascii="宋体" w:hAnsi="宋体" w:cs="宋体"/>
          <w:bCs/>
          <w:szCs w:val="21"/>
        </w:rPr>
        <w:t>地址：</w:t>
      </w:r>
    </w:p>
    <w:p>
      <w:pPr>
        <w:snapToGrid w:val="0"/>
        <w:spacing w:line="400" w:lineRule="exact"/>
        <w:ind w:firstLine="1050" w:firstLineChars="500"/>
        <w:rPr>
          <w:rFonts w:ascii="宋体" w:cs="宋体"/>
          <w:bCs/>
          <w:szCs w:val="21"/>
        </w:rPr>
      </w:pPr>
      <w:r>
        <w:rPr>
          <w:rFonts w:hint="eastAsia" w:ascii="宋体" w:hAnsi="宋体" w:cs="宋体"/>
          <w:bCs/>
          <w:szCs w:val="21"/>
        </w:rPr>
        <w:t>在年月日时分之前不得启封</w:t>
      </w:r>
    </w:p>
    <w:p>
      <w:pPr>
        <w:snapToGrid w:val="0"/>
        <w:spacing w:line="400" w:lineRule="exact"/>
        <w:ind w:firstLine="3570" w:firstLineChars="1700"/>
        <w:rPr>
          <w:rFonts w:ascii="宋体" w:cs="宋体"/>
          <w:bCs/>
          <w:szCs w:val="21"/>
        </w:rPr>
      </w:pPr>
    </w:p>
    <w:p>
      <w:pPr>
        <w:snapToGrid w:val="0"/>
        <w:spacing w:line="400" w:lineRule="exact"/>
        <w:ind w:firstLine="645"/>
        <w:jc w:val="center"/>
        <w:rPr>
          <w:rFonts w:ascii="宋体" w:cs="宋体"/>
          <w:bCs/>
          <w:szCs w:val="21"/>
        </w:rPr>
      </w:pPr>
      <w:r>
        <w:rPr>
          <w:rFonts w:hint="eastAsia" w:ascii="宋体" w:hAnsi="宋体" w:cs="宋体"/>
          <w:bCs/>
          <w:szCs w:val="21"/>
        </w:rPr>
        <w:t>年月日</w:t>
      </w:r>
    </w:p>
    <w:p>
      <w:pPr>
        <w:snapToGrid w:val="0"/>
        <w:spacing w:line="400" w:lineRule="exact"/>
        <w:rPr>
          <w:rFonts w:ascii="宋体" w:cs="宋体"/>
          <w:b/>
          <w:bCs/>
          <w:szCs w:val="21"/>
        </w:rPr>
      </w:pPr>
    </w:p>
    <w:p>
      <w:pPr>
        <w:snapToGrid w:val="0"/>
        <w:spacing w:line="400" w:lineRule="exact"/>
        <w:jc w:val="center"/>
        <w:outlineLvl w:val="1"/>
        <w:rPr>
          <w:rFonts w:ascii="宋体" w:cs="宋体"/>
          <w:b/>
          <w:bCs/>
          <w:szCs w:val="21"/>
        </w:rPr>
      </w:pPr>
      <w:r>
        <w:rPr>
          <w:rFonts w:hint="eastAsia" w:ascii="宋体" w:hAnsi="宋体" w:cs="宋体"/>
          <w:b/>
          <w:bCs/>
          <w:szCs w:val="21"/>
        </w:rPr>
        <w:t>二、投标文件封面格式</w:t>
      </w:r>
    </w:p>
    <w:p>
      <w:pPr>
        <w:snapToGrid w:val="0"/>
        <w:spacing w:line="400" w:lineRule="exact"/>
        <w:rPr>
          <w:rFonts w:ascii="宋体" w:cs="宋体"/>
          <w:szCs w:val="21"/>
        </w:rPr>
      </w:pPr>
      <w:r>
        <w:rPr>
          <w:rFonts w:hint="eastAsia" w:ascii="宋体" w:hAnsi="宋体" w:cs="宋体"/>
          <w:szCs w:val="21"/>
        </w:rPr>
        <w:t>投标文件封面格式：</w:t>
      </w:r>
    </w:p>
    <w:p>
      <w:pPr>
        <w:snapToGrid w:val="0"/>
        <w:spacing w:line="400" w:lineRule="exact"/>
        <w:jc w:val="right"/>
        <w:rPr>
          <w:rFonts w:hint="eastAsia" w:ascii="宋体" w:hAnsi="宋体" w:cs="宋体"/>
          <w:b/>
          <w:bCs/>
          <w:szCs w:val="21"/>
        </w:rPr>
      </w:pPr>
    </w:p>
    <w:p>
      <w:pPr>
        <w:snapToGrid w:val="0"/>
        <w:spacing w:line="400" w:lineRule="exact"/>
        <w:rPr>
          <w:rFonts w:ascii="宋体" w:cs="宋体"/>
          <w:bCs/>
          <w:szCs w:val="21"/>
        </w:rPr>
      </w:pPr>
    </w:p>
    <w:p>
      <w:pPr>
        <w:snapToGrid w:val="0"/>
        <w:spacing w:line="400" w:lineRule="exact"/>
        <w:jc w:val="center"/>
        <w:rPr>
          <w:rFonts w:ascii="宋体" w:cs="宋体"/>
          <w:bCs/>
          <w:szCs w:val="21"/>
        </w:rPr>
      </w:pPr>
    </w:p>
    <w:p>
      <w:pPr>
        <w:snapToGrid w:val="0"/>
        <w:spacing w:before="120" w:beforeLines="50" w:after="50"/>
        <w:ind w:firstLine="3675" w:firstLineChars="1750"/>
        <w:rPr>
          <w:rFonts w:ascii="宋体"/>
          <w:szCs w:val="21"/>
        </w:rPr>
      </w:pPr>
      <w:r>
        <w:rPr>
          <w:rFonts w:hint="eastAsia" w:ascii="宋体" w:hAnsi="宋体"/>
          <w:szCs w:val="21"/>
        </w:rPr>
        <w:t>资格审查文件</w:t>
      </w:r>
    </w:p>
    <w:p>
      <w:pPr>
        <w:snapToGrid w:val="0"/>
        <w:spacing w:line="400" w:lineRule="exact"/>
        <w:rPr>
          <w:rFonts w:ascii="宋体" w:cs="宋体"/>
          <w:bCs/>
          <w:szCs w:val="21"/>
        </w:rPr>
      </w:pPr>
    </w:p>
    <w:p>
      <w:pPr>
        <w:snapToGrid w:val="0"/>
        <w:spacing w:line="400" w:lineRule="exact"/>
        <w:ind w:left="1470" w:leftChars="400" w:hanging="630" w:hangingChars="300"/>
        <w:rPr>
          <w:rFonts w:ascii="宋体" w:cs="宋体"/>
          <w:b/>
          <w:szCs w:val="21"/>
          <w:u w:val="single"/>
          <w:lang w:val="zh-CN"/>
        </w:rPr>
      </w:pPr>
      <w:r>
        <w:rPr>
          <w:rFonts w:hint="eastAsia" w:ascii="宋体" w:hAnsi="宋体" w:cs="宋体"/>
          <w:bCs/>
          <w:szCs w:val="21"/>
        </w:rPr>
        <w:t>项目名称：</w:t>
      </w:r>
    </w:p>
    <w:p>
      <w:pPr>
        <w:snapToGrid w:val="0"/>
        <w:spacing w:line="400" w:lineRule="exact"/>
        <w:ind w:firstLine="840" w:firstLineChars="400"/>
        <w:rPr>
          <w:rFonts w:ascii="宋体" w:cs="宋体"/>
          <w:bCs/>
          <w:szCs w:val="21"/>
        </w:rPr>
      </w:pPr>
      <w:r>
        <w:rPr>
          <w:rFonts w:hint="eastAsia" w:ascii="宋体" w:hAnsi="宋体" w:cs="宋体"/>
          <w:bCs/>
          <w:szCs w:val="21"/>
        </w:rPr>
        <w:t>项目编号：</w:t>
      </w:r>
    </w:p>
    <w:p>
      <w:pPr>
        <w:snapToGrid w:val="0"/>
        <w:spacing w:line="400" w:lineRule="exact"/>
        <w:ind w:firstLine="840" w:firstLineChars="400"/>
        <w:rPr>
          <w:rFonts w:ascii="宋体" w:cs="宋体"/>
          <w:bCs/>
          <w:szCs w:val="21"/>
        </w:rPr>
      </w:pPr>
      <w:r>
        <w:rPr>
          <w:rFonts w:hint="eastAsia" w:ascii="宋体" w:hAnsi="宋体" w:cs="宋体"/>
          <w:bCs/>
          <w:szCs w:val="21"/>
          <w:lang w:eastAsia="zh-CN"/>
        </w:rPr>
        <w:t>供应商</w:t>
      </w:r>
      <w:r>
        <w:rPr>
          <w:rFonts w:hint="eastAsia" w:ascii="宋体" w:hAnsi="宋体" w:cs="宋体"/>
          <w:bCs/>
          <w:szCs w:val="21"/>
        </w:rPr>
        <w:t>名称：</w:t>
      </w:r>
    </w:p>
    <w:p>
      <w:pPr>
        <w:pStyle w:val="3"/>
        <w:snapToGrid w:val="0"/>
        <w:spacing w:line="400" w:lineRule="exact"/>
        <w:ind w:firstLine="840" w:firstLineChars="400"/>
        <w:rPr>
          <w:rFonts w:ascii="宋体" w:cs="宋体"/>
          <w:bCs/>
          <w:szCs w:val="21"/>
        </w:rPr>
      </w:pPr>
      <w:r>
        <w:rPr>
          <w:rFonts w:hint="eastAsia" w:ascii="宋体" w:hAnsi="宋体" w:cs="宋体"/>
          <w:bCs/>
          <w:szCs w:val="21"/>
          <w:lang w:eastAsia="zh-CN"/>
        </w:rPr>
        <w:t>供应商</w:t>
      </w:r>
      <w:r>
        <w:rPr>
          <w:rFonts w:hint="eastAsia" w:ascii="宋体" w:hAnsi="宋体" w:cs="宋体"/>
          <w:bCs/>
          <w:szCs w:val="21"/>
        </w:rPr>
        <w:t>地址：</w:t>
      </w:r>
    </w:p>
    <w:p>
      <w:pPr>
        <w:pStyle w:val="3"/>
        <w:snapToGrid w:val="0"/>
        <w:spacing w:line="400" w:lineRule="exact"/>
        <w:ind w:firstLine="0"/>
        <w:rPr>
          <w:rFonts w:ascii="宋体" w:cs="宋体"/>
          <w:bCs/>
          <w:szCs w:val="21"/>
        </w:rPr>
      </w:pPr>
    </w:p>
    <w:p>
      <w:pPr>
        <w:snapToGrid w:val="0"/>
        <w:spacing w:line="400" w:lineRule="exact"/>
        <w:rPr>
          <w:rFonts w:ascii="宋体" w:cs="宋体"/>
          <w:szCs w:val="21"/>
        </w:rPr>
      </w:pPr>
    </w:p>
    <w:p>
      <w:pPr>
        <w:snapToGrid w:val="0"/>
        <w:spacing w:line="400" w:lineRule="exact"/>
        <w:ind w:firstLine="645"/>
        <w:jc w:val="center"/>
        <w:rPr>
          <w:rFonts w:ascii="宋体" w:cs="宋体"/>
          <w:szCs w:val="21"/>
        </w:rPr>
      </w:pPr>
      <w:r>
        <w:rPr>
          <w:rFonts w:hint="eastAsia" w:ascii="宋体" w:hAnsi="宋体" w:cs="宋体"/>
          <w:szCs w:val="21"/>
        </w:rPr>
        <w:t>年月日</w:t>
      </w:r>
    </w:p>
    <w:p>
      <w:pPr>
        <w:rPr>
          <w:b/>
        </w:rPr>
      </w:pPr>
    </w:p>
    <w:p>
      <w:pPr>
        <w:rPr>
          <w:b/>
        </w:rPr>
      </w:pPr>
    </w:p>
    <w:p>
      <w:pPr>
        <w:rPr>
          <w:b/>
        </w:rPr>
      </w:pPr>
    </w:p>
    <w:p>
      <w:pPr>
        <w:rPr>
          <w:b/>
        </w:rPr>
      </w:pPr>
      <w:r>
        <w:rPr>
          <w:b/>
        </w:rPr>
        <w:t>1.</w:t>
      </w:r>
      <w:r>
        <w:rPr>
          <w:rFonts w:hint="eastAsia"/>
          <w:b/>
        </w:rPr>
        <w:t>资格条件自查表格式</w:t>
      </w:r>
    </w:p>
    <w:p>
      <w:pPr>
        <w:adjustRightInd w:val="0"/>
        <w:snapToGrid w:val="0"/>
        <w:jc w:val="center"/>
        <w:rPr>
          <w:rFonts w:ascii="宋体"/>
          <w:b/>
          <w:sz w:val="24"/>
        </w:rPr>
      </w:pPr>
    </w:p>
    <w:p>
      <w:pPr>
        <w:adjustRightInd w:val="0"/>
        <w:snapToGrid w:val="0"/>
        <w:jc w:val="center"/>
        <w:outlineLvl w:val="2"/>
        <w:rPr>
          <w:rFonts w:ascii="宋体"/>
          <w:b/>
          <w:sz w:val="24"/>
        </w:rPr>
      </w:pPr>
      <w:r>
        <w:rPr>
          <w:rFonts w:hint="eastAsia" w:ascii="宋体" w:hAnsi="宋体"/>
          <w:b/>
          <w:sz w:val="24"/>
        </w:rPr>
        <w:t>资格条件自查表</w:t>
      </w:r>
    </w:p>
    <w:tbl>
      <w:tblPr>
        <w:tblStyle w:val="30"/>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4519"/>
        <w:gridCol w:w="1345"/>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802" w:hRule="atLeast"/>
          <w:jc w:val="center"/>
        </w:trPr>
        <w:tc>
          <w:tcPr>
            <w:tcW w:w="831" w:type="dxa"/>
            <w:vAlign w:val="center"/>
          </w:tcPr>
          <w:p>
            <w:pPr>
              <w:adjustRightInd w:val="0"/>
              <w:snapToGrid w:val="0"/>
              <w:jc w:val="center"/>
              <w:rPr>
                <w:rFonts w:ascii="宋体" w:cs="宋体"/>
                <w:szCs w:val="21"/>
              </w:rPr>
            </w:pPr>
            <w:r>
              <w:rPr>
                <w:rStyle w:val="33"/>
                <w:rFonts w:hint="eastAsia" w:ascii="宋体" w:hAnsi="宋体" w:cs="黑体"/>
                <w:bCs/>
                <w:sz w:val="24"/>
                <w:szCs w:val="21"/>
              </w:rPr>
              <w:t>评审内容</w:t>
            </w:r>
          </w:p>
        </w:tc>
        <w:tc>
          <w:tcPr>
            <w:tcW w:w="4519" w:type="dxa"/>
            <w:vAlign w:val="center"/>
          </w:tcPr>
          <w:p>
            <w:pPr>
              <w:adjustRightInd w:val="0"/>
              <w:snapToGrid w:val="0"/>
              <w:jc w:val="center"/>
              <w:rPr>
                <w:rFonts w:ascii="宋体" w:cs="宋体"/>
                <w:szCs w:val="21"/>
              </w:rPr>
            </w:pPr>
            <w:r>
              <w:rPr>
                <w:rStyle w:val="33"/>
                <w:rFonts w:hint="eastAsia" w:ascii="宋体" w:hAnsi="宋体" w:cs="黑体"/>
                <w:bCs/>
                <w:sz w:val="24"/>
                <w:szCs w:val="21"/>
              </w:rPr>
              <w:t>采购文件要求</w:t>
            </w:r>
          </w:p>
        </w:tc>
        <w:tc>
          <w:tcPr>
            <w:tcW w:w="1345" w:type="dxa"/>
            <w:vAlign w:val="center"/>
          </w:tcPr>
          <w:p>
            <w:pPr>
              <w:adjustRightInd w:val="0"/>
              <w:snapToGrid w:val="0"/>
              <w:jc w:val="center"/>
              <w:rPr>
                <w:rFonts w:ascii="宋体" w:cs="宋体"/>
                <w:szCs w:val="21"/>
              </w:rPr>
            </w:pPr>
            <w:r>
              <w:rPr>
                <w:rStyle w:val="33"/>
                <w:rFonts w:hint="eastAsia" w:ascii="宋体" w:hAnsi="宋体" w:cs="黑体"/>
                <w:bCs/>
                <w:sz w:val="24"/>
                <w:szCs w:val="21"/>
              </w:rPr>
              <w:t>自查结论</w:t>
            </w:r>
          </w:p>
        </w:tc>
        <w:tc>
          <w:tcPr>
            <w:tcW w:w="2238" w:type="dxa"/>
            <w:vAlign w:val="center"/>
          </w:tcPr>
          <w:p>
            <w:pPr>
              <w:adjustRightInd w:val="0"/>
              <w:snapToGrid w:val="0"/>
              <w:jc w:val="center"/>
              <w:rPr>
                <w:rFonts w:ascii="宋体" w:cs="宋体"/>
                <w:szCs w:val="21"/>
              </w:rPr>
            </w:pPr>
            <w:r>
              <w:rPr>
                <w:rStyle w:val="33"/>
                <w:rFonts w:hint="eastAsia" w:ascii="宋体" w:hAnsi="宋体" w:cs="黑体"/>
                <w:bCs/>
                <w:sz w:val="24"/>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831" w:type="dxa"/>
            <w:vMerge w:val="restart"/>
            <w:vAlign w:val="center"/>
          </w:tcPr>
          <w:p>
            <w:pPr>
              <w:pStyle w:val="74"/>
              <w:adjustRightInd w:val="0"/>
              <w:snapToGrid w:val="0"/>
              <w:spacing w:before="0" w:beforeAutospacing="0" w:after="0" w:afterAutospacing="0"/>
              <w:jc w:val="center"/>
              <w:rPr>
                <w:b/>
                <w:sz w:val="21"/>
                <w:szCs w:val="21"/>
              </w:rPr>
            </w:pPr>
            <w:r>
              <w:rPr>
                <w:rFonts w:hint="eastAsia"/>
                <w:b/>
                <w:sz w:val="21"/>
                <w:szCs w:val="21"/>
              </w:rPr>
              <w:t>资</w:t>
            </w:r>
          </w:p>
          <w:p>
            <w:pPr>
              <w:pStyle w:val="74"/>
              <w:adjustRightInd w:val="0"/>
              <w:snapToGrid w:val="0"/>
              <w:spacing w:before="0" w:beforeAutospacing="0" w:after="0" w:afterAutospacing="0"/>
              <w:jc w:val="center"/>
              <w:rPr>
                <w:b/>
                <w:sz w:val="21"/>
                <w:szCs w:val="21"/>
              </w:rPr>
            </w:pPr>
            <w:r>
              <w:rPr>
                <w:rFonts w:hint="eastAsia"/>
                <w:b/>
                <w:sz w:val="21"/>
                <w:szCs w:val="21"/>
              </w:rPr>
              <w:t>格</w:t>
            </w:r>
          </w:p>
          <w:p>
            <w:pPr>
              <w:pStyle w:val="74"/>
              <w:adjustRightInd w:val="0"/>
              <w:snapToGrid w:val="0"/>
              <w:spacing w:before="0" w:beforeAutospacing="0" w:after="0" w:afterAutospacing="0"/>
              <w:jc w:val="center"/>
              <w:rPr>
                <w:b/>
                <w:sz w:val="21"/>
                <w:szCs w:val="21"/>
              </w:rPr>
            </w:pPr>
            <w:r>
              <w:rPr>
                <w:rFonts w:hint="eastAsia"/>
                <w:b/>
                <w:sz w:val="21"/>
                <w:szCs w:val="21"/>
              </w:rPr>
              <w:t>性</w:t>
            </w:r>
          </w:p>
          <w:p>
            <w:pPr>
              <w:pStyle w:val="74"/>
              <w:adjustRightInd w:val="0"/>
              <w:snapToGrid w:val="0"/>
              <w:spacing w:before="0" w:beforeAutospacing="0" w:after="0" w:afterAutospacing="0"/>
              <w:jc w:val="center"/>
              <w:rPr>
                <w:b/>
                <w:sz w:val="21"/>
                <w:szCs w:val="21"/>
              </w:rPr>
            </w:pPr>
            <w:r>
              <w:rPr>
                <w:rFonts w:hint="eastAsia"/>
                <w:b/>
                <w:sz w:val="21"/>
                <w:szCs w:val="21"/>
              </w:rPr>
              <w:t>审</w:t>
            </w:r>
          </w:p>
          <w:p>
            <w:pPr>
              <w:pStyle w:val="74"/>
              <w:adjustRightInd w:val="0"/>
              <w:snapToGrid w:val="0"/>
              <w:spacing w:before="0" w:beforeAutospacing="0" w:after="0" w:afterAutospacing="0"/>
              <w:jc w:val="center"/>
              <w:rPr>
                <w:b/>
                <w:sz w:val="21"/>
                <w:szCs w:val="21"/>
              </w:rPr>
            </w:pPr>
            <w:r>
              <w:rPr>
                <w:rFonts w:hint="eastAsia"/>
                <w:b/>
                <w:sz w:val="21"/>
                <w:szCs w:val="21"/>
              </w:rPr>
              <w:t>查</w:t>
            </w:r>
          </w:p>
        </w:tc>
        <w:tc>
          <w:tcPr>
            <w:tcW w:w="4519" w:type="dxa"/>
            <w:vAlign w:val="center"/>
          </w:tcPr>
          <w:p>
            <w:pPr>
              <w:adjustRightInd w:val="0"/>
              <w:snapToGrid w:val="0"/>
              <w:rPr>
                <w:rFonts w:ascii="宋体" w:cs="宋体"/>
                <w:szCs w:val="21"/>
              </w:rPr>
            </w:pPr>
            <w:r>
              <w:rPr>
                <w:rFonts w:hint="eastAsia" w:ascii="宋体" w:hAnsi="宋体" w:cs="宋体"/>
                <w:szCs w:val="21"/>
              </w:rPr>
              <w:t>一</w:t>
            </w:r>
            <w:r>
              <w:rPr>
                <w:rFonts w:ascii="宋体" w:cs="宋体"/>
                <w:szCs w:val="21"/>
              </w:rPr>
              <w:t>.</w:t>
            </w:r>
            <w:r>
              <w:rPr>
                <w:rFonts w:hint="eastAsia" w:asciiTheme="minorEastAsia" w:hAnsiTheme="minorEastAsia" w:eastAsiaTheme="minorEastAsia"/>
                <w:color w:val="auto"/>
                <w:szCs w:val="21"/>
              </w:rPr>
              <w:t>满足《中华人民共和国政府采购法》第二十二条规定的投标人承诺书；</w:t>
            </w:r>
          </w:p>
        </w:tc>
        <w:tc>
          <w:tcPr>
            <w:tcW w:w="1345" w:type="dxa"/>
            <w:vMerge w:val="restart"/>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宋体"/>
                <w:szCs w:val="21"/>
              </w:rPr>
            </w:pPr>
            <w:r>
              <w:rPr>
                <w:rFonts w:hint="eastAsia" w:ascii="宋体" w:hAnsi="宋体" w:cs="Arial"/>
                <w:szCs w:val="21"/>
              </w:rPr>
              <w:t>□</w:t>
            </w:r>
            <w:r>
              <w:rPr>
                <w:rFonts w:hint="eastAsia" w:ascii="宋体" w:hAnsi="宋体"/>
                <w:szCs w:val="21"/>
              </w:rPr>
              <w:t>不通过</w:t>
            </w:r>
          </w:p>
        </w:tc>
        <w:tc>
          <w:tcPr>
            <w:tcW w:w="2238" w:type="dxa"/>
            <w:vAlign w:val="center"/>
          </w:tcPr>
          <w:p>
            <w:pPr>
              <w:adjustRightInd w:val="0"/>
              <w:snapToGrid w:val="0"/>
              <w:jc w:val="center"/>
              <w:rPr>
                <w:rFonts w:ascii="宋体" w:cs="宋体"/>
                <w:szCs w:val="21"/>
              </w:rPr>
            </w:pPr>
            <w:r>
              <w:rPr>
                <w:rFonts w:hint="eastAsia" w:ascii="宋体" w:hAnsi="宋体"/>
                <w:szCs w:val="21"/>
              </w:rPr>
              <w:t>第（）页</w:t>
            </w:r>
            <w:r>
              <w:rPr>
                <w:rFonts w:ascii="宋体"/>
                <w:szCs w:val="21"/>
              </w:rPr>
              <w:t>-</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63" w:hRule="atLeast"/>
          <w:jc w:val="center"/>
        </w:trPr>
        <w:tc>
          <w:tcPr>
            <w:tcW w:w="831" w:type="dxa"/>
            <w:vMerge w:val="continue"/>
            <w:vAlign w:val="center"/>
          </w:tcPr>
          <w:p>
            <w:pPr>
              <w:adjustRightInd w:val="0"/>
              <w:snapToGrid w:val="0"/>
              <w:rPr>
                <w:rFonts w:ascii="宋体" w:cs="宋体"/>
                <w:szCs w:val="21"/>
              </w:rPr>
            </w:pPr>
          </w:p>
        </w:tc>
        <w:tc>
          <w:tcPr>
            <w:tcW w:w="4519" w:type="dxa"/>
            <w:vAlign w:val="center"/>
          </w:tcPr>
          <w:p>
            <w:pPr>
              <w:adjustRightInd w:val="0"/>
              <w:snapToGrid w:val="0"/>
              <w:rPr>
                <w:rFonts w:ascii="宋体" w:cs="宋体"/>
                <w:szCs w:val="21"/>
              </w:rPr>
            </w:pPr>
            <w:r>
              <w:rPr>
                <w:rFonts w:hint="eastAsia" w:ascii="宋体" w:hAnsi="宋体" w:cs="宋体"/>
                <w:szCs w:val="21"/>
              </w:rPr>
              <w:t>二</w:t>
            </w:r>
            <w:r>
              <w:rPr>
                <w:rFonts w:ascii="宋体" w:cs="宋体"/>
                <w:szCs w:val="21"/>
              </w:rPr>
              <w:t>.</w:t>
            </w:r>
            <w:r>
              <w:rPr>
                <w:rFonts w:hint="eastAsia" w:ascii="宋体" w:hAnsi="宋体" w:cs="宋体"/>
                <w:bCs/>
                <w:szCs w:val="21"/>
              </w:rPr>
              <w:t>为采购项目提供整体设计、规范编制或者项目管理、监理、检测等服务的</w:t>
            </w:r>
            <w:r>
              <w:rPr>
                <w:rFonts w:hint="eastAsia" w:ascii="宋体" w:hAnsi="宋体" w:cs="宋体"/>
                <w:bCs/>
                <w:szCs w:val="21"/>
                <w:lang w:eastAsia="zh-CN"/>
              </w:rPr>
              <w:t>供应商</w:t>
            </w:r>
            <w:r>
              <w:rPr>
                <w:rFonts w:hint="eastAsia" w:ascii="宋体" w:hAnsi="宋体" w:cs="宋体"/>
                <w:bCs/>
                <w:szCs w:val="21"/>
              </w:rPr>
              <w:t>及其附属机构，不得再参加本项目投标。</w:t>
            </w:r>
          </w:p>
        </w:tc>
        <w:tc>
          <w:tcPr>
            <w:tcW w:w="1345" w:type="dxa"/>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2238" w:type="dxa"/>
            <w:vAlign w:val="center"/>
          </w:tcPr>
          <w:p>
            <w:pPr>
              <w:adjustRightInd w:val="0"/>
              <w:snapToGrid w:val="0"/>
              <w:jc w:val="center"/>
              <w:rPr>
                <w:rFonts w:ascii="宋体"/>
                <w:szCs w:val="21"/>
              </w:rPr>
            </w:pPr>
            <w:r>
              <w:rPr>
                <w:rFonts w:hint="eastAsia" w:ascii="宋体" w:hAnsi="宋体"/>
                <w:szCs w:val="21"/>
              </w:rPr>
              <w:t>第（）页</w:t>
            </w:r>
            <w:r>
              <w:rPr>
                <w:rFonts w:ascii="宋体"/>
                <w:szCs w:val="21"/>
              </w:rPr>
              <w:t>-</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84" w:hRule="atLeast"/>
          <w:jc w:val="center"/>
        </w:trPr>
        <w:tc>
          <w:tcPr>
            <w:tcW w:w="831" w:type="dxa"/>
            <w:vMerge w:val="continue"/>
            <w:vAlign w:val="center"/>
          </w:tcPr>
          <w:p>
            <w:pPr>
              <w:adjustRightInd w:val="0"/>
              <w:snapToGrid w:val="0"/>
              <w:rPr>
                <w:rFonts w:ascii="宋体" w:cs="宋体"/>
                <w:szCs w:val="21"/>
              </w:rPr>
            </w:pPr>
          </w:p>
        </w:tc>
        <w:tc>
          <w:tcPr>
            <w:tcW w:w="4519" w:type="dxa"/>
            <w:vAlign w:val="center"/>
          </w:tcPr>
          <w:p>
            <w:pPr>
              <w:snapToGrid w:val="0"/>
              <w:spacing w:line="360" w:lineRule="auto"/>
              <w:rPr>
                <w:rFonts w:ascii="宋体" w:cs="宋体"/>
                <w:szCs w:val="21"/>
              </w:rPr>
            </w:pPr>
            <w:r>
              <w:rPr>
                <w:rFonts w:hint="eastAsia" w:ascii="宋体" w:hAnsi="宋体" w:cs="宋体"/>
                <w:bCs/>
                <w:szCs w:val="21"/>
              </w:rPr>
              <w:t>三</w:t>
            </w:r>
            <w:r>
              <w:rPr>
                <w:rFonts w:ascii="宋体" w:cs="宋体"/>
                <w:bCs/>
                <w:szCs w:val="21"/>
              </w:rPr>
              <w:t>.</w:t>
            </w:r>
            <w:r>
              <w:rPr>
                <w:rFonts w:hint="eastAsia" w:ascii="宋体" w:hAnsi="宋体" w:cs="宋体"/>
                <w:bCs/>
                <w:szCs w:val="21"/>
              </w:rPr>
              <w:t>本项目不接受联合体参加投标。</w:t>
            </w:r>
          </w:p>
        </w:tc>
        <w:tc>
          <w:tcPr>
            <w:tcW w:w="1345" w:type="dxa"/>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宋体"/>
                <w:szCs w:val="21"/>
              </w:rPr>
            </w:pPr>
            <w:r>
              <w:rPr>
                <w:rFonts w:hint="eastAsia" w:ascii="宋体" w:hAnsi="宋体" w:cs="Arial"/>
                <w:szCs w:val="21"/>
              </w:rPr>
              <w:t>□</w:t>
            </w:r>
            <w:r>
              <w:rPr>
                <w:rFonts w:hint="eastAsia" w:ascii="宋体" w:hAnsi="宋体"/>
                <w:szCs w:val="21"/>
              </w:rPr>
              <w:t>不通过</w:t>
            </w:r>
          </w:p>
        </w:tc>
        <w:tc>
          <w:tcPr>
            <w:tcW w:w="2238" w:type="dxa"/>
            <w:vAlign w:val="center"/>
          </w:tcPr>
          <w:p>
            <w:pPr>
              <w:adjustRightInd w:val="0"/>
              <w:snapToGrid w:val="0"/>
              <w:jc w:val="center"/>
              <w:rPr>
                <w:rFonts w:ascii="宋体" w:cs="宋体"/>
                <w:szCs w:val="21"/>
              </w:rPr>
            </w:pPr>
            <w:r>
              <w:rPr>
                <w:rFonts w:hint="eastAsia" w:ascii="宋体" w:hAnsi="宋体"/>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527" w:hRule="atLeast"/>
          <w:jc w:val="center"/>
        </w:trPr>
        <w:tc>
          <w:tcPr>
            <w:tcW w:w="831" w:type="dxa"/>
            <w:vMerge w:val="continue"/>
            <w:vAlign w:val="center"/>
          </w:tcPr>
          <w:p>
            <w:pPr>
              <w:adjustRightInd w:val="0"/>
              <w:snapToGrid w:val="0"/>
              <w:rPr>
                <w:rFonts w:ascii="宋体" w:cs="宋体"/>
                <w:szCs w:val="21"/>
              </w:rPr>
            </w:pPr>
          </w:p>
        </w:tc>
        <w:tc>
          <w:tcPr>
            <w:tcW w:w="4519" w:type="dxa"/>
          </w:tcPr>
          <w:p>
            <w:pPr>
              <w:adjustRightInd w:val="0"/>
              <w:snapToGrid w:val="0"/>
              <w:rPr>
                <w:rFonts w:ascii="宋体" w:cs="宋体"/>
                <w:szCs w:val="21"/>
              </w:rPr>
            </w:pPr>
            <w:r>
              <w:rPr>
                <w:rFonts w:hint="eastAsia" w:ascii="宋体" w:hAnsi="宋体" w:cs="宋体"/>
              </w:rPr>
              <w:t>四．</w:t>
            </w:r>
            <w:r>
              <w:rPr>
                <w:rFonts w:hint="eastAsia" w:ascii="宋体" w:hAnsi="宋体"/>
                <w:szCs w:val="21"/>
                <w:lang w:eastAsia="zh-CN"/>
              </w:rPr>
              <w:t>供应商</w:t>
            </w:r>
            <w:r>
              <w:rPr>
                <w:rFonts w:hint="eastAsia" w:ascii="宋体" w:hAnsi="宋体"/>
                <w:szCs w:val="21"/>
              </w:rPr>
              <w:t>未被列入“信用中国”网站</w:t>
            </w:r>
            <w:r>
              <w:rPr>
                <w:rFonts w:ascii="宋体" w:hAnsi="宋体"/>
                <w:szCs w:val="21"/>
              </w:rPr>
              <w:t>(www.creditchina.gov.cn)</w:t>
            </w:r>
            <w:r>
              <w:rPr>
                <w:rFonts w:hint="eastAsia" w:ascii="宋体" w:hAnsi="宋体"/>
                <w:szCs w:val="21"/>
              </w:rPr>
              <w:t>“记录失信被执行人或重大税收违法案件当事人名单或政府采购严重违法失信行为”记录名单；不处于中国政府采购网</w:t>
            </w:r>
            <w:r>
              <w:rPr>
                <w:rFonts w:ascii="宋体" w:hAnsi="宋体"/>
                <w:szCs w:val="21"/>
              </w:rPr>
              <w:t>(www.ccgp.gov.cn)</w:t>
            </w:r>
            <w:r>
              <w:rPr>
                <w:rFonts w:hint="eastAsia" w:ascii="宋体" w:hAnsi="宋体"/>
                <w:szCs w:val="21"/>
              </w:rPr>
              <w:t>“政府采购严重违法失信行为信息记录”中的禁止参加政府采购活动期间。（以投标截止日当天在“信用中国”网站（</w:t>
            </w:r>
            <w:r>
              <w:rPr>
                <w:rFonts w:ascii="宋体" w:hAnsi="宋体"/>
                <w:szCs w:val="21"/>
              </w:rPr>
              <w:t>www.creditchina.gov.cn</w:t>
            </w:r>
            <w:r>
              <w:rPr>
                <w:rFonts w:hint="eastAsia" w:ascii="宋体" w:hAnsi="宋体"/>
                <w:szCs w:val="21"/>
              </w:rPr>
              <w:t>）</w:t>
            </w:r>
            <w:r>
              <w:rPr>
                <w:rFonts w:hint="eastAsia" w:ascii="宋体" w:hAnsi="宋体"/>
              </w:rPr>
              <w:t>及中国政府采购网</w:t>
            </w:r>
            <w:r>
              <w:rPr>
                <w:rFonts w:hint="eastAsia" w:ascii="宋体" w:hAnsi="宋体"/>
                <w:szCs w:val="21"/>
              </w:rPr>
              <w:t>查询结果为准，如相关失信记录已失效，</w:t>
            </w:r>
            <w:r>
              <w:rPr>
                <w:rFonts w:hint="eastAsia" w:ascii="宋体" w:hAnsi="宋体"/>
                <w:szCs w:val="21"/>
                <w:lang w:eastAsia="zh-CN"/>
              </w:rPr>
              <w:t>供应商</w:t>
            </w:r>
            <w:r>
              <w:rPr>
                <w:rFonts w:hint="eastAsia" w:ascii="宋体" w:hAnsi="宋体"/>
                <w:szCs w:val="21"/>
              </w:rPr>
              <w:t>需提供相关证明资料）；</w:t>
            </w:r>
          </w:p>
        </w:tc>
        <w:tc>
          <w:tcPr>
            <w:tcW w:w="1345" w:type="dxa"/>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2238" w:type="dxa"/>
            <w:vAlign w:val="center"/>
          </w:tcPr>
          <w:p>
            <w:pPr>
              <w:adjustRightInd w:val="0"/>
              <w:snapToGrid w:val="0"/>
              <w:jc w:val="center"/>
              <w:rPr>
                <w:rFonts w:ascii="宋体"/>
                <w:szCs w:val="21"/>
              </w:rPr>
            </w:pPr>
            <w:r>
              <w:rPr>
                <w:rFonts w:hint="eastAsia" w:ascii="宋体" w:hAnsi="宋体"/>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831" w:type="dxa"/>
            <w:vAlign w:val="center"/>
          </w:tcPr>
          <w:p>
            <w:pPr>
              <w:adjustRightInd w:val="0"/>
              <w:snapToGrid w:val="0"/>
              <w:rPr>
                <w:rFonts w:ascii="宋体" w:cs="宋体"/>
                <w:szCs w:val="21"/>
              </w:rPr>
            </w:pPr>
          </w:p>
        </w:tc>
        <w:tc>
          <w:tcPr>
            <w:tcW w:w="4519" w:type="dxa"/>
          </w:tcPr>
          <w:p>
            <w:pPr>
              <w:adjustRightInd w:val="0"/>
              <w:snapToGrid w:val="0"/>
              <w:rPr>
                <w:rFonts w:ascii="宋体" w:cs="宋体"/>
                <w:szCs w:val="21"/>
              </w:rPr>
            </w:pPr>
            <w:r>
              <w:rPr>
                <w:rFonts w:hint="eastAsia" w:ascii="宋体" w:hAnsi="宋体" w:cs="宋体"/>
                <w:szCs w:val="21"/>
              </w:rPr>
              <w:t>五</w:t>
            </w:r>
            <w:r>
              <w:rPr>
                <w:rFonts w:ascii="宋体" w:cs="宋体"/>
                <w:szCs w:val="21"/>
              </w:rPr>
              <w:t>.</w:t>
            </w:r>
            <w:r>
              <w:rPr>
                <w:rFonts w:hint="eastAsia" w:ascii="宋体" w:hAnsi="宋体" w:cs="宋体"/>
              </w:rPr>
              <w:t>采购文件要求的其他资格条件证明材料（如有）；</w:t>
            </w:r>
          </w:p>
        </w:tc>
        <w:tc>
          <w:tcPr>
            <w:tcW w:w="1345" w:type="dxa"/>
            <w:vAlign w:val="center"/>
          </w:tcPr>
          <w:p>
            <w:pPr>
              <w:adjustRightInd w:val="0"/>
              <w:snapToGrid w:val="0"/>
              <w:rPr>
                <w:rFonts w:asci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cs="Arial"/>
                <w:szCs w:val="21"/>
              </w:rPr>
            </w:pPr>
            <w:r>
              <w:rPr>
                <w:rFonts w:hint="eastAsia" w:ascii="宋体" w:hAnsi="宋体" w:cs="Arial"/>
                <w:szCs w:val="21"/>
              </w:rPr>
              <w:t>□</w:t>
            </w:r>
            <w:r>
              <w:rPr>
                <w:rFonts w:hint="eastAsia" w:ascii="宋体" w:hAnsi="宋体"/>
                <w:szCs w:val="21"/>
              </w:rPr>
              <w:t>不通过</w:t>
            </w:r>
          </w:p>
        </w:tc>
        <w:tc>
          <w:tcPr>
            <w:tcW w:w="2238" w:type="dxa"/>
            <w:vAlign w:val="center"/>
          </w:tcPr>
          <w:p>
            <w:pPr>
              <w:adjustRightInd w:val="0"/>
              <w:snapToGrid w:val="0"/>
              <w:jc w:val="center"/>
              <w:rPr>
                <w:rFonts w:ascii="宋体"/>
                <w:szCs w:val="21"/>
              </w:rPr>
            </w:pPr>
            <w:r>
              <w:rPr>
                <w:rFonts w:hint="eastAsia" w:ascii="宋体" w:hAnsi="宋体"/>
                <w:szCs w:val="21"/>
              </w:rPr>
              <w:t>第（）页</w:t>
            </w:r>
          </w:p>
        </w:tc>
      </w:tr>
    </w:tbl>
    <w:p>
      <w:pPr>
        <w:adjustRightInd w:val="0"/>
        <w:snapToGrid w:val="0"/>
        <w:spacing w:line="440" w:lineRule="exact"/>
        <w:rPr>
          <w:rFonts w:ascii="宋体"/>
          <w:b/>
          <w:szCs w:val="21"/>
        </w:rPr>
      </w:pPr>
      <w:r>
        <w:rPr>
          <w:rFonts w:hint="eastAsia" w:ascii="宋体" w:hAnsi="宋体"/>
          <w:b/>
          <w:szCs w:val="21"/>
        </w:rPr>
        <w:t>备注：资格条件自查表将作为</w:t>
      </w:r>
      <w:r>
        <w:rPr>
          <w:rFonts w:hint="eastAsia" w:ascii="宋体" w:hAnsi="宋体"/>
          <w:b/>
          <w:szCs w:val="21"/>
          <w:lang w:eastAsia="zh-CN"/>
        </w:rPr>
        <w:t>供应商</w:t>
      </w:r>
      <w:r>
        <w:rPr>
          <w:rFonts w:hint="eastAsia" w:ascii="宋体" w:hAnsi="宋体"/>
          <w:b/>
          <w:szCs w:val="21"/>
        </w:rPr>
        <w:t>有效性审查的重要内容之一，</w:t>
      </w:r>
      <w:r>
        <w:rPr>
          <w:rFonts w:hint="eastAsia" w:ascii="宋体" w:hAnsi="宋体"/>
          <w:b/>
          <w:szCs w:val="21"/>
          <w:lang w:eastAsia="zh-CN"/>
        </w:rPr>
        <w:t>供应商</w:t>
      </w:r>
      <w:r>
        <w:rPr>
          <w:rFonts w:hint="eastAsia" w:ascii="宋体" w:hAnsi="宋体"/>
          <w:b/>
          <w:szCs w:val="21"/>
        </w:rPr>
        <w:t>必须严格按照其内容及序列要求在投标文件中对应如实提供！</w:t>
      </w:r>
    </w:p>
    <w:p>
      <w:pPr>
        <w:adjustRightInd w:val="0"/>
        <w:snapToGrid w:val="0"/>
        <w:spacing w:line="440" w:lineRule="exact"/>
        <w:rPr>
          <w:rFonts w:hAnsi="宋体"/>
          <w:sz w:val="24"/>
        </w:rPr>
      </w:pPr>
    </w:p>
    <w:p>
      <w:pPr>
        <w:snapToGrid w:val="0"/>
        <w:spacing w:line="400" w:lineRule="exact"/>
        <w:rPr>
          <w:rFonts w:hint="eastAsia" w:ascii="宋体" w:hAnsi="宋体" w:cs="宋体"/>
          <w:szCs w:val="21"/>
        </w:rPr>
      </w:pPr>
      <w:bookmarkStart w:id="57" w:name="_Toc463726846"/>
      <w:bookmarkStart w:id="58" w:name="_Toc14330"/>
      <w:bookmarkStart w:id="59" w:name="_Toc25845"/>
      <w:bookmarkStart w:id="60" w:name="_Toc20947"/>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ascii="宋体" w:cs="宋体"/>
          <w:szCs w:val="21"/>
        </w:rPr>
      </w:pPr>
      <w:r>
        <w:rPr>
          <w:rFonts w:hint="eastAsia" w:ascii="宋体" w:hAnsi="宋体" w:cs="宋体"/>
          <w:szCs w:val="21"/>
        </w:rPr>
        <w:t>格式一：投标声明书</w:t>
      </w:r>
      <w:bookmarkEnd w:id="57"/>
      <w:bookmarkEnd w:id="58"/>
      <w:bookmarkEnd w:id="59"/>
      <w:bookmarkEnd w:id="60"/>
    </w:p>
    <w:p>
      <w:pPr>
        <w:snapToGrid w:val="0"/>
        <w:spacing w:line="400" w:lineRule="exact"/>
        <w:jc w:val="center"/>
        <w:outlineLvl w:val="2"/>
        <w:rPr>
          <w:rFonts w:ascii="宋体" w:cs="宋体"/>
          <w:b/>
          <w:bCs/>
          <w:sz w:val="28"/>
          <w:szCs w:val="28"/>
        </w:rPr>
      </w:pPr>
      <w:r>
        <w:rPr>
          <w:rFonts w:hint="eastAsia" w:ascii="宋体" w:hAnsi="宋体" w:cs="宋体"/>
          <w:b/>
          <w:bCs/>
          <w:sz w:val="28"/>
          <w:szCs w:val="28"/>
        </w:rPr>
        <w:t>投标声明书</w:t>
      </w:r>
    </w:p>
    <w:p>
      <w:pPr>
        <w:snapToGrid w:val="0"/>
        <w:spacing w:line="400" w:lineRule="exact"/>
        <w:rPr>
          <w:rFonts w:ascii="宋体" w:cs="宋体"/>
          <w:szCs w:val="21"/>
        </w:rPr>
      </w:pPr>
    </w:p>
    <w:p>
      <w:pPr>
        <w:snapToGrid w:val="0"/>
        <w:spacing w:line="360" w:lineRule="auto"/>
        <w:rPr>
          <w:rFonts w:ascii="宋体" w:cs="宋体"/>
          <w:szCs w:val="21"/>
        </w:rPr>
      </w:pPr>
      <w:r>
        <w:rPr>
          <w:rFonts w:hint="eastAsia" w:ascii="宋体" w:hAnsi="宋体" w:cs="宋体"/>
          <w:szCs w:val="21"/>
        </w:rPr>
        <w:t>致</w:t>
      </w:r>
      <w:r>
        <w:rPr>
          <w:rFonts w:hint="eastAsia" w:ascii="宋体" w:hAnsi="宋体" w:cs="宋体"/>
          <w:szCs w:val="21"/>
          <w:u w:val="single"/>
        </w:rPr>
        <w:t>宁波工建工程造价咨询有限公司</w:t>
      </w:r>
      <w:r>
        <w:rPr>
          <w:rFonts w:hint="eastAsia" w:ascii="宋体" w:hAnsi="宋体" w:cs="宋体"/>
          <w:szCs w:val="21"/>
        </w:rPr>
        <w:t>：</w:t>
      </w:r>
    </w:p>
    <w:p>
      <w:pPr>
        <w:snapToGrid w:val="0"/>
        <w:spacing w:line="360" w:lineRule="auto"/>
        <w:rPr>
          <w:rFonts w:ascii="宋体" w:cs="宋体"/>
          <w:szCs w:val="21"/>
        </w:rPr>
      </w:pPr>
      <w:r>
        <w:rPr>
          <w:rFonts w:hint="eastAsia" w:ascii="宋体" w:hAnsi="宋体" w:cs="宋体"/>
          <w:szCs w:val="21"/>
        </w:rPr>
        <w:t>（</w:t>
      </w:r>
      <w:r>
        <w:rPr>
          <w:rFonts w:hint="eastAsia" w:ascii="宋体" w:hAnsi="宋体" w:cs="宋体"/>
          <w:szCs w:val="21"/>
          <w:lang w:eastAsia="zh-CN"/>
        </w:rPr>
        <w:t>供应商</w:t>
      </w:r>
      <w:r>
        <w:rPr>
          <w:rFonts w:hint="eastAsia" w:ascii="宋体" w:hAnsi="宋体" w:cs="宋体"/>
          <w:szCs w:val="21"/>
        </w:rPr>
        <w:t>名称）系中华人民共和国合法企业，经营地址。</w:t>
      </w:r>
    </w:p>
    <w:p>
      <w:pPr>
        <w:snapToGrid w:val="0"/>
        <w:spacing w:line="360" w:lineRule="auto"/>
        <w:ind w:firstLine="420" w:firstLineChars="200"/>
        <w:rPr>
          <w:rFonts w:ascii="宋体" w:cs="宋体"/>
          <w:szCs w:val="21"/>
        </w:rPr>
      </w:pPr>
      <w:r>
        <w:rPr>
          <w:rFonts w:hint="eastAsia" w:ascii="宋体" w:hAnsi="宋体" w:cs="宋体"/>
          <w:szCs w:val="21"/>
        </w:rPr>
        <w:t>我</w:t>
      </w:r>
      <w:r>
        <w:rPr>
          <w:rFonts w:hint="eastAsia" w:ascii="宋体" w:hAnsi="宋体" w:cs="宋体"/>
          <w:szCs w:val="21"/>
          <w:u w:val="single"/>
        </w:rPr>
        <w:t>（姓名）</w:t>
      </w:r>
      <w:r>
        <w:rPr>
          <w:rFonts w:hint="eastAsia" w:ascii="宋体" w:hAnsi="宋体" w:cs="宋体"/>
          <w:szCs w:val="21"/>
        </w:rPr>
        <w:t>系（</w:t>
      </w:r>
      <w:r>
        <w:rPr>
          <w:rFonts w:hint="eastAsia" w:ascii="宋体" w:hAnsi="宋体" w:cs="宋体"/>
          <w:szCs w:val="21"/>
          <w:lang w:eastAsia="zh-CN"/>
        </w:rPr>
        <w:t>供应商</w:t>
      </w:r>
      <w:r>
        <w:rPr>
          <w:rFonts w:hint="eastAsia" w:ascii="宋体" w:hAnsi="宋体" w:cs="宋体"/>
          <w:szCs w:val="21"/>
        </w:rPr>
        <w:t>名称）的法定代表人，我方愿意参加贵方组织的项目的投标，为便于贵方公正、择优地确定中标人及其投标产品和服务，我方就本次投标有关事项郑重声明如下：</w:t>
      </w:r>
    </w:p>
    <w:p>
      <w:pPr>
        <w:snapToGrid w:val="0"/>
        <w:spacing w:line="360" w:lineRule="auto"/>
        <w:ind w:firstLine="424" w:firstLineChars="202"/>
        <w:rPr>
          <w:rFonts w:asci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并已清楚采购文件的要求及有关文件规定。</w:t>
      </w:r>
    </w:p>
    <w:p>
      <w:pPr>
        <w:snapToGrid w:val="0"/>
        <w:spacing w:line="360" w:lineRule="auto"/>
        <w:ind w:firstLine="424" w:firstLineChars="202"/>
        <w:rPr>
          <w:rFonts w:ascii="宋体"/>
        </w:rPr>
      </w:pPr>
      <w:r>
        <w:rPr>
          <w:rFonts w:hint="eastAsia" w:ascii="宋体" w:hAnsi="宋体"/>
        </w:rPr>
        <w:t>本公司（企业）的法定代表人或单位负责人与所参投的本采购项目的其他</w:t>
      </w:r>
      <w:r>
        <w:rPr>
          <w:rFonts w:hint="eastAsia" w:ascii="宋体" w:hAnsi="宋体"/>
          <w:lang w:eastAsia="zh-CN"/>
        </w:rPr>
        <w:t>供应商</w:t>
      </w:r>
      <w:r>
        <w:rPr>
          <w:rFonts w:hint="eastAsia" w:ascii="宋体" w:hAnsi="宋体"/>
        </w:rPr>
        <w:t>的法定代表人或单位负责人不为同一人且与其他</w:t>
      </w:r>
      <w:r>
        <w:rPr>
          <w:rFonts w:hint="eastAsia" w:ascii="宋体" w:hAnsi="宋体"/>
          <w:lang w:eastAsia="zh-CN"/>
        </w:rPr>
        <w:t>供应商</w:t>
      </w:r>
      <w:r>
        <w:rPr>
          <w:rFonts w:hint="eastAsia" w:ascii="宋体" w:hAnsi="宋体"/>
        </w:rPr>
        <w:t>之间不存在直接控股、管理关系。</w:t>
      </w:r>
    </w:p>
    <w:p>
      <w:pPr>
        <w:snapToGrid w:val="0"/>
        <w:spacing w:line="360" w:lineRule="auto"/>
        <w:ind w:firstLine="424" w:firstLineChars="202"/>
        <w:rPr>
          <w:rFonts w:ascii="宋体"/>
        </w:rPr>
      </w:pPr>
      <w:r>
        <w:rPr>
          <w:rFonts w:hint="eastAsia" w:ascii="宋体" w:hAnsi="宋体"/>
          <w:szCs w:val="21"/>
        </w:rPr>
        <w:t>根据《中华人民共和国政府采购法</w:t>
      </w:r>
      <w:r>
        <w:rPr>
          <w:rFonts w:hint="eastAsia" w:ascii="宋体" w:hAnsi="宋体"/>
        </w:rPr>
        <w:t>实施条例》的规定，本公司（企业）如为本采购项目提供整体设计、规范编制或者项目管理、监理、检测等服务的</w:t>
      </w:r>
      <w:r>
        <w:rPr>
          <w:rFonts w:hint="eastAsia" w:ascii="宋体" w:hAnsi="宋体"/>
          <w:lang w:eastAsia="zh-CN"/>
        </w:rPr>
        <w:t>供应商</w:t>
      </w:r>
      <w:r>
        <w:rPr>
          <w:rFonts w:hint="eastAsia" w:ascii="宋体" w:hAnsi="宋体"/>
        </w:rPr>
        <w:t>，不得再参加该采购项目的其他采购活动。否则，由此所造成的损失、不良后果及法律责任，一律由我公司（企业）承担。</w:t>
      </w:r>
    </w:p>
    <w:p>
      <w:pPr>
        <w:snapToGrid w:val="0"/>
        <w:spacing w:line="360" w:lineRule="auto"/>
        <w:ind w:firstLine="426" w:firstLineChars="202"/>
        <w:rPr>
          <w:rFonts w:ascii="宋体"/>
        </w:rPr>
      </w:pPr>
      <w:r>
        <w:rPr>
          <w:rFonts w:hint="eastAsia" w:ascii="宋体" w:hAnsi="宋体"/>
          <w:b/>
        </w:rPr>
        <w:t>本公司（企业）具有履行合同所必需的设备和专业技术能力，且本公司（企业）参加政府采购活动前</w:t>
      </w:r>
      <w:r>
        <w:rPr>
          <w:rFonts w:ascii="宋体" w:hAnsi="宋体"/>
          <w:b/>
        </w:rPr>
        <w:t>3</w:t>
      </w:r>
      <w:r>
        <w:rPr>
          <w:rFonts w:hint="eastAsia" w:ascii="宋体" w:hAnsi="宋体"/>
          <w:b/>
        </w:rPr>
        <w:t>年内在经营活动中没有重大违法记录。</w:t>
      </w:r>
      <w:r>
        <w:rPr>
          <w:rFonts w:hint="eastAsia" w:ascii="宋体" w:hAnsi="宋体"/>
        </w:rPr>
        <w:t>否则，由此所造成的损失、不良后果及法律责任，一律由我公司（企业）承担。</w:t>
      </w:r>
    </w:p>
    <w:p>
      <w:pPr>
        <w:snapToGrid w:val="0"/>
        <w:spacing w:line="360" w:lineRule="auto"/>
        <w:ind w:firstLine="426" w:firstLineChars="202"/>
        <w:rPr>
          <w:rFonts w:ascii="宋体"/>
          <w:b/>
          <w:bCs/>
        </w:rPr>
      </w:pPr>
      <w:r>
        <w:rPr>
          <w:rFonts w:hint="eastAsia" w:ascii="宋体" w:hAnsi="宋体"/>
          <w:b/>
          <w:bCs/>
        </w:rPr>
        <w:t>本公司（企业）</w:t>
      </w:r>
      <w:r>
        <w:rPr>
          <w:rFonts w:hint="eastAsia" w:ascii="宋体" w:hAnsi="宋体"/>
          <w:b/>
          <w:bCs/>
          <w:szCs w:val="21"/>
        </w:rPr>
        <w:t>未被列入“信用中国”网站</w:t>
      </w:r>
      <w:r>
        <w:rPr>
          <w:rFonts w:ascii="宋体" w:hAnsi="宋体"/>
          <w:b/>
          <w:bCs/>
          <w:szCs w:val="21"/>
        </w:rPr>
        <w:t>(www.creditchina.gov.cn)</w:t>
      </w:r>
      <w:r>
        <w:rPr>
          <w:rFonts w:hint="eastAsia" w:ascii="宋体" w:hAnsi="宋体"/>
          <w:b/>
          <w:bCs/>
          <w:szCs w:val="21"/>
        </w:rPr>
        <w:t>“记录失信被执行人或重大税收违法案件当事人名单或政府采购严重违法失信行为”记录名单；不处于中国政府采购网</w:t>
      </w:r>
      <w:r>
        <w:rPr>
          <w:rFonts w:ascii="宋体" w:hAnsi="宋体"/>
          <w:b/>
          <w:bCs/>
          <w:szCs w:val="21"/>
        </w:rPr>
        <w:t>(www.ccgp.gov.cn)</w:t>
      </w:r>
      <w:r>
        <w:rPr>
          <w:rFonts w:hint="eastAsia" w:ascii="宋体" w:hAnsi="宋体"/>
          <w:b/>
          <w:bCs/>
          <w:szCs w:val="21"/>
        </w:rPr>
        <w:t>“政府采购严重违法失信行为信息记录”中的禁止参加政府采购活动期间。</w:t>
      </w:r>
      <w:r>
        <w:rPr>
          <w:rFonts w:hint="eastAsia" w:ascii="宋体" w:hAnsi="宋体"/>
          <w:b/>
          <w:bCs/>
        </w:rPr>
        <w:t>否则，由此所造成的损失、不良后果及法律责任，一律由我公司（企业）承担。</w:t>
      </w:r>
    </w:p>
    <w:p>
      <w:pPr>
        <w:snapToGrid w:val="0"/>
        <w:spacing w:line="360" w:lineRule="auto"/>
        <w:ind w:firstLine="426" w:firstLineChars="202"/>
        <w:rPr>
          <w:rFonts w:ascii="宋体"/>
          <w:b/>
          <w:bCs/>
        </w:rPr>
      </w:pPr>
      <w:r>
        <w:rPr>
          <w:rFonts w:hint="eastAsia" w:ascii="宋体" w:hAnsi="宋体"/>
          <w:b/>
          <w:bCs/>
        </w:rPr>
        <w:t>本公司（企业）及法定代表人未被列入“全国法院失信被执行人名单”（</w:t>
      </w:r>
      <w:r>
        <w:rPr>
          <w:rFonts w:ascii="宋体" w:hAnsi="宋体"/>
          <w:b/>
          <w:bCs/>
        </w:rPr>
        <w:t>http://shixin.court.gov.cn/</w:t>
      </w:r>
      <w:r>
        <w:rPr>
          <w:rFonts w:hint="eastAsia" w:ascii="宋体" w:hAnsi="宋体"/>
          <w:b/>
          <w:bCs/>
        </w:rPr>
        <w:t>网站查询为准）。否则，由此所造成的损失、不良后果及法律责任，一律由我公司（企业）承担。</w:t>
      </w:r>
    </w:p>
    <w:p>
      <w:pPr>
        <w:snapToGrid w:val="0"/>
        <w:spacing w:line="360" w:lineRule="auto"/>
        <w:ind w:firstLine="424" w:firstLineChars="202"/>
        <w:rPr>
          <w:rFonts w:asci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b/>
        </w:rPr>
      </w:pPr>
      <w:r>
        <w:rPr>
          <w:rFonts w:hint="eastAsia" w:ascii="宋体" w:hAnsi="宋体"/>
          <w:b/>
        </w:rPr>
        <w:t>特此声明！</w:t>
      </w:r>
    </w:p>
    <w:p>
      <w:pPr>
        <w:snapToGrid w:val="0"/>
        <w:spacing w:line="360" w:lineRule="auto"/>
        <w:rPr>
          <w:rFonts w:ascii="宋体" w:cs="宋体"/>
          <w:szCs w:val="21"/>
        </w:rPr>
      </w:pPr>
    </w:p>
    <w:p>
      <w:pPr>
        <w:snapToGrid w:val="0"/>
        <w:spacing w:line="360" w:lineRule="auto"/>
        <w:rPr>
          <w:rFonts w:ascii="宋体" w:cs="宋体"/>
          <w:szCs w:val="21"/>
        </w:rPr>
      </w:pPr>
      <w:r>
        <w:rPr>
          <w:rFonts w:hint="eastAsia" w:ascii="宋体" w:hAnsi="宋体" w:cs="宋体"/>
          <w:szCs w:val="21"/>
        </w:rPr>
        <w:t>法定代表人或授权代表（签字）：</w:t>
      </w:r>
    </w:p>
    <w:p>
      <w:pPr>
        <w:snapToGrid w:val="0"/>
        <w:spacing w:line="360" w:lineRule="auto"/>
        <w:rPr>
          <w:rFonts w:ascii="宋体" w:cs="宋体"/>
          <w:szCs w:val="21"/>
        </w:rPr>
      </w:pPr>
      <w:r>
        <w:rPr>
          <w:rFonts w:hint="eastAsia" w:ascii="宋体" w:hAnsi="宋体" w:cs="宋体"/>
          <w:szCs w:val="21"/>
          <w:lang w:eastAsia="zh-CN"/>
        </w:rPr>
        <w:t>供应商</w:t>
      </w:r>
      <w:r>
        <w:rPr>
          <w:rFonts w:hint="eastAsia" w:ascii="宋体" w:hAnsi="宋体" w:cs="宋体"/>
          <w:szCs w:val="21"/>
        </w:rPr>
        <w:t>全称（加盖公章）：</w:t>
      </w:r>
    </w:p>
    <w:p>
      <w:pPr>
        <w:snapToGrid w:val="0"/>
        <w:spacing w:line="360" w:lineRule="auto"/>
        <w:rPr>
          <w:rFonts w:ascii="宋体" w:cs="宋体"/>
          <w:szCs w:val="21"/>
        </w:rPr>
      </w:pPr>
      <w:r>
        <w:rPr>
          <w:rFonts w:hint="eastAsia" w:ascii="宋体" w:hAnsi="宋体" w:cs="宋体"/>
          <w:szCs w:val="21"/>
        </w:rPr>
        <w:t>年月日</w:t>
      </w:r>
    </w:p>
    <w:p>
      <w:pPr>
        <w:spacing w:line="360" w:lineRule="auto"/>
        <w:rPr>
          <w:rFonts w:ascii="宋体"/>
          <w:bCs/>
        </w:rPr>
      </w:pPr>
      <w:r>
        <w:rPr>
          <w:rFonts w:ascii="宋体" w:cs="宋体"/>
          <w:szCs w:val="21"/>
        </w:rPr>
        <w:br w:type="page"/>
      </w:r>
      <w:r>
        <w:rPr>
          <w:rFonts w:hint="eastAsia" w:ascii="宋体" w:hAnsi="宋体" w:cs="宋体"/>
          <w:szCs w:val="21"/>
        </w:rPr>
        <w:t>格式二：</w:t>
      </w:r>
      <w:r>
        <w:rPr>
          <w:rFonts w:hint="eastAsia" w:ascii="宋体" w:hAnsi="宋体"/>
          <w:bCs/>
        </w:rPr>
        <w:t>《中华人民共和国政府采购法》第二十二条规定的</w:t>
      </w:r>
      <w:r>
        <w:rPr>
          <w:rFonts w:hint="eastAsia" w:ascii="宋体" w:hAnsi="宋体"/>
          <w:bCs/>
          <w:lang w:eastAsia="zh-CN"/>
        </w:rPr>
        <w:t>供应商</w:t>
      </w:r>
      <w:r>
        <w:rPr>
          <w:rFonts w:hint="eastAsia" w:ascii="宋体" w:hAnsi="宋体"/>
          <w:bCs/>
        </w:rPr>
        <w:t>资格条件</w:t>
      </w:r>
    </w:p>
    <w:p>
      <w:pPr>
        <w:spacing w:line="400" w:lineRule="exact"/>
        <w:ind w:firstLine="420" w:firstLineChars="200"/>
        <w:rPr>
          <w:rFonts w:ascii="宋体" w:hAnsi="宋体"/>
          <w:color w:val="auto"/>
          <w:szCs w:val="21"/>
        </w:rPr>
      </w:pPr>
      <w:r>
        <w:rPr>
          <w:rFonts w:hint="eastAsia" w:ascii="宋体" w:hAnsi="宋体"/>
          <w:color w:val="auto"/>
          <w:szCs w:val="21"/>
        </w:rPr>
        <w:t>我公司/单位满足《中华人民共和国政府采购法》第二十二条规定的投标人资格条件：</w:t>
      </w:r>
    </w:p>
    <w:p>
      <w:pPr>
        <w:spacing w:line="400" w:lineRule="exact"/>
        <w:ind w:firstLine="420" w:firstLineChars="200"/>
        <w:rPr>
          <w:rFonts w:ascii="宋体" w:hAnsi="宋体"/>
          <w:color w:val="auto"/>
          <w:szCs w:val="21"/>
        </w:rPr>
      </w:pPr>
      <w:r>
        <w:rPr>
          <w:rFonts w:hint="eastAsia" w:ascii="宋体" w:hAnsi="宋体"/>
          <w:color w:val="auto"/>
          <w:szCs w:val="21"/>
        </w:rPr>
        <w:t>1.具有独立承担民事责任的能力；</w:t>
      </w:r>
    </w:p>
    <w:p>
      <w:pPr>
        <w:spacing w:line="400" w:lineRule="exact"/>
        <w:ind w:firstLine="420" w:firstLineChars="200"/>
        <w:rPr>
          <w:rFonts w:ascii="宋体" w:hAnsi="宋体"/>
          <w:color w:val="auto"/>
          <w:szCs w:val="21"/>
        </w:rPr>
      </w:pPr>
      <w:r>
        <w:rPr>
          <w:rFonts w:hint="eastAsia" w:ascii="宋体" w:hAnsi="宋体"/>
          <w:color w:val="auto"/>
          <w:szCs w:val="21"/>
        </w:rPr>
        <w:t>2.具有良好的商业信誉和健全的财务会计制度；</w:t>
      </w:r>
    </w:p>
    <w:p>
      <w:pPr>
        <w:spacing w:line="400" w:lineRule="exact"/>
        <w:ind w:firstLine="420" w:firstLineChars="200"/>
        <w:rPr>
          <w:rFonts w:ascii="宋体" w:hAnsi="宋体"/>
          <w:color w:val="auto"/>
          <w:szCs w:val="21"/>
        </w:rPr>
      </w:pPr>
      <w:r>
        <w:rPr>
          <w:rFonts w:hint="eastAsia" w:ascii="宋体" w:hAnsi="宋体"/>
          <w:color w:val="auto"/>
          <w:szCs w:val="21"/>
        </w:rPr>
        <w:t>3.具有履行合同所必需的设备和专业技术能力；</w:t>
      </w:r>
    </w:p>
    <w:p>
      <w:pPr>
        <w:spacing w:line="400" w:lineRule="exact"/>
        <w:ind w:firstLine="420" w:firstLineChars="200"/>
        <w:rPr>
          <w:rFonts w:ascii="宋体" w:hAnsi="宋体"/>
          <w:color w:val="auto"/>
          <w:szCs w:val="21"/>
        </w:rPr>
      </w:pPr>
      <w:r>
        <w:rPr>
          <w:rFonts w:hint="eastAsia" w:ascii="宋体" w:hAnsi="宋体"/>
          <w:color w:val="auto"/>
          <w:szCs w:val="21"/>
        </w:rPr>
        <w:t>4.有依法缴纳税收和社会保障资金的良好记录；</w:t>
      </w:r>
    </w:p>
    <w:p>
      <w:pPr>
        <w:spacing w:line="400" w:lineRule="exact"/>
        <w:ind w:firstLine="420" w:firstLineChars="200"/>
        <w:rPr>
          <w:rFonts w:ascii="宋体" w:hAnsi="宋体"/>
          <w:color w:val="auto"/>
          <w:szCs w:val="21"/>
        </w:rPr>
      </w:pPr>
      <w:r>
        <w:rPr>
          <w:rFonts w:hint="eastAsia" w:ascii="宋体" w:hAnsi="宋体"/>
          <w:color w:val="auto"/>
          <w:szCs w:val="21"/>
        </w:rPr>
        <w:t>5.参加政府采购活动前三年内，在经营活动中没有重大违法记录；</w:t>
      </w:r>
    </w:p>
    <w:p>
      <w:pPr>
        <w:spacing w:line="400" w:lineRule="exact"/>
        <w:ind w:firstLine="420" w:firstLineChars="200"/>
        <w:rPr>
          <w:rFonts w:ascii="宋体" w:hAnsi="宋体"/>
          <w:color w:val="auto"/>
          <w:szCs w:val="21"/>
        </w:rPr>
      </w:pPr>
      <w:r>
        <w:rPr>
          <w:rFonts w:hint="eastAsia" w:ascii="宋体" w:hAnsi="宋体"/>
          <w:color w:val="auto"/>
          <w:szCs w:val="21"/>
        </w:rPr>
        <w:t>6.法律、行政法规规定的其他条件。</w:t>
      </w:r>
    </w:p>
    <w:p>
      <w:pPr>
        <w:spacing w:line="400" w:lineRule="exact"/>
        <w:ind w:firstLine="420" w:firstLineChars="200"/>
        <w:rPr>
          <w:rFonts w:ascii="宋体" w:hAnsi="宋体"/>
          <w:color w:val="auto"/>
          <w:szCs w:val="21"/>
        </w:rPr>
      </w:pPr>
      <w:r>
        <w:rPr>
          <w:rFonts w:hint="eastAsia" w:ascii="宋体" w:hAnsi="宋体"/>
          <w:color w:val="auto"/>
          <w:szCs w:val="21"/>
        </w:rPr>
        <w:t>特此承诺！</w:t>
      </w:r>
    </w:p>
    <w:p>
      <w:pPr>
        <w:spacing w:line="400" w:lineRule="exact"/>
        <w:ind w:firstLine="420" w:firstLineChars="200"/>
        <w:rPr>
          <w:rFonts w:ascii="宋体" w:hAnsi="宋体"/>
          <w:color w:val="auto"/>
          <w:szCs w:val="21"/>
        </w:rPr>
      </w:pPr>
    </w:p>
    <w:p>
      <w:pPr>
        <w:spacing w:line="400" w:lineRule="exact"/>
        <w:ind w:firstLine="420" w:firstLineChars="200"/>
        <w:rPr>
          <w:rFonts w:ascii="宋体" w:hAnsi="宋体"/>
          <w:color w:val="auto"/>
          <w:szCs w:val="21"/>
        </w:rPr>
      </w:pPr>
    </w:p>
    <w:p>
      <w:pPr>
        <w:spacing w:line="400" w:lineRule="exact"/>
        <w:ind w:firstLine="420" w:firstLineChars="200"/>
        <w:rPr>
          <w:rFonts w:ascii="宋体" w:hAnsi="宋体"/>
          <w:color w:val="auto"/>
          <w:szCs w:val="21"/>
        </w:rPr>
      </w:pPr>
    </w:p>
    <w:p>
      <w:pPr>
        <w:spacing w:line="400" w:lineRule="exact"/>
        <w:ind w:firstLine="4830" w:firstLineChars="2300"/>
        <w:rPr>
          <w:rFonts w:ascii="宋体" w:hAnsi="宋体"/>
          <w:color w:val="auto"/>
          <w:szCs w:val="21"/>
        </w:rPr>
      </w:pPr>
      <w:r>
        <w:rPr>
          <w:rFonts w:hint="eastAsia" w:ascii="宋体" w:hAnsi="宋体"/>
          <w:color w:val="auto"/>
          <w:szCs w:val="21"/>
        </w:rPr>
        <w:t xml:space="preserve">投标人（盖章）：        </w:t>
      </w:r>
    </w:p>
    <w:p>
      <w:pPr>
        <w:spacing w:line="400" w:lineRule="exact"/>
        <w:ind w:firstLine="1050" w:firstLineChars="500"/>
        <w:rPr>
          <w:rFonts w:ascii="宋体" w:hAnsi="宋体"/>
          <w:color w:val="auto"/>
          <w:szCs w:val="21"/>
        </w:rPr>
      </w:pPr>
      <w:r>
        <w:rPr>
          <w:rFonts w:hint="eastAsia" w:ascii="宋体" w:hAnsi="宋体"/>
          <w:color w:val="auto"/>
          <w:szCs w:val="21"/>
        </w:rPr>
        <w:t xml:space="preserve">投标人的法定代表人／负责人或其授权代表(签字或盖章)：        </w:t>
      </w:r>
    </w:p>
    <w:p>
      <w:pPr>
        <w:spacing w:line="400" w:lineRule="exact"/>
        <w:ind w:firstLine="420" w:firstLineChars="200"/>
        <w:rPr>
          <w:rFonts w:ascii="宋体" w:hAnsi="宋体"/>
          <w:color w:val="auto"/>
          <w:szCs w:val="21"/>
        </w:rPr>
      </w:pPr>
      <w:r>
        <w:rPr>
          <w:rFonts w:hint="eastAsia" w:ascii="宋体" w:hAnsi="宋体"/>
          <w:color w:val="auto"/>
          <w:szCs w:val="21"/>
        </w:rPr>
        <w:t xml:space="preserve">                                                  日  期：  </w:t>
      </w: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widowControl/>
        <w:spacing w:line="600" w:lineRule="exact"/>
        <w:ind w:right="159"/>
        <w:jc w:val="left"/>
        <w:rPr>
          <w:rFonts w:hint="default" w:ascii="宋体" w:hAnsi="宋体" w:eastAsia="宋体" w:cs="宋体"/>
          <w:szCs w:val="21"/>
          <w:lang w:val="en-US" w:eastAsia="zh-CN"/>
        </w:rPr>
      </w:pPr>
      <w:r>
        <w:rPr>
          <w:rFonts w:hint="eastAsia" w:ascii="宋体" w:hAnsi="宋体" w:cs="宋体"/>
          <w:szCs w:val="21"/>
        </w:rPr>
        <w:t>格式</w:t>
      </w:r>
      <w:r>
        <w:rPr>
          <w:rFonts w:hint="eastAsia" w:ascii="宋体" w:hAnsi="宋体" w:cs="宋体"/>
          <w:szCs w:val="21"/>
          <w:lang w:val="en-US" w:eastAsia="zh-CN"/>
        </w:rPr>
        <w:t>三：承诺函</w:t>
      </w:r>
    </w:p>
    <w:p>
      <w:pPr>
        <w:widowControl/>
        <w:spacing w:line="600" w:lineRule="exact"/>
        <w:ind w:right="159"/>
        <w:jc w:val="center"/>
        <w:rPr>
          <w:rFonts w:ascii="宋体" w:hAnsi="宋体"/>
          <w:b/>
          <w:color w:val="auto"/>
          <w:sz w:val="24"/>
        </w:rPr>
      </w:pPr>
      <w:r>
        <w:rPr>
          <w:rFonts w:hint="eastAsia" w:ascii="宋体" w:hAnsi="宋体"/>
          <w:b/>
          <w:color w:val="auto"/>
          <w:sz w:val="24"/>
        </w:rPr>
        <w:t>承 诺 函</w:t>
      </w:r>
    </w:p>
    <w:p>
      <w:pPr>
        <w:widowControl/>
        <w:spacing w:line="600" w:lineRule="exact"/>
        <w:ind w:right="159"/>
        <w:jc w:val="center"/>
        <w:rPr>
          <w:rFonts w:ascii="宋体" w:hAnsi="宋体"/>
          <w:b/>
          <w:color w:val="auto"/>
          <w:sz w:val="24"/>
        </w:rPr>
      </w:pPr>
    </w:p>
    <w:p>
      <w:pPr>
        <w:widowControl/>
        <w:spacing w:line="600" w:lineRule="exact"/>
        <w:ind w:right="159"/>
        <w:rPr>
          <w:rFonts w:ascii="宋体" w:hAnsi="宋体"/>
          <w:color w:val="auto"/>
          <w:szCs w:val="21"/>
        </w:rPr>
      </w:pPr>
      <w:r>
        <w:rPr>
          <w:rFonts w:hint="eastAsia" w:ascii="宋体" w:hAnsi="宋体"/>
          <w:color w:val="auto"/>
          <w:szCs w:val="21"/>
        </w:rPr>
        <w:t>致：</w:t>
      </w:r>
      <w:r>
        <w:rPr>
          <w:rFonts w:hint="eastAsia" w:ascii="宋体" w:hAnsi="宋体"/>
          <w:color w:val="auto"/>
          <w:szCs w:val="21"/>
          <w:lang w:val="en-US" w:eastAsia="zh-CN"/>
        </w:rPr>
        <w:t>宁波工建工程造价咨询有限公司</w:t>
      </w:r>
      <w:r>
        <w:rPr>
          <w:rFonts w:hint="eastAsia" w:ascii="宋体" w:hAnsi="宋体"/>
          <w:color w:val="auto"/>
          <w:szCs w:val="21"/>
        </w:rPr>
        <w:br w:type="textWrapping"/>
      </w:r>
      <w:r>
        <w:rPr>
          <w:rFonts w:hint="eastAsia" w:ascii="宋体" w:hAnsi="宋体"/>
          <w:color w:val="auto"/>
          <w:szCs w:val="21"/>
        </w:rPr>
        <w:t xml:space="preserve">    我公司/单位承诺未被“信用中国”（</w:t>
      </w:r>
      <w:r>
        <w:rPr>
          <w:color w:val="auto"/>
        </w:rPr>
        <w:fldChar w:fldCharType="begin"/>
      </w:r>
      <w:r>
        <w:rPr>
          <w:color w:val="auto"/>
        </w:rPr>
        <w:instrText xml:space="preserve"> HYPERLINK \t "_blank" </w:instrText>
      </w:r>
      <w:r>
        <w:rPr>
          <w:color w:val="auto"/>
        </w:rPr>
        <w:fldChar w:fldCharType="separate"/>
      </w:r>
      <w:r>
        <w:rPr>
          <w:rFonts w:hint="eastAsia" w:ascii="宋体" w:hAnsi="宋体"/>
          <w:color w:val="auto"/>
        </w:rPr>
        <w:t>www.creditchina.gov.cn)、中国政府采购网（www.ccgp.gov.cn）列入失信被执行人、重大税收违法案件当事人名单、政府采购严重违法失信行为记录名单</w:t>
      </w:r>
      <w:r>
        <w:rPr>
          <w:rFonts w:hint="eastAsia" w:ascii="宋体" w:hAnsi="宋体"/>
          <w:color w:val="auto"/>
        </w:rPr>
        <w:fldChar w:fldCharType="end"/>
      </w:r>
      <w:r>
        <w:rPr>
          <w:rFonts w:hint="eastAsia" w:ascii="微软雅黑" w:hAnsi="微软雅黑" w:eastAsia="微软雅黑"/>
          <w:color w:val="auto"/>
          <w:szCs w:val="21"/>
          <w:shd w:val="clear" w:color="auto" w:fill="FFFFFF"/>
        </w:rPr>
        <w:t>。</w:t>
      </w:r>
      <w:r>
        <w:rPr>
          <w:rFonts w:hint="eastAsia" w:ascii="宋体" w:hAnsi="宋体"/>
          <w:color w:val="auto"/>
          <w:szCs w:val="21"/>
        </w:rPr>
        <w:br w:type="textWrapping"/>
      </w:r>
      <w:r>
        <w:rPr>
          <w:rFonts w:hint="eastAsia" w:ascii="宋体" w:hAnsi="宋体"/>
          <w:color w:val="auto"/>
          <w:szCs w:val="21"/>
        </w:rPr>
        <w:t xml:space="preserve">    针对上述承诺，我司保证严格遵守！如有违反，愿无条件放弃中标，并接受处理，承担相应的责任。 </w:t>
      </w:r>
      <w:r>
        <w:rPr>
          <w:rFonts w:hint="eastAsia" w:ascii="宋体" w:hAnsi="宋体"/>
          <w:color w:val="auto"/>
          <w:szCs w:val="21"/>
        </w:rPr>
        <w:br w:type="textWrapping"/>
      </w:r>
      <w:r>
        <w:rPr>
          <w:rFonts w:hint="eastAsia" w:ascii="宋体" w:hAnsi="宋体"/>
          <w:color w:val="auto"/>
          <w:szCs w:val="21"/>
        </w:rPr>
        <w:br w:type="textWrapping"/>
      </w:r>
      <w:r>
        <w:rPr>
          <w:rFonts w:hint="eastAsia" w:ascii="宋体" w:hAnsi="宋体"/>
          <w:color w:val="auto"/>
          <w:szCs w:val="21"/>
        </w:rPr>
        <w:br w:type="textWrapping"/>
      </w:r>
      <w:r>
        <w:rPr>
          <w:rFonts w:hint="eastAsia" w:ascii="宋体" w:hAnsi="宋体"/>
          <w:color w:val="auto"/>
          <w:szCs w:val="21"/>
        </w:rPr>
        <w:br w:type="textWrapping"/>
      </w:r>
      <w:r>
        <w:rPr>
          <w:rFonts w:hint="eastAsia" w:ascii="宋体" w:hAnsi="宋体"/>
          <w:color w:val="auto"/>
          <w:szCs w:val="21"/>
        </w:rPr>
        <w:t>投标人（盖章）：</w:t>
      </w:r>
      <w:r>
        <w:rPr>
          <w:rFonts w:hint="eastAsia" w:ascii="宋体" w:hAnsi="宋体"/>
          <w:color w:val="auto"/>
          <w:szCs w:val="21"/>
        </w:rPr>
        <w:br w:type="textWrapping"/>
      </w:r>
      <w:r>
        <w:rPr>
          <w:rFonts w:hint="eastAsia" w:ascii="宋体" w:hAnsi="宋体"/>
          <w:color w:val="auto"/>
          <w:szCs w:val="21"/>
        </w:rPr>
        <w:t>法定代表人／负责人或授权代表（签字或盖章）：</w:t>
      </w:r>
      <w:r>
        <w:rPr>
          <w:rFonts w:hint="eastAsia" w:ascii="宋体" w:hAnsi="宋体"/>
          <w:color w:val="auto"/>
          <w:szCs w:val="21"/>
        </w:rPr>
        <w:br w:type="textWrapping"/>
      </w:r>
      <w:r>
        <w:rPr>
          <w:rFonts w:hint="eastAsia" w:ascii="宋体" w:hAnsi="宋体"/>
          <w:color w:val="auto"/>
          <w:szCs w:val="21"/>
        </w:rPr>
        <w:t>日期：</w:t>
      </w:r>
    </w:p>
    <w:p>
      <w:pPr>
        <w:snapToGrid w:val="0"/>
        <w:spacing w:line="600" w:lineRule="exact"/>
        <w:ind w:firstLine="420" w:firstLineChars="200"/>
        <w:jc w:val="left"/>
        <w:outlineLvl w:val="1"/>
        <w:rPr>
          <w:rFonts w:ascii="宋体" w:hAnsi="宋体"/>
          <w:color w:val="auto"/>
          <w:szCs w:val="21"/>
        </w:rPr>
      </w:pPr>
    </w:p>
    <w:p>
      <w:pPr>
        <w:snapToGrid w:val="0"/>
        <w:spacing w:line="400" w:lineRule="exact"/>
        <w:ind w:firstLine="420" w:firstLineChars="200"/>
        <w:jc w:val="center"/>
        <w:outlineLvl w:val="1"/>
        <w:rPr>
          <w:rFonts w:ascii="宋体" w:hAnsi="宋体"/>
          <w:color w:val="auto"/>
          <w:szCs w:val="21"/>
        </w:rPr>
      </w:pPr>
    </w:p>
    <w:p>
      <w:pPr>
        <w:snapToGrid w:val="0"/>
        <w:spacing w:line="400" w:lineRule="exact"/>
        <w:ind w:firstLine="420" w:firstLineChars="200"/>
        <w:jc w:val="center"/>
        <w:outlineLvl w:val="1"/>
        <w:rPr>
          <w:rFonts w:ascii="宋体" w:hAnsi="宋体"/>
          <w:color w:val="auto"/>
          <w:szCs w:val="21"/>
        </w:rPr>
      </w:pPr>
    </w:p>
    <w:p>
      <w:pPr>
        <w:snapToGrid w:val="0"/>
        <w:spacing w:line="400" w:lineRule="exact"/>
        <w:ind w:firstLine="420" w:firstLineChars="200"/>
        <w:jc w:val="center"/>
        <w:outlineLvl w:val="1"/>
        <w:rPr>
          <w:rFonts w:ascii="宋体" w:hAnsi="宋体"/>
          <w:color w:val="auto"/>
          <w:szCs w:val="21"/>
        </w:rPr>
      </w:pPr>
    </w:p>
    <w:p>
      <w:pPr>
        <w:snapToGrid w:val="0"/>
        <w:spacing w:line="400" w:lineRule="exact"/>
        <w:ind w:firstLine="420" w:firstLineChars="200"/>
        <w:jc w:val="center"/>
        <w:outlineLvl w:val="1"/>
        <w:rPr>
          <w:rFonts w:ascii="宋体" w:hAnsi="宋体"/>
          <w:color w:val="auto"/>
          <w:szCs w:val="21"/>
        </w:rPr>
      </w:pPr>
    </w:p>
    <w:p>
      <w:pPr>
        <w:snapToGrid w:val="0"/>
        <w:spacing w:line="400" w:lineRule="exact"/>
        <w:ind w:firstLine="420" w:firstLineChars="200"/>
        <w:jc w:val="center"/>
        <w:outlineLvl w:val="1"/>
        <w:rPr>
          <w:rFonts w:ascii="宋体" w:hAnsi="宋体"/>
          <w:color w:val="auto"/>
          <w:szCs w:val="21"/>
        </w:rPr>
      </w:pPr>
    </w:p>
    <w:p>
      <w:pPr>
        <w:snapToGrid w:val="0"/>
        <w:spacing w:line="400" w:lineRule="exact"/>
        <w:ind w:firstLine="420" w:firstLineChars="200"/>
        <w:jc w:val="center"/>
        <w:outlineLvl w:val="1"/>
        <w:rPr>
          <w:rFonts w:ascii="宋体" w:hAnsi="宋体"/>
          <w:color w:val="auto"/>
          <w:szCs w:val="21"/>
        </w:rPr>
      </w:pPr>
    </w:p>
    <w:p>
      <w:pPr>
        <w:snapToGrid w:val="0"/>
        <w:spacing w:line="400" w:lineRule="exact"/>
        <w:ind w:firstLine="420" w:firstLineChars="200"/>
        <w:jc w:val="center"/>
        <w:outlineLvl w:val="1"/>
        <w:rPr>
          <w:rFonts w:ascii="宋体" w:hAnsi="宋体"/>
          <w:color w:val="auto"/>
          <w:szCs w:val="21"/>
        </w:rPr>
      </w:pPr>
    </w:p>
    <w:p>
      <w:pPr>
        <w:pStyle w:val="42"/>
        <w:rPr>
          <w:rFonts w:ascii="宋体" w:hAnsi="宋体"/>
          <w:color w:val="auto"/>
          <w:szCs w:val="21"/>
        </w:rPr>
      </w:pPr>
    </w:p>
    <w:p>
      <w:pPr>
        <w:pStyle w:val="42"/>
        <w:rPr>
          <w:rFonts w:ascii="宋体" w:hAnsi="宋体"/>
          <w:color w:val="auto"/>
          <w:szCs w:val="21"/>
        </w:rPr>
      </w:pPr>
    </w:p>
    <w:p>
      <w:pPr>
        <w:pStyle w:val="42"/>
        <w:rPr>
          <w:rFonts w:ascii="宋体" w:hAnsi="宋体"/>
          <w:color w:val="auto"/>
          <w:szCs w:val="21"/>
        </w:rPr>
      </w:pPr>
    </w:p>
    <w:p>
      <w:pPr>
        <w:pStyle w:val="42"/>
        <w:rPr>
          <w:rFonts w:ascii="宋体" w:hAnsi="宋体"/>
          <w:color w:val="auto"/>
          <w:szCs w:val="21"/>
        </w:rPr>
      </w:pPr>
    </w:p>
    <w:p>
      <w:pPr>
        <w:pStyle w:val="42"/>
        <w:rPr>
          <w:rFonts w:ascii="宋体" w:hAnsi="宋体"/>
          <w:color w:val="auto"/>
          <w:szCs w:val="21"/>
        </w:rPr>
      </w:pPr>
    </w:p>
    <w:p>
      <w:pPr>
        <w:snapToGrid w:val="0"/>
        <w:spacing w:line="400" w:lineRule="exact"/>
        <w:ind w:firstLine="420" w:firstLineChars="200"/>
        <w:jc w:val="center"/>
        <w:outlineLvl w:val="1"/>
        <w:rPr>
          <w:rFonts w:ascii="宋体" w:hAnsi="宋体"/>
          <w:color w:val="auto"/>
          <w:szCs w:val="21"/>
        </w:rPr>
      </w:pPr>
    </w:p>
    <w:p>
      <w:pPr>
        <w:rPr>
          <w:b/>
        </w:rPr>
      </w:pPr>
      <w:r>
        <w:rPr>
          <w:rFonts w:hint="eastAsia"/>
          <w:b/>
        </w:rPr>
        <w:t>格式</w:t>
      </w:r>
      <w:r>
        <w:rPr>
          <w:rFonts w:hint="eastAsia"/>
          <w:b/>
          <w:lang w:val="en-US" w:eastAsia="zh-CN"/>
        </w:rPr>
        <w:t>四</w:t>
      </w:r>
      <w:r>
        <w:rPr>
          <w:rFonts w:hint="eastAsia"/>
          <w:b/>
        </w:rPr>
        <w:t>：</w:t>
      </w:r>
      <w:r>
        <w:rPr>
          <w:rFonts w:hint="eastAsia"/>
          <w:b/>
          <w:lang w:eastAsia="zh-CN"/>
        </w:rPr>
        <w:t>供应商</w:t>
      </w:r>
      <w:r>
        <w:rPr>
          <w:rFonts w:hint="eastAsia"/>
          <w:b/>
        </w:rPr>
        <w:t>特定资格条件的证明文件</w:t>
      </w:r>
    </w:p>
    <w:p>
      <w:pPr>
        <w:rPr>
          <w:b/>
        </w:rPr>
      </w:pPr>
    </w:p>
    <w:p>
      <w:pPr>
        <w:rPr>
          <w:b/>
        </w:rPr>
      </w:pPr>
    </w:p>
    <w:p>
      <w:pPr>
        <w:rPr>
          <w:b/>
        </w:rPr>
      </w:pPr>
    </w:p>
    <w:p>
      <w:pPr>
        <w:rPr>
          <w:b/>
        </w:rPr>
      </w:pPr>
    </w:p>
    <w:p>
      <w:pPr>
        <w:rPr>
          <w:b/>
        </w:rPr>
      </w:pPr>
      <w:r>
        <w:rPr>
          <w:rFonts w:hint="eastAsia"/>
          <w:b/>
        </w:rPr>
        <w:t>格式</w:t>
      </w:r>
      <w:r>
        <w:rPr>
          <w:rFonts w:hint="eastAsia"/>
          <w:b/>
          <w:lang w:val="en-US" w:eastAsia="zh-CN"/>
        </w:rPr>
        <w:t>五</w:t>
      </w:r>
      <w:r>
        <w:rPr>
          <w:rFonts w:hint="eastAsia"/>
          <w:b/>
        </w:rPr>
        <w:t>：招标文件要求及</w:t>
      </w:r>
      <w:r>
        <w:rPr>
          <w:rFonts w:hint="eastAsia"/>
          <w:b/>
          <w:lang w:eastAsia="zh-CN"/>
        </w:rPr>
        <w:t>供应商</w:t>
      </w:r>
      <w:r>
        <w:rPr>
          <w:rFonts w:hint="eastAsia"/>
          <w:b/>
        </w:rPr>
        <w:t>认为需要提供的其他证明材料（如有）</w:t>
      </w: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jc w:val="center"/>
      </w:pPr>
      <w:r>
        <w:rPr>
          <w:rFonts w:hint="eastAsia"/>
        </w:rPr>
        <w:t>二、商务技术文件格式</w:t>
      </w:r>
    </w:p>
    <w:p>
      <w:pPr>
        <w:snapToGrid w:val="0"/>
        <w:spacing w:before="120" w:beforeLines="50" w:after="50"/>
        <w:jc w:val="center"/>
        <w:rPr>
          <w:rFonts w:ascii="宋体"/>
          <w:szCs w:val="21"/>
        </w:rPr>
      </w:pPr>
    </w:p>
    <w:p>
      <w:pPr>
        <w:snapToGrid w:val="0"/>
        <w:spacing w:before="120" w:beforeLines="50" w:after="50"/>
        <w:rPr>
          <w:rFonts w:ascii="宋体"/>
          <w:bCs/>
          <w:szCs w:val="21"/>
        </w:rPr>
      </w:pPr>
      <w:r>
        <w:rPr>
          <w:rFonts w:ascii="宋体" w:hAnsi="宋体"/>
          <w:szCs w:val="21"/>
        </w:rPr>
        <w:t>1.</w:t>
      </w:r>
      <w:r>
        <w:rPr>
          <w:rFonts w:hint="eastAsia" w:ascii="宋体" w:hAnsi="宋体"/>
          <w:szCs w:val="21"/>
        </w:rPr>
        <w:t>商务技术文件</w:t>
      </w:r>
      <w:r>
        <w:rPr>
          <w:rFonts w:hint="eastAsia" w:ascii="宋体" w:hAnsi="宋体"/>
          <w:bCs/>
          <w:szCs w:val="21"/>
        </w:rPr>
        <w:t>的外包装封面格式：</w:t>
      </w:r>
    </w:p>
    <w:p>
      <w:pPr>
        <w:snapToGrid w:val="0"/>
        <w:spacing w:before="120" w:beforeLines="50" w:after="50"/>
        <w:rPr>
          <w:rFonts w:ascii="宋体"/>
          <w:bCs/>
          <w:szCs w:val="21"/>
        </w:rPr>
      </w:pPr>
    </w:p>
    <w:p>
      <w:pPr>
        <w:snapToGrid w:val="0"/>
        <w:spacing w:before="120" w:beforeLines="50" w:after="50"/>
        <w:ind w:firstLine="3689" w:firstLineChars="1750"/>
        <w:rPr>
          <w:rFonts w:ascii="宋体"/>
          <w:b/>
          <w:bCs/>
          <w:szCs w:val="21"/>
        </w:rPr>
      </w:pPr>
      <w:r>
        <w:rPr>
          <w:rFonts w:hint="eastAsia" w:ascii="宋体" w:hAnsi="宋体"/>
          <w:b/>
          <w:bCs/>
          <w:szCs w:val="21"/>
        </w:rPr>
        <w:t>商务技术文件</w:t>
      </w:r>
    </w:p>
    <w:p>
      <w:pPr>
        <w:snapToGrid w:val="0"/>
        <w:spacing w:before="120" w:beforeLines="50" w:after="50"/>
        <w:ind w:firstLine="932" w:firstLineChars="444"/>
      </w:pPr>
      <w:r>
        <w:rPr>
          <w:rFonts w:hint="eastAsia" w:ascii="宋体" w:hAnsi="宋体"/>
          <w:bCs/>
          <w:szCs w:val="21"/>
        </w:rPr>
        <w:t>项目名称：</w:t>
      </w:r>
    </w:p>
    <w:p>
      <w:pPr>
        <w:snapToGrid w:val="0"/>
        <w:spacing w:before="120" w:beforeLines="50" w:after="50"/>
        <w:ind w:firstLine="932" w:firstLineChars="444"/>
        <w:rPr>
          <w:rFonts w:ascii="宋体"/>
          <w:bCs/>
          <w:szCs w:val="21"/>
        </w:rPr>
      </w:pPr>
      <w:r>
        <w:rPr>
          <w:rFonts w:hint="eastAsia" w:ascii="宋体" w:hAnsi="宋体"/>
          <w:bCs/>
          <w:szCs w:val="21"/>
        </w:rPr>
        <w:t>项目编号：</w:t>
      </w:r>
    </w:p>
    <w:p>
      <w:pPr>
        <w:snapToGrid w:val="0"/>
        <w:spacing w:before="120" w:beforeLines="50" w:after="50"/>
        <w:ind w:firstLine="932" w:firstLineChars="444"/>
        <w:rPr>
          <w:rFonts w:ascii="宋体"/>
          <w:bCs/>
          <w:szCs w:val="21"/>
        </w:rPr>
      </w:pPr>
    </w:p>
    <w:p>
      <w:pPr>
        <w:pStyle w:val="3"/>
        <w:snapToGrid w:val="0"/>
        <w:spacing w:before="50" w:after="50"/>
        <w:ind w:firstLine="932" w:firstLineChars="444"/>
        <w:rPr>
          <w:rFonts w:ascii="宋体"/>
          <w:szCs w:val="21"/>
        </w:rPr>
      </w:pPr>
      <w:r>
        <w:rPr>
          <w:rFonts w:hint="eastAsia" w:ascii="宋体" w:hAnsi="宋体"/>
          <w:szCs w:val="21"/>
          <w:lang w:eastAsia="zh-CN"/>
        </w:rPr>
        <w:t>供应商</w:t>
      </w:r>
      <w:r>
        <w:rPr>
          <w:rFonts w:hint="eastAsia" w:ascii="宋体" w:hAnsi="宋体"/>
          <w:szCs w:val="21"/>
        </w:rPr>
        <w:t>名称：</w:t>
      </w:r>
    </w:p>
    <w:p>
      <w:pPr>
        <w:pStyle w:val="3"/>
        <w:snapToGrid w:val="0"/>
        <w:spacing w:before="50" w:after="50"/>
        <w:ind w:firstLine="932" w:firstLineChars="444"/>
        <w:rPr>
          <w:rFonts w:ascii="宋体"/>
          <w:szCs w:val="21"/>
        </w:rPr>
      </w:pPr>
      <w:r>
        <w:rPr>
          <w:rFonts w:hint="eastAsia" w:ascii="宋体" w:hAnsi="宋体"/>
          <w:szCs w:val="21"/>
          <w:lang w:eastAsia="zh-CN"/>
        </w:rPr>
        <w:t>供应商</w:t>
      </w:r>
      <w:r>
        <w:rPr>
          <w:rFonts w:hint="eastAsia" w:ascii="宋体" w:hAnsi="宋体"/>
          <w:szCs w:val="21"/>
        </w:rPr>
        <w:t>地址：</w:t>
      </w:r>
    </w:p>
    <w:p>
      <w:pPr>
        <w:pStyle w:val="3"/>
        <w:snapToGrid w:val="0"/>
        <w:spacing w:before="50" w:after="50"/>
        <w:ind w:firstLine="932" w:firstLineChars="444"/>
        <w:jc w:val="center"/>
        <w:rPr>
          <w:rFonts w:ascii="宋体"/>
          <w:bCs/>
          <w:szCs w:val="21"/>
        </w:rPr>
      </w:pPr>
      <w:r>
        <w:rPr>
          <w:rFonts w:hint="eastAsia"/>
        </w:rPr>
        <w:t>开标时启封</w:t>
      </w:r>
    </w:p>
    <w:p>
      <w:pPr>
        <w:pStyle w:val="3"/>
        <w:snapToGrid w:val="0"/>
        <w:spacing w:before="50" w:after="50"/>
        <w:ind w:firstLine="873" w:firstLineChars="416"/>
        <w:rPr>
          <w:rFonts w:ascii="宋体"/>
          <w:szCs w:val="21"/>
        </w:rPr>
      </w:pPr>
    </w:p>
    <w:p>
      <w:pPr>
        <w:snapToGrid w:val="0"/>
        <w:spacing w:before="120" w:beforeLines="50" w:after="50"/>
        <w:ind w:firstLine="645"/>
        <w:jc w:val="center"/>
        <w:rPr>
          <w:rFonts w:ascii="宋体"/>
          <w:szCs w:val="21"/>
        </w:rPr>
      </w:pPr>
      <w:r>
        <w:rPr>
          <w:rFonts w:hint="eastAsia" w:ascii="宋体" w:hAnsi="宋体"/>
          <w:szCs w:val="21"/>
        </w:rPr>
        <w:t>年月日</w:t>
      </w:r>
    </w:p>
    <w:p>
      <w:pPr>
        <w:snapToGrid w:val="0"/>
        <w:spacing w:before="120" w:beforeLines="50" w:after="50"/>
        <w:jc w:val="center"/>
        <w:rPr>
          <w:rFonts w:ascii="宋体"/>
          <w:szCs w:val="21"/>
        </w:rPr>
      </w:pPr>
    </w:p>
    <w:p>
      <w:pPr>
        <w:snapToGrid w:val="0"/>
        <w:spacing w:before="120" w:beforeLines="50" w:after="50"/>
        <w:jc w:val="center"/>
        <w:rPr>
          <w:rFonts w:ascii="宋体"/>
          <w:szCs w:val="21"/>
        </w:rPr>
      </w:pPr>
    </w:p>
    <w:p>
      <w:pPr>
        <w:snapToGrid w:val="0"/>
        <w:spacing w:before="120" w:beforeLines="50" w:after="50"/>
        <w:rPr>
          <w:rFonts w:ascii="宋体"/>
          <w:szCs w:val="21"/>
        </w:rPr>
      </w:pPr>
    </w:p>
    <w:p>
      <w:pPr>
        <w:snapToGrid w:val="0"/>
        <w:spacing w:before="120" w:beforeLines="50" w:after="50"/>
        <w:rPr>
          <w:rFonts w:ascii="宋体"/>
          <w:szCs w:val="21"/>
        </w:rPr>
      </w:pPr>
      <w:r>
        <w:rPr>
          <w:rFonts w:ascii="宋体" w:hAnsi="宋体"/>
          <w:szCs w:val="21"/>
        </w:rPr>
        <w:t xml:space="preserve">2. </w:t>
      </w:r>
      <w:r>
        <w:rPr>
          <w:rFonts w:hint="eastAsia" w:ascii="宋体" w:hAnsi="宋体"/>
          <w:szCs w:val="21"/>
        </w:rPr>
        <w:t>商务技术文件封面格式：</w:t>
      </w:r>
    </w:p>
    <w:p>
      <w:pPr>
        <w:snapToGrid w:val="0"/>
        <w:spacing w:before="120" w:beforeLines="50" w:after="50"/>
        <w:jc w:val="right"/>
        <w:rPr>
          <w:rFonts w:hint="eastAsia" w:ascii="宋体" w:hAnsi="宋体"/>
          <w:b/>
          <w:bCs/>
          <w:szCs w:val="21"/>
        </w:rPr>
      </w:pPr>
    </w:p>
    <w:p>
      <w:pPr>
        <w:snapToGrid w:val="0"/>
        <w:spacing w:before="120" w:beforeLines="50" w:after="50"/>
        <w:jc w:val="right"/>
        <w:rPr>
          <w:rFonts w:ascii="宋体"/>
          <w:b/>
          <w:bCs/>
          <w:szCs w:val="21"/>
        </w:rPr>
      </w:pPr>
    </w:p>
    <w:p>
      <w:pPr>
        <w:snapToGrid w:val="0"/>
        <w:spacing w:before="120" w:beforeLines="50" w:after="50"/>
        <w:rPr>
          <w:rFonts w:ascii="宋体"/>
          <w:szCs w:val="21"/>
        </w:rPr>
      </w:pPr>
    </w:p>
    <w:p>
      <w:pPr>
        <w:snapToGrid w:val="0"/>
        <w:spacing w:before="120" w:beforeLines="50" w:after="50"/>
        <w:jc w:val="center"/>
        <w:rPr>
          <w:rFonts w:ascii="宋体"/>
          <w:bCs/>
          <w:szCs w:val="21"/>
        </w:rPr>
      </w:pPr>
    </w:p>
    <w:p>
      <w:pPr>
        <w:snapToGrid w:val="0"/>
        <w:spacing w:before="50" w:after="120" w:afterLines="50" w:line="360" w:lineRule="auto"/>
        <w:jc w:val="center"/>
        <w:rPr>
          <w:rFonts w:ascii="宋体" w:cs="宋体"/>
          <w:b/>
          <w:bCs/>
        </w:rPr>
      </w:pPr>
      <w:r>
        <w:rPr>
          <w:rFonts w:hint="eastAsia" w:ascii="宋体" w:hAnsi="宋体" w:cs="宋体"/>
          <w:b/>
          <w:bCs/>
        </w:rPr>
        <w:t>商务技术文件</w:t>
      </w:r>
    </w:p>
    <w:p>
      <w:pPr>
        <w:snapToGrid w:val="0"/>
        <w:spacing w:before="120" w:beforeLines="50" w:after="50"/>
        <w:ind w:firstLine="932" w:firstLineChars="444"/>
      </w:pPr>
      <w:r>
        <w:rPr>
          <w:rFonts w:hint="eastAsia" w:ascii="宋体" w:hAnsi="宋体"/>
          <w:bCs/>
          <w:szCs w:val="21"/>
        </w:rPr>
        <w:t>项目名称：</w:t>
      </w:r>
    </w:p>
    <w:p>
      <w:pPr>
        <w:snapToGrid w:val="0"/>
        <w:spacing w:before="120" w:beforeLines="50" w:after="50"/>
        <w:ind w:firstLine="932" w:firstLineChars="444"/>
        <w:rPr>
          <w:rFonts w:ascii="宋体"/>
          <w:bCs/>
          <w:szCs w:val="21"/>
        </w:rPr>
      </w:pPr>
      <w:r>
        <w:rPr>
          <w:rFonts w:hint="eastAsia" w:ascii="宋体" w:hAnsi="宋体"/>
          <w:bCs/>
          <w:szCs w:val="21"/>
        </w:rPr>
        <w:t>项目编号：</w:t>
      </w:r>
    </w:p>
    <w:p>
      <w:pPr>
        <w:snapToGrid w:val="0"/>
        <w:spacing w:before="120" w:beforeLines="50" w:after="50"/>
        <w:ind w:firstLine="932" w:firstLineChars="444"/>
        <w:rPr>
          <w:rFonts w:ascii="宋体"/>
          <w:bCs/>
          <w:szCs w:val="21"/>
        </w:rPr>
      </w:pPr>
    </w:p>
    <w:p>
      <w:pPr>
        <w:snapToGrid w:val="0"/>
        <w:spacing w:before="120" w:beforeLines="50" w:after="50"/>
        <w:ind w:firstLine="932" w:firstLineChars="444"/>
        <w:rPr>
          <w:rFonts w:ascii="宋体"/>
          <w:bCs/>
          <w:szCs w:val="21"/>
        </w:rPr>
      </w:pPr>
      <w:r>
        <w:rPr>
          <w:rFonts w:hint="eastAsia" w:ascii="宋体" w:hAnsi="宋体"/>
          <w:bCs/>
          <w:szCs w:val="21"/>
          <w:lang w:eastAsia="zh-CN"/>
        </w:rPr>
        <w:t>供应商</w:t>
      </w:r>
      <w:r>
        <w:rPr>
          <w:rFonts w:hint="eastAsia" w:ascii="宋体" w:hAnsi="宋体"/>
          <w:bCs/>
          <w:szCs w:val="21"/>
        </w:rPr>
        <w:t>名称：</w:t>
      </w:r>
    </w:p>
    <w:p>
      <w:pPr>
        <w:pStyle w:val="3"/>
        <w:snapToGrid w:val="0"/>
        <w:spacing w:before="50" w:after="50"/>
        <w:ind w:firstLine="932" w:firstLineChars="444"/>
        <w:rPr>
          <w:rFonts w:ascii="宋体"/>
          <w:bCs/>
          <w:szCs w:val="21"/>
        </w:rPr>
      </w:pPr>
      <w:r>
        <w:rPr>
          <w:rFonts w:hint="eastAsia" w:ascii="宋体" w:hAnsi="宋体"/>
          <w:bCs/>
          <w:szCs w:val="21"/>
          <w:lang w:eastAsia="zh-CN"/>
        </w:rPr>
        <w:t>供应商</w:t>
      </w:r>
      <w:r>
        <w:rPr>
          <w:rFonts w:hint="eastAsia" w:ascii="宋体" w:hAnsi="宋体"/>
          <w:bCs/>
          <w:szCs w:val="21"/>
        </w:rPr>
        <w:t>地址：</w:t>
      </w:r>
    </w:p>
    <w:p>
      <w:pPr>
        <w:pStyle w:val="3"/>
        <w:snapToGrid w:val="0"/>
        <w:spacing w:before="50" w:after="50"/>
        <w:ind w:firstLine="840" w:firstLineChars="400"/>
        <w:rPr>
          <w:rFonts w:ascii="宋体"/>
          <w:bCs/>
          <w:szCs w:val="21"/>
        </w:rPr>
      </w:pPr>
    </w:p>
    <w:p>
      <w:pPr>
        <w:pStyle w:val="3"/>
        <w:snapToGrid w:val="0"/>
        <w:spacing w:before="50" w:after="50"/>
        <w:ind w:firstLine="873" w:firstLineChars="416"/>
        <w:rPr>
          <w:rFonts w:ascii="宋体"/>
          <w:szCs w:val="21"/>
        </w:rPr>
      </w:pPr>
    </w:p>
    <w:p>
      <w:pPr>
        <w:snapToGrid w:val="0"/>
        <w:spacing w:before="120" w:beforeLines="50" w:after="50"/>
        <w:ind w:firstLine="645"/>
        <w:jc w:val="center"/>
        <w:rPr>
          <w:rFonts w:ascii="宋体"/>
          <w:szCs w:val="21"/>
        </w:rPr>
      </w:pPr>
      <w:r>
        <w:rPr>
          <w:rFonts w:hint="eastAsia" w:ascii="宋体" w:hAnsi="宋体"/>
          <w:szCs w:val="21"/>
        </w:rPr>
        <w:t>年月日</w:t>
      </w:r>
    </w:p>
    <w:p>
      <w:pPr>
        <w:snapToGrid w:val="0"/>
        <w:spacing w:before="120" w:beforeLines="50" w:after="50"/>
        <w:rPr>
          <w:rFonts w:ascii="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napToGrid w:val="0"/>
        <w:spacing w:line="360" w:lineRule="auto"/>
        <w:rPr>
          <w:rFonts w:ascii="宋体" w:cs="宋体"/>
          <w:szCs w:val="21"/>
        </w:rPr>
      </w:pPr>
    </w:p>
    <w:p>
      <w:pPr>
        <w:spacing w:line="360" w:lineRule="auto"/>
        <w:rPr>
          <w:b/>
        </w:rPr>
      </w:pPr>
      <w:r>
        <w:rPr>
          <w:rFonts w:ascii="宋体" w:hAnsi="宋体"/>
          <w:b/>
          <w:bCs/>
          <w:szCs w:val="21"/>
        </w:rPr>
        <w:t>1.</w:t>
      </w:r>
      <w:r>
        <w:rPr>
          <w:rFonts w:hint="eastAsia" w:ascii="宋体" w:hAnsi="宋体"/>
          <w:b/>
          <w:bCs/>
          <w:szCs w:val="21"/>
        </w:rPr>
        <w:t>符合性自查表格式</w:t>
      </w:r>
    </w:p>
    <w:p>
      <w:pPr>
        <w:adjustRightInd w:val="0"/>
        <w:snapToGrid w:val="0"/>
        <w:jc w:val="center"/>
        <w:rPr>
          <w:rFonts w:ascii="宋体"/>
          <w:b/>
          <w:sz w:val="24"/>
        </w:rPr>
      </w:pPr>
    </w:p>
    <w:p>
      <w:pPr>
        <w:snapToGrid w:val="0"/>
        <w:spacing w:before="120" w:beforeLines="50" w:after="50"/>
        <w:jc w:val="center"/>
        <w:rPr>
          <w:rFonts w:ascii="宋体"/>
          <w:b/>
          <w:szCs w:val="21"/>
        </w:rPr>
      </w:pPr>
      <w:r>
        <w:rPr>
          <w:rFonts w:hint="eastAsia" w:ascii="宋体" w:hAnsi="宋体"/>
          <w:b/>
          <w:szCs w:val="21"/>
        </w:rPr>
        <w:t>符合性自查表</w:t>
      </w:r>
    </w:p>
    <w:p>
      <w:pPr>
        <w:jc w:val="center"/>
        <w:rPr>
          <w:b/>
        </w:rPr>
      </w:pPr>
    </w:p>
    <w:tbl>
      <w:tblPr>
        <w:tblStyle w:val="30"/>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4221"/>
        <w:gridCol w:w="1270"/>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47" w:hRule="atLeast"/>
          <w:jc w:val="center"/>
        </w:trPr>
        <w:tc>
          <w:tcPr>
            <w:tcW w:w="831" w:type="dxa"/>
            <w:vAlign w:val="center"/>
          </w:tcPr>
          <w:p>
            <w:pPr>
              <w:spacing w:line="240" w:lineRule="exact"/>
              <w:jc w:val="center"/>
            </w:pPr>
            <w:r>
              <w:rPr>
                <w:rFonts w:hint="eastAsia"/>
              </w:rPr>
              <w:t>评审内容</w:t>
            </w:r>
          </w:p>
        </w:tc>
        <w:tc>
          <w:tcPr>
            <w:tcW w:w="4221" w:type="dxa"/>
            <w:vAlign w:val="center"/>
          </w:tcPr>
          <w:p>
            <w:pPr>
              <w:spacing w:line="240" w:lineRule="exact"/>
              <w:jc w:val="center"/>
            </w:pPr>
            <w:r>
              <w:rPr>
                <w:rFonts w:hint="eastAsia"/>
              </w:rPr>
              <w:t>采购文件要求</w:t>
            </w:r>
          </w:p>
        </w:tc>
        <w:tc>
          <w:tcPr>
            <w:tcW w:w="1270" w:type="dxa"/>
            <w:vAlign w:val="center"/>
          </w:tcPr>
          <w:p>
            <w:pPr>
              <w:spacing w:line="240" w:lineRule="exact"/>
              <w:jc w:val="center"/>
            </w:pPr>
            <w:r>
              <w:rPr>
                <w:rFonts w:hint="eastAsia"/>
              </w:rPr>
              <w:t>自查结论</w:t>
            </w:r>
          </w:p>
        </w:tc>
        <w:tc>
          <w:tcPr>
            <w:tcW w:w="2611" w:type="dxa"/>
            <w:vAlign w:val="center"/>
          </w:tcPr>
          <w:p>
            <w:pPr>
              <w:spacing w:line="240" w:lineRule="exact"/>
              <w:jc w:val="center"/>
            </w:pPr>
            <w:r>
              <w:rPr>
                <w:rFonts w:hint="eastAsia"/>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60" w:hRule="atLeast"/>
          <w:jc w:val="center"/>
        </w:trPr>
        <w:tc>
          <w:tcPr>
            <w:tcW w:w="831" w:type="dxa"/>
            <w:vMerge w:val="restart"/>
            <w:vAlign w:val="center"/>
          </w:tcPr>
          <w:p>
            <w:pPr>
              <w:spacing w:line="240" w:lineRule="exact"/>
              <w:jc w:val="center"/>
            </w:pPr>
            <w:r>
              <w:rPr>
                <w:rFonts w:hint="eastAsia"/>
              </w:rPr>
              <w:t>符</w:t>
            </w:r>
          </w:p>
          <w:p>
            <w:pPr>
              <w:spacing w:line="240" w:lineRule="exact"/>
              <w:jc w:val="center"/>
            </w:pPr>
            <w:r>
              <w:rPr>
                <w:rFonts w:hint="eastAsia"/>
              </w:rPr>
              <w:t>合</w:t>
            </w:r>
          </w:p>
          <w:p>
            <w:pPr>
              <w:spacing w:line="240" w:lineRule="exact"/>
              <w:jc w:val="center"/>
            </w:pPr>
            <w:r>
              <w:rPr>
                <w:rFonts w:hint="eastAsia"/>
              </w:rPr>
              <w:t>性</w:t>
            </w:r>
          </w:p>
          <w:p>
            <w:pPr>
              <w:spacing w:line="240" w:lineRule="exact"/>
              <w:jc w:val="center"/>
            </w:pPr>
            <w:r>
              <w:rPr>
                <w:rFonts w:hint="eastAsia"/>
              </w:rPr>
              <w:t>审</w:t>
            </w:r>
          </w:p>
          <w:p>
            <w:pPr>
              <w:spacing w:line="240" w:lineRule="exact"/>
              <w:jc w:val="center"/>
            </w:pPr>
            <w:r>
              <w:rPr>
                <w:rFonts w:hint="eastAsia"/>
              </w:rPr>
              <w:t>查</w:t>
            </w:r>
          </w:p>
        </w:tc>
        <w:tc>
          <w:tcPr>
            <w:tcW w:w="4221" w:type="dxa"/>
            <w:vAlign w:val="center"/>
          </w:tcPr>
          <w:p>
            <w:pPr>
              <w:spacing w:line="240" w:lineRule="exact"/>
            </w:pPr>
            <w:r>
              <w:t>1</w:t>
            </w:r>
            <w:r>
              <w:rPr>
                <w:rFonts w:hint="eastAsia"/>
              </w:rPr>
              <w:t>、投标函</w:t>
            </w:r>
          </w:p>
        </w:tc>
        <w:tc>
          <w:tcPr>
            <w:tcW w:w="1270" w:type="dxa"/>
            <w:vAlign w:val="center"/>
          </w:tcPr>
          <w:p>
            <w:pPr>
              <w:spacing w:line="240" w:lineRule="exact"/>
            </w:pPr>
            <w:r>
              <w:rPr>
                <w:rFonts w:hint="eastAsia"/>
              </w:rPr>
              <w:t>□通过</w:t>
            </w:r>
          </w:p>
          <w:p>
            <w:pPr>
              <w:spacing w:line="240" w:lineRule="exact"/>
            </w:pPr>
            <w:r>
              <w:rPr>
                <w:rFonts w:hint="eastAsia"/>
              </w:rPr>
              <w:t>□不通过</w:t>
            </w:r>
          </w:p>
        </w:tc>
        <w:tc>
          <w:tcPr>
            <w:tcW w:w="2611" w:type="dxa"/>
            <w:vAlign w:val="center"/>
          </w:tcPr>
          <w:p>
            <w:pPr>
              <w:spacing w:line="240" w:lineRule="exact"/>
            </w:pPr>
            <w:r>
              <w:rPr>
                <w:rFonts w:hint="eastAsia"/>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69" w:hRule="atLeast"/>
          <w:jc w:val="center"/>
        </w:trPr>
        <w:tc>
          <w:tcPr>
            <w:tcW w:w="831" w:type="dxa"/>
            <w:vMerge w:val="continue"/>
            <w:vAlign w:val="center"/>
          </w:tcPr>
          <w:p>
            <w:pPr>
              <w:spacing w:line="240" w:lineRule="exact"/>
            </w:pPr>
          </w:p>
        </w:tc>
        <w:tc>
          <w:tcPr>
            <w:tcW w:w="4221" w:type="dxa"/>
            <w:vAlign w:val="center"/>
          </w:tcPr>
          <w:p>
            <w:pPr>
              <w:spacing w:line="240" w:lineRule="exact"/>
            </w:pPr>
            <w:r>
              <w:rPr>
                <w:rFonts w:hint="eastAsia"/>
              </w:rPr>
              <w:t>2、投标文件完全满足采购文件的实质性条款（即标注</w:t>
            </w:r>
            <w:r>
              <w:rPr>
                <w:rFonts w:hint="eastAsia" w:ascii="宋体" w:hAnsi="宋体" w:cs="宋体"/>
                <w:lang w:val="zh-CN"/>
              </w:rPr>
              <w:t>★</w:t>
            </w:r>
            <w:r>
              <w:rPr>
                <w:rFonts w:hint="eastAsia"/>
              </w:rPr>
              <w:t>号条款）无负偏离的；</w:t>
            </w:r>
          </w:p>
        </w:tc>
        <w:tc>
          <w:tcPr>
            <w:tcW w:w="1270" w:type="dxa"/>
            <w:vAlign w:val="center"/>
          </w:tcPr>
          <w:p>
            <w:pPr>
              <w:spacing w:line="240" w:lineRule="exact"/>
            </w:pPr>
            <w:r>
              <w:rPr>
                <w:rFonts w:hint="eastAsia"/>
              </w:rPr>
              <w:t>□通过</w:t>
            </w:r>
          </w:p>
          <w:p>
            <w:pPr>
              <w:spacing w:line="240" w:lineRule="exact"/>
            </w:pPr>
            <w:r>
              <w:rPr>
                <w:rFonts w:hint="eastAsia"/>
              </w:rPr>
              <w:t>□不通过</w:t>
            </w:r>
          </w:p>
        </w:tc>
        <w:tc>
          <w:tcPr>
            <w:tcW w:w="2611" w:type="dxa"/>
            <w:vAlign w:val="center"/>
          </w:tcPr>
          <w:p>
            <w:pPr>
              <w:spacing w:line="240" w:lineRule="exact"/>
            </w:pPr>
            <w:r>
              <w:rPr>
                <w:rFonts w:hint="eastAsia"/>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pPr>
          </w:p>
        </w:tc>
        <w:tc>
          <w:tcPr>
            <w:tcW w:w="4221" w:type="dxa"/>
            <w:vAlign w:val="center"/>
          </w:tcPr>
          <w:p>
            <w:pPr>
              <w:spacing w:line="240" w:lineRule="exact"/>
            </w:pPr>
            <w:r>
              <w:rPr>
                <w:rFonts w:hint="eastAsia"/>
              </w:rPr>
              <w:t>3、法定代表人证明书</w:t>
            </w:r>
            <w:r>
              <w:t>/</w:t>
            </w:r>
            <w:r>
              <w:rPr>
                <w:rFonts w:hint="eastAsia"/>
              </w:rPr>
              <w:t>法定代表人授权书。</w:t>
            </w:r>
          </w:p>
        </w:tc>
        <w:tc>
          <w:tcPr>
            <w:tcW w:w="1270" w:type="dxa"/>
            <w:vAlign w:val="center"/>
          </w:tcPr>
          <w:p>
            <w:pPr>
              <w:spacing w:line="240" w:lineRule="exact"/>
            </w:pPr>
            <w:r>
              <w:rPr>
                <w:rFonts w:hint="eastAsia"/>
              </w:rPr>
              <w:t>□通过</w:t>
            </w:r>
          </w:p>
          <w:p>
            <w:pPr>
              <w:spacing w:line="240" w:lineRule="exact"/>
            </w:pPr>
            <w:r>
              <w:rPr>
                <w:rFonts w:hint="eastAsia"/>
              </w:rPr>
              <w:t>□不通过</w:t>
            </w:r>
          </w:p>
        </w:tc>
        <w:tc>
          <w:tcPr>
            <w:tcW w:w="2611" w:type="dxa"/>
            <w:vAlign w:val="center"/>
          </w:tcPr>
          <w:p>
            <w:pPr>
              <w:spacing w:line="240" w:lineRule="exact"/>
            </w:pPr>
            <w:r>
              <w:rPr>
                <w:rFonts w:hint="eastAsia"/>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pPr>
          </w:p>
        </w:tc>
        <w:tc>
          <w:tcPr>
            <w:tcW w:w="4221" w:type="dxa"/>
            <w:vAlign w:val="center"/>
          </w:tcPr>
          <w:p>
            <w:pPr>
              <w:spacing w:line="240" w:lineRule="exact"/>
            </w:pPr>
            <w:r>
              <w:rPr>
                <w:rFonts w:hint="eastAsia"/>
              </w:rPr>
              <w:t>4、没有其他未实质性投标文件要求的。</w:t>
            </w:r>
          </w:p>
        </w:tc>
        <w:tc>
          <w:tcPr>
            <w:tcW w:w="1270" w:type="dxa"/>
            <w:vAlign w:val="center"/>
          </w:tcPr>
          <w:p>
            <w:pPr>
              <w:spacing w:line="240" w:lineRule="exact"/>
            </w:pPr>
            <w:r>
              <w:rPr>
                <w:rFonts w:hint="eastAsia"/>
              </w:rPr>
              <w:t>□通过</w:t>
            </w:r>
          </w:p>
          <w:p>
            <w:pPr>
              <w:spacing w:line="240" w:lineRule="exact"/>
            </w:pPr>
            <w:r>
              <w:rPr>
                <w:rFonts w:hint="eastAsia"/>
              </w:rPr>
              <w:t>□不通过</w:t>
            </w:r>
          </w:p>
        </w:tc>
        <w:tc>
          <w:tcPr>
            <w:tcW w:w="2611" w:type="dxa"/>
            <w:vAlign w:val="center"/>
          </w:tcPr>
          <w:p>
            <w:pPr>
              <w:spacing w:line="240" w:lineRule="exact"/>
            </w:pPr>
            <w:r>
              <w:rPr>
                <w:rFonts w:hint="eastAsia"/>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pPr>
          </w:p>
        </w:tc>
        <w:tc>
          <w:tcPr>
            <w:tcW w:w="4221" w:type="dxa"/>
            <w:vAlign w:val="center"/>
          </w:tcPr>
          <w:p>
            <w:pPr>
              <w:spacing w:line="240" w:lineRule="exact"/>
            </w:pPr>
            <w:r>
              <w:rPr>
                <w:rFonts w:hint="eastAsia"/>
              </w:rPr>
              <w:t>5、投标文件没有采购文件中规定的其它无效投标条款的；</w:t>
            </w:r>
          </w:p>
        </w:tc>
        <w:tc>
          <w:tcPr>
            <w:tcW w:w="1270" w:type="dxa"/>
            <w:vAlign w:val="center"/>
          </w:tcPr>
          <w:p>
            <w:pPr>
              <w:spacing w:line="240" w:lineRule="exact"/>
            </w:pPr>
            <w:r>
              <w:rPr>
                <w:rFonts w:hint="eastAsia"/>
              </w:rPr>
              <w:t>□通过</w:t>
            </w:r>
          </w:p>
          <w:p>
            <w:pPr>
              <w:spacing w:line="240" w:lineRule="exact"/>
            </w:pPr>
            <w:r>
              <w:rPr>
                <w:rFonts w:hint="eastAsia"/>
              </w:rPr>
              <w:t>□不通过</w:t>
            </w:r>
          </w:p>
        </w:tc>
        <w:tc>
          <w:tcPr>
            <w:tcW w:w="2611" w:type="dxa"/>
            <w:vAlign w:val="center"/>
          </w:tcPr>
          <w:p>
            <w:pPr>
              <w:spacing w:line="240" w:lineRule="exact"/>
            </w:pPr>
            <w:r>
              <w:rPr>
                <w:rFonts w:hint="eastAsia"/>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pPr>
          </w:p>
        </w:tc>
        <w:tc>
          <w:tcPr>
            <w:tcW w:w="4221" w:type="dxa"/>
            <w:vAlign w:val="center"/>
          </w:tcPr>
          <w:p>
            <w:pPr>
              <w:spacing w:line="240" w:lineRule="exact"/>
            </w:pPr>
            <w:r>
              <w:rPr>
                <w:rFonts w:hint="eastAsia"/>
              </w:rPr>
              <w:t>6、按有关法律、法规、规章不属于投标无效的。</w:t>
            </w:r>
          </w:p>
        </w:tc>
        <w:tc>
          <w:tcPr>
            <w:tcW w:w="1270" w:type="dxa"/>
            <w:vAlign w:val="center"/>
          </w:tcPr>
          <w:p>
            <w:pPr>
              <w:spacing w:line="240" w:lineRule="exact"/>
            </w:pPr>
            <w:r>
              <w:rPr>
                <w:rFonts w:hint="eastAsia"/>
              </w:rPr>
              <w:t>□通过</w:t>
            </w:r>
          </w:p>
          <w:p>
            <w:pPr>
              <w:spacing w:line="240" w:lineRule="exact"/>
            </w:pPr>
            <w:r>
              <w:rPr>
                <w:rFonts w:hint="eastAsia"/>
              </w:rPr>
              <w:t>□不通过</w:t>
            </w:r>
          </w:p>
        </w:tc>
        <w:tc>
          <w:tcPr>
            <w:tcW w:w="2611" w:type="dxa"/>
            <w:vAlign w:val="center"/>
          </w:tcPr>
          <w:p>
            <w:pPr>
              <w:spacing w:line="240" w:lineRule="exact"/>
            </w:pPr>
            <w:r>
              <w:rPr>
                <w:rFonts w:hint="eastAsia"/>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Align w:val="center"/>
          </w:tcPr>
          <w:p>
            <w:pPr>
              <w:spacing w:line="240" w:lineRule="exact"/>
            </w:pPr>
          </w:p>
        </w:tc>
        <w:tc>
          <w:tcPr>
            <w:tcW w:w="4221" w:type="dxa"/>
            <w:vAlign w:val="center"/>
          </w:tcPr>
          <w:p>
            <w:pPr>
              <w:spacing w:line="240" w:lineRule="exact"/>
            </w:pPr>
            <w:r>
              <w:rPr>
                <w:rFonts w:hint="eastAsia" w:ascii="宋体" w:hAnsi="宋体" w:cs="宋体"/>
              </w:rPr>
              <w:t>7、按照采购文件要求提供其他证明材料。</w:t>
            </w:r>
          </w:p>
        </w:tc>
        <w:tc>
          <w:tcPr>
            <w:tcW w:w="1270" w:type="dxa"/>
            <w:vAlign w:val="center"/>
          </w:tcPr>
          <w:p>
            <w:pPr>
              <w:spacing w:line="240" w:lineRule="exact"/>
              <w:rPr>
                <w:rFonts w:ascii="宋体" w:cs="宋体"/>
              </w:rPr>
            </w:pPr>
            <w:r>
              <w:rPr>
                <w:rFonts w:hint="eastAsia" w:ascii="宋体" w:hAnsi="宋体" w:cs="宋体"/>
              </w:rPr>
              <w:t>□通过</w:t>
            </w:r>
          </w:p>
          <w:p>
            <w:pPr>
              <w:spacing w:line="240" w:lineRule="exact"/>
            </w:pPr>
            <w:r>
              <w:rPr>
                <w:rFonts w:hint="eastAsia" w:ascii="宋体" w:hAnsi="宋体" w:cs="宋体"/>
              </w:rPr>
              <w:t>□不通过</w:t>
            </w:r>
          </w:p>
        </w:tc>
        <w:tc>
          <w:tcPr>
            <w:tcW w:w="2611" w:type="dxa"/>
            <w:vAlign w:val="center"/>
          </w:tcPr>
          <w:p>
            <w:pPr>
              <w:spacing w:line="240" w:lineRule="exact"/>
            </w:pPr>
            <w:r>
              <w:rPr>
                <w:rFonts w:hint="eastAsia" w:ascii="宋体" w:hAnsi="宋体" w:cs="宋体"/>
              </w:rPr>
              <w:t>第（）页</w:t>
            </w:r>
          </w:p>
        </w:tc>
      </w:tr>
    </w:tbl>
    <w:p>
      <w:pPr>
        <w:adjustRightInd w:val="0"/>
        <w:snapToGrid w:val="0"/>
        <w:spacing w:line="440" w:lineRule="exact"/>
        <w:rPr>
          <w:rFonts w:ascii="宋体"/>
          <w:b/>
          <w:szCs w:val="21"/>
        </w:rPr>
      </w:pPr>
      <w:r>
        <w:rPr>
          <w:rFonts w:hint="eastAsia" w:ascii="宋体" w:hAnsi="宋体"/>
          <w:b/>
          <w:szCs w:val="21"/>
        </w:rPr>
        <w:t>备注：符合性自查表将作为</w:t>
      </w:r>
      <w:r>
        <w:rPr>
          <w:rFonts w:hint="eastAsia" w:ascii="宋体" w:hAnsi="宋体"/>
          <w:b/>
          <w:szCs w:val="21"/>
          <w:lang w:eastAsia="zh-CN"/>
        </w:rPr>
        <w:t>供应商</w:t>
      </w:r>
      <w:r>
        <w:rPr>
          <w:rFonts w:hint="eastAsia" w:ascii="宋体" w:hAnsi="宋体"/>
          <w:b/>
          <w:szCs w:val="21"/>
        </w:rPr>
        <w:t>有效性审查的重要内容之一，</w:t>
      </w:r>
      <w:r>
        <w:rPr>
          <w:rFonts w:hint="eastAsia" w:ascii="宋体" w:hAnsi="宋体"/>
          <w:b/>
          <w:szCs w:val="21"/>
          <w:lang w:eastAsia="zh-CN"/>
        </w:rPr>
        <w:t>供应商</w:t>
      </w:r>
      <w:r>
        <w:rPr>
          <w:rFonts w:hint="eastAsia" w:ascii="宋体" w:hAnsi="宋体"/>
          <w:b/>
          <w:szCs w:val="21"/>
        </w:rPr>
        <w:t>必须严格按照其内容及序列要求在投标文件中对应如实提供！</w:t>
      </w:r>
    </w:p>
    <w:p/>
    <w:p/>
    <w:p/>
    <w:p>
      <w:r>
        <w:br w:type="page"/>
      </w:r>
      <w:r>
        <w:rPr>
          <w:rFonts w:hint="eastAsia"/>
        </w:rPr>
        <w:t>格式一：</w:t>
      </w:r>
      <w:r>
        <w:rPr>
          <w:rFonts w:hint="eastAsia"/>
          <w:lang w:eastAsia="zh-CN"/>
        </w:rPr>
        <w:t>供应商</w:t>
      </w:r>
      <w:r>
        <w:rPr>
          <w:rFonts w:hint="eastAsia"/>
        </w:rPr>
        <w:t>响应表</w:t>
      </w:r>
    </w:p>
    <w:p/>
    <w:p>
      <w:pPr>
        <w:jc w:val="center"/>
        <w:rPr>
          <w:b/>
          <w:sz w:val="32"/>
          <w:szCs w:val="32"/>
        </w:rPr>
      </w:pPr>
      <w:r>
        <w:rPr>
          <w:rFonts w:hint="eastAsia"/>
          <w:b/>
          <w:sz w:val="32"/>
          <w:szCs w:val="32"/>
          <w:lang w:eastAsia="zh-CN"/>
        </w:rPr>
        <w:t>供应商</w:t>
      </w:r>
      <w:r>
        <w:rPr>
          <w:rFonts w:hint="eastAsia"/>
          <w:b/>
          <w:sz w:val="32"/>
          <w:szCs w:val="32"/>
        </w:rPr>
        <w:t>响应表</w:t>
      </w:r>
    </w:p>
    <w:p/>
    <w:p>
      <w:r>
        <w:rPr>
          <w:rFonts w:hint="eastAsia" w:ascii="宋体" w:hAnsi="宋体" w:cs="宋体"/>
          <w:szCs w:val="21"/>
        </w:rPr>
        <w:t>项目编号：</w:t>
      </w:r>
      <w:r>
        <w:rPr>
          <w:rFonts w:hint="eastAsia" w:ascii="宋体" w:hAnsi="宋体" w:cs="宋体"/>
          <w:bCs/>
          <w:szCs w:val="21"/>
        </w:rPr>
        <w:t>项目名称</w:t>
      </w:r>
      <w:r>
        <w:rPr>
          <w:rFonts w:hint="eastAsia" w:ascii="宋体" w:hAnsi="宋体" w:cs="宋体"/>
          <w:szCs w:val="21"/>
        </w:rPr>
        <w:t>：</w:t>
      </w:r>
    </w:p>
    <w:tbl>
      <w:tblPr>
        <w:tblStyle w:val="30"/>
        <w:tblW w:w="8804" w:type="dxa"/>
        <w:tblInd w:w="93" w:type="dxa"/>
        <w:tblLayout w:type="fixed"/>
        <w:tblCellMar>
          <w:top w:w="0" w:type="dxa"/>
          <w:left w:w="108" w:type="dxa"/>
          <w:bottom w:w="0" w:type="dxa"/>
          <w:right w:w="108" w:type="dxa"/>
        </w:tblCellMar>
      </w:tblPr>
      <w:tblGrid>
        <w:gridCol w:w="724"/>
        <w:gridCol w:w="6237"/>
        <w:gridCol w:w="1843"/>
      </w:tblGrid>
      <w:tr>
        <w:tblPrEx>
          <w:tblCellMar>
            <w:top w:w="0" w:type="dxa"/>
            <w:left w:w="108" w:type="dxa"/>
            <w:bottom w:w="0" w:type="dxa"/>
            <w:right w:w="108" w:type="dxa"/>
          </w:tblCellMar>
        </w:tblPrEx>
        <w:trPr>
          <w:trHeight w:val="596"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评审内容</w:t>
            </w: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证明文件</w:t>
            </w:r>
          </w:p>
        </w:tc>
      </w:tr>
      <w:tr>
        <w:tblPrEx>
          <w:tblCellMar>
            <w:top w:w="0" w:type="dxa"/>
            <w:left w:w="108" w:type="dxa"/>
            <w:bottom w:w="0" w:type="dxa"/>
            <w:right w:w="108" w:type="dxa"/>
          </w:tblCellMar>
        </w:tblPrEx>
        <w:trPr>
          <w:trHeight w:val="593"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613"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520"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531"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607"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608"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见（）页</w:t>
            </w:r>
          </w:p>
        </w:tc>
      </w:tr>
      <w:tr>
        <w:tblPrEx>
          <w:tblCellMar>
            <w:top w:w="0" w:type="dxa"/>
            <w:left w:w="108" w:type="dxa"/>
            <w:bottom w:w="0" w:type="dxa"/>
            <w:right w:w="108" w:type="dxa"/>
          </w:tblCellMar>
        </w:tblPrEx>
        <w:trPr>
          <w:trHeight w:val="750"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见（）页</w:t>
            </w:r>
          </w:p>
        </w:tc>
      </w:tr>
    </w:tbl>
    <w:p>
      <w:pPr>
        <w:rPr>
          <w:b/>
        </w:rPr>
      </w:pPr>
      <w:r>
        <w:rPr>
          <w:rFonts w:hint="eastAsia"/>
          <w:b/>
        </w:rPr>
        <w:t>根据评分标准逐条填写。</w:t>
      </w:r>
    </w:p>
    <w:p/>
    <w:p>
      <w:pPr>
        <w:ind w:firstLine="6090" w:firstLineChars="2900"/>
      </w:pPr>
      <w:r>
        <w:rPr>
          <w:rFonts w:hint="eastAsia"/>
          <w:lang w:eastAsia="zh-CN"/>
        </w:rPr>
        <w:t>供应商</w:t>
      </w:r>
      <w:r>
        <w:rPr>
          <w:rFonts w:hint="eastAsia"/>
        </w:rPr>
        <w:t>名称：</w:t>
      </w:r>
    </w:p>
    <w:p/>
    <w:p>
      <w:pPr>
        <w:ind w:firstLine="6090" w:firstLineChars="2900"/>
      </w:pPr>
      <w:r>
        <w:rPr>
          <w:rFonts w:hint="eastAsia"/>
        </w:rPr>
        <w:t>年月日</w:t>
      </w:r>
    </w:p>
    <w:p/>
    <w:p/>
    <w:p>
      <w:pPr>
        <w:snapToGrid w:val="0"/>
        <w:spacing w:before="50" w:after="50"/>
        <w:rPr>
          <w:rFonts w:ascii="宋体" w:cs="宋体"/>
          <w:szCs w:val="21"/>
        </w:rPr>
      </w:pPr>
      <w:r>
        <w:br w:type="page"/>
      </w:r>
      <w:r>
        <w:rPr>
          <w:rFonts w:hint="eastAsia" w:ascii="宋体" w:hAnsi="宋体" w:cs="宋体"/>
          <w:szCs w:val="21"/>
        </w:rPr>
        <w:t>格式二：投标函</w:t>
      </w:r>
      <w:bookmarkEnd w:id="53"/>
      <w:bookmarkEnd w:id="54"/>
      <w:bookmarkEnd w:id="55"/>
      <w:bookmarkEnd w:id="56"/>
    </w:p>
    <w:p>
      <w:pPr>
        <w:snapToGrid w:val="0"/>
        <w:spacing w:line="400" w:lineRule="exact"/>
        <w:jc w:val="center"/>
        <w:rPr>
          <w:rFonts w:ascii="宋体" w:cs="宋体"/>
          <w:b/>
          <w:bCs/>
          <w:sz w:val="28"/>
          <w:szCs w:val="28"/>
        </w:rPr>
      </w:pPr>
      <w:r>
        <w:rPr>
          <w:rFonts w:hint="eastAsia" w:ascii="宋体" w:hAnsi="宋体" w:cs="宋体"/>
          <w:b/>
          <w:bCs/>
          <w:sz w:val="28"/>
          <w:szCs w:val="28"/>
        </w:rPr>
        <w:t>投标函</w:t>
      </w:r>
    </w:p>
    <w:p>
      <w:pPr>
        <w:snapToGrid w:val="0"/>
        <w:spacing w:line="400" w:lineRule="exact"/>
        <w:jc w:val="center"/>
        <w:rPr>
          <w:rFonts w:ascii="宋体" w:cs="宋体"/>
          <w:szCs w:val="21"/>
        </w:rPr>
      </w:pPr>
    </w:p>
    <w:p>
      <w:pPr>
        <w:snapToGrid w:val="0"/>
        <w:spacing w:line="400" w:lineRule="exact"/>
        <w:rPr>
          <w:rFonts w:ascii="宋体" w:cs="宋体"/>
          <w:szCs w:val="21"/>
        </w:rPr>
      </w:pPr>
      <w:r>
        <w:rPr>
          <w:rFonts w:hint="eastAsia" w:ascii="宋体" w:hAnsi="宋体" w:cs="宋体"/>
          <w:szCs w:val="21"/>
        </w:rPr>
        <w:t>致</w:t>
      </w:r>
      <w:r>
        <w:rPr>
          <w:rFonts w:hint="eastAsia" w:ascii="宋体" w:hAnsi="宋体" w:cs="宋体"/>
          <w:szCs w:val="21"/>
          <w:u w:val="single"/>
        </w:rPr>
        <w:t>宁波工建工程造价咨询有限公司</w:t>
      </w:r>
      <w:r>
        <w:rPr>
          <w:rFonts w:hint="eastAsia" w:ascii="宋体" w:hAnsi="宋体" w:cs="宋体"/>
          <w:szCs w:val="21"/>
        </w:rPr>
        <w:t>：</w:t>
      </w:r>
    </w:p>
    <w:p>
      <w:pPr>
        <w:snapToGrid w:val="0"/>
        <w:spacing w:line="400" w:lineRule="exact"/>
        <w:ind w:firstLine="420" w:firstLineChars="200"/>
        <w:rPr>
          <w:rFonts w:ascii="宋体" w:cs="宋体"/>
          <w:szCs w:val="21"/>
        </w:rPr>
      </w:pPr>
      <w:r>
        <w:rPr>
          <w:rFonts w:hint="eastAsia" w:ascii="宋体" w:hAnsi="宋体" w:cs="宋体"/>
          <w:szCs w:val="21"/>
        </w:rPr>
        <w:t>根据贵方项目的招标公告（招标编号：   ），签字代表（全名）经正式授权并代表</w:t>
      </w:r>
      <w:r>
        <w:rPr>
          <w:rFonts w:hint="eastAsia" w:ascii="宋体" w:hAnsi="宋体" w:cs="宋体"/>
          <w:szCs w:val="21"/>
          <w:lang w:eastAsia="zh-CN"/>
        </w:rPr>
        <w:t>供应商</w:t>
      </w:r>
      <w:r>
        <w:rPr>
          <w:rFonts w:hint="eastAsia" w:ascii="宋体" w:hAnsi="宋体" w:cs="宋体"/>
          <w:szCs w:val="21"/>
        </w:rPr>
        <w:t>（</w:t>
      </w:r>
      <w:r>
        <w:rPr>
          <w:rFonts w:hint="eastAsia" w:ascii="宋体" w:hAnsi="宋体" w:cs="宋体"/>
          <w:szCs w:val="21"/>
          <w:lang w:eastAsia="zh-CN"/>
        </w:rPr>
        <w:t>供应商</w:t>
      </w:r>
      <w:r>
        <w:rPr>
          <w:rFonts w:hint="eastAsia" w:ascii="宋体" w:hAnsi="宋体" w:cs="宋体"/>
          <w:szCs w:val="21"/>
        </w:rPr>
        <w:t>名称）提交投标文件正本</w:t>
      </w:r>
      <w:r>
        <w:rPr>
          <w:rFonts w:hint="eastAsia" w:ascii="宋体" w:hAnsi="宋体" w:cs="宋体"/>
          <w:szCs w:val="21"/>
          <w:lang w:val="en-US" w:eastAsia="zh-CN"/>
        </w:rPr>
        <w:t>/</w:t>
      </w:r>
      <w:r>
        <w:rPr>
          <w:rFonts w:hint="eastAsia" w:ascii="宋体" w:hAnsi="宋体" w:cs="宋体"/>
          <w:szCs w:val="21"/>
        </w:rPr>
        <w:t>份、副本</w:t>
      </w:r>
      <w:r>
        <w:rPr>
          <w:rFonts w:hint="eastAsia" w:ascii="宋体" w:hAnsi="宋体" w:cs="宋体"/>
          <w:szCs w:val="21"/>
          <w:lang w:val="en-US" w:eastAsia="zh-CN"/>
        </w:rPr>
        <w:t>/</w:t>
      </w:r>
      <w:r>
        <w:rPr>
          <w:rFonts w:hint="eastAsia" w:ascii="宋体" w:hAnsi="宋体" w:cs="宋体"/>
          <w:szCs w:val="21"/>
        </w:rPr>
        <w:t>份。</w:t>
      </w:r>
    </w:p>
    <w:p>
      <w:pPr>
        <w:snapToGrid w:val="0"/>
        <w:spacing w:line="400" w:lineRule="exact"/>
        <w:rPr>
          <w:rFonts w:ascii="宋体" w:cs="宋体"/>
          <w:szCs w:val="21"/>
        </w:rPr>
      </w:pPr>
      <w:r>
        <w:rPr>
          <w:rFonts w:ascii="宋体" w:hAnsi="宋体" w:cs="宋体"/>
          <w:szCs w:val="21"/>
        </w:rPr>
        <w:t>1</w:t>
      </w:r>
      <w:r>
        <w:rPr>
          <w:rFonts w:hint="eastAsia" w:ascii="宋体" w:hAnsi="宋体" w:cs="宋体"/>
          <w:szCs w:val="21"/>
        </w:rPr>
        <w:t>．据此函，签字代表宣布并承诺如下：</w:t>
      </w:r>
    </w:p>
    <w:p>
      <w:pPr>
        <w:snapToGrid w:val="0"/>
        <w:spacing w:line="400" w:lineRule="exact"/>
        <w:rPr>
          <w:rFonts w:ascii="宋体" w:cs="宋体"/>
          <w:szCs w:val="21"/>
        </w:rPr>
      </w:pPr>
      <w:r>
        <w:rPr>
          <w:rFonts w:hint="eastAsia" w:ascii="宋体" w:hAnsi="宋体" w:cs="宋体"/>
          <w:szCs w:val="21"/>
        </w:rPr>
        <w:t>我方对招标项目愿以承诺的投标总价承担招标文件规定全部内容的服务。</w:t>
      </w:r>
    </w:p>
    <w:p>
      <w:pPr>
        <w:snapToGrid w:val="0"/>
        <w:spacing w:line="400" w:lineRule="exact"/>
        <w:rPr>
          <w:rFonts w:ascii="宋体" w:hAnsi="宋体" w:cs="宋体"/>
          <w:szCs w:val="21"/>
        </w:rPr>
      </w:pPr>
      <w:r>
        <w:rPr>
          <w:rFonts w:hint="eastAsia" w:ascii="宋体" w:hAnsi="宋体" w:cs="宋体"/>
          <w:szCs w:val="21"/>
        </w:rPr>
        <w:t>本报价已经包含了所提供服务应纳的税金及招标文件规定的报价方式应包含的其它费用。</w:t>
      </w:r>
    </w:p>
    <w:p>
      <w:pPr>
        <w:snapToGrid w:val="0"/>
        <w:spacing w:line="400" w:lineRule="exact"/>
        <w:rPr>
          <w:rFonts w:ascii="宋体" w:cs="宋体"/>
          <w:szCs w:val="21"/>
        </w:rPr>
      </w:pPr>
      <w:r>
        <w:rPr>
          <w:rFonts w:hint="eastAsia" w:ascii="宋体" w:hAnsi="宋体" w:cs="宋体"/>
          <w:szCs w:val="21"/>
        </w:rPr>
        <w:t>本报价在投标有效期内固定不变，并在合同有效期内不受利率波动的影响。</w:t>
      </w:r>
    </w:p>
    <w:p>
      <w:pPr>
        <w:snapToGrid w:val="0"/>
        <w:spacing w:line="400" w:lineRule="exact"/>
        <w:rPr>
          <w:rFonts w:ascii="宋体" w:cs="宋体"/>
          <w:szCs w:val="21"/>
        </w:rPr>
      </w:pPr>
      <w:r>
        <w:rPr>
          <w:rFonts w:hint="eastAsia" w:ascii="宋体" w:hAnsi="宋体" w:cs="宋体"/>
          <w:szCs w:val="21"/>
        </w:rPr>
        <w:t>本投标自开标之日起</w:t>
      </w:r>
      <w:r>
        <w:rPr>
          <w:rFonts w:hint="eastAsia" w:ascii="宋体" w:hAnsi="宋体" w:cs="宋体"/>
          <w:szCs w:val="21"/>
          <w:u w:val="single"/>
        </w:rPr>
        <w:t xml:space="preserve">   </w:t>
      </w:r>
      <w:r>
        <w:rPr>
          <w:rFonts w:hint="eastAsia" w:ascii="宋体" w:hAnsi="宋体" w:cs="宋体"/>
          <w:szCs w:val="21"/>
        </w:rPr>
        <w:t>天内有效。</w:t>
      </w:r>
    </w:p>
    <w:p>
      <w:pPr>
        <w:snapToGrid w:val="0"/>
        <w:spacing w:line="400" w:lineRule="exact"/>
        <w:rPr>
          <w:rFonts w:ascii="宋体" w:cs="宋体"/>
          <w:szCs w:val="21"/>
        </w:rPr>
      </w:pPr>
      <w:r>
        <w:rPr>
          <w:rFonts w:hint="eastAsia" w:ascii="宋体" w:hAnsi="宋体" w:cs="宋体"/>
          <w:szCs w:val="21"/>
        </w:rPr>
        <w:t>我们已详细审查全部招标文件及有关的澄清</w:t>
      </w:r>
      <w:r>
        <w:rPr>
          <w:rFonts w:ascii="宋体" w:hAnsi="宋体" w:cs="宋体"/>
          <w:szCs w:val="21"/>
        </w:rPr>
        <w:t>/</w:t>
      </w:r>
      <w:r>
        <w:rPr>
          <w:rFonts w:hint="eastAsia" w:ascii="宋体" w:hAnsi="宋体" w:cs="宋体"/>
          <w:szCs w:val="21"/>
        </w:rPr>
        <w:t>修改文件</w:t>
      </w:r>
      <w:r>
        <w:rPr>
          <w:rFonts w:ascii="宋体" w:hAnsi="宋体" w:cs="宋体"/>
          <w:szCs w:val="21"/>
        </w:rPr>
        <w:t>(</w:t>
      </w:r>
      <w:r>
        <w:rPr>
          <w:rFonts w:hint="eastAsia" w:ascii="宋体" w:hAnsi="宋体" w:cs="宋体"/>
          <w:szCs w:val="21"/>
        </w:rPr>
        <w:t>如有</w:t>
      </w:r>
      <w:r>
        <w:rPr>
          <w:rFonts w:ascii="宋体" w:hAnsi="宋体" w:cs="宋体"/>
          <w:szCs w:val="21"/>
        </w:rPr>
        <w:t>)</w:t>
      </w:r>
      <w:r>
        <w:rPr>
          <w:rFonts w:hint="eastAsia" w:ascii="宋体" w:hAnsi="宋体" w:cs="宋体"/>
          <w:szCs w:val="21"/>
        </w:rPr>
        <w:t>，我们完全理解并同意放弃对这方面提出任何异议的权利。保证遵守招标文件有关条款规定。</w:t>
      </w:r>
    </w:p>
    <w:p>
      <w:pPr>
        <w:snapToGrid w:val="0"/>
        <w:spacing w:line="400" w:lineRule="exact"/>
        <w:rPr>
          <w:rFonts w:ascii="宋体" w:cs="宋体"/>
          <w:szCs w:val="21"/>
        </w:rPr>
      </w:pPr>
      <w:r>
        <w:rPr>
          <w:rFonts w:hint="eastAsia" w:ascii="宋体" w:hAnsi="宋体" w:cs="宋体"/>
          <w:szCs w:val="21"/>
        </w:rPr>
        <w:t>保证在中标后忠实地执行与招标人所签署的合同，并承担合同规定的责任义务。保证在中标后按照招标文件的规定支付招标代理服务费。</w:t>
      </w:r>
    </w:p>
    <w:p>
      <w:pPr>
        <w:snapToGrid w:val="0"/>
        <w:spacing w:line="400" w:lineRule="exact"/>
        <w:rPr>
          <w:rFonts w:ascii="宋体" w:cs="宋体"/>
          <w:szCs w:val="21"/>
        </w:rPr>
      </w:pPr>
      <w:r>
        <w:rPr>
          <w:rFonts w:ascii="宋体" w:hAnsi="宋体" w:cs="宋体"/>
          <w:szCs w:val="21"/>
        </w:rPr>
        <w:t>2</w:t>
      </w:r>
      <w:r>
        <w:rPr>
          <w:rFonts w:hint="eastAsia" w:ascii="宋体" w:hAnsi="宋体" w:cs="宋体"/>
          <w:szCs w:val="21"/>
        </w:rPr>
        <w:t>．我们郑重声明：我公司符合有关法律法规规定的参加采购活动应当具备的条件：具有健全的财务会计制度、依法缴纳税收和社会保障资金、参加本次采购活动之前的三年内，在经营活动中无重大违法活动。</w:t>
      </w:r>
    </w:p>
    <w:p>
      <w:pPr>
        <w:snapToGrid w:val="0"/>
        <w:spacing w:line="400" w:lineRule="exact"/>
        <w:rPr>
          <w:rFonts w:ascii="宋体" w:cs="宋体"/>
          <w:szCs w:val="21"/>
        </w:rPr>
      </w:pPr>
      <w:r>
        <w:rPr>
          <w:rFonts w:ascii="宋体" w:hAnsi="宋体" w:cs="宋体"/>
          <w:szCs w:val="21"/>
        </w:rPr>
        <w:t>3</w:t>
      </w:r>
      <w:r>
        <w:rPr>
          <w:rFonts w:hint="eastAsia" w:ascii="宋体" w:hAnsi="宋体" w:cs="宋体"/>
          <w:szCs w:val="21"/>
        </w:rPr>
        <w:t>．与本投标有关的一切正式往来信函请寄：</w:t>
      </w:r>
    </w:p>
    <w:p>
      <w:pPr>
        <w:snapToGrid w:val="0"/>
        <w:spacing w:line="400" w:lineRule="exact"/>
        <w:rPr>
          <w:rFonts w:ascii="宋体" w:cs="宋体"/>
          <w:szCs w:val="21"/>
        </w:rPr>
      </w:pPr>
      <w:r>
        <w:rPr>
          <w:rFonts w:hint="eastAsia" w:ascii="宋体" w:hAnsi="宋体" w:cs="宋体"/>
          <w:szCs w:val="21"/>
          <w:lang w:eastAsia="zh-CN"/>
        </w:rPr>
        <w:t>供应商</w:t>
      </w:r>
      <w:r>
        <w:rPr>
          <w:rFonts w:hint="eastAsia" w:ascii="宋体" w:hAnsi="宋体" w:cs="宋体"/>
          <w:szCs w:val="21"/>
        </w:rPr>
        <w:t>全称（加盖公章）</w:t>
      </w:r>
      <w:r>
        <w:rPr>
          <w:rFonts w:ascii="宋体" w:hAnsi="宋体" w:cs="宋体"/>
          <w:szCs w:val="21"/>
        </w:rPr>
        <w:t xml:space="preserve">:                                               </w:t>
      </w:r>
    </w:p>
    <w:p>
      <w:pPr>
        <w:snapToGrid w:val="0"/>
        <w:spacing w:line="400" w:lineRule="exact"/>
        <w:rPr>
          <w:rFonts w:ascii="宋体" w:cs="宋体"/>
          <w:szCs w:val="21"/>
        </w:rPr>
      </w:pPr>
      <w:r>
        <w:rPr>
          <w:rFonts w:hint="eastAsia" w:ascii="宋体" w:hAnsi="宋体" w:cs="宋体"/>
          <w:szCs w:val="21"/>
        </w:rPr>
        <w:t>地址：邮编：</w:t>
      </w:r>
      <w:r>
        <w:rPr>
          <w:rFonts w:ascii="宋体" w:hAnsi="宋体" w:cs="宋体"/>
          <w:szCs w:val="21"/>
        </w:rPr>
        <w:t xml:space="preserve">__________   </w:t>
      </w:r>
    </w:p>
    <w:p>
      <w:pPr>
        <w:snapToGrid w:val="0"/>
        <w:spacing w:line="400" w:lineRule="exact"/>
        <w:rPr>
          <w:rFonts w:ascii="宋体" w:cs="宋体"/>
          <w:szCs w:val="21"/>
        </w:rPr>
      </w:pPr>
      <w:r>
        <w:rPr>
          <w:rFonts w:hint="eastAsia" w:ascii="宋体" w:hAnsi="宋体" w:cs="宋体"/>
          <w:szCs w:val="21"/>
        </w:rPr>
        <w:t>电话：传真：</w:t>
      </w:r>
      <w:r>
        <w:rPr>
          <w:rFonts w:ascii="宋体" w:hAnsi="宋体" w:cs="宋体"/>
          <w:szCs w:val="21"/>
        </w:rPr>
        <w:t>__________</w:t>
      </w:r>
    </w:p>
    <w:p>
      <w:pPr>
        <w:snapToGrid w:val="0"/>
        <w:spacing w:line="400" w:lineRule="exact"/>
        <w:rPr>
          <w:rFonts w:ascii="宋体" w:cs="宋体"/>
          <w:szCs w:val="21"/>
          <w:u w:val="single"/>
        </w:rPr>
      </w:pPr>
      <w:r>
        <w:rPr>
          <w:rFonts w:hint="eastAsia" w:ascii="宋体" w:hAnsi="宋体" w:cs="宋体"/>
          <w:szCs w:val="21"/>
          <w:lang w:eastAsia="zh-CN"/>
        </w:rPr>
        <w:t>供应商</w:t>
      </w:r>
      <w:r>
        <w:rPr>
          <w:rFonts w:hint="eastAsia" w:ascii="宋体" w:hAnsi="宋体" w:cs="宋体"/>
          <w:szCs w:val="21"/>
        </w:rPr>
        <w:t>代表姓名</w:t>
      </w:r>
      <w:r>
        <w:rPr>
          <w:rFonts w:ascii="宋体" w:hAnsi="宋体" w:cs="宋体"/>
          <w:szCs w:val="21"/>
        </w:rPr>
        <w:t xml:space="preserve"> ___________  </w:t>
      </w:r>
      <w:r>
        <w:rPr>
          <w:rFonts w:hint="eastAsia" w:ascii="宋体" w:hAnsi="宋体" w:cs="宋体"/>
          <w:szCs w:val="21"/>
        </w:rPr>
        <w:t>职务：</w:t>
      </w: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r>
        <w:rPr>
          <w:rFonts w:hint="eastAsia" w:ascii="宋体" w:hAnsi="宋体" w:cs="宋体"/>
          <w:szCs w:val="21"/>
        </w:rPr>
        <w:t>授权代表签字</w:t>
      </w:r>
      <w:r>
        <w:rPr>
          <w:rFonts w:ascii="宋体" w:hAnsi="宋体" w:cs="宋体"/>
          <w:szCs w:val="21"/>
        </w:rPr>
        <w:t xml:space="preserve">:___________ </w:t>
      </w:r>
    </w:p>
    <w:p>
      <w:pPr>
        <w:snapToGrid w:val="0"/>
        <w:spacing w:line="400" w:lineRule="exact"/>
        <w:rPr>
          <w:rFonts w:ascii="宋体" w:hAnsi="宋体" w:cs="宋体"/>
          <w:szCs w:val="21"/>
        </w:rPr>
      </w:pPr>
      <w:r>
        <w:rPr>
          <w:rFonts w:hint="eastAsia" w:ascii="宋体" w:hAnsi="宋体" w:cs="宋体"/>
          <w:szCs w:val="21"/>
        </w:rPr>
        <w:t>日期</w:t>
      </w:r>
      <w:r>
        <w:rPr>
          <w:rFonts w:ascii="宋体" w:hAnsi="宋体" w:cs="宋体"/>
          <w:szCs w:val="21"/>
        </w:rPr>
        <w:t>:_____</w:t>
      </w:r>
      <w:r>
        <w:rPr>
          <w:rFonts w:hint="eastAsia" w:ascii="宋体" w:hAnsi="宋体" w:cs="宋体"/>
          <w:szCs w:val="21"/>
        </w:rPr>
        <w:t>年</w:t>
      </w:r>
      <w:r>
        <w:rPr>
          <w:rFonts w:ascii="宋体" w:hAnsi="宋体" w:cs="宋体"/>
          <w:szCs w:val="21"/>
        </w:rPr>
        <w:t>___</w:t>
      </w:r>
      <w:r>
        <w:rPr>
          <w:rFonts w:hint="eastAsia" w:ascii="宋体" w:hAnsi="宋体" w:cs="宋体"/>
          <w:szCs w:val="21"/>
        </w:rPr>
        <w:t>月</w:t>
      </w:r>
      <w:r>
        <w:rPr>
          <w:rFonts w:ascii="宋体" w:hAnsi="宋体" w:cs="宋体"/>
          <w:szCs w:val="21"/>
        </w:rPr>
        <w:t>___</w:t>
      </w:r>
      <w:r>
        <w:rPr>
          <w:rFonts w:hint="eastAsia" w:ascii="宋体" w:hAnsi="宋体" w:cs="宋体"/>
          <w:szCs w:val="21"/>
        </w:rPr>
        <w:t>日</w:t>
      </w:r>
    </w:p>
    <w:p>
      <w:pPr>
        <w:pStyle w:val="44"/>
        <w:rPr>
          <w:rFonts w:hAnsi="宋体" w:cs="宋体"/>
          <w:szCs w:val="21"/>
        </w:rPr>
      </w:pPr>
    </w:p>
    <w:p/>
    <w:p>
      <w:pPr>
        <w:pStyle w:val="44"/>
      </w:pPr>
    </w:p>
    <w:p/>
    <w:p/>
    <w:p>
      <w:pPr>
        <w:rPr>
          <w:rFonts w:ascii="宋体" w:hAnsi="宋体" w:cs="宋体"/>
          <w:szCs w:val="21"/>
        </w:rPr>
      </w:pPr>
      <w:bookmarkStart w:id="61" w:name="_Toc25216"/>
      <w:bookmarkStart w:id="62" w:name="_Toc463726847"/>
      <w:bookmarkStart w:id="63" w:name="_Toc13391"/>
      <w:bookmarkStart w:id="64" w:name="_Toc10297"/>
      <w:r>
        <w:rPr>
          <w:rFonts w:hint="eastAsia" w:ascii="宋体" w:hAnsi="宋体" w:cs="宋体"/>
          <w:szCs w:val="21"/>
        </w:rPr>
        <w:br w:type="page"/>
      </w:r>
    </w:p>
    <w:p>
      <w:pPr>
        <w:snapToGrid w:val="0"/>
        <w:spacing w:line="400" w:lineRule="exact"/>
        <w:rPr>
          <w:rFonts w:ascii="宋体" w:cs="宋体"/>
          <w:szCs w:val="21"/>
        </w:rPr>
      </w:pPr>
      <w:r>
        <w:rPr>
          <w:rFonts w:hint="eastAsia" w:ascii="宋体" w:hAnsi="宋体" w:cs="宋体"/>
          <w:szCs w:val="21"/>
        </w:rPr>
        <w:t>格式三：法定代表人授权委托书格式</w:t>
      </w:r>
      <w:bookmarkEnd w:id="61"/>
      <w:bookmarkEnd w:id="62"/>
      <w:bookmarkEnd w:id="63"/>
      <w:bookmarkEnd w:id="64"/>
    </w:p>
    <w:p>
      <w:pPr>
        <w:snapToGrid w:val="0"/>
        <w:spacing w:line="400" w:lineRule="exact"/>
        <w:rPr>
          <w:rFonts w:ascii="宋体" w:cs="宋体"/>
          <w:szCs w:val="21"/>
        </w:rPr>
      </w:pPr>
    </w:p>
    <w:p>
      <w:pPr>
        <w:snapToGrid w:val="0"/>
        <w:spacing w:line="400" w:lineRule="exact"/>
        <w:jc w:val="center"/>
        <w:rPr>
          <w:rFonts w:ascii="宋体" w:cs="宋体"/>
          <w:b/>
          <w:bCs/>
          <w:sz w:val="28"/>
          <w:szCs w:val="28"/>
        </w:rPr>
      </w:pPr>
      <w:r>
        <w:rPr>
          <w:rFonts w:hint="eastAsia" w:ascii="宋体" w:hAnsi="宋体" w:cs="宋体"/>
          <w:b/>
          <w:bCs/>
          <w:sz w:val="28"/>
          <w:szCs w:val="28"/>
        </w:rPr>
        <w:t>法定代表人授权委托书</w:t>
      </w:r>
    </w:p>
    <w:p>
      <w:pPr>
        <w:snapToGrid w:val="0"/>
        <w:spacing w:line="400" w:lineRule="exact"/>
        <w:rPr>
          <w:rFonts w:ascii="宋体" w:cs="宋体"/>
          <w:szCs w:val="21"/>
        </w:rPr>
      </w:pPr>
    </w:p>
    <w:p>
      <w:pPr>
        <w:snapToGrid w:val="0"/>
        <w:spacing w:line="400" w:lineRule="exact"/>
        <w:rPr>
          <w:rFonts w:ascii="宋体" w:cs="宋体"/>
          <w:szCs w:val="21"/>
        </w:rPr>
      </w:pPr>
      <w:r>
        <w:rPr>
          <w:rFonts w:hint="eastAsia" w:ascii="宋体" w:hAnsi="宋体" w:cs="宋体"/>
          <w:szCs w:val="21"/>
        </w:rPr>
        <w:t>致</w:t>
      </w:r>
      <w:r>
        <w:rPr>
          <w:rFonts w:hint="eastAsia" w:ascii="宋体" w:hAnsi="宋体" w:cs="宋体"/>
          <w:szCs w:val="21"/>
          <w:u w:val="single"/>
        </w:rPr>
        <w:t>宁波工建工程造价咨询有限公司</w:t>
      </w:r>
      <w:r>
        <w:rPr>
          <w:rFonts w:hint="eastAsia" w:ascii="宋体" w:hAnsi="宋体" w:cs="宋体"/>
          <w:szCs w:val="21"/>
        </w:rPr>
        <w:t>：</w:t>
      </w:r>
    </w:p>
    <w:p>
      <w:pPr>
        <w:snapToGrid w:val="0"/>
        <w:spacing w:line="400" w:lineRule="exact"/>
        <w:ind w:firstLine="420" w:firstLineChars="200"/>
        <w:rPr>
          <w:rFonts w:ascii="宋体" w:cs="宋体"/>
          <w:szCs w:val="21"/>
        </w:rPr>
      </w:pPr>
      <w:r>
        <w:rPr>
          <w:rFonts w:hint="eastAsia" w:ascii="宋体" w:hAnsi="宋体" w:cs="宋体"/>
          <w:szCs w:val="21"/>
        </w:rPr>
        <w:t>我（姓名）系（</w:t>
      </w:r>
      <w:r>
        <w:rPr>
          <w:rFonts w:hint="eastAsia" w:ascii="宋体" w:hAnsi="宋体" w:cs="宋体"/>
          <w:szCs w:val="21"/>
          <w:lang w:eastAsia="zh-CN"/>
        </w:rPr>
        <w:t>供应商</w:t>
      </w:r>
      <w:r>
        <w:rPr>
          <w:rFonts w:hint="eastAsia" w:ascii="宋体" w:hAnsi="宋体" w:cs="宋体"/>
          <w:szCs w:val="21"/>
        </w:rPr>
        <w:t>名称）的法定代表人，现授权委托本单位在职职工（姓名）以我方的名义参加          项目的投标活动，并代表我方全权办理针对上述项目的投标、开标、评标、签约等具体事务和签署相关文件。</w:t>
      </w:r>
    </w:p>
    <w:p>
      <w:pPr>
        <w:snapToGrid w:val="0"/>
        <w:spacing w:line="400" w:lineRule="exact"/>
        <w:rPr>
          <w:rFonts w:ascii="宋体" w:cs="宋体"/>
          <w:szCs w:val="21"/>
        </w:rPr>
      </w:pPr>
      <w:r>
        <w:rPr>
          <w:rFonts w:hint="eastAsia" w:ascii="宋体" w:hAnsi="宋体" w:cs="宋体"/>
          <w:szCs w:val="21"/>
        </w:rPr>
        <w:t>我方对被授权人的签名事项负全部责任。</w:t>
      </w:r>
    </w:p>
    <w:p>
      <w:pPr>
        <w:snapToGrid w:val="0"/>
        <w:spacing w:line="400" w:lineRule="exact"/>
        <w:rPr>
          <w:rFonts w:ascii="宋体" w:cs="宋体"/>
          <w:szCs w:val="21"/>
        </w:rPr>
      </w:pPr>
      <w:r>
        <w:rPr>
          <w:rFonts w:hint="eastAsia" w:ascii="宋体" w:hAnsi="宋体" w:cs="宋体"/>
          <w:szCs w:val="21"/>
        </w:rPr>
        <w:t>在撤销授权的书面通知以前，本授权书一直有效。被授权人在授权书有效期内签署的所有文件不因授权的撤销而失效。</w:t>
      </w:r>
    </w:p>
    <w:p>
      <w:pPr>
        <w:snapToGrid w:val="0"/>
        <w:spacing w:line="400" w:lineRule="exact"/>
        <w:rPr>
          <w:rFonts w:ascii="宋体" w:cs="宋体"/>
          <w:szCs w:val="21"/>
        </w:rPr>
      </w:pPr>
      <w:r>
        <w:rPr>
          <w:rFonts w:hint="eastAsia" w:ascii="宋体" w:hAnsi="宋体" w:cs="宋体"/>
          <w:szCs w:val="21"/>
        </w:rPr>
        <w:t>被授权人无转委托权，特此委托。</w:t>
      </w:r>
    </w:p>
    <w:p>
      <w:pPr>
        <w:snapToGrid w:val="0"/>
        <w:spacing w:line="400" w:lineRule="exact"/>
        <w:rPr>
          <w:rFonts w:ascii="宋体" w:cs="宋体"/>
          <w:szCs w:val="21"/>
        </w:rPr>
      </w:pPr>
    </w:p>
    <w:p>
      <w:pPr>
        <w:snapToGrid w:val="0"/>
        <w:spacing w:line="400" w:lineRule="exact"/>
        <w:rPr>
          <w:rFonts w:ascii="宋体" w:cs="宋体"/>
          <w:szCs w:val="21"/>
        </w:rPr>
      </w:pPr>
      <w:r>
        <w:rPr>
          <w:rFonts w:hint="eastAsia" w:ascii="宋体" w:hAnsi="宋体" w:cs="宋体"/>
          <w:szCs w:val="21"/>
        </w:rPr>
        <w:t>被授权人签名：法定代表人（签名）：</w:t>
      </w:r>
    </w:p>
    <w:p>
      <w:pPr>
        <w:snapToGrid w:val="0"/>
        <w:spacing w:line="400" w:lineRule="exact"/>
        <w:rPr>
          <w:rFonts w:ascii="宋体" w:cs="宋体"/>
          <w:szCs w:val="21"/>
        </w:rPr>
      </w:pPr>
      <w:r>
        <w:rPr>
          <w:rFonts w:hint="eastAsia" w:ascii="宋体" w:hAnsi="宋体" w:cs="宋体"/>
          <w:szCs w:val="21"/>
        </w:rPr>
        <w:t>职务：职务：</w:t>
      </w:r>
    </w:p>
    <w:p>
      <w:pPr>
        <w:snapToGrid w:val="0"/>
        <w:spacing w:line="400" w:lineRule="exact"/>
        <w:rPr>
          <w:rFonts w:ascii="宋体" w:cs="宋体"/>
          <w:szCs w:val="21"/>
        </w:rPr>
      </w:pPr>
      <w:r>
        <w:rPr>
          <w:rFonts w:hint="eastAsia" w:ascii="宋体" w:hAnsi="宋体" w:cs="宋体"/>
          <w:szCs w:val="21"/>
        </w:rPr>
        <w:t>被授权人身份证号码：</w:t>
      </w:r>
    </w:p>
    <w:p>
      <w:pPr>
        <w:snapToGrid w:val="0"/>
        <w:spacing w:line="400" w:lineRule="exact"/>
        <w:rPr>
          <w:rFonts w:ascii="宋体" w:cs="宋体"/>
          <w:szCs w:val="21"/>
        </w:rPr>
      </w:pPr>
      <w:r>
        <w:rPr>
          <w:rFonts w:hint="eastAsia" w:ascii="宋体" w:hAnsi="宋体" w:cs="宋体"/>
          <w:szCs w:val="21"/>
          <w:lang w:eastAsia="zh-CN"/>
        </w:rPr>
        <w:t>供应商</w:t>
      </w:r>
      <w:r>
        <w:rPr>
          <w:rFonts w:hint="eastAsia" w:ascii="宋体" w:hAnsi="宋体" w:cs="宋体"/>
          <w:szCs w:val="21"/>
        </w:rPr>
        <w:t>全称（加盖公章）：</w:t>
      </w:r>
    </w:p>
    <w:p>
      <w:pPr>
        <w:snapToGrid w:val="0"/>
        <w:spacing w:line="400" w:lineRule="exact"/>
        <w:rPr>
          <w:rFonts w:ascii="宋体" w:cs="宋体"/>
          <w:szCs w:val="21"/>
        </w:rPr>
      </w:pPr>
      <w:r>
        <w:rPr>
          <w:rFonts w:hint="eastAsia" w:ascii="宋体" w:hAnsi="宋体" w:cs="宋体"/>
          <w:szCs w:val="21"/>
        </w:rPr>
        <w:t>年月日</w:t>
      </w: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r>
        <w:rPr>
          <w:rFonts w:hint="eastAsia" w:ascii="宋体" w:hAnsi="宋体" w:cs="宋体"/>
          <w:szCs w:val="21"/>
        </w:rPr>
        <w:t>注：后附法定代表人和被授权人的身份证复印件（正反两面）。</w:t>
      </w:r>
    </w:p>
    <w:p>
      <w:pPr>
        <w:snapToGrid w:val="0"/>
        <w:spacing w:line="400" w:lineRule="exact"/>
        <w:rPr>
          <w:rFonts w:ascii="宋体" w:cs="宋体"/>
          <w:szCs w:val="21"/>
        </w:rPr>
      </w:pPr>
      <w:r>
        <w:rPr>
          <w:rFonts w:ascii="宋体" w:cs="宋体"/>
          <w:szCs w:val="21"/>
        </w:rPr>
        <w:br w:type="page"/>
      </w:r>
      <w:bookmarkStart w:id="65" w:name="_Toc26905"/>
      <w:bookmarkStart w:id="66" w:name="_Toc463726848"/>
      <w:bookmarkStart w:id="67" w:name="_Toc20097"/>
      <w:bookmarkStart w:id="68" w:name="_Toc13302"/>
      <w:r>
        <w:rPr>
          <w:rFonts w:hint="eastAsia" w:ascii="宋体" w:hAnsi="宋体" w:cs="宋体"/>
          <w:szCs w:val="21"/>
        </w:rPr>
        <w:t>格式四：</w:t>
      </w:r>
      <w:r>
        <w:rPr>
          <w:rFonts w:hint="eastAsia" w:ascii="宋体" w:hAnsi="宋体" w:cs="宋体"/>
          <w:szCs w:val="21"/>
          <w:lang w:eastAsia="zh-CN"/>
        </w:rPr>
        <w:t>供应商</w:t>
      </w:r>
      <w:r>
        <w:rPr>
          <w:rFonts w:hint="eastAsia" w:ascii="宋体" w:hAnsi="宋体" w:cs="宋体"/>
          <w:szCs w:val="21"/>
        </w:rPr>
        <w:t>基本情况表</w:t>
      </w:r>
      <w:bookmarkEnd w:id="65"/>
      <w:bookmarkEnd w:id="66"/>
      <w:bookmarkEnd w:id="67"/>
      <w:bookmarkEnd w:id="68"/>
    </w:p>
    <w:p>
      <w:pPr>
        <w:snapToGrid w:val="0"/>
        <w:spacing w:line="400" w:lineRule="exact"/>
        <w:rPr>
          <w:rFonts w:ascii="宋体" w:cs="宋体"/>
          <w:szCs w:val="21"/>
        </w:rPr>
      </w:pPr>
    </w:p>
    <w:p>
      <w:pPr>
        <w:snapToGrid w:val="0"/>
        <w:spacing w:line="400" w:lineRule="exact"/>
        <w:jc w:val="center"/>
        <w:rPr>
          <w:rFonts w:ascii="宋体" w:cs="宋体"/>
          <w:b/>
          <w:bCs/>
          <w:sz w:val="28"/>
          <w:szCs w:val="28"/>
        </w:rPr>
      </w:pPr>
      <w:r>
        <w:rPr>
          <w:rFonts w:hint="eastAsia" w:ascii="宋体" w:hAnsi="宋体" w:cs="宋体"/>
          <w:b/>
          <w:bCs/>
          <w:sz w:val="28"/>
          <w:szCs w:val="28"/>
          <w:lang w:eastAsia="zh-CN"/>
        </w:rPr>
        <w:t>供应商</w:t>
      </w:r>
      <w:r>
        <w:rPr>
          <w:rFonts w:hint="eastAsia" w:ascii="宋体" w:hAnsi="宋体" w:cs="宋体"/>
          <w:b/>
          <w:bCs/>
          <w:sz w:val="28"/>
          <w:szCs w:val="28"/>
        </w:rPr>
        <w:t>基本情况表</w:t>
      </w:r>
    </w:p>
    <w:tbl>
      <w:tblPr>
        <w:tblStyle w:val="3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908"/>
        <w:gridCol w:w="8"/>
        <w:gridCol w:w="1561"/>
        <w:gridCol w:w="952"/>
        <w:gridCol w:w="307"/>
        <w:gridCol w:w="20"/>
        <w:gridCol w:w="1001"/>
        <w:gridCol w:w="9"/>
        <w:gridCol w:w="500"/>
        <w:gridCol w:w="268"/>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申请人名称</w:t>
            </w:r>
          </w:p>
        </w:tc>
        <w:tc>
          <w:tcPr>
            <w:tcW w:w="7264" w:type="dxa"/>
            <w:gridSpan w:val="11"/>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注册地址</w:t>
            </w:r>
          </w:p>
        </w:tc>
        <w:tc>
          <w:tcPr>
            <w:tcW w:w="3736" w:type="dxa"/>
            <w:gridSpan w:val="5"/>
            <w:tcMar>
              <w:left w:w="28" w:type="dxa"/>
              <w:right w:w="28" w:type="dxa"/>
            </w:tcMar>
            <w:vAlign w:val="center"/>
          </w:tcPr>
          <w:p>
            <w:pPr>
              <w:snapToGrid w:val="0"/>
              <w:spacing w:line="400" w:lineRule="exact"/>
              <w:rPr>
                <w:rFonts w:ascii="宋体" w:cs="宋体"/>
                <w:szCs w:val="21"/>
              </w:rPr>
            </w:pPr>
          </w:p>
        </w:tc>
        <w:tc>
          <w:tcPr>
            <w:tcW w:w="1021" w:type="dxa"/>
            <w:gridSpan w:val="2"/>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邮政编码</w:t>
            </w:r>
          </w:p>
        </w:tc>
        <w:tc>
          <w:tcPr>
            <w:tcW w:w="2507" w:type="dxa"/>
            <w:gridSpan w:val="4"/>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vMerge w:val="restart"/>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联系方式</w:t>
            </w:r>
          </w:p>
        </w:tc>
        <w:tc>
          <w:tcPr>
            <w:tcW w:w="908"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联系人</w:t>
            </w:r>
          </w:p>
        </w:tc>
        <w:tc>
          <w:tcPr>
            <w:tcW w:w="2828" w:type="dxa"/>
            <w:gridSpan w:val="4"/>
            <w:tcMar>
              <w:left w:w="28" w:type="dxa"/>
              <w:right w:w="28" w:type="dxa"/>
            </w:tcMar>
            <w:vAlign w:val="center"/>
          </w:tcPr>
          <w:p>
            <w:pPr>
              <w:snapToGrid w:val="0"/>
              <w:spacing w:line="400" w:lineRule="exact"/>
              <w:rPr>
                <w:rFonts w:ascii="宋体" w:cs="宋体"/>
                <w:szCs w:val="21"/>
              </w:rPr>
            </w:pPr>
          </w:p>
        </w:tc>
        <w:tc>
          <w:tcPr>
            <w:tcW w:w="1021" w:type="dxa"/>
            <w:gridSpan w:val="2"/>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电话</w:t>
            </w:r>
          </w:p>
        </w:tc>
        <w:tc>
          <w:tcPr>
            <w:tcW w:w="2507" w:type="dxa"/>
            <w:gridSpan w:val="4"/>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vMerge w:val="continue"/>
            <w:tcMar>
              <w:left w:w="28" w:type="dxa"/>
              <w:right w:w="28" w:type="dxa"/>
            </w:tcMar>
            <w:vAlign w:val="center"/>
          </w:tcPr>
          <w:p>
            <w:pPr>
              <w:snapToGrid w:val="0"/>
              <w:spacing w:line="400" w:lineRule="exact"/>
              <w:jc w:val="center"/>
              <w:rPr>
                <w:rFonts w:ascii="宋体" w:cs="宋体"/>
                <w:szCs w:val="21"/>
              </w:rPr>
            </w:pPr>
          </w:p>
        </w:tc>
        <w:tc>
          <w:tcPr>
            <w:tcW w:w="908"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传真</w:t>
            </w:r>
          </w:p>
        </w:tc>
        <w:tc>
          <w:tcPr>
            <w:tcW w:w="2828" w:type="dxa"/>
            <w:gridSpan w:val="4"/>
            <w:tcMar>
              <w:left w:w="28" w:type="dxa"/>
              <w:right w:w="28" w:type="dxa"/>
            </w:tcMar>
            <w:vAlign w:val="center"/>
          </w:tcPr>
          <w:p>
            <w:pPr>
              <w:snapToGrid w:val="0"/>
              <w:spacing w:line="400" w:lineRule="exact"/>
              <w:rPr>
                <w:rFonts w:ascii="宋体" w:cs="宋体"/>
                <w:szCs w:val="21"/>
              </w:rPr>
            </w:pPr>
          </w:p>
        </w:tc>
        <w:tc>
          <w:tcPr>
            <w:tcW w:w="1021" w:type="dxa"/>
            <w:gridSpan w:val="2"/>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网址</w:t>
            </w:r>
          </w:p>
        </w:tc>
        <w:tc>
          <w:tcPr>
            <w:tcW w:w="2507" w:type="dxa"/>
            <w:gridSpan w:val="4"/>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组织结构</w:t>
            </w:r>
          </w:p>
        </w:tc>
        <w:tc>
          <w:tcPr>
            <w:tcW w:w="7264" w:type="dxa"/>
            <w:gridSpan w:val="11"/>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法定代表人</w:t>
            </w:r>
          </w:p>
        </w:tc>
        <w:tc>
          <w:tcPr>
            <w:tcW w:w="916" w:type="dxa"/>
            <w:gridSpan w:val="2"/>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姓名</w:t>
            </w:r>
          </w:p>
        </w:tc>
        <w:tc>
          <w:tcPr>
            <w:tcW w:w="1561" w:type="dxa"/>
            <w:tcMar>
              <w:left w:w="28" w:type="dxa"/>
              <w:right w:w="28" w:type="dxa"/>
            </w:tcMar>
            <w:vAlign w:val="center"/>
          </w:tcPr>
          <w:p>
            <w:pPr>
              <w:snapToGrid w:val="0"/>
              <w:spacing w:line="400" w:lineRule="exact"/>
              <w:jc w:val="center"/>
              <w:rPr>
                <w:rFonts w:ascii="宋体" w:cs="宋体"/>
                <w:szCs w:val="21"/>
              </w:rPr>
            </w:pPr>
          </w:p>
        </w:tc>
        <w:tc>
          <w:tcPr>
            <w:tcW w:w="1279" w:type="dxa"/>
            <w:gridSpan w:val="3"/>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技术职称</w:t>
            </w:r>
          </w:p>
        </w:tc>
        <w:tc>
          <w:tcPr>
            <w:tcW w:w="1010" w:type="dxa"/>
            <w:gridSpan w:val="2"/>
            <w:tcMar>
              <w:left w:w="28" w:type="dxa"/>
              <w:right w:w="28" w:type="dxa"/>
            </w:tcMar>
            <w:vAlign w:val="center"/>
          </w:tcPr>
          <w:p>
            <w:pPr>
              <w:snapToGrid w:val="0"/>
              <w:spacing w:line="400" w:lineRule="exact"/>
              <w:jc w:val="center"/>
              <w:rPr>
                <w:rFonts w:ascii="宋体" w:cs="宋体"/>
                <w:szCs w:val="21"/>
              </w:rPr>
            </w:pPr>
          </w:p>
        </w:tc>
        <w:tc>
          <w:tcPr>
            <w:tcW w:w="768" w:type="dxa"/>
            <w:gridSpan w:val="2"/>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电话</w:t>
            </w:r>
          </w:p>
        </w:tc>
        <w:tc>
          <w:tcPr>
            <w:tcW w:w="1730" w:type="dxa"/>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技术负责人</w:t>
            </w:r>
          </w:p>
        </w:tc>
        <w:tc>
          <w:tcPr>
            <w:tcW w:w="916" w:type="dxa"/>
            <w:gridSpan w:val="2"/>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姓名</w:t>
            </w:r>
          </w:p>
        </w:tc>
        <w:tc>
          <w:tcPr>
            <w:tcW w:w="1561" w:type="dxa"/>
            <w:tcMar>
              <w:left w:w="28" w:type="dxa"/>
              <w:right w:w="28" w:type="dxa"/>
            </w:tcMar>
            <w:vAlign w:val="center"/>
          </w:tcPr>
          <w:p>
            <w:pPr>
              <w:snapToGrid w:val="0"/>
              <w:spacing w:line="400" w:lineRule="exact"/>
              <w:jc w:val="center"/>
              <w:rPr>
                <w:rFonts w:ascii="宋体" w:cs="宋体"/>
                <w:szCs w:val="21"/>
              </w:rPr>
            </w:pPr>
          </w:p>
        </w:tc>
        <w:tc>
          <w:tcPr>
            <w:tcW w:w="1279" w:type="dxa"/>
            <w:gridSpan w:val="3"/>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技术职称</w:t>
            </w:r>
          </w:p>
        </w:tc>
        <w:tc>
          <w:tcPr>
            <w:tcW w:w="1010" w:type="dxa"/>
            <w:gridSpan w:val="2"/>
            <w:tcMar>
              <w:left w:w="28" w:type="dxa"/>
              <w:right w:w="28" w:type="dxa"/>
            </w:tcMar>
            <w:vAlign w:val="center"/>
          </w:tcPr>
          <w:p>
            <w:pPr>
              <w:snapToGrid w:val="0"/>
              <w:spacing w:line="400" w:lineRule="exact"/>
              <w:jc w:val="center"/>
              <w:rPr>
                <w:rFonts w:ascii="宋体" w:cs="宋体"/>
                <w:szCs w:val="21"/>
              </w:rPr>
            </w:pPr>
          </w:p>
        </w:tc>
        <w:tc>
          <w:tcPr>
            <w:tcW w:w="768" w:type="dxa"/>
            <w:gridSpan w:val="2"/>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电话</w:t>
            </w:r>
          </w:p>
        </w:tc>
        <w:tc>
          <w:tcPr>
            <w:tcW w:w="1730" w:type="dxa"/>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成立时间</w:t>
            </w:r>
          </w:p>
        </w:tc>
        <w:tc>
          <w:tcPr>
            <w:tcW w:w="2477" w:type="dxa"/>
            <w:gridSpan w:val="3"/>
            <w:tcMar>
              <w:left w:w="28" w:type="dxa"/>
              <w:right w:w="28" w:type="dxa"/>
            </w:tcMar>
            <w:vAlign w:val="center"/>
          </w:tcPr>
          <w:p>
            <w:pPr>
              <w:snapToGrid w:val="0"/>
              <w:spacing w:line="400" w:lineRule="exact"/>
              <w:rPr>
                <w:rFonts w:ascii="宋体" w:cs="宋体"/>
                <w:szCs w:val="21"/>
              </w:rPr>
            </w:pPr>
          </w:p>
        </w:tc>
        <w:tc>
          <w:tcPr>
            <w:tcW w:w="4787" w:type="dxa"/>
            <w:gridSpan w:val="8"/>
            <w:tcMar>
              <w:left w:w="28" w:type="dxa"/>
              <w:right w:w="28" w:type="dxa"/>
            </w:tcMar>
            <w:vAlign w:val="center"/>
          </w:tcPr>
          <w:p>
            <w:pPr>
              <w:snapToGrid w:val="0"/>
              <w:spacing w:line="400" w:lineRule="exact"/>
              <w:rPr>
                <w:rFonts w:asci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企业资质等级</w:t>
            </w:r>
          </w:p>
        </w:tc>
        <w:tc>
          <w:tcPr>
            <w:tcW w:w="2477" w:type="dxa"/>
            <w:gridSpan w:val="3"/>
            <w:tcMar>
              <w:left w:w="28" w:type="dxa"/>
              <w:right w:w="28" w:type="dxa"/>
            </w:tcMar>
            <w:vAlign w:val="center"/>
          </w:tcPr>
          <w:p>
            <w:pPr>
              <w:snapToGrid w:val="0"/>
              <w:spacing w:line="400" w:lineRule="exact"/>
              <w:rPr>
                <w:rFonts w:ascii="宋体" w:cs="宋体"/>
                <w:szCs w:val="21"/>
              </w:rPr>
            </w:pPr>
          </w:p>
        </w:tc>
        <w:tc>
          <w:tcPr>
            <w:tcW w:w="952" w:type="dxa"/>
            <w:vMerge w:val="restart"/>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其中</w:t>
            </w:r>
          </w:p>
        </w:tc>
        <w:tc>
          <w:tcPr>
            <w:tcW w:w="1837" w:type="dxa"/>
            <w:gridSpan w:val="5"/>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高级职称人员</w:t>
            </w:r>
          </w:p>
        </w:tc>
        <w:tc>
          <w:tcPr>
            <w:tcW w:w="1998" w:type="dxa"/>
            <w:gridSpan w:val="2"/>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营业执照号</w:t>
            </w:r>
          </w:p>
        </w:tc>
        <w:tc>
          <w:tcPr>
            <w:tcW w:w="2477" w:type="dxa"/>
            <w:gridSpan w:val="3"/>
            <w:tcMar>
              <w:left w:w="28" w:type="dxa"/>
              <w:right w:w="28" w:type="dxa"/>
            </w:tcMar>
            <w:vAlign w:val="center"/>
          </w:tcPr>
          <w:p>
            <w:pPr>
              <w:snapToGrid w:val="0"/>
              <w:spacing w:line="400" w:lineRule="exact"/>
              <w:rPr>
                <w:rFonts w:ascii="宋体" w:cs="宋体"/>
                <w:szCs w:val="21"/>
              </w:rPr>
            </w:pPr>
          </w:p>
        </w:tc>
        <w:tc>
          <w:tcPr>
            <w:tcW w:w="952" w:type="dxa"/>
            <w:vMerge w:val="continue"/>
            <w:tcMar>
              <w:left w:w="28" w:type="dxa"/>
              <w:right w:w="28" w:type="dxa"/>
            </w:tcMar>
            <w:vAlign w:val="center"/>
          </w:tcPr>
          <w:p>
            <w:pPr>
              <w:snapToGrid w:val="0"/>
              <w:spacing w:line="400" w:lineRule="exact"/>
              <w:rPr>
                <w:rFonts w:ascii="宋体" w:cs="宋体"/>
                <w:szCs w:val="21"/>
              </w:rPr>
            </w:pPr>
          </w:p>
        </w:tc>
        <w:tc>
          <w:tcPr>
            <w:tcW w:w="1837" w:type="dxa"/>
            <w:gridSpan w:val="5"/>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中级职称人员</w:t>
            </w:r>
          </w:p>
        </w:tc>
        <w:tc>
          <w:tcPr>
            <w:tcW w:w="1998" w:type="dxa"/>
            <w:gridSpan w:val="2"/>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注册资金</w:t>
            </w:r>
          </w:p>
        </w:tc>
        <w:tc>
          <w:tcPr>
            <w:tcW w:w="2477" w:type="dxa"/>
            <w:gridSpan w:val="3"/>
            <w:tcMar>
              <w:left w:w="28" w:type="dxa"/>
              <w:right w:w="28" w:type="dxa"/>
            </w:tcMar>
            <w:vAlign w:val="center"/>
          </w:tcPr>
          <w:p>
            <w:pPr>
              <w:snapToGrid w:val="0"/>
              <w:spacing w:line="400" w:lineRule="exact"/>
              <w:rPr>
                <w:rFonts w:ascii="宋体" w:cs="宋体"/>
                <w:szCs w:val="21"/>
              </w:rPr>
            </w:pPr>
          </w:p>
        </w:tc>
        <w:tc>
          <w:tcPr>
            <w:tcW w:w="952" w:type="dxa"/>
            <w:vMerge w:val="continue"/>
            <w:tcMar>
              <w:left w:w="28" w:type="dxa"/>
              <w:right w:w="28" w:type="dxa"/>
            </w:tcMar>
            <w:vAlign w:val="center"/>
          </w:tcPr>
          <w:p>
            <w:pPr>
              <w:snapToGrid w:val="0"/>
              <w:spacing w:line="400" w:lineRule="exact"/>
              <w:rPr>
                <w:rFonts w:ascii="宋体" w:cs="宋体"/>
                <w:szCs w:val="21"/>
              </w:rPr>
            </w:pPr>
          </w:p>
        </w:tc>
        <w:tc>
          <w:tcPr>
            <w:tcW w:w="1837" w:type="dxa"/>
            <w:gridSpan w:val="5"/>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初级职称人员</w:t>
            </w:r>
          </w:p>
        </w:tc>
        <w:tc>
          <w:tcPr>
            <w:tcW w:w="1998" w:type="dxa"/>
            <w:gridSpan w:val="2"/>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开户银行</w:t>
            </w:r>
          </w:p>
        </w:tc>
        <w:tc>
          <w:tcPr>
            <w:tcW w:w="2477" w:type="dxa"/>
            <w:gridSpan w:val="3"/>
            <w:tcMar>
              <w:left w:w="28" w:type="dxa"/>
              <w:right w:w="28" w:type="dxa"/>
            </w:tcMar>
            <w:vAlign w:val="center"/>
          </w:tcPr>
          <w:p>
            <w:pPr>
              <w:snapToGrid w:val="0"/>
              <w:spacing w:line="400" w:lineRule="exact"/>
              <w:rPr>
                <w:rFonts w:ascii="宋体" w:cs="宋体"/>
                <w:szCs w:val="21"/>
              </w:rPr>
            </w:pPr>
          </w:p>
        </w:tc>
        <w:tc>
          <w:tcPr>
            <w:tcW w:w="952" w:type="dxa"/>
            <w:vMerge w:val="continue"/>
            <w:tcMar>
              <w:left w:w="28" w:type="dxa"/>
              <w:right w:w="28" w:type="dxa"/>
            </w:tcMar>
            <w:vAlign w:val="center"/>
          </w:tcPr>
          <w:p>
            <w:pPr>
              <w:snapToGrid w:val="0"/>
              <w:spacing w:line="400" w:lineRule="exact"/>
              <w:rPr>
                <w:rFonts w:ascii="宋体" w:cs="宋体"/>
                <w:szCs w:val="21"/>
              </w:rPr>
            </w:pPr>
          </w:p>
        </w:tc>
        <w:tc>
          <w:tcPr>
            <w:tcW w:w="1837" w:type="dxa"/>
            <w:gridSpan w:val="5"/>
            <w:tcMar>
              <w:left w:w="28" w:type="dxa"/>
              <w:right w:w="28" w:type="dxa"/>
            </w:tcMar>
            <w:vAlign w:val="center"/>
          </w:tcPr>
          <w:p>
            <w:pPr>
              <w:snapToGrid w:val="0"/>
              <w:spacing w:line="400" w:lineRule="exact"/>
              <w:rPr>
                <w:rFonts w:ascii="宋体" w:cs="宋体"/>
                <w:szCs w:val="21"/>
              </w:rPr>
            </w:pPr>
          </w:p>
        </w:tc>
        <w:tc>
          <w:tcPr>
            <w:tcW w:w="1998" w:type="dxa"/>
            <w:gridSpan w:val="2"/>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账号</w:t>
            </w:r>
          </w:p>
        </w:tc>
        <w:tc>
          <w:tcPr>
            <w:tcW w:w="2477" w:type="dxa"/>
            <w:gridSpan w:val="3"/>
            <w:tcMar>
              <w:left w:w="28" w:type="dxa"/>
              <w:right w:w="28" w:type="dxa"/>
            </w:tcMar>
            <w:vAlign w:val="center"/>
          </w:tcPr>
          <w:p>
            <w:pPr>
              <w:snapToGrid w:val="0"/>
              <w:spacing w:line="400" w:lineRule="exact"/>
              <w:rPr>
                <w:rFonts w:ascii="宋体" w:cs="宋体"/>
                <w:szCs w:val="21"/>
              </w:rPr>
            </w:pPr>
          </w:p>
        </w:tc>
        <w:tc>
          <w:tcPr>
            <w:tcW w:w="952" w:type="dxa"/>
            <w:vMerge w:val="continue"/>
            <w:tcMar>
              <w:left w:w="28" w:type="dxa"/>
              <w:right w:w="28" w:type="dxa"/>
            </w:tcMar>
            <w:vAlign w:val="center"/>
          </w:tcPr>
          <w:p>
            <w:pPr>
              <w:snapToGrid w:val="0"/>
              <w:spacing w:line="400" w:lineRule="exact"/>
              <w:rPr>
                <w:rFonts w:ascii="宋体" w:cs="宋体"/>
                <w:szCs w:val="21"/>
              </w:rPr>
            </w:pPr>
          </w:p>
        </w:tc>
        <w:tc>
          <w:tcPr>
            <w:tcW w:w="1837" w:type="dxa"/>
            <w:gridSpan w:val="5"/>
            <w:tcMar>
              <w:left w:w="28" w:type="dxa"/>
              <w:right w:w="28" w:type="dxa"/>
            </w:tcMar>
            <w:vAlign w:val="center"/>
          </w:tcPr>
          <w:p>
            <w:pPr>
              <w:snapToGrid w:val="0"/>
              <w:spacing w:line="400" w:lineRule="exact"/>
              <w:rPr>
                <w:rFonts w:ascii="宋体" w:cs="宋体"/>
                <w:szCs w:val="21"/>
              </w:rPr>
            </w:pPr>
          </w:p>
        </w:tc>
        <w:tc>
          <w:tcPr>
            <w:tcW w:w="1998" w:type="dxa"/>
            <w:gridSpan w:val="2"/>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经营范围</w:t>
            </w:r>
          </w:p>
        </w:tc>
        <w:tc>
          <w:tcPr>
            <w:tcW w:w="7264" w:type="dxa"/>
            <w:gridSpan w:val="11"/>
            <w:tcMar>
              <w:left w:w="28" w:type="dxa"/>
              <w:right w:w="28" w:type="dxa"/>
            </w:tcMar>
            <w:vAlign w:val="center"/>
          </w:tcPr>
          <w:p>
            <w:pPr>
              <w:snapToGrid w:val="0"/>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664" w:type="dxa"/>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备注</w:t>
            </w:r>
          </w:p>
        </w:tc>
        <w:tc>
          <w:tcPr>
            <w:tcW w:w="7264" w:type="dxa"/>
            <w:gridSpan w:val="11"/>
            <w:tcMar>
              <w:left w:w="28" w:type="dxa"/>
              <w:right w:w="28" w:type="dxa"/>
            </w:tcMar>
            <w:vAlign w:val="center"/>
          </w:tcPr>
          <w:p>
            <w:pPr>
              <w:snapToGrid w:val="0"/>
              <w:spacing w:line="400" w:lineRule="exact"/>
              <w:rPr>
                <w:rFonts w:ascii="宋体" w:cs="宋体"/>
                <w:szCs w:val="21"/>
              </w:rPr>
            </w:pPr>
          </w:p>
        </w:tc>
      </w:tr>
    </w:tbl>
    <w:p>
      <w:pPr>
        <w:snapToGrid w:val="0"/>
        <w:spacing w:line="400" w:lineRule="exact"/>
        <w:rPr>
          <w:rFonts w:ascii="宋体" w:cs="宋体"/>
          <w:szCs w:val="21"/>
        </w:rPr>
      </w:pPr>
    </w:p>
    <w:p>
      <w:pPr>
        <w:snapToGrid w:val="0"/>
        <w:spacing w:line="400" w:lineRule="exact"/>
        <w:rPr>
          <w:rFonts w:ascii="宋体" w:cs="宋体"/>
          <w:szCs w:val="21"/>
        </w:rPr>
      </w:pPr>
      <w:r>
        <w:rPr>
          <w:rFonts w:ascii="宋体" w:cs="宋体"/>
          <w:szCs w:val="21"/>
        </w:rPr>
        <w:br w:type="page"/>
      </w:r>
      <w:bookmarkStart w:id="69" w:name="_Toc31992"/>
      <w:r>
        <w:rPr>
          <w:rFonts w:hint="eastAsia" w:ascii="宋体" w:hAnsi="宋体" w:cs="宋体"/>
          <w:szCs w:val="21"/>
        </w:rPr>
        <w:t>格式五：以往业绩</w:t>
      </w:r>
      <w:bookmarkEnd w:id="69"/>
    </w:p>
    <w:p>
      <w:pPr>
        <w:snapToGrid w:val="0"/>
        <w:spacing w:line="400" w:lineRule="exact"/>
        <w:rPr>
          <w:rFonts w:ascii="宋体" w:cs="宋体"/>
          <w:szCs w:val="21"/>
        </w:rPr>
      </w:pPr>
    </w:p>
    <w:p>
      <w:pPr>
        <w:snapToGrid w:val="0"/>
        <w:spacing w:line="400" w:lineRule="exact"/>
        <w:jc w:val="center"/>
        <w:rPr>
          <w:rFonts w:ascii="宋体" w:cs="宋体"/>
          <w:b/>
          <w:bCs/>
          <w:sz w:val="28"/>
          <w:szCs w:val="28"/>
        </w:rPr>
      </w:pPr>
      <w:r>
        <w:rPr>
          <w:rFonts w:hint="eastAsia" w:ascii="宋体" w:hAnsi="宋体" w:cs="宋体"/>
          <w:b/>
          <w:bCs/>
          <w:sz w:val="28"/>
          <w:szCs w:val="28"/>
        </w:rPr>
        <w:t>以往业绩一览表</w:t>
      </w:r>
    </w:p>
    <w:tbl>
      <w:tblPr>
        <w:tblStyle w:val="30"/>
        <w:tblW w:w="8846"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61"/>
        <w:gridCol w:w="1702"/>
        <w:gridCol w:w="2028"/>
        <w:gridCol w:w="1143"/>
        <w:gridCol w:w="1260"/>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5" w:hRule="atLeast"/>
        </w:trPr>
        <w:tc>
          <w:tcPr>
            <w:tcW w:w="661"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cs="宋体"/>
                <w:szCs w:val="21"/>
              </w:rPr>
            </w:pPr>
            <w:r>
              <w:rPr>
                <w:rFonts w:hint="eastAsia" w:ascii="宋体" w:hAnsi="宋体" w:cs="宋体"/>
                <w:szCs w:val="21"/>
              </w:rPr>
              <w:t>序号</w:t>
            </w:r>
          </w:p>
        </w:tc>
        <w:tc>
          <w:tcPr>
            <w:tcW w:w="1702"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cs="宋体"/>
                <w:szCs w:val="21"/>
              </w:rPr>
            </w:pPr>
            <w:r>
              <w:rPr>
                <w:rFonts w:hint="eastAsia" w:ascii="宋体" w:hAnsi="宋体" w:cs="宋体"/>
                <w:szCs w:val="21"/>
              </w:rPr>
              <w:t>项目名称</w:t>
            </w:r>
          </w:p>
        </w:tc>
        <w:tc>
          <w:tcPr>
            <w:tcW w:w="2028"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cs="宋体"/>
                <w:szCs w:val="21"/>
              </w:rPr>
            </w:pPr>
            <w:r>
              <w:rPr>
                <w:rFonts w:hint="eastAsia" w:ascii="宋体" w:hAnsi="宋体" w:cs="宋体"/>
                <w:szCs w:val="21"/>
              </w:rPr>
              <w:t>业主名称</w:t>
            </w:r>
          </w:p>
        </w:tc>
        <w:tc>
          <w:tcPr>
            <w:tcW w:w="1143"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cs="宋体"/>
                <w:szCs w:val="21"/>
              </w:rPr>
            </w:pPr>
            <w:r>
              <w:rPr>
                <w:rFonts w:hint="eastAsia" w:ascii="宋体" w:hAnsi="宋体" w:cs="宋体"/>
                <w:szCs w:val="21"/>
              </w:rPr>
              <w:t>合同金额</w:t>
            </w:r>
          </w:p>
        </w:tc>
        <w:tc>
          <w:tcPr>
            <w:tcW w:w="1260"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cs="宋体"/>
                <w:szCs w:val="21"/>
              </w:rPr>
            </w:pPr>
            <w:r>
              <w:rPr>
                <w:rFonts w:hint="eastAsia" w:ascii="宋体" w:hAnsi="宋体" w:cs="宋体"/>
                <w:szCs w:val="21"/>
              </w:rPr>
              <w:t>合同签订</w:t>
            </w:r>
          </w:p>
          <w:p>
            <w:pPr>
              <w:snapToGrid w:val="0"/>
              <w:spacing w:line="400" w:lineRule="exact"/>
              <w:jc w:val="center"/>
              <w:rPr>
                <w:rFonts w:ascii="宋体" w:cs="宋体"/>
                <w:szCs w:val="21"/>
              </w:rPr>
            </w:pPr>
            <w:r>
              <w:rPr>
                <w:rFonts w:hint="eastAsia" w:ascii="宋体" w:hAnsi="宋体" w:cs="宋体"/>
                <w:szCs w:val="21"/>
              </w:rPr>
              <w:t>时间</w:t>
            </w:r>
          </w:p>
        </w:tc>
        <w:tc>
          <w:tcPr>
            <w:tcW w:w="2052" w:type="dxa"/>
            <w:tcBorders>
              <w:top w:val="single" w:color="auto" w:sz="4" w:space="0"/>
              <w:bottom w:val="single" w:color="auto" w:sz="4" w:space="0"/>
            </w:tcBorders>
            <w:tcMar>
              <w:left w:w="0" w:type="dxa"/>
              <w:right w:w="0" w:type="dxa"/>
            </w:tcMar>
            <w:vAlign w:val="center"/>
          </w:tcPr>
          <w:p>
            <w:pPr>
              <w:snapToGrid w:val="0"/>
              <w:spacing w:line="400" w:lineRule="exact"/>
              <w:jc w:val="center"/>
              <w:rPr>
                <w:rFonts w:ascii="宋体" w:cs="宋体"/>
                <w:szCs w:val="21"/>
              </w:rPr>
            </w:pPr>
            <w:r>
              <w:rPr>
                <w:rFonts w:hint="eastAsia" w:ascii="宋体" w:hAnsi="宋体" w:cs="宋体"/>
                <w:szCs w:val="21"/>
              </w:rPr>
              <w:t>联系人</w:t>
            </w:r>
            <w:r>
              <w:rPr>
                <w:rFonts w:ascii="宋体" w:hAnsi="宋体" w:cs="宋体"/>
                <w:szCs w:val="21"/>
              </w:rPr>
              <w:t>/</w:t>
            </w:r>
            <w:r>
              <w:rPr>
                <w:rFonts w:hint="eastAsia" w:ascii="宋体" w:hAnsi="宋体" w:cs="宋体"/>
                <w:szCs w:val="21"/>
              </w:rPr>
              <w:t>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Borders>
              <w:top w:val="single" w:color="auto" w:sz="4" w:space="0"/>
            </w:tcBorders>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1</w:t>
            </w:r>
          </w:p>
        </w:tc>
        <w:tc>
          <w:tcPr>
            <w:tcW w:w="1702" w:type="dxa"/>
            <w:tcBorders>
              <w:top w:val="single" w:color="auto" w:sz="4" w:space="0"/>
            </w:tcBorders>
            <w:tcMar>
              <w:left w:w="0" w:type="dxa"/>
              <w:right w:w="0" w:type="dxa"/>
            </w:tcMar>
            <w:vAlign w:val="center"/>
          </w:tcPr>
          <w:p>
            <w:pPr>
              <w:snapToGrid w:val="0"/>
              <w:spacing w:line="400" w:lineRule="exact"/>
              <w:jc w:val="center"/>
              <w:rPr>
                <w:rFonts w:ascii="宋体" w:cs="宋体"/>
                <w:szCs w:val="21"/>
              </w:rPr>
            </w:pPr>
          </w:p>
        </w:tc>
        <w:tc>
          <w:tcPr>
            <w:tcW w:w="2028" w:type="dxa"/>
            <w:tcBorders>
              <w:top w:val="single" w:color="auto" w:sz="4" w:space="0"/>
            </w:tcBorders>
            <w:tcMar>
              <w:left w:w="0" w:type="dxa"/>
              <w:right w:w="0" w:type="dxa"/>
            </w:tcMar>
            <w:vAlign w:val="center"/>
          </w:tcPr>
          <w:p>
            <w:pPr>
              <w:snapToGrid w:val="0"/>
              <w:spacing w:line="400" w:lineRule="exact"/>
              <w:jc w:val="center"/>
              <w:rPr>
                <w:rFonts w:ascii="宋体" w:cs="宋体"/>
                <w:szCs w:val="21"/>
              </w:rPr>
            </w:pPr>
          </w:p>
        </w:tc>
        <w:tc>
          <w:tcPr>
            <w:tcW w:w="1143" w:type="dxa"/>
            <w:tcBorders>
              <w:top w:val="single" w:color="auto" w:sz="4" w:space="0"/>
            </w:tcBorders>
            <w:tcMar>
              <w:left w:w="0" w:type="dxa"/>
              <w:right w:w="0" w:type="dxa"/>
            </w:tcMar>
            <w:vAlign w:val="center"/>
          </w:tcPr>
          <w:p>
            <w:pPr>
              <w:snapToGrid w:val="0"/>
              <w:spacing w:line="400" w:lineRule="exact"/>
              <w:jc w:val="center"/>
              <w:rPr>
                <w:rFonts w:ascii="宋体" w:cs="宋体"/>
                <w:szCs w:val="21"/>
              </w:rPr>
            </w:pPr>
          </w:p>
        </w:tc>
        <w:tc>
          <w:tcPr>
            <w:tcW w:w="1260" w:type="dxa"/>
            <w:tcBorders>
              <w:top w:val="single" w:color="auto" w:sz="4" w:space="0"/>
            </w:tcBorders>
            <w:tcMar>
              <w:left w:w="0" w:type="dxa"/>
              <w:right w:w="0" w:type="dxa"/>
            </w:tcMar>
            <w:vAlign w:val="center"/>
          </w:tcPr>
          <w:p>
            <w:pPr>
              <w:snapToGrid w:val="0"/>
              <w:spacing w:line="400" w:lineRule="exact"/>
              <w:jc w:val="center"/>
              <w:rPr>
                <w:rFonts w:ascii="宋体" w:cs="宋体"/>
                <w:szCs w:val="21"/>
              </w:rPr>
            </w:pPr>
          </w:p>
        </w:tc>
        <w:tc>
          <w:tcPr>
            <w:tcW w:w="2052" w:type="dxa"/>
            <w:tcBorders>
              <w:top w:val="single" w:color="auto" w:sz="4" w:space="0"/>
            </w:tcBorders>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2</w:t>
            </w:r>
          </w:p>
        </w:tc>
        <w:tc>
          <w:tcPr>
            <w:tcW w:w="1702" w:type="dxa"/>
            <w:tcMar>
              <w:left w:w="0" w:type="dxa"/>
              <w:right w:w="0" w:type="dxa"/>
            </w:tcMar>
            <w:vAlign w:val="center"/>
          </w:tcPr>
          <w:p>
            <w:pPr>
              <w:snapToGrid w:val="0"/>
              <w:spacing w:line="400" w:lineRule="exact"/>
              <w:jc w:val="center"/>
              <w:rPr>
                <w:rFonts w:ascii="宋体" w:cs="宋体"/>
                <w:szCs w:val="21"/>
              </w:rPr>
            </w:pPr>
          </w:p>
        </w:tc>
        <w:tc>
          <w:tcPr>
            <w:tcW w:w="2028" w:type="dxa"/>
            <w:tcMar>
              <w:left w:w="0" w:type="dxa"/>
              <w:right w:w="0" w:type="dxa"/>
            </w:tcMar>
            <w:vAlign w:val="center"/>
          </w:tcPr>
          <w:p>
            <w:pPr>
              <w:snapToGrid w:val="0"/>
              <w:spacing w:line="400" w:lineRule="exact"/>
              <w:jc w:val="center"/>
              <w:rPr>
                <w:rFonts w:ascii="宋体" w:cs="宋体"/>
                <w:szCs w:val="21"/>
              </w:rPr>
            </w:pPr>
          </w:p>
        </w:tc>
        <w:tc>
          <w:tcPr>
            <w:tcW w:w="1143" w:type="dxa"/>
            <w:tcMar>
              <w:left w:w="0" w:type="dxa"/>
              <w:right w:w="0" w:type="dxa"/>
            </w:tcMar>
            <w:vAlign w:val="center"/>
          </w:tcPr>
          <w:p>
            <w:pPr>
              <w:snapToGrid w:val="0"/>
              <w:spacing w:line="400" w:lineRule="exact"/>
              <w:jc w:val="center"/>
              <w:rPr>
                <w:rFonts w:ascii="宋体" w:cs="宋体"/>
                <w:szCs w:val="21"/>
              </w:rPr>
            </w:pPr>
          </w:p>
        </w:tc>
        <w:tc>
          <w:tcPr>
            <w:tcW w:w="1260" w:type="dxa"/>
            <w:tcMar>
              <w:left w:w="0" w:type="dxa"/>
              <w:right w:w="0" w:type="dxa"/>
            </w:tcMar>
            <w:vAlign w:val="center"/>
          </w:tcPr>
          <w:p>
            <w:pPr>
              <w:snapToGrid w:val="0"/>
              <w:spacing w:line="400" w:lineRule="exact"/>
              <w:jc w:val="center"/>
              <w:rPr>
                <w:rFonts w:ascii="宋体" w:cs="宋体"/>
                <w:szCs w:val="21"/>
              </w:rPr>
            </w:pPr>
          </w:p>
        </w:tc>
        <w:tc>
          <w:tcPr>
            <w:tcW w:w="2052" w:type="dxa"/>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3</w:t>
            </w:r>
          </w:p>
        </w:tc>
        <w:tc>
          <w:tcPr>
            <w:tcW w:w="1702" w:type="dxa"/>
            <w:tcMar>
              <w:left w:w="0" w:type="dxa"/>
              <w:right w:w="0" w:type="dxa"/>
            </w:tcMar>
            <w:vAlign w:val="center"/>
          </w:tcPr>
          <w:p>
            <w:pPr>
              <w:snapToGrid w:val="0"/>
              <w:spacing w:line="400" w:lineRule="exact"/>
              <w:jc w:val="center"/>
              <w:rPr>
                <w:rFonts w:ascii="宋体" w:cs="宋体"/>
                <w:szCs w:val="21"/>
              </w:rPr>
            </w:pPr>
          </w:p>
        </w:tc>
        <w:tc>
          <w:tcPr>
            <w:tcW w:w="2028" w:type="dxa"/>
            <w:tcMar>
              <w:left w:w="0" w:type="dxa"/>
              <w:right w:w="0" w:type="dxa"/>
            </w:tcMar>
            <w:vAlign w:val="center"/>
          </w:tcPr>
          <w:p>
            <w:pPr>
              <w:snapToGrid w:val="0"/>
              <w:spacing w:line="400" w:lineRule="exact"/>
              <w:jc w:val="center"/>
              <w:rPr>
                <w:rFonts w:ascii="宋体" w:cs="宋体"/>
                <w:szCs w:val="21"/>
              </w:rPr>
            </w:pPr>
          </w:p>
        </w:tc>
        <w:tc>
          <w:tcPr>
            <w:tcW w:w="1143" w:type="dxa"/>
            <w:tcMar>
              <w:left w:w="0" w:type="dxa"/>
              <w:right w:w="0" w:type="dxa"/>
            </w:tcMar>
            <w:vAlign w:val="center"/>
          </w:tcPr>
          <w:p>
            <w:pPr>
              <w:snapToGrid w:val="0"/>
              <w:spacing w:line="400" w:lineRule="exact"/>
              <w:jc w:val="center"/>
              <w:rPr>
                <w:rFonts w:ascii="宋体" w:cs="宋体"/>
                <w:szCs w:val="21"/>
              </w:rPr>
            </w:pPr>
          </w:p>
        </w:tc>
        <w:tc>
          <w:tcPr>
            <w:tcW w:w="1260" w:type="dxa"/>
            <w:tcMar>
              <w:left w:w="0" w:type="dxa"/>
              <w:right w:w="0" w:type="dxa"/>
            </w:tcMar>
            <w:vAlign w:val="center"/>
          </w:tcPr>
          <w:p>
            <w:pPr>
              <w:snapToGrid w:val="0"/>
              <w:spacing w:line="400" w:lineRule="exact"/>
              <w:jc w:val="center"/>
              <w:rPr>
                <w:rFonts w:ascii="宋体" w:cs="宋体"/>
                <w:szCs w:val="21"/>
              </w:rPr>
            </w:pPr>
          </w:p>
        </w:tc>
        <w:tc>
          <w:tcPr>
            <w:tcW w:w="2052" w:type="dxa"/>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4</w:t>
            </w:r>
          </w:p>
        </w:tc>
        <w:tc>
          <w:tcPr>
            <w:tcW w:w="1702" w:type="dxa"/>
            <w:tcMar>
              <w:left w:w="0" w:type="dxa"/>
              <w:right w:w="0" w:type="dxa"/>
            </w:tcMar>
            <w:vAlign w:val="center"/>
          </w:tcPr>
          <w:p>
            <w:pPr>
              <w:snapToGrid w:val="0"/>
              <w:spacing w:line="400" w:lineRule="exact"/>
              <w:jc w:val="center"/>
              <w:rPr>
                <w:rFonts w:ascii="宋体" w:cs="宋体"/>
                <w:szCs w:val="21"/>
              </w:rPr>
            </w:pPr>
          </w:p>
        </w:tc>
        <w:tc>
          <w:tcPr>
            <w:tcW w:w="2028" w:type="dxa"/>
            <w:tcMar>
              <w:left w:w="0" w:type="dxa"/>
              <w:right w:w="0" w:type="dxa"/>
            </w:tcMar>
            <w:vAlign w:val="center"/>
          </w:tcPr>
          <w:p>
            <w:pPr>
              <w:snapToGrid w:val="0"/>
              <w:spacing w:line="400" w:lineRule="exact"/>
              <w:jc w:val="center"/>
              <w:rPr>
                <w:rFonts w:ascii="宋体" w:cs="宋体"/>
                <w:szCs w:val="21"/>
              </w:rPr>
            </w:pPr>
          </w:p>
        </w:tc>
        <w:tc>
          <w:tcPr>
            <w:tcW w:w="1143" w:type="dxa"/>
            <w:tcMar>
              <w:left w:w="0" w:type="dxa"/>
              <w:right w:w="0" w:type="dxa"/>
            </w:tcMar>
            <w:vAlign w:val="center"/>
          </w:tcPr>
          <w:p>
            <w:pPr>
              <w:snapToGrid w:val="0"/>
              <w:spacing w:line="400" w:lineRule="exact"/>
              <w:jc w:val="center"/>
              <w:rPr>
                <w:rFonts w:ascii="宋体" w:cs="宋体"/>
                <w:szCs w:val="21"/>
              </w:rPr>
            </w:pPr>
          </w:p>
        </w:tc>
        <w:tc>
          <w:tcPr>
            <w:tcW w:w="1260" w:type="dxa"/>
            <w:tcMar>
              <w:left w:w="0" w:type="dxa"/>
              <w:right w:w="0" w:type="dxa"/>
            </w:tcMar>
            <w:vAlign w:val="center"/>
          </w:tcPr>
          <w:p>
            <w:pPr>
              <w:snapToGrid w:val="0"/>
              <w:spacing w:line="400" w:lineRule="exact"/>
              <w:jc w:val="center"/>
              <w:rPr>
                <w:rFonts w:ascii="宋体" w:cs="宋体"/>
                <w:szCs w:val="21"/>
              </w:rPr>
            </w:pPr>
          </w:p>
        </w:tc>
        <w:tc>
          <w:tcPr>
            <w:tcW w:w="2052" w:type="dxa"/>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5</w:t>
            </w:r>
          </w:p>
        </w:tc>
        <w:tc>
          <w:tcPr>
            <w:tcW w:w="1702" w:type="dxa"/>
            <w:tcMar>
              <w:left w:w="0" w:type="dxa"/>
              <w:right w:w="0" w:type="dxa"/>
            </w:tcMar>
            <w:vAlign w:val="center"/>
          </w:tcPr>
          <w:p>
            <w:pPr>
              <w:snapToGrid w:val="0"/>
              <w:spacing w:line="400" w:lineRule="exact"/>
              <w:jc w:val="center"/>
              <w:rPr>
                <w:rFonts w:ascii="宋体" w:cs="宋体"/>
                <w:szCs w:val="21"/>
              </w:rPr>
            </w:pPr>
          </w:p>
        </w:tc>
        <w:tc>
          <w:tcPr>
            <w:tcW w:w="2028" w:type="dxa"/>
            <w:tcMar>
              <w:left w:w="0" w:type="dxa"/>
              <w:right w:w="0" w:type="dxa"/>
            </w:tcMar>
            <w:vAlign w:val="center"/>
          </w:tcPr>
          <w:p>
            <w:pPr>
              <w:snapToGrid w:val="0"/>
              <w:spacing w:line="400" w:lineRule="exact"/>
              <w:jc w:val="center"/>
              <w:rPr>
                <w:rFonts w:ascii="宋体" w:cs="宋体"/>
                <w:szCs w:val="21"/>
              </w:rPr>
            </w:pPr>
          </w:p>
        </w:tc>
        <w:tc>
          <w:tcPr>
            <w:tcW w:w="1143" w:type="dxa"/>
            <w:tcMar>
              <w:left w:w="0" w:type="dxa"/>
              <w:right w:w="0" w:type="dxa"/>
            </w:tcMar>
            <w:vAlign w:val="center"/>
          </w:tcPr>
          <w:p>
            <w:pPr>
              <w:snapToGrid w:val="0"/>
              <w:spacing w:line="400" w:lineRule="exact"/>
              <w:jc w:val="center"/>
              <w:rPr>
                <w:rFonts w:ascii="宋体" w:cs="宋体"/>
                <w:szCs w:val="21"/>
              </w:rPr>
            </w:pPr>
          </w:p>
        </w:tc>
        <w:tc>
          <w:tcPr>
            <w:tcW w:w="1260" w:type="dxa"/>
            <w:tcMar>
              <w:left w:w="0" w:type="dxa"/>
              <w:right w:w="0" w:type="dxa"/>
            </w:tcMar>
            <w:vAlign w:val="center"/>
          </w:tcPr>
          <w:p>
            <w:pPr>
              <w:snapToGrid w:val="0"/>
              <w:spacing w:line="400" w:lineRule="exact"/>
              <w:jc w:val="center"/>
              <w:rPr>
                <w:rFonts w:ascii="宋体" w:cs="宋体"/>
                <w:szCs w:val="21"/>
              </w:rPr>
            </w:pPr>
          </w:p>
        </w:tc>
        <w:tc>
          <w:tcPr>
            <w:tcW w:w="2052" w:type="dxa"/>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6</w:t>
            </w:r>
          </w:p>
        </w:tc>
        <w:tc>
          <w:tcPr>
            <w:tcW w:w="1702" w:type="dxa"/>
            <w:tcMar>
              <w:left w:w="0" w:type="dxa"/>
              <w:right w:w="0" w:type="dxa"/>
            </w:tcMar>
            <w:vAlign w:val="center"/>
          </w:tcPr>
          <w:p>
            <w:pPr>
              <w:snapToGrid w:val="0"/>
              <w:spacing w:line="400" w:lineRule="exact"/>
              <w:jc w:val="center"/>
              <w:rPr>
                <w:rFonts w:ascii="宋体" w:cs="宋体"/>
                <w:szCs w:val="21"/>
              </w:rPr>
            </w:pPr>
          </w:p>
        </w:tc>
        <w:tc>
          <w:tcPr>
            <w:tcW w:w="2028" w:type="dxa"/>
            <w:tcMar>
              <w:left w:w="0" w:type="dxa"/>
              <w:right w:w="0" w:type="dxa"/>
            </w:tcMar>
            <w:vAlign w:val="center"/>
          </w:tcPr>
          <w:p>
            <w:pPr>
              <w:snapToGrid w:val="0"/>
              <w:spacing w:line="400" w:lineRule="exact"/>
              <w:jc w:val="center"/>
              <w:rPr>
                <w:rFonts w:ascii="宋体" w:cs="宋体"/>
                <w:szCs w:val="21"/>
              </w:rPr>
            </w:pPr>
          </w:p>
        </w:tc>
        <w:tc>
          <w:tcPr>
            <w:tcW w:w="1143" w:type="dxa"/>
            <w:tcMar>
              <w:left w:w="0" w:type="dxa"/>
              <w:right w:w="0" w:type="dxa"/>
            </w:tcMar>
            <w:vAlign w:val="center"/>
          </w:tcPr>
          <w:p>
            <w:pPr>
              <w:snapToGrid w:val="0"/>
              <w:spacing w:line="400" w:lineRule="exact"/>
              <w:jc w:val="center"/>
              <w:rPr>
                <w:rFonts w:ascii="宋体" w:cs="宋体"/>
                <w:szCs w:val="21"/>
              </w:rPr>
            </w:pPr>
          </w:p>
        </w:tc>
        <w:tc>
          <w:tcPr>
            <w:tcW w:w="1260" w:type="dxa"/>
            <w:tcMar>
              <w:left w:w="0" w:type="dxa"/>
              <w:right w:w="0" w:type="dxa"/>
            </w:tcMar>
            <w:vAlign w:val="center"/>
          </w:tcPr>
          <w:p>
            <w:pPr>
              <w:snapToGrid w:val="0"/>
              <w:spacing w:line="400" w:lineRule="exact"/>
              <w:jc w:val="center"/>
              <w:rPr>
                <w:rFonts w:ascii="宋体" w:cs="宋体"/>
                <w:szCs w:val="21"/>
              </w:rPr>
            </w:pPr>
          </w:p>
        </w:tc>
        <w:tc>
          <w:tcPr>
            <w:tcW w:w="2052" w:type="dxa"/>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7</w:t>
            </w:r>
          </w:p>
        </w:tc>
        <w:tc>
          <w:tcPr>
            <w:tcW w:w="1702" w:type="dxa"/>
            <w:tcMar>
              <w:left w:w="0" w:type="dxa"/>
              <w:right w:w="0" w:type="dxa"/>
            </w:tcMar>
            <w:vAlign w:val="center"/>
          </w:tcPr>
          <w:p>
            <w:pPr>
              <w:snapToGrid w:val="0"/>
              <w:spacing w:line="400" w:lineRule="exact"/>
              <w:jc w:val="center"/>
              <w:rPr>
                <w:rFonts w:ascii="宋体" w:cs="宋体"/>
                <w:szCs w:val="21"/>
              </w:rPr>
            </w:pPr>
          </w:p>
        </w:tc>
        <w:tc>
          <w:tcPr>
            <w:tcW w:w="2028" w:type="dxa"/>
            <w:tcMar>
              <w:left w:w="0" w:type="dxa"/>
              <w:right w:w="0" w:type="dxa"/>
            </w:tcMar>
            <w:vAlign w:val="center"/>
          </w:tcPr>
          <w:p>
            <w:pPr>
              <w:snapToGrid w:val="0"/>
              <w:spacing w:line="400" w:lineRule="exact"/>
              <w:jc w:val="center"/>
              <w:rPr>
                <w:rFonts w:ascii="宋体" w:cs="宋体"/>
                <w:szCs w:val="21"/>
              </w:rPr>
            </w:pPr>
          </w:p>
        </w:tc>
        <w:tc>
          <w:tcPr>
            <w:tcW w:w="1143" w:type="dxa"/>
            <w:tcMar>
              <w:left w:w="0" w:type="dxa"/>
              <w:right w:w="0" w:type="dxa"/>
            </w:tcMar>
            <w:vAlign w:val="center"/>
          </w:tcPr>
          <w:p>
            <w:pPr>
              <w:snapToGrid w:val="0"/>
              <w:spacing w:line="400" w:lineRule="exact"/>
              <w:jc w:val="center"/>
              <w:rPr>
                <w:rFonts w:ascii="宋体" w:cs="宋体"/>
                <w:szCs w:val="21"/>
              </w:rPr>
            </w:pPr>
          </w:p>
        </w:tc>
        <w:tc>
          <w:tcPr>
            <w:tcW w:w="1260" w:type="dxa"/>
            <w:tcMar>
              <w:left w:w="0" w:type="dxa"/>
              <w:right w:w="0" w:type="dxa"/>
            </w:tcMar>
            <w:vAlign w:val="center"/>
          </w:tcPr>
          <w:p>
            <w:pPr>
              <w:snapToGrid w:val="0"/>
              <w:spacing w:line="400" w:lineRule="exact"/>
              <w:jc w:val="center"/>
              <w:rPr>
                <w:rFonts w:ascii="宋体" w:cs="宋体"/>
                <w:szCs w:val="21"/>
              </w:rPr>
            </w:pPr>
          </w:p>
        </w:tc>
        <w:tc>
          <w:tcPr>
            <w:tcW w:w="2052" w:type="dxa"/>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8</w:t>
            </w:r>
          </w:p>
        </w:tc>
        <w:tc>
          <w:tcPr>
            <w:tcW w:w="1702" w:type="dxa"/>
            <w:tcMar>
              <w:left w:w="0" w:type="dxa"/>
              <w:right w:w="0" w:type="dxa"/>
            </w:tcMar>
            <w:vAlign w:val="center"/>
          </w:tcPr>
          <w:p>
            <w:pPr>
              <w:snapToGrid w:val="0"/>
              <w:spacing w:line="400" w:lineRule="exact"/>
              <w:jc w:val="center"/>
              <w:rPr>
                <w:rFonts w:ascii="宋体" w:cs="宋体"/>
                <w:szCs w:val="21"/>
              </w:rPr>
            </w:pPr>
          </w:p>
        </w:tc>
        <w:tc>
          <w:tcPr>
            <w:tcW w:w="2028" w:type="dxa"/>
            <w:tcMar>
              <w:left w:w="0" w:type="dxa"/>
              <w:right w:w="0" w:type="dxa"/>
            </w:tcMar>
            <w:vAlign w:val="center"/>
          </w:tcPr>
          <w:p>
            <w:pPr>
              <w:snapToGrid w:val="0"/>
              <w:spacing w:line="400" w:lineRule="exact"/>
              <w:jc w:val="center"/>
              <w:rPr>
                <w:rFonts w:ascii="宋体" w:cs="宋体"/>
                <w:szCs w:val="21"/>
              </w:rPr>
            </w:pPr>
          </w:p>
        </w:tc>
        <w:tc>
          <w:tcPr>
            <w:tcW w:w="1143" w:type="dxa"/>
            <w:tcMar>
              <w:left w:w="0" w:type="dxa"/>
              <w:right w:w="0" w:type="dxa"/>
            </w:tcMar>
            <w:vAlign w:val="center"/>
          </w:tcPr>
          <w:p>
            <w:pPr>
              <w:snapToGrid w:val="0"/>
              <w:spacing w:line="400" w:lineRule="exact"/>
              <w:jc w:val="center"/>
              <w:rPr>
                <w:rFonts w:ascii="宋体" w:cs="宋体"/>
                <w:szCs w:val="21"/>
              </w:rPr>
            </w:pPr>
          </w:p>
        </w:tc>
        <w:tc>
          <w:tcPr>
            <w:tcW w:w="1260" w:type="dxa"/>
            <w:tcMar>
              <w:left w:w="0" w:type="dxa"/>
              <w:right w:w="0" w:type="dxa"/>
            </w:tcMar>
            <w:vAlign w:val="center"/>
          </w:tcPr>
          <w:p>
            <w:pPr>
              <w:snapToGrid w:val="0"/>
              <w:spacing w:line="400" w:lineRule="exact"/>
              <w:jc w:val="center"/>
              <w:rPr>
                <w:rFonts w:ascii="宋体" w:cs="宋体"/>
                <w:szCs w:val="21"/>
              </w:rPr>
            </w:pPr>
          </w:p>
        </w:tc>
        <w:tc>
          <w:tcPr>
            <w:tcW w:w="2052" w:type="dxa"/>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9</w:t>
            </w:r>
          </w:p>
        </w:tc>
        <w:tc>
          <w:tcPr>
            <w:tcW w:w="1702" w:type="dxa"/>
            <w:tcMar>
              <w:left w:w="0" w:type="dxa"/>
              <w:right w:w="0" w:type="dxa"/>
            </w:tcMar>
            <w:vAlign w:val="center"/>
          </w:tcPr>
          <w:p>
            <w:pPr>
              <w:snapToGrid w:val="0"/>
              <w:spacing w:line="400" w:lineRule="exact"/>
              <w:jc w:val="center"/>
              <w:rPr>
                <w:rFonts w:ascii="宋体" w:cs="宋体"/>
                <w:szCs w:val="21"/>
              </w:rPr>
            </w:pPr>
          </w:p>
        </w:tc>
        <w:tc>
          <w:tcPr>
            <w:tcW w:w="2028" w:type="dxa"/>
            <w:tcMar>
              <w:left w:w="0" w:type="dxa"/>
              <w:right w:w="0" w:type="dxa"/>
            </w:tcMar>
            <w:vAlign w:val="center"/>
          </w:tcPr>
          <w:p>
            <w:pPr>
              <w:snapToGrid w:val="0"/>
              <w:spacing w:line="400" w:lineRule="exact"/>
              <w:jc w:val="center"/>
              <w:rPr>
                <w:rFonts w:ascii="宋体" w:cs="宋体"/>
                <w:szCs w:val="21"/>
              </w:rPr>
            </w:pPr>
          </w:p>
        </w:tc>
        <w:tc>
          <w:tcPr>
            <w:tcW w:w="1143" w:type="dxa"/>
            <w:tcMar>
              <w:left w:w="0" w:type="dxa"/>
              <w:right w:w="0" w:type="dxa"/>
            </w:tcMar>
            <w:vAlign w:val="center"/>
          </w:tcPr>
          <w:p>
            <w:pPr>
              <w:snapToGrid w:val="0"/>
              <w:spacing w:line="400" w:lineRule="exact"/>
              <w:jc w:val="center"/>
              <w:rPr>
                <w:rFonts w:ascii="宋体" w:cs="宋体"/>
                <w:szCs w:val="21"/>
              </w:rPr>
            </w:pPr>
          </w:p>
        </w:tc>
        <w:tc>
          <w:tcPr>
            <w:tcW w:w="1260" w:type="dxa"/>
            <w:tcMar>
              <w:left w:w="0" w:type="dxa"/>
              <w:right w:w="0" w:type="dxa"/>
            </w:tcMar>
            <w:vAlign w:val="center"/>
          </w:tcPr>
          <w:p>
            <w:pPr>
              <w:snapToGrid w:val="0"/>
              <w:spacing w:line="400" w:lineRule="exact"/>
              <w:jc w:val="center"/>
              <w:rPr>
                <w:rFonts w:ascii="宋体" w:cs="宋体"/>
                <w:szCs w:val="21"/>
              </w:rPr>
            </w:pPr>
          </w:p>
        </w:tc>
        <w:tc>
          <w:tcPr>
            <w:tcW w:w="2052" w:type="dxa"/>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10</w:t>
            </w:r>
          </w:p>
        </w:tc>
        <w:tc>
          <w:tcPr>
            <w:tcW w:w="1702" w:type="dxa"/>
            <w:tcMar>
              <w:left w:w="0" w:type="dxa"/>
              <w:right w:w="0" w:type="dxa"/>
            </w:tcMar>
            <w:vAlign w:val="center"/>
          </w:tcPr>
          <w:p>
            <w:pPr>
              <w:snapToGrid w:val="0"/>
              <w:spacing w:line="400" w:lineRule="exact"/>
              <w:jc w:val="center"/>
              <w:rPr>
                <w:rFonts w:ascii="宋体" w:cs="宋体"/>
                <w:szCs w:val="21"/>
              </w:rPr>
            </w:pPr>
          </w:p>
        </w:tc>
        <w:tc>
          <w:tcPr>
            <w:tcW w:w="2028" w:type="dxa"/>
            <w:tcMar>
              <w:left w:w="0" w:type="dxa"/>
              <w:right w:w="0" w:type="dxa"/>
            </w:tcMar>
            <w:vAlign w:val="center"/>
          </w:tcPr>
          <w:p>
            <w:pPr>
              <w:snapToGrid w:val="0"/>
              <w:spacing w:line="400" w:lineRule="exact"/>
              <w:jc w:val="center"/>
              <w:rPr>
                <w:rFonts w:ascii="宋体" w:cs="宋体"/>
                <w:szCs w:val="21"/>
              </w:rPr>
            </w:pPr>
          </w:p>
        </w:tc>
        <w:tc>
          <w:tcPr>
            <w:tcW w:w="1143" w:type="dxa"/>
            <w:tcMar>
              <w:left w:w="0" w:type="dxa"/>
              <w:right w:w="0" w:type="dxa"/>
            </w:tcMar>
            <w:vAlign w:val="center"/>
          </w:tcPr>
          <w:p>
            <w:pPr>
              <w:snapToGrid w:val="0"/>
              <w:spacing w:line="400" w:lineRule="exact"/>
              <w:jc w:val="center"/>
              <w:rPr>
                <w:rFonts w:ascii="宋体" w:cs="宋体"/>
                <w:szCs w:val="21"/>
              </w:rPr>
            </w:pPr>
          </w:p>
        </w:tc>
        <w:tc>
          <w:tcPr>
            <w:tcW w:w="1260" w:type="dxa"/>
            <w:tcMar>
              <w:left w:w="0" w:type="dxa"/>
              <w:right w:w="0" w:type="dxa"/>
            </w:tcMar>
            <w:vAlign w:val="center"/>
          </w:tcPr>
          <w:p>
            <w:pPr>
              <w:snapToGrid w:val="0"/>
              <w:spacing w:line="400" w:lineRule="exact"/>
              <w:jc w:val="center"/>
              <w:rPr>
                <w:rFonts w:ascii="宋体" w:cs="宋体"/>
                <w:szCs w:val="21"/>
              </w:rPr>
            </w:pPr>
          </w:p>
        </w:tc>
        <w:tc>
          <w:tcPr>
            <w:tcW w:w="2052" w:type="dxa"/>
            <w:tcMar>
              <w:left w:w="0" w:type="dxa"/>
              <w:right w:w="0" w:type="dxa"/>
            </w:tcMar>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18" w:hRule="atLeast"/>
        </w:trPr>
        <w:tc>
          <w:tcPr>
            <w:tcW w:w="661" w:type="dxa"/>
            <w:tcBorders>
              <w:bottom w:val="single" w:color="auto" w:sz="4" w:space="0"/>
            </w:tcBorders>
            <w:tcMar>
              <w:left w:w="0" w:type="dxa"/>
              <w:right w:w="0" w:type="dxa"/>
            </w:tcMar>
            <w:vAlign w:val="center"/>
          </w:tcPr>
          <w:p>
            <w:pPr>
              <w:snapToGrid w:val="0"/>
              <w:spacing w:line="400" w:lineRule="exact"/>
              <w:jc w:val="center"/>
              <w:rPr>
                <w:rFonts w:ascii="宋体" w:cs="宋体"/>
                <w:szCs w:val="21"/>
              </w:rPr>
            </w:pPr>
            <w:r>
              <w:rPr>
                <w:rFonts w:ascii="宋体" w:hAnsi="宋体" w:cs="宋体"/>
                <w:szCs w:val="21"/>
              </w:rPr>
              <w:t>11</w:t>
            </w:r>
          </w:p>
        </w:tc>
        <w:tc>
          <w:tcPr>
            <w:tcW w:w="1702" w:type="dxa"/>
            <w:tcBorders>
              <w:bottom w:val="single" w:color="auto" w:sz="4" w:space="0"/>
            </w:tcBorders>
            <w:tcMar>
              <w:left w:w="0" w:type="dxa"/>
              <w:right w:w="0" w:type="dxa"/>
            </w:tcMar>
            <w:vAlign w:val="center"/>
          </w:tcPr>
          <w:p>
            <w:pPr>
              <w:snapToGrid w:val="0"/>
              <w:spacing w:line="400" w:lineRule="exact"/>
              <w:jc w:val="center"/>
              <w:rPr>
                <w:rFonts w:ascii="宋体" w:cs="宋体"/>
                <w:szCs w:val="21"/>
              </w:rPr>
            </w:pPr>
          </w:p>
        </w:tc>
        <w:tc>
          <w:tcPr>
            <w:tcW w:w="2028" w:type="dxa"/>
            <w:tcBorders>
              <w:bottom w:val="single" w:color="auto" w:sz="4" w:space="0"/>
            </w:tcBorders>
            <w:tcMar>
              <w:left w:w="0" w:type="dxa"/>
              <w:right w:w="0" w:type="dxa"/>
            </w:tcMar>
            <w:vAlign w:val="center"/>
          </w:tcPr>
          <w:p>
            <w:pPr>
              <w:snapToGrid w:val="0"/>
              <w:spacing w:line="400" w:lineRule="exact"/>
              <w:jc w:val="center"/>
              <w:rPr>
                <w:rFonts w:ascii="宋体" w:cs="宋体"/>
                <w:szCs w:val="21"/>
              </w:rPr>
            </w:pPr>
          </w:p>
        </w:tc>
        <w:tc>
          <w:tcPr>
            <w:tcW w:w="1143" w:type="dxa"/>
            <w:tcBorders>
              <w:bottom w:val="single" w:color="auto" w:sz="4" w:space="0"/>
            </w:tcBorders>
            <w:tcMar>
              <w:left w:w="0" w:type="dxa"/>
              <w:right w:w="0" w:type="dxa"/>
            </w:tcMar>
            <w:vAlign w:val="center"/>
          </w:tcPr>
          <w:p>
            <w:pPr>
              <w:snapToGrid w:val="0"/>
              <w:spacing w:line="400" w:lineRule="exact"/>
              <w:jc w:val="center"/>
              <w:rPr>
                <w:rFonts w:ascii="宋体" w:cs="宋体"/>
                <w:szCs w:val="21"/>
              </w:rPr>
            </w:pPr>
          </w:p>
        </w:tc>
        <w:tc>
          <w:tcPr>
            <w:tcW w:w="1260" w:type="dxa"/>
            <w:tcBorders>
              <w:bottom w:val="single" w:color="auto" w:sz="4" w:space="0"/>
            </w:tcBorders>
            <w:tcMar>
              <w:left w:w="0" w:type="dxa"/>
              <w:right w:w="0" w:type="dxa"/>
            </w:tcMar>
            <w:vAlign w:val="center"/>
          </w:tcPr>
          <w:p>
            <w:pPr>
              <w:snapToGrid w:val="0"/>
              <w:spacing w:line="400" w:lineRule="exact"/>
              <w:jc w:val="center"/>
              <w:rPr>
                <w:rFonts w:ascii="宋体" w:cs="宋体"/>
                <w:szCs w:val="21"/>
              </w:rPr>
            </w:pPr>
          </w:p>
        </w:tc>
        <w:tc>
          <w:tcPr>
            <w:tcW w:w="2052" w:type="dxa"/>
            <w:tcBorders>
              <w:bottom w:val="single" w:color="auto" w:sz="4" w:space="0"/>
            </w:tcBorders>
            <w:tcMar>
              <w:left w:w="0" w:type="dxa"/>
              <w:right w:w="0" w:type="dxa"/>
            </w:tcMar>
            <w:vAlign w:val="center"/>
          </w:tcPr>
          <w:p>
            <w:pPr>
              <w:snapToGrid w:val="0"/>
              <w:spacing w:line="400" w:lineRule="exact"/>
              <w:jc w:val="center"/>
              <w:rPr>
                <w:rFonts w:ascii="宋体" w:cs="宋体"/>
                <w:szCs w:val="21"/>
              </w:rPr>
            </w:pPr>
          </w:p>
        </w:tc>
      </w:tr>
    </w:tbl>
    <w:p>
      <w:pPr>
        <w:snapToGrid w:val="0"/>
        <w:spacing w:line="400" w:lineRule="exact"/>
        <w:rPr>
          <w:rFonts w:ascii="宋体" w:cs="宋体"/>
          <w:szCs w:val="21"/>
        </w:rPr>
      </w:pPr>
      <w:r>
        <w:rPr>
          <w:rFonts w:hint="eastAsia" w:ascii="宋体" w:hAnsi="宋体" w:cs="宋体"/>
          <w:szCs w:val="21"/>
        </w:rPr>
        <w:t>注：根据评分标准要求提供相关证明材料。</w:t>
      </w: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r>
        <w:rPr>
          <w:rFonts w:hint="eastAsia" w:ascii="宋体" w:hAnsi="宋体" w:cs="宋体"/>
          <w:szCs w:val="21"/>
          <w:lang w:eastAsia="zh-CN"/>
        </w:rPr>
        <w:t>供应商</w:t>
      </w:r>
      <w:r>
        <w:rPr>
          <w:rFonts w:hint="eastAsia" w:ascii="宋体" w:hAnsi="宋体" w:cs="宋体"/>
          <w:szCs w:val="21"/>
        </w:rPr>
        <w:t>全称（加盖公章）：</w:t>
      </w:r>
    </w:p>
    <w:p>
      <w:pPr>
        <w:snapToGrid w:val="0"/>
        <w:spacing w:line="400" w:lineRule="exact"/>
        <w:rPr>
          <w:rFonts w:ascii="宋体" w:cs="宋体"/>
          <w:szCs w:val="21"/>
        </w:rPr>
      </w:pPr>
      <w:r>
        <w:rPr>
          <w:rFonts w:hint="eastAsia" w:ascii="宋体" w:hAnsi="宋体" w:cs="宋体"/>
          <w:szCs w:val="21"/>
        </w:rPr>
        <w:t>法定代表人或授权代表（签字）：</w:t>
      </w:r>
    </w:p>
    <w:p>
      <w:pPr>
        <w:snapToGrid w:val="0"/>
        <w:spacing w:line="400" w:lineRule="exact"/>
        <w:rPr>
          <w:rFonts w:ascii="宋体" w:cs="宋体"/>
          <w:szCs w:val="21"/>
        </w:rPr>
      </w:pPr>
      <w:r>
        <w:rPr>
          <w:rFonts w:hint="eastAsia" w:ascii="宋体" w:hAnsi="宋体" w:cs="宋体"/>
          <w:szCs w:val="21"/>
        </w:rPr>
        <w:t>年月日</w:t>
      </w: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bookmarkStart w:id="70" w:name="_Toc4098"/>
      <w:bookmarkStart w:id="71" w:name="_Toc3392"/>
      <w:bookmarkStart w:id="72" w:name="_Toc27342"/>
      <w:bookmarkStart w:id="73" w:name="_Toc463726851"/>
      <w:r>
        <w:rPr>
          <w:rFonts w:hint="eastAsia" w:ascii="宋体" w:hAnsi="宋体" w:cs="宋体"/>
          <w:szCs w:val="21"/>
        </w:rPr>
        <w:t>格式七：商务条款偏离表</w:t>
      </w:r>
      <w:bookmarkEnd w:id="70"/>
      <w:bookmarkEnd w:id="71"/>
      <w:bookmarkEnd w:id="72"/>
      <w:bookmarkEnd w:id="73"/>
    </w:p>
    <w:p>
      <w:pPr>
        <w:snapToGrid w:val="0"/>
        <w:spacing w:line="400" w:lineRule="exact"/>
        <w:jc w:val="center"/>
        <w:rPr>
          <w:rFonts w:ascii="宋体" w:hAnsi="宋体" w:cs="宋体"/>
          <w:b/>
          <w:bCs/>
          <w:sz w:val="28"/>
          <w:szCs w:val="28"/>
        </w:rPr>
      </w:pPr>
    </w:p>
    <w:p>
      <w:pPr>
        <w:snapToGrid w:val="0"/>
        <w:spacing w:line="400" w:lineRule="exact"/>
        <w:jc w:val="center"/>
        <w:rPr>
          <w:rFonts w:ascii="宋体" w:cs="宋体"/>
          <w:b/>
          <w:bCs/>
          <w:sz w:val="28"/>
          <w:szCs w:val="28"/>
        </w:rPr>
      </w:pPr>
      <w:r>
        <w:rPr>
          <w:rFonts w:hint="eastAsia" w:ascii="宋体" w:hAnsi="宋体" w:cs="宋体"/>
          <w:b/>
          <w:bCs/>
          <w:sz w:val="28"/>
          <w:szCs w:val="28"/>
        </w:rPr>
        <w:t>商务条款偏离表</w:t>
      </w:r>
    </w:p>
    <w:p>
      <w:pPr>
        <w:snapToGrid w:val="0"/>
        <w:spacing w:line="400" w:lineRule="exact"/>
        <w:rPr>
          <w:rFonts w:ascii="宋体" w:cs="宋体"/>
          <w:szCs w:val="21"/>
        </w:rPr>
      </w:pPr>
      <w:r>
        <w:rPr>
          <w:rFonts w:hint="eastAsia" w:ascii="宋体" w:hAnsi="宋体" w:cs="宋体"/>
          <w:szCs w:val="21"/>
        </w:rPr>
        <w:t>项目编号：项目名称：</w:t>
      </w:r>
    </w:p>
    <w:tbl>
      <w:tblPr>
        <w:tblStyle w:val="30"/>
        <w:tblW w:w="87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540"/>
        <w:gridCol w:w="5066"/>
        <w:gridCol w:w="2450"/>
        <w:gridCol w:w="6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72" w:hRule="atLeast"/>
        </w:trPr>
        <w:tc>
          <w:tcPr>
            <w:tcW w:w="540" w:type="dxa"/>
            <w:tcBorders>
              <w:top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序号</w:t>
            </w:r>
          </w:p>
        </w:tc>
        <w:tc>
          <w:tcPr>
            <w:tcW w:w="50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招标文件要求</w:t>
            </w:r>
          </w:p>
        </w:tc>
        <w:tc>
          <w:tcPr>
            <w:tcW w:w="2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lang w:eastAsia="zh-CN"/>
              </w:rPr>
              <w:t>供应商</w:t>
            </w:r>
            <w:r>
              <w:rPr>
                <w:rFonts w:hint="eastAsia" w:ascii="宋体" w:hAnsi="宋体" w:cs="宋体"/>
                <w:szCs w:val="21"/>
              </w:rPr>
              <w:t>的承诺和说明</w:t>
            </w:r>
          </w:p>
        </w:tc>
        <w:tc>
          <w:tcPr>
            <w:tcW w:w="684" w:type="dxa"/>
            <w:tcBorders>
              <w:top w:val="single" w:color="auto" w:sz="4" w:space="0"/>
              <w:left w:val="single" w:color="auto" w:sz="4" w:space="0"/>
              <w:bottom w:val="single" w:color="auto" w:sz="4" w:space="0"/>
            </w:tcBorders>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是否</w:t>
            </w:r>
          </w:p>
          <w:p>
            <w:pPr>
              <w:snapToGrid w:val="0"/>
              <w:spacing w:line="400" w:lineRule="exact"/>
              <w:jc w:val="center"/>
              <w:rPr>
                <w:rFonts w:ascii="宋体" w:cs="宋体"/>
                <w:szCs w:val="21"/>
              </w:rPr>
            </w:pPr>
            <w:r>
              <w:rPr>
                <w:rFonts w:hint="eastAsia" w:ascii="宋体" w:hAnsi="宋体" w:cs="宋体"/>
                <w:szCs w:val="21"/>
              </w:rPr>
              <w:t>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7"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0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2</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3</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4</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5</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6</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7</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8</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9</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10</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46"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11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hint="eastAsia" w:ascii="宋体" w:hAnsi="宋体" w:cs="宋体"/>
                <w:szCs w:val="21"/>
              </w:rPr>
              <w:t>其他商务条款</w:t>
            </w: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hint="eastAsia" w:ascii="宋体" w:hAnsi="宋体" w:cs="宋体"/>
                <w:szCs w:val="21"/>
              </w:rPr>
              <w:t>响应招标文件的其他商务条款。</w:t>
            </w: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r>
              <w:rPr>
                <w:rFonts w:hint="eastAsia" w:ascii="宋体" w:hAnsi="宋体" w:cs="宋体"/>
                <w:szCs w:val="21"/>
              </w:rPr>
              <w:t>无偏离</w:t>
            </w:r>
          </w:p>
        </w:tc>
      </w:tr>
    </w:tbl>
    <w:p>
      <w:pPr>
        <w:snapToGrid w:val="0"/>
        <w:spacing w:line="400" w:lineRule="exact"/>
        <w:rPr>
          <w:rFonts w:asci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、招标文件要求具体见招标文件商务条款的相关内容；</w:t>
      </w:r>
      <w:r>
        <w:rPr>
          <w:rFonts w:ascii="宋体" w:hAnsi="宋体" w:cs="宋体"/>
          <w:szCs w:val="21"/>
        </w:rPr>
        <w:t>2</w:t>
      </w:r>
      <w:r>
        <w:rPr>
          <w:rFonts w:hint="eastAsia" w:ascii="宋体" w:hAnsi="宋体" w:cs="宋体"/>
          <w:szCs w:val="21"/>
        </w:rPr>
        <w:t>、是否偏离应在本表空白处醒目地注明“正偏离或无偏离或负偏离”等字样。</w:t>
      </w:r>
    </w:p>
    <w:p>
      <w:pPr>
        <w:snapToGrid w:val="0"/>
        <w:spacing w:line="400" w:lineRule="exact"/>
        <w:rPr>
          <w:rFonts w:ascii="宋体" w:cs="宋体"/>
          <w:szCs w:val="21"/>
        </w:rPr>
      </w:pPr>
    </w:p>
    <w:p>
      <w:pPr>
        <w:snapToGrid w:val="0"/>
        <w:spacing w:line="400" w:lineRule="exact"/>
        <w:rPr>
          <w:rFonts w:ascii="宋体" w:cs="宋体"/>
          <w:szCs w:val="21"/>
        </w:rPr>
      </w:pPr>
      <w:r>
        <w:rPr>
          <w:rFonts w:hint="eastAsia" w:ascii="宋体" w:hAnsi="宋体" w:cs="宋体"/>
          <w:szCs w:val="21"/>
          <w:lang w:eastAsia="zh-CN"/>
        </w:rPr>
        <w:t>供应商</w:t>
      </w:r>
      <w:r>
        <w:rPr>
          <w:rFonts w:hint="eastAsia" w:ascii="宋体" w:hAnsi="宋体" w:cs="宋体"/>
          <w:szCs w:val="21"/>
        </w:rPr>
        <w:t>全称（加盖公章）：</w:t>
      </w:r>
    </w:p>
    <w:p>
      <w:pPr>
        <w:snapToGrid w:val="0"/>
        <w:spacing w:line="400" w:lineRule="exact"/>
        <w:rPr>
          <w:rFonts w:ascii="宋体" w:cs="宋体"/>
          <w:szCs w:val="21"/>
        </w:rPr>
      </w:pPr>
      <w:r>
        <w:rPr>
          <w:rFonts w:hint="eastAsia" w:ascii="宋体" w:hAnsi="宋体" w:cs="宋体"/>
          <w:szCs w:val="21"/>
        </w:rPr>
        <w:t>法定代表人或授权代表（签字）：</w:t>
      </w:r>
    </w:p>
    <w:p>
      <w:pPr>
        <w:snapToGrid w:val="0"/>
        <w:spacing w:line="400" w:lineRule="exact"/>
        <w:rPr>
          <w:rFonts w:ascii="宋体" w:cs="宋体"/>
          <w:szCs w:val="21"/>
        </w:rPr>
        <w:sectPr>
          <w:pgSz w:w="11906" w:h="16838"/>
          <w:pgMar w:top="1247" w:right="1361" w:bottom="1304" w:left="1417" w:header="851" w:footer="851" w:gutter="0"/>
          <w:pgNumType w:fmt="decimal"/>
          <w:cols w:space="720" w:num="1"/>
          <w:titlePg/>
          <w:docGrid w:linePitch="312" w:charSpace="0"/>
        </w:sectPr>
      </w:pPr>
      <w:r>
        <w:rPr>
          <w:rFonts w:hint="eastAsia" w:ascii="宋体" w:hAnsi="宋体" w:cs="宋体"/>
          <w:szCs w:val="21"/>
        </w:rPr>
        <w:t>年月日</w:t>
      </w:r>
    </w:p>
    <w:p>
      <w:pPr>
        <w:snapToGrid w:val="0"/>
        <w:spacing w:line="400" w:lineRule="exact"/>
        <w:rPr>
          <w:rFonts w:ascii="宋体" w:cs="宋体"/>
          <w:szCs w:val="21"/>
        </w:rPr>
      </w:pPr>
      <w:bookmarkStart w:id="74" w:name="_Toc13752"/>
      <w:r>
        <w:rPr>
          <w:rFonts w:hint="eastAsia" w:ascii="宋体" w:hAnsi="宋体" w:cs="宋体"/>
          <w:szCs w:val="21"/>
        </w:rPr>
        <w:t>格式八：技术条款偏离表</w:t>
      </w:r>
      <w:bookmarkEnd w:id="74"/>
    </w:p>
    <w:p>
      <w:pPr>
        <w:snapToGrid w:val="0"/>
        <w:spacing w:line="400" w:lineRule="exact"/>
        <w:jc w:val="center"/>
        <w:rPr>
          <w:rFonts w:ascii="宋体" w:hAnsi="宋体" w:cs="宋体"/>
          <w:b/>
          <w:bCs/>
          <w:sz w:val="28"/>
          <w:szCs w:val="28"/>
        </w:rPr>
      </w:pPr>
    </w:p>
    <w:p>
      <w:pPr>
        <w:snapToGrid w:val="0"/>
        <w:spacing w:line="400" w:lineRule="exact"/>
        <w:jc w:val="center"/>
        <w:rPr>
          <w:rFonts w:ascii="宋体" w:cs="宋体"/>
          <w:b/>
          <w:bCs/>
          <w:sz w:val="28"/>
          <w:szCs w:val="28"/>
        </w:rPr>
      </w:pPr>
      <w:r>
        <w:rPr>
          <w:rFonts w:hint="eastAsia" w:ascii="宋体" w:hAnsi="宋体" w:cs="宋体"/>
          <w:b/>
          <w:bCs/>
          <w:sz w:val="28"/>
          <w:szCs w:val="28"/>
        </w:rPr>
        <w:t>技术条款偏离表</w:t>
      </w:r>
    </w:p>
    <w:p>
      <w:pPr>
        <w:snapToGrid w:val="0"/>
        <w:spacing w:line="400" w:lineRule="exact"/>
        <w:ind w:firstLine="210" w:firstLineChars="100"/>
        <w:rPr>
          <w:rFonts w:ascii="宋体" w:cs="宋体"/>
          <w:szCs w:val="21"/>
        </w:rPr>
      </w:pPr>
      <w:r>
        <w:rPr>
          <w:rFonts w:hint="eastAsia" w:ascii="宋体" w:hAnsi="宋体" w:cs="宋体"/>
          <w:szCs w:val="21"/>
        </w:rPr>
        <w:t>项目编号：项目名称：</w:t>
      </w:r>
    </w:p>
    <w:tbl>
      <w:tblPr>
        <w:tblStyle w:val="30"/>
        <w:tblW w:w="87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540"/>
        <w:gridCol w:w="5066"/>
        <w:gridCol w:w="2450"/>
        <w:gridCol w:w="6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72" w:hRule="atLeast"/>
        </w:trPr>
        <w:tc>
          <w:tcPr>
            <w:tcW w:w="540" w:type="dxa"/>
            <w:tcBorders>
              <w:top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序号</w:t>
            </w:r>
          </w:p>
        </w:tc>
        <w:tc>
          <w:tcPr>
            <w:tcW w:w="50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招标文件要求</w:t>
            </w:r>
          </w:p>
        </w:tc>
        <w:tc>
          <w:tcPr>
            <w:tcW w:w="2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lang w:eastAsia="zh-CN"/>
              </w:rPr>
              <w:t>供应商</w:t>
            </w:r>
            <w:r>
              <w:rPr>
                <w:rFonts w:hint="eastAsia" w:ascii="宋体" w:hAnsi="宋体" w:cs="宋体"/>
                <w:szCs w:val="21"/>
              </w:rPr>
              <w:t>的承诺和说明</w:t>
            </w:r>
          </w:p>
        </w:tc>
        <w:tc>
          <w:tcPr>
            <w:tcW w:w="684" w:type="dxa"/>
            <w:tcBorders>
              <w:top w:val="single" w:color="auto" w:sz="4" w:space="0"/>
              <w:left w:val="single" w:color="auto" w:sz="4" w:space="0"/>
              <w:bottom w:val="single" w:color="auto" w:sz="4" w:space="0"/>
            </w:tcBorders>
            <w:tcMar>
              <w:left w:w="28" w:type="dxa"/>
              <w:right w:w="28" w:type="dxa"/>
            </w:tcMar>
            <w:vAlign w:val="center"/>
          </w:tcPr>
          <w:p>
            <w:pPr>
              <w:snapToGrid w:val="0"/>
              <w:spacing w:line="400" w:lineRule="exact"/>
              <w:jc w:val="center"/>
              <w:rPr>
                <w:rFonts w:ascii="宋体" w:cs="宋体"/>
                <w:szCs w:val="21"/>
              </w:rPr>
            </w:pPr>
            <w:r>
              <w:rPr>
                <w:rFonts w:hint="eastAsia" w:ascii="宋体" w:hAnsi="宋体" w:cs="宋体"/>
                <w:szCs w:val="21"/>
              </w:rPr>
              <w:t>是否</w:t>
            </w:r>
          </w:p>
          <w:p>
            <w:pPr>
              <w:snapToGrid w:val="0"/>
              <w:spacing w:line="400" w:lineRule="exact"/>
              <w:jc w:val="center"/>
              <w:rPr>
                <w:rFonts w:ascii="宋体" w:cs="宋体"/>
                <w:szCs w:val="21"/>
              </w:rPr>
            </w:pPr>
            <w:r>
              <w:rPr>
                <w:rFonts w:hint="eastAsia" w:ascii="宋体" w:hAnsi="宋体" w:cs="宋体"/>
                <w:szCs w:val="21"/>
              </w:rPr>
              <w:t>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7"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0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2</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3</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4</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5</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6</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7</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8</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9</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10</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46" w:hRule="atLeast"/>
        </w:trPr>
        <w:tc>
          <w:tcPr>
            <w:tcW w:w="540"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ascii="宋体" w:hAnsi="宋体" w:cs="宋体"/>
                <w:szCs w:val="21"/>
              </w:rPr>
              <w:t>11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hint="eastAsia" w:ascii="宋体" w:hAnsi="宋体" w:cs="宋体"/>
                <w:szCs w:val="21"/>
              </w:rPr>
              <w:t>其他技术条款</w:t>
            </w: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cs="宋体"/>
                <w:szCs w:val="21"/>
              </w:rPr>
            </w:pPr>
            <w:r>
              <w:rPr>
                <w:rFonts w:hint="eastAsia" w:ascii="宋体" w:hAnsi="宋体" w:cs="宋体"/>
                <w:szCs w:val="21"/>
              </w:rPr>
              <w:t>响应招标文件的其他技术条款。</w:t>
            </w:r>
          </w:p>
        </w:tc>
        <w:tc>
          <w:tcPr>
            <w:tcW w:w="684"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cs="宋体"/>
                <w:szCs w:val="21"/>
              </w:rPr>
            </w:pPr>
            <w:r>
              <w:rPr>
                <w:rFonts w:hint="eastAsia" w:ascii="宋体" w:hAnsi="宋体" w:cs="宋体"/>
                <w:szCs w:val="21"/>
              </w:rPr>
              <w:t>无偏离</w:t>
            </w:r>
          </w:p>
        </w:tc>
      </w:tr>
    </w:tbl>
    <w:p>
      <w:pPr>
        <w:snapToGrid w:val="0"/>
        <w:spacing w:line="400" w:lineRule="exact"/>
        <w:rPr>
          <w:rFonts w:asci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、招标文件要求详见“第二章招标需求”中的各条款内容，以此类推完整填写“技术条款偏离表”；</w:t>
      </w:r>
      <w:r>
        <w:rPr>
          <w:rFonts w:ascii="宋体" w:hAnsi="宋体" w:cs="宋体"/>
          <w:szCs w:val="21"/>
        </w:rPr>
        <w:t>2</w:t>
      </w:r>
      <w:r>
        <w:rPr>
          <w:rFonts w:hint="eastAsia" w:ascii="宋体" w:hAnsi="宋体" w:cs="宋体"/>
          <w:szCs w:val="21"/>
        </w:rPr>
        <w:t>、是否偏离应在本表空白处醒目地注明“正偏离或无偏离或负偏离”等字样。</w:t>
      </w: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r>
        <w:rPr>
          <w:rFonts w:hint="eastAsia" w:ascii="宋体" w:hAnsi="宋体" w:cs="宋体"/>
          <w:szCs w:val="21"/>
          <w:lang w:eastAsia="zh-CN"/>
        </w:rPr>
        <w:t>供应商</w:t>
      </w:r>
      <w:r>
        <w:rPr>
          <w:rFonts w:hint="eastAsia" w:ascii="宋体" w:hAnsi="宋体" w:cs="宋体"/>
          <w:szCs w:val="21"/>
        </w:rPr>
        <w:t>全称（加盖公章）：</w:t>
      </w:r>
    </w:p>
    <w:p>
      <w:pPr>
        <w:snapToGrid w:val="0"/>
        <w:spacing w:line="400" w:lineRule="exact"/>
        <w:rPr>
          <w:rFonts w:ascii="宋体" w:cs="宋体"/>
          <w:szCs w:val="21"/>
        </w:rPr>
      </w:pPr>
      <w:r>
        <w:rPr>
          <w:rFonts w:hint="eastAsia" w:ascii="宋体" w:hAnsi="宋体" w:cs="宋体"/>
          <w:szCs w:val="21"/>
        </w:rPr>
        <w:t>法定代表人或授权代表（签字或盖章）：</w:t>
      </w:r>
    </w:p>
    <w:p>
      <w:pPr>
        <w:snapToGrid w:val="0"/>
        <w:spacing w:line="400" w:lineRule="exact"/>
        <w:rPr>
          <w:rFonts w:ascii="宋体" w:cs="宋体"/>
          <w:szCs w:val="21"/>
        </w:rPr>
      </w:pPr>
      <w:r>
        <w:rPr>
          <w:rFonts w:hint="eastAsia" w:ascii="宋体" w:hAnsi="宋体" w:cs="宋体"/>
          <w:szCs w:val="21"/>
        </w:rPr>
        <w:t>年月日</w:t>
      </w: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snapToGrid w:val="0"/>
        <w:spacing w:line="400" w:lineRule="exact"/>
        <w:rPr>
          <w:rFonts w:ascii="宋体" w:cs="宋体"/>
          <w:szCs w:val="21"/>
        </w:rPr>
      </w:pPr>
    </w:p>
    <w:p>
      <w:pPr>
        <w:pStyle w:val="13"/>
        <w:snapToGrid w:val="0"/>
        <w:spacing w:before="120" w:after="120" w:line="360" w:lineRule="auto"/>
        <w:rPr>
          <w:rFonts w:hAnsi="宋体"/>
          <w:b/>
          <w:sz w:val="30"/>
        </w:rPr>
      </w:pPr>
    </w:p>
    <w:p>
      <w:pPr>
        <w:snapToGrid w:val="0"/>
        <w:spacing w:line="400" w:lineRule="exact"/>
        <w:rPr>
          <w:rFonts w:ascii="宋体" w:cs="宋体"/>
          <w:szCs w:val="21"/>
        </w:rPr>
      </w:pPr>
    </w:p>
    <w:p>
      <w:pPr>
        <w:snapToGrid w:val="0"/>
        <w:spacing w:line="360" w:lineRule="auto"/>
        <w:jc w:val="left"/>
        <w:rPr>
          <w:rFonts w:ascii="宋体" w:hAnsi="宋体" w:cs="宋体"/>
          <w:highlight w:val="none"/>
        </w:rPr>
      </w:pPr>
      <w:r>
        <w:rPr>
          <w:rFonts w:hint="eastAsia" w:ascii="宋体" w:hAnsi="宋体" w:cs="宋体"/>
          <w:szCs w:val="21"/>
        </w:rPr>
        <w:t>格式</w:t>
      </w:r>
      <w:r>
        <w:rPr>
          <w:rFonts w:hint="eastAsia" w:ascii="宋体" w:hAnsi="宋体" w:cs="宋体"/>
          <w:szCs w:val="21"/>
          <w:lang w:eastAsia="zh-CN"/>
        </w:rPr>
        <w:t>九：</w:t>
      </w:r>
      <w:r>
        <w:rPr>
          <w:rFonts w:hint="eastAsia" w:ascii="宋体" w:hAnsi="宋体" w:cs="宋体"/>
          <w:highlight w:val="none"/>
          <w:lang w:val="en-US" w:eastAsia="zh-CN"/>
        </w:rPr>
        <w:t>承诺书</w:t>
      </w:r>
    </w:p>
    <w:p>
      <w:pPr>
        <w:snapToGrid w:val="0"/>
        <w:jc w:val="center"/>
        <w:rPr>
          <w:rFonts w:hint="default" w:ascii="宋体" w:hAnsi="宋体" w:eastAsia="宋体" w:cs="宋体"/>
          <w:b/>
          <w:bCs/>
          <w:sz w:val="36"/>
          <w:szCs w:val="44"/>
          <w:highlight w:val="none"/>
          <w:lang w:val="en-US" w:eastAsia="zh-CN"/>
        </w:rPr>
      </w:pPr>
      <w:r>
        <w:rPr>
          <w:rFonts w:hint="eastAsia" w:ascii="宋体" w:hAnsi="宋体" w:cs="宋体"/>
          <w:b/>
          <w:bCs/>
          <w:sz w:val="36"/>
          <w:szCs w:val="44"/>
          <w:highlight w:val="none"/>
          <w:lang w:val="en-US" w:eastAsia="zh-CN"/>
        </w:rPr>
        <w:t>承诺书</w:t>
      </w:r>
    </w:p>
    <w:p>
      <w:pPr>
        <w:snapToGrid w:val="0"/>
        <w:ind w:firstLine="0" w:firstLineChars="0"/>
        <w:rPr>
          <w:rFonts w:hint="eastAsia" w:ascii="宋体" w:hAnsi="宋体" w:eastAsia="宋体" w:cs="宋体"/>
          <w:b/>
          <w:bCs/>
          <w:sz w:val="21"/>
          <w:szCs w:val="24"/>
          <w:highlight w:val="none"/>
          <w:lang w:val="zh-CN"/>
        </w:rPr>
      </w:pPr>
    </w:p>
    <w:p>
      <w:pPr>
        <w:snapToGrid w:val="0"/>
        <w:ind w:firstLine="0" w:firstLineChars="0"/>
        <w:rPr>
          <w:rFonts w:hint="eastAsia" w:ascii="宋体" w:hAnsi="宋体" w:eastAsia="宋体" w:cs="宋体"/>
          <w:b/>
          <w:bCs/>
          <w:color w:val="0000FF"/>
          <w:sz w:val="21"/>
          <w:szCs w:val="24"/>
          <w:highlight w:val="none"/>
          <w:lang w:val="zh-CN"/>
        </w:rPr>
      </w:pPr>
    </w:p>
    <w:p>
      <w:pPr>
        <w:snapToGrid w:val="0"/>
        <w:ind w:firstLine="0" w:firstLineChars="0"/>
        <w:rPr>
          <w:rFonts w:hint="eastAsia" w:ascii="宋体" w:hAnsi="宋体" w:cs="宋体"/>
          <w:b/>
          <w:bCs/>
          <w:color w:val="auto"/>
          <w:highlight w:val="none"/>
        </w:rPr>
      </w:pPr>
      <w:r>
        <w:rPr>
          <w:rFonts w:hint="eastAsia" w:ascii="宋体" w:hAnsi="宋体" w:cs="宋体"/>
          <w:b/>
          <w:bCs/>
          <w:color w:val="auto"/>
          <w:sz w:val="21"/>
          <w:szCs w:val="24"/>
          <w:highlight w:val="none"/>
          <w:lang w:val="zh-CN"/>
        </w:rPr>
        <w:t>宁海县人民政府桥头胡街道办事处</w:t>
      </w:r>
      <w:r>
        <w:rPr>
          <w:rFonts w:hint="eastAsia" w:ascii="宋体" w:hAnsi="宋体" w:eastAsia="宋体" w:cs="宋体"/>
          <w:b/>
          <w:bCs/>
          <w:color w:val="auto"/>
          <w:sz w:val="21"/>
          <w:szCs w:val="24"/>
          <w:highlight w:val="none"/>
          <w:lang w:val="zh-CN"/>
        </w:rPr>
        <w:t>：</w:t>
      </w:r>
    </w:p>
    <w:p>
      <w:pPr>
        <w:snapToGrid w:val="0"/>
        <w:ind w:firstLine="0" w:firstLineChars="0"/>
        <w:rPr>
          <w:rFonts w:hint="eastAsia" w:ascii="宋体" w:hAnsi="宋体" w:cs="宋体"/>
          <w:b/>
          <w:bCs/>
          <w:color w:val="auto"/>
          <w:highlight w:val="none"/>
        </w:rPr>
      </w:pPr>
      <w:r>
        <w:rPr>
          <w:rFonts w:hint="eastAsia" w:ascii="宋体" w:hAnsi="宋体" w:cs="宋体"/>
          <w:b/>
          <w:bCs/>
          <w:color w:val="auto"/>
          <w:highlight w:val="none"/>
          <w:lang w:eastAsia="zh-CN"/>
        </w:rPr>
        <w:t>宁波工建工程造价咨询有限公司</w:t>
      </w:r>
      <w:r>
        <w:rPr>
          <w:rFonts w:hint="eastAsia" w:ascii="宋体" w:hAnsi="宋体" w:cs="宋体"/>
          <w:b/>
          <w:bCs/>
          <w:color w:val="auto"/>
          <w:highlight w:val="none"/>
        </w:rPr>
        <w:t>：</w:t>
      </w:r>
    </w:p>
    <w:p>
      <w:pPr>
        <w:snapToGrid w:val="0"/>
        <w:spacing w:line="240" w:lineRule="auto"/>
        <w:ind w:firstLine="0" w:firstLineChars="0"/>
        <w:rPr>
          <w:rFonts w:hint="eastAsia" w:ascii="宋体" w:hAnsi="宋体" w:eastAsia="宋体" w:cs="宋体"/>
          <w:color w:val="auto"/>
          <w:szCs w:val="21"/>
          <w:highlight w:val="none"/>
          <w:lang w:val="en-US" w:eastAsia="zh-CN"/>
        </w:rPr>
      </w:pPr>
      <w:r>
        <w:rPr>
          <w:rFonts w:hint="eastAsia" w:ascii="宋体" w:hAnsi="宋体" w:cs="宋体"/>
          <w:b/>
          <w:bCs/>
          <w:color w:val="auto"/>
          <w:highlight w:val="none"/>
          <w:lang w:eastAsia="zh-CN"/>
        </w:rPr>
        <w:t>我方郑重承诺：</w:t>
      </w:r>
    </w:p>
    <w:p>
      <w:pPr>
        <w:spacing w:line="480" w:lineRule="auto"/>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1、拟投入本项目的人员应按投标文件中承诺的人数，在进驻日前应全部配置完</w:t>
      </w:r>
      <w:r>
        <w:rPr>
          <w:rFonts w:hint="eastAsia" w:ascii="宋体" w:hAnsi="宋体" w:eastAsia="宋体" w:cs="宋体"/>
          <w:color w:val="auto"/>
          <w:szCs w:val="21"/>
          <w:highlight w:val="none"/>
        </w:rPr>
        <w:t>毕</w:t>
      </w:r>
      <w:r>
        <w:rPr>
          <w:rFonts w:hint="eastAsia" w:ascii="宋体" w:hAnsi="宋体" w:eastAsia="宋体" w:cs="宋体"/>
          <w:color w:val="auto"/>
          <w:szCs w:val="21"/>
          <w:highlight w:val="none"/>
          <w:lang w:eastAsia="zh-CN"/>
        </w:rPr>
        <w:t>。</w:t>
      </w:r>
    </w:p>
    <w:p>
      <w:pPr>
        <w:spacing w:line="48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2、在进驻日，如存在数量未达到投标承诺的：采购人将</w:t>
      </w:r>
      <w:r>
        <w:rPr>
          <w:rFonts w:hint="eastAsia" w:ascii="宋体" w:hAnsi="宋体" w:eastAsia="宋体" w:cs="宋体"/>
          <w:color w:val="auto"/>
          <w:szCs w:val="21"/>
          <w:highlight w:val="none"/>
        </w:rPr>
        <w:t>下达整改通知</w:t>
      </w:r>
      <w:r>
        <w:rPr>
          <w:rFonts w:hint="eastAsia" w:ascii="宋体" w:hAnsi="宋体" w:eastAsia="宋体" w:cs="宋体"/>
          <w:color w:val="auto"/>
          <w:szCs w:val="21"/>
          <w:highlight w:val="none"/>
          <w:lang w:val="en-US" w:eastAsia="zh-CN"/>
        </w:rPr>
        <w:t>，同时按1万元/天进行扣罚；如在进驻日起15日（含进驻日）内中标人未按规定整改完成的，次日起，采购人将按3万元/天进行扣罚；扣罚费用在服务经费中支出。如在进驻日起60日（含进驻日）内中标人仍未按规定整改完成的，采购人将有权单方面解除合同，并不予支付保洁服务经费。</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04" w:firstLineChars="200"/>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color w:val="auto"/>
          <w:sz w:val="21"/>
          <w:szCs w:val="21"/>
          <w:highlight w:val="none"/>
          <w:lang w:val="en-US" w:eastAsia="zh-CN"/>
        </w:rPr>
        <w:t>3、如我方中标，我方承诺</w:t>
      </w:r>
      <w:r>
        <w:rPr>
          <w:rFonts w:hint="eastAsia" w:ascii="宋体" w:hAnsi="宋体" w:eastAsia="宋体" w:cs="宋体"/>
          <w:b w:val="0"/>
          <w:bCs w:val="0"/>
          <w:color w:val="000000"/>
          <w:sz w:val="21"/>
          <w:szCs w:val="21"/>
          <w:highlight w:val="none"/>
          <w:lang w:val="en-US" w:eastAsia="zh-CN"/>
        </w:rPr>
        <w:t>拟投入本项目的人员数量不得低于</w:t>
      </w:r>
      <w:r>
        <w:rPr>
          <w:rFonts w:hint="eastAsia" w:ascii="宋体" w:hAnsi="宋体" w:eastAsia="宋体" w:cs="宋体"/>
          <w:color w:val="000000"/>
          <w:sz w:val="21"/>
          <w:szCs w:val="21"/>
          <w:highlight w:val="none"/>
          <w:lang w:eastAsia="zh-CN"/>
        </w:rPr>
        <w:t>招标文件</w:t>
      </w:r>
      <w:r>
        <w:rPr>
          <w:rFonts w:hint="eastAsia" w:ascii="宋体" w:hAnsi="宋体" w:eastAsia="宋体" w:cs="宋体"/>
          <w:b w:val="0"/>
          <w:bCs w:val="0"/>
          <w:color w:val="000000"/>
          <w:sz w:val="21"/>
          <w:szCs w:val="21"/>
          <w:highlight w:val="none"/>
          <w:lang w:val="en-US" w:eastAsia="zh-CN"/>
        </w:rPr>
        <w:t>要求的最低人员配置数量。</w:t>
      </w:r>
    </w:p>
    <w:p>
      <w:pPr>
        <w:spacing w:line="480" w:lineRule="auto"/>
        <w:ind w:firstLine="420" w:firstLineChars="200"/>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Cs/>
          <w:color w:val="auto"/>
          <w:kern w:val="0"/>
          <w:szCs w:val="21"/>
          <w:highlight w:val="none"/>
          <w:lang w:val="en-US" w:eastAsia="zh-CN"/>
        </w:rPr>
        <w:t>4、</w:t>
      </w:r>
      <w:r>
        <w:rPr>
          <w:rFonts w:hint="eastAsia" w:ascii="宋体" w:hAnsi="宋体" w:eastAsia="宋体" w:cs="宋体"/>
          <w:b w:val="0"/>
          <w:bCs/>
          <w:color w:val="auto"/>
          <w:sz w:val="21"/>
          <w:szCs w:val="21"/>
          <w:highlight w:val="none"/>
          <w:lang w:val="en-US" w:eastAsia="zh-CN"/>
        </w:rPr>
        <w:t>如我方中标，我方承诺</w:t>
      </w:r>
      <w:r>
        <w:rPr>
          <w:rFonts w:hint="eastAsia" w:ascii="宋体" w:hAnsi="宋体" w:eastAsia="宋体" w:cs="宋体"/>
          <w:bCs/>
          <w:color w:val="auto"/>
          <w:kern w:val="0"/>
          <w:szCs w:val="21"/>
          <w:highlight w:val="none"/>
          <w:lang w:val="en-US" w:eastAsia="zh-CN"/>
        </w:rPr>
        <w:t>投入本项目的项目负责人须与投标文件所列举的一致。服务期间一般不得更换项目负责人，特殊情况必须更换项目负责人的，须在满足工作需求的情况下，经采购人书面同意后方可更换，无正当理由擅自更换项目负责人的须向采购人支付每人次50000元的违约金。</w:t>
      </w:r>
    </w:p>
    <w:p>
      <w:pPr>
        <w:numPr>
          <w:ilvl w:val="0"/>
          <w:numId w:val="0"/>
        </w:numPr>
        <w:spacing w:line="480" w:lineRule="auto"/>
        <w:ind w:leftChars="0"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w:t>
      </w:r>
      <w:r>
        <w:rPr>
          <w:rFonts w:hint="eastAsia" w:ascii="宋体" w:hAnsi="宋体" w:eastAsia="宋体" w:cs="宋体"/>
          <w:b w:val="0"/>
          <w:bCs/>
          <w:color w:val="auto"/>
          <w:sz w:val="21"/>
          <w:szCs w:val="21"/>
          <w:highlight w:val="none"/>
          <w:lang w:val="en-US" w:eastAsia="zh-CN"/>
        </w:rPr>
        <w:t>如我方中标，我方承诺</w:t>
      </w:r>
      <w:r>
        <w:rPr>
          <w:rFonts w:hint="eastAsia" w:ascii="宋体" w:hAnsi="宋体" w:eastAsia="宋体" w:cs="宋体"/>
          <w:color w:val="auto"/>
          <w:szCs w:val="21"/>
          <w:highlight w:val="none"/>
          <w:lang w:val="en-US" w:eastAsia="zh-CN"/>
        </w:rPr>
        <w:t>投入本项目的一线作业人员的劳动合同时间必须跟本合同时间相一致。</w:t>
      </w:r>
    </w:p>
    <w:p>
      <w:pPr>
        <w:numPr>
          <w:ilvl w:val="0"/>
          <w:numId w:val="0"/>
        </w:numPr>
        <w:spacing w:line="480" w:lineRule="auto"/>
        <w:ind w:leftChars="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6、</w:t>
      </w:r>
      <w:r>
        <w:rPr>
          <w:rFonts w:hint="eastAsia" w:ascii="宋体" w:hAnsi="宋体" w:eastAsia="宋体" w:cs="宋体"/>
          <w:b w:val="0"/>
          <w:bCs/>
          <w:color w:val="auto"/>
          <w:sz w:val="21"/>
          <w:szCs w:val="21"/>
          <w:highlight w:val="none"/>
          <w:lang w:val="en-US" w:eastAsia="zh-CN"/>
        </w:rPr>
        <w:t>如我方中标，我方承诺</w:t>
      </w:r>
      <w:r>
        <w:rPr>
          <w:rFonts w:hint="eastAsia" w:ascii="宋体" w:hAnsi="宋体" w:eastAsia="宋体" w:cs="宋体"/>
          <w:color w:val="auto"/>
          <w:szCs w:val="21"/>
          <w:highlight w:val="none"/>
        </w:rPr>
        <w:t>拟投入本项目的</w:t>
      </w:r>
      <w:r>
        <w:rPr>
          <w:rFonts w:hint="eastAsia" w:ascii="宋体" w:hAnsi="宋体" w:eastAsia="宋体" w:cs="宋体"/>
          <w:color w:val="auto"/>
          <w:szCs w:val="21"/>
          <w:highlight w:val="none"/>
          <w:lang w:val="en-US" w:eastAsia="zh-CN"/>
        </w:rPr>
        <w:t>车辆</w:t>
      </w:r>
      <w:r>
        <w:rPr>
          <w:rFonts w:hint="eastAsia" w:ascii="宋体" w:hAnsi="宋体" w:eastAsia="宋体" w:cs="宋体"/>
          <w:color w:val="auto"/>
          <w:szCs w:val="21"/>
          <w:highlight w:val="none"/>
        </w:rPr>
        <w:t>数量不得低于</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要求的车辆配置最低数量</w:t>
      </w:r>
      <w:r>
        <w:rPr>
          <w:rFonts w:hint="eastAsia" w:ascii="宋体" w:hAnsi="宋体" w:cs="宋体"/>
          <w:color w:val="auto"/>
          <w:szCs w:val="21"/>
          <w:highlight w:val="none"/>
          <w:lang w:eastAsia="zh-CN"/>
        </w:rPr>
        <w:t>，所有车辆提供应急备用车辆防止原车辆故障导致无法正常完成保洁工作</w:t>
      </w:r>
      <w:r>
        <w:rPr>
          <w:rFonts w:hint="eastAsia" w:ascii="宋体" w:hAnsi="宋体" w:eastAsia="宋体" w:cs="宋体"/>
          <w:color w:val="auto"/>
          <w:szCs w:val="21"/>
          <w:highlight w:val="none"/>
          <w:lang w:eastAsia="zh-CN"/>
        </w:rPr>
        <w:t>。</w:t>
      </w:r>
    </w:p>
    <w:p>
      <w:pPr>
        <w:numPr>
          <w:ilvl w:val="0"/>
          <w:numId w:val="0"/>
        </w:numPr>
        <w:spacing w:line="480" w:lineRule="auto"/>
        <w:ind w:leftChars="0"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7、</w:t>
      </w:r>
      <w:r>
        <w:rPr>
          <w:rFonts w:hint="eastAsia" w:ascii="宋体" w:hAnsi="宋体" w:eastAsia="宋体" w:cs="宋体"/>
          <w:b w:val="0"/>
          <w:bCs/>
          <w:color w:val="auto"/>
          <w:sz w:val="21"/>
          <w:szCs w:val="21"/>
          <w:highlight w:val="none"/>
          <w:lang w:val="en-US" w:eastAsia="zh-CN"/>
        </w:rPr>
        <w:t>如我方中标，我方承诺</w:t>
      </w:r>
      <w:r>
        <w:rPr>
          <w:rFonts w:hint="eastAsia" w:ascii="宋体" w:hAnsi="宋体" w:eastAsia="宋体" w:cs="宋体"/>
          <w:color w:val="auto"/>
          <w:szCs w:val="21"/>
          <w:highlight w:val="none"/>
          <w:lang w:val="en-US" w:eastAsia="zh-CN"/>
        </w:rPr>
        <w:t>严格按照《宁波市人民政府办公厅关于印发进一步加强市容环卫行业管理实施意见的通知》（甬政办发【2014】70号）的规定执行。</w:t>
      </w:r>
    </w:p>
    <w:p>
      <w:pPr>
        <w:numPr>
          <w:ilvl w:val="0"/>
          <w:numId w:val="0"/>
        </w:numPr>
        <w:spacing w:line="480" w:lineRule="auto"/>
        <w:ind w:leftChars="0"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w:t>
      </w:r>
      <w:r>
        <w:rPr>
          <w:rFonts w:hint="eastAsia" w:ascii="宋体" w:hAnsi="宋体" w:eastAsia="宋体" w:cs="宋体"/>
          <w:b w:val="0"/>
          <w:bCs/>
          <w:color w:val="auto"/>
          <w:sz w:val="21"/>
          <w:szCs w:val="21"/>
          <w:highlight w:val="none"/>
          <w:lang w:val="en-US" w:eastAsia="zh-CN"/>
        </w:rPr>
        <w:t>如我方中标，我方承诺</w:t>
      </w:r>
      <w:r>
        <w:rPr>
          <w:rFonts w:hint="eastAsia" w:ascii="宋体" w:hAnsi="宋体" w:eastAsia="宋体" w:cs="宋体"/>
          <w:color w:val="auto"/>
          <w:szCs w:val="21"/>
          <w:highlight w:val="none"/>
          <w:lang w:val="en-US" w:eastAsia="zh-CN"/>
        </w:rPr>
        <w:t>对所有符合参加人身意外伤害保险条件的人员统一进行参保。</w:t>
      </w:r>
    </w:p>
    <w:p>
      <w:pPr>
        <w:pStyle w:val="28"/>
        <w:rPr>
          <w:rFonts w:hint="default" w:ascii="Times New Roman" w:hAnsi="Times New Roman" w:cs="Times New Roman"/>
          <w:b w:val="0"/>
          <w:bCs w:val="0"/>
          <w:highlight w:val="none"/>
          <w:lang w:eastAsia="zh-CN"/>
        </w:rPr>
      </w:pPr>
    </w:p>
    <w:p>
      <w:pPr>
        <w:snapToGrid w:val="0"/>
        <w:rPr>
          <w:rFonts w:hint="eastAsia" w:ascii="宋体" w:hAnsi="宋体" w:cs="宋体"/>
          <w:highlight w:val="none"/>
        </w:rPr>
      </w:pPr>
    </w:p>
    <w:p>
      <w:pPr>
        <w:snapToGrid w:val="0"/>
        <w:rPr>
          <w:rFonts w:hint="eastAsia" w:ascii="宋体" w:hAnsi="宋体" w:cs="宋体"/>
          <w:highlight w:val="none"/>
        </w:rPr>
      </w:pPr>
    </w:p>
    <w:p>
      <w:pPr>
        <w:snapToGrid w:val="0"/>
        <w:rPr>
          <w:rFonts w:hint="eastAsia" w:ascii="宋体" w:hAnsi="宋体" w:cs="宋体"/>
          <w:highlight w:val="none"/>
        </w:rPr>
      </w:pPr>
    </w:p>
    <w:p>
      <w:pPr>
        <w:numPr>
          <w:ilvl w:val="0"/>
          <w:numId w:val="0"/>
        </w:numPr>
        <w:spacing w:line="360" w:lineRule="auto"/>
        <w:jc w:val="center"/>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（如有其他承诺，请自行填写；如无，则删除本括号内的内容）</w:t>
      </w:r>
    </w:p>
    <w:p>
      <w:pPr>
        <w:numPr>
          <w:ilvl w:val="0"/>
          <w:numId w:val="0"/>
        </w:numPr>
        <w:spacing w:line="360" w:lineRule="auto"/>
        <w:rPr>
          <w:rFonts w:hint="eastAsia" w:ascii="宋体" w:hAnsi="宋体" w:eastAsia="宋体" w:cs="宋体"/>
          <w:color w:val="auto"/>
          <w:highlight w:val="none"/>
          <w:lang w:val="en-US" w:eastAsia="zh-CN"/>
        </w:rPr>
      </w:pPr>
    </w:p>
    <w:p>
      <w:pPr>
        <w:spacing w:line="360" w:lineRule="auto"/>
        <w:jc w:val="right"/>
        <w:rPr>
          <w:rFonts w:hint="eastAsia" w:ascii="宋体" w:hAnsi="宋体" w:eastAsia="宋体" w:cs="宋体"/>
          <w:color w:val="auto"/>
          <w:highlight w:val="none"/>
          <w:lang w:eastAsia="zh-CN"/>
        </w:rPr>
      </w:pPr>
      <w:r>
        <w:rPr>
          <w:rFonts w:hint="eastAsia" w:ascii="宋体" w:hAnsi="宋体" w:eastAsia="宋体" w:cs="宋体"/>
          <w:color w:val="auto"/>
          <w:highlight w:val="none"/>
        </w:rPr>
        <w:t>供应商（盖章）</w:t>
      </w:r>
      <w:r>
        <w:rPr>
          <w:rFonts w:hint="eastAsia" w:ascii="宋体" w:hAnsi="宋体" w:eastAsia="宋体" w:cs="宋体"/>
          <w:color w:val="auto"/>
          <w:highlight w:val="none"/>
          <w:lang w:eastAsia="zh-CN"/>
        </w:rPr>
        <w:t>：</w:t>
      </w:r>
    </w:p>
    <w:p>
      <w:pPr>
        <w:spacing w:line="360" w:lineRule="auto"/>
        <w:jc w:val="right"/>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法定代表人或授权代表（签名或印章）：</w:t>
      </w:r>
    </w:p>
    <w:p>
      <w:pPr>
        <w:snapToGrid w:val="0"/>
        <w:jc w:val="right"/>
        <w:rPr>
          <w:rFonts w:hint="eastAsia" w:ascii="宋体" w:hAnsi="宋体" w:cs="宋体"/>
          <w:highlight w:val="none"/>
        </w:rPr>
      </w:pPr>
      <w:r>
        <w:rPr>
          <w:rFonts w:hint="eastAsia" w:ascii="宋体" w:hAnsi="宋体" w:eastAsia="宋体" w:cs="宋体"/>
          <w:color w:val="auto"/>
          <w:highlight w:val="none"/>
        </w:rPr>
        <w:t>日    期：</w:t>
      </w:r>
    </w:p>
    <w:p>
      <w:pPr>
        <w:snapToGrid w:val="0"/>
        <w:rPr>
          <w:rFonts w:hint="eastAsia" w:ascii="宋体" w:hAnsi="宋体" w:cs="宋体"/>
          <w:highlight w:val="none"/>
        </w:rPr>
      </w:pPr>
    </w:p>
    <w:p>
      <w:pPr>
        <w:snapToGrid w:val="0"/>
        <w:rPr>
          <w:rFonts w:hint="eastAsia" w:ascii="宋体" w:hAnsi="宋体" w:cs="宋体"/>
          <w:highlight w:val="none"/>
        </w:rPr>
      </w:pPr>
    </w:p>
    <w:p>
      <w:pPr>
        <w:snapToGrid w:val="0"/>
        <w:spacing w:line="360" w:lineRule="auto"/>
        <w:jc w:val="left"/>
        <w:rPr>
          <w:rFonts w:hint="eastAsia" w:ascii="宋体" w:hAnsi="宋体" w:cs="宋体"/>
          <w:highlight w:val="none"/>
          <w:lang w:eastAsia="zh-CN"/>
        </w:rPr>
      </w:pPr>
    </w:p>
    <w:p>
      <w:pPr>
        <w:snapToGrid w:val="0"/>
        <w:spacing w:line="360" w:lineRule="auto"/>
        <w:jc w:val="left"/>
        <w:rPr>
          <w:rFonts w:ascii="宋体" w:hAnsi="宋体" w:cs="宋体"/>
          <w:highlight w:val="none"/>
        </w:rPr>
      </w:pPr>
      <w:r>
        <w:rPr>
          <w:rFonts w:hint="eastAsia" w:ascii="宋体" w:hAnsi="宋体" w:cs="宋体"/>
          <w:highlight w:val="none"/>
          <w:lang w:eastAsia="zh-CN"/>
        </w:rPr>
        <w:t>格式十：</w:t>
      </w:r>
      <w:r>
        <w:rPr>
          <w:rFonts w:hint="eastAsia" w:ascii="宋体" w:hAnsi="宋体" w:cs="宋体"/>
          <w:highlight w:val="none"/>
        </w:rPr>
        <w:t>供应商认为有需要提供的其它有关证明资料。</w:t>
      </w:r>
    </w:p>
    <w:p>
      <w:pPr>
        <w:pStyle w:val="2"/>
        <w:rPr>
          <w:rFonts w:hint="eastAsia"/>
        </w:rPr>
      </w:pPr>
    </w:p>
    <w:p>
      <w:pPr>
        <w:snapToGrid w:val="0"/>
        <w:spacing w:line="400" w:lineRule="exact"/>
        <w:rPr>
          <w:rFonts w:ascii="宋体" w:cs="宋体"/>
          <w:szCs w:val="21"/>
        </w:rPr>
      </w:pPr>
    </w:p>
    <w:p>
      <w:pPr>
        <w:pStyle w:val="2"/>
        <w:rPr>
          <w:rFonts w:ascii="宋体" w:cs="宋体"/>
          <w:szCs w:val="21"/>
        </w:rPr>
      </w:pPr>
    </w:p>
    <w:p>
      <w:pPr>
        <w:pStyle w:val="3"/>
        <w:rPr>
          <w:rFonts w:ascii="宋体" w:cs="宋体"/>
          <w:szCs w:val="21"/>
        </w:rPr>
      </w:pPr>
    </w:p>
    <w:p>
      <w:pPr>
        <w:rPr>
          <w:rFonts w:ascii="宋体" w:cs="宋体"/>
          <w:szCs w:val="21"/>
        </w:rPr>
      </w:pPr>
    </w:p>
    <w:p>
      <w:pPr>
        <w:pStyle w:val="2"/>
        <w:rPr>
          <w:rFonts w:ascii="宋体" w:cs="宋体"/>
          <w:szCs w:val="21"/>
        </w:rPr>
      </w:pPr>
    </w:p>
    <w:p>
      <w:pPr>
        <w:pStyle w:val="3"/>
        <w:rPr>
          <w:rFonts w:ascii="宋体" w:cs="宋体"/>
          <w:szCs w:val="21"/>
        </w:rPr>
      </w:pPr>
    </w:p>
    <w:p>
      <w:pPr>
        <w:rPr>
          <w:rFonts w:ascii="宋体" w:cs="宋体"/>
          <w:szCs w:val="21"/>
        </w:rPr>
      </w:pPr>
    </w:p>
    <w:p>
      <w:pPr>
        <w:pStyle w:val="2"/>
        <w:rPr>
          <w:rFonts w:ascii="宋体" w:cs="宋体"/>
          <w:szCs w:val="21"/>
        </w:rPr>
      </w:pPr>
    </w:p>
    <w:p>
      <w:pPr>
        <w:pStyle w:val="3"/>
        <w:rPr>
          <w:rFonts w:ascii="宋体" w:cs="宋体"/>
          <w:szCs w:val="21"/>
        </w:rPr>
      </w:pPr>
    </w:p>
    <w:p>
      <w:pPr>
        <w:rPr>
          <w:rFonts w:ascii="宋体" w:cs="宋体"/>
          <w:szCs w:val="21"/>
        </w:rPr>
      </w:pPr>
    </w:p>
    <w:p>
      <w:pPr>
        <w:pStyle w:val="2"/>
        <w:rPr>
          <w:rFonts w:ascii="宋体" w:cs="宋体"/>
          <w:szCs w:val="21"/>
        </w:rPr>
      </w:pPr>
    </w:p>
    <w:p>
      <w:pPr>
        <w:pStyle w:val="3"/>
        <w:rPr>
          <w:rFonts w:ascii="宋体" w:cs="宋体"/>
          <w:szCs w:val="21"/>
        </w:rPr>
      </w:pPr>
    </w:p>
    <w:p>
      <w:pPr>
        <w:rPr>
          <w:rFonts w:ascii="宋体" w:cs="宋体"/>
          <w:szCs w:val="21"/>
        </w:rPr>
      </w:pPr>
    </w:p>
    <w:p>
      <w:pPr>
        <w:pStyle w:val="2"/>
        <w:rPr>
          <w:rFonts w:ascii="宋体" w:cs="宋体"/>
          <w:szCs w:val="21"/>
        </w:rPr>
      </w:pPr>
    </w:p>
    <w:p>
      <w:pPr>
        <w:pStyle w:val="3"/>
        <w:rPr>
          <w:rFonts w:ascii="宋体" w:cs="宋体"/>
          <w:szCs w:val="21"/>
        </w:rPr>
      </w:pPr>
    </w:p>
    <w:p>
      <w:pPr>
        <w:rPr>
          <w:rFonts w:ascii="宋体" w:cs="宋体"/>
          <w:szCs w:val="21"/>
        </w:rPr>
      </w:pPr>
    </w:p>
    <w:p>
      <w:pPr>
        <w:pStyle w:val="2"/>
        <w:rPr>
          <w:rFonts w:ascii="宋体" w:cs="宋体"/>
          <w:szCs w:val="21"/>
        </w:rPr>
      </w:pPr>
    </w:p>
    <w:p>
      <w:pPr>
        <w:pStyle w:val="3"/>
        <w:rPr>
          <w:rFonts w:ascii="宋体" w:cs="宋体"/>
          <w:szCs w:val="21"/>
        </w:rPr>
      </w:pPr>
    </w:p>
    <w:p>
      <w:pPr>
        <w:rPr>
          <w:rFonts w:ascii="宋体" w:cs="宋体"/>
          <w:szCs w:val="21"/>
        </w:rPr>
      </w:pPr>
    </w:p>
    <w:p>
      <w:pPr>
        <w:pStyle w:val="2"/>
        <w:rPr>
          <w:rFonts w:ascii="宋体" w:cs="宋体"/>
          <w:szCs w:val="21"/>
        </w:rPr>
      </w:pPr>
    </w:p>
    <w:p>
      <w:pPr>
        <w:pStyle w:val="3"/>
        <w:rPr>
          <w:rFonts w:ascii="宋体" w:cs="宋体"/>
          <w:szCs w:val="21"/>
        </w:rPr>
      </w:pPr>
    </w:p>
    <w:p>
      <w:pPr>
        <w:rPr>
          <w:rFonts w:ascii="宋体" w:cs="宋体"/>
          <w:szCs w:val="21"/>
        </w:rPr>
      </w:pPr>
    </w:p>
    <w:p>
      <w:pPr>
        <w:pStyle w:val="2"/>
        <w:rPr>
          <w:rFonts w:ascii="宋体" w:cs="宋体"/>
          <w:szCs w:val="21"/>
        </w:rPr>
      </w:pPr>
    </w:p>
    <w:p>
      <w:pPr>
        <w:pStyle w:val="3"/>
        <w:rPr>
          <w:rFonts w:ascii="宋体" w:cs="宋体"/>
          <w:szCs w:val="21"/>
        </w:rPr>
      </w:pPr>
    </w:p>
    <w:p>
      <w:pPr>
        <w:rPr>
          <w:rFonts w:ascii="宋体" w:cs="宋体"/>
          <w:szCs w:val="21"/>
        </w:rPr>
      </w:pPr>
    </w:p>
    <w:p>
      <w:pPr>
        <w:pStyle w:val="2"/>
        <w:rPr>
          <w:rFonts w:ascii="宋体" w:cs="宋体"/>
          <w:szCs w:val="21"/>
        </w:rPr>
      </w:pPr>
    </w:p>
    <w:p>
      <w:pPr>
        <w:pStyle w:val="3"/>
        <w:rPr>
          <w:rFonts w:ascii="宋体" w:cs="宋体"/>
          <w:szCs w:val="21"/>
        </w:rPr>
      </w:pPr>
    </w:p>
    <w:p>
      <w:pPr>
        <w:rPr>
          <w:rFonts w:ascii="宋体" w:cs="宋体"/>
          <w:szCs w:val="21"/>
        </w:rPr>
      </w:pPr>
    </w:p>
    <w:p>
      <w:pPr>
        <w:pStyle w:val="2"/>
        <w:rPr>
          <w:rFonts w:ascii="宋体" w:cs="宋体"/>
          <w:szCs w:val="21"/>
        </w:rPr>
      </w:pPr>
    </w:p>
    <w:p>
      <w:pPr>
        <w:pStyle w:val="3"/>
        <w:rPr>
          <w:rFonts w:ascii="宋体" w:cs="宋体"/>
          <w:szCs w:val="21"/>
        </w:rPr>
      </w:pPr>
    </w:p>
    <w:p/>
    <w:p>
      <w:pPr>
        <w:numPr>
          <w:ilvl w:val="0"/>
          <w:numId w:val="15"/>
        </w:numPr>
        <w:snapToGrid w:val="0"/>
        <w:spacing w:before="50" w:after="120" w:afterLines="50"/>
        <w:jc w:val="center"/>
        <w:rPr>
          <w:rFonts w:ascii="宋体"/>
          <w:szCs w:val="21"/>
        </w:rPr>
      </w:pPr>
      <w:r>
        <w:rPr>
          <w:rFonts w:hint="eastAsia" w:ascii="宋体" w:hAnsi="宋体"/>
          <w:szCs w:val="21"/>
        </w:rPr>
        <w:t>报价文件格式</w:t>
      </w:r>
    </w:p>
    <w:p>
      <w:pPr>
        <w:snapToGrid w:val="0"/>
        <w:spacing w:before="50" w:after="120" w:afterLines="50"/>
        <w:rPr>
          <w:rFonts w:ascii="宋体"/>
          <w:b/>
          <w:szCs w:val="21"/>
        </w:rPr>
      </w:pPr>
    </w:p>
    <w:p>
      <w:pPr>
        <w:snapToGrid w:val="0"/>
        <w:spacing w:before="50" w:after="120" w:afterLines="50"/>
        <w:rPr>
          <w:rFonts w:ascii="宋体"/>
          <w:b/>
          <w:bCs/>
          <w:szCs w:val="21"/>
        </w:rPr>
      </w:pPr>
      <w:r>
        <w:rPr>
          <w:rFonts w:ascii="宋体" w:hAnsi="宋体"/>
          <w:b/>
          <w:szCs w:val="21"/>
        </w:rPr>
        <w:t>1.</w:t>
      </w:r>
      <w:r>
        <w:rPr>
          <w:rFonts w:hint="eastAsia" w:ascii="宋体" w:hAnsi="宋体"/>
          <w:b/>
          <w:bCs/>
          <w:szCs w:val="21"/>
        </w:rPr>
        <w:t>报价文件的外包装封面格式：</w:t>
      </w:r>
    </w:p>
    <w:p>
      <w:pPr>
        <w:snapToGrid w:val="0"/>
        <w:spacing w:before="120" w:beforeLines="50" w:after="50"/>
        <w:rPr>
          <w:rFonts w:ascii="宋体"/>
          <w:bCs/>
          <w:szCs w:val="21"/>
        </w:rPr>
      </w:pPr>
    </w:p>
    <w:p>
      <w:pPr>
        <w:snapToGrid w:val="0"/>
        <w:spacing w:before="120" w:beforeLines="50" w:after="50"/>
        <w:jc w:val="center"/>
        <w:rPr>
          <w:rFonts w:ascii="宋体"/>
          <w:bCs/>
          <w:szCs w:val="21"/>
        </w:rPr>
      </w:pPr>
      <w:r>
        <w:rPr>
          <w:rFonts w:hint="eastAsia" w:ascii="宋体" w:hAnsi="宋体"/>
          <w:bCs/>
          <w:szCs w:val="21"/>
        </w:rPr>
        <w:t>报价文件</w:t>
      </w:r>
    </w:p>
    <w:p>
      <w:pPr>
        <w:snapToGrid w:val="0"/>
        <w:spacing w:before="120" w:beforeLines="50" w:after="50"/>
        <w:rPr>
          <w:rFonts w:ascii="宋体"/>
          <w:bCs/>
          <w:szCs w:val="21"/>
        </w:rPr>
      </w:pPr>
    </w:p>
    <w:p>
      <w:pPr>
        <w:snapToGrid w:val="0"/>
        <w:spacing w:before="120" w:beforeLines="50" w:after="50"/>
        <w:ind w:firstLine="932" w:firstLineChars="444"/>
      </w:pPr>
      <w:r>
        <w:rPr>
          <w:rFonts w:hint="eastAsia" w:ascii="宋体" w:hAnsi="宋体"/>
          <w:bCs/>
          <w:szCs w:val="21"/>
        </w:rPr>
        <w:t>项目名称：</w:t>
      </w:r>
    </w:p>
    <w:p>
      <w:pPr>
        <w:snapToGrid w:val="0"/>
        <w:spacing w:before="120" w:beforeLines="50" w:after="50"/>
        <w:ind w:firstLine="932" w:firstLineChars="444"/>
        <w:rPr>
          <w:rFonts w:ascii="宋体"/>
          <w:bCs/>
          <w:szCs w:val="21"/>
        </w:rPr>
      </w:pPr>
      <w:r>
        <w:rPr>
          <w:rFonts w:hint="eastAsia" w:ascii="宋体" w:hAnsi="宋体"/>
          <w:bCs/>
          <w:szCs w:val="21"/>
        </w:rPr>
        <w:t>项目编号：</w:t>
      </w:r>
    </w:p>
    <w:p>
      <w:pPr>
        <w:snapToGrid w:val="0"/>
        <w:spacing w:before="120" w:beforeLines="50" w:after="50"/>
        <w:ind w:firstLine="932" w:firstLineChars="444"/>
        <w:rPr>
          <w:rFonts w:ascii="宋体"/>
          <w:bCs/>
          <w:szCs w:val="21"/>
        </w:rPr>
      </w:pPr>
    </w:p>
    <w:p>
      <w:pPr>
        <w:snapToGrid w:val="0"/>
        <w:spacing w:before="120" w:beforeLines="50" w:after="50"/>
        <w:ind w:firstLine="840" w:firstLineChars="400"/>
        <w:rPr>
          <w:rFonts w:ascii="宋体"/>
          <w:bCs/>
          <w:szCs w:val="21"/>
        </w:rPr>
      </w:pPr>
      <w:r>
        <w:rPr>
          <w:rFonts w:hint="eastAsia" w:ascii="宋体" w:hAnsi="宋体"/>
          <w:bCs/>
          <w:szCs w:val="21"/>
          <w:lang w:eastAsia="zh-CN"/>
        </w:rPr>
        <w:t>供应商</w:t>
      </w:r>
      <w:r>
        <w:rPr>
          <w:rFonts w:hint="eastAsia" w:ascii="宋体" w:hAnsi="宋体"/>
          <w:bCs/>
          <w:szCs w:val="21"/>
        </w:rPr>
        <w:t>名称：</w:t>
      </w:r>
    </w:p>
    <w:p>
      <w:pPr>
        <w:snapToGrid w:val="0"/>
        <w:spacing w:before="120" w:beforeLines="50" w:after="50"/>
        <w:ind w:firstLine="840" w:firstLineChars="400"/>
        <w:rPr>
          <w:rFonts w:ascii="宋体"/>
          <w:bCs/>
          <w:szCs w:val="21"/>
        </w:rPr>
      </w:pPr>
      <w:r>
        <w:rPr>
          <w:rFonts w:hint="eastAsia" w:ascii="宋体" w:hAnsi="宋体"/>
          <w:bCs/>
          <w:szCs w:val="21"/>
          <w:lang w:eastAsia="zh-CN"/>
        </w:rPr>
        <w:t>供应商</w:t>
      </w:r>
      <w:r>
        <w:rPr>
          <w:rFonts w:hint="eastAsia" w:ascii="宋体" w:hAnsi="宋体"/>
          <w:bCs/>
          <w:szCs w:val="21"/>
        </w:rPr>
        <w:t>地址：</w:t>
      </w:r>
    </w:p>
    <w:p>
      <w:pPr>
        <w:pStyle w:val="3"/>
        <w:snapToGrid w:val="0"/>
        <w:spacing w:before="50" w:after="50"/>
        <w:ind w:firstLine="932" w:firstLineChars="444"/>
        <w:jc w:val="center"/>
        <w:rPr>
          <w:rFonts w:ascii="宋体"/>
          <w:bCs/>
          <w:szCs w:val="21"/>
        </w:rPr>
      </w:pPr>
      <w:r>
        <w:rPr>
          <w:rFonts w:hint="eastAsia" w:ascii="宋体" w:hAnsi="宋体"/>
          <w:bCs/>
          <w:szCs w:val="21"/>
        </w:rPr>
        <w:t>开标时启封</w:t>
      </w:r>
    </w:p>
    <w:p>
      <w:pPr>
        <w:pStyle w:val="3"/>
        <w:snapToGrid w:val="0"/>
        <w:spacing w:before="50" w:after="50"/>
        <w:ind w:firstLine="873" w:firstLineChars="416"/>
        <w:rPr>
          <w:rFonts w:ascii="宋体"/>
          <w:szCs w:val="21"/>
        </w:rPr>
      </w:pPr>
    </w:p>
    <w:p>
      <w:pPr>
        <w:jc w:val="right"/>
      </w:pPr>
      <w:r>
        <w:rPr>
          <w:rFonts w:hint="eastAsia"/>
        </w:rPr>
        <w:t>年月日</w:t>
      </w:r>
    </w:p>
    <w:p/>
    <w:p>
      <w:pPr>
        <w:snapToGrid w:val="0"/>
        <w:spacing w:before="120" w:beforeLines="50" w:after="50"/>
        <w:rPr>
          <w:rFonts w:ascii="宋体"/>
          <w:szCs w:val="21"/>
        </w:rPr>
      </w:pPr>
      <w:r>
        <w:rPr>
          <w:rFonts w:ascii="宋体" w:hAnsi="宋体"/>
          <w:b/>
          <w:bCs/>
          <w:szCs w:val="21"/>
        </w:rPr>
        <w:t>2.</w:t>
      </w:r>
      <w:r>
        <w:rPr>
          <w:rFonts w:hint="eastAsia" w:ascii="宋体" w:hAnsi="宋体"/>
          <w:b/>
          <w:bCs/>
          <w:szCs w:val="21"/>
        </w:rPr>
        <w:t>报价文件封面格式：</w:t>
      </w:r>
    </w:p>
    <w:p>
      <w:pPr>
        <w:snapToGrid w:val="0"/>
        <w:spacing w:before="120" w:beforeLines="50" w:after="50"/>
        <w:jc w:val="right"/>
        <w:rPr>
          <w:rFonts w:hint="eastAsia" w:ascii="宋体" w:hAnsi="宋体"/>
          <w:b/>
          <w:bCs/>
          <w:szCs w:val="21"/>
        </w:rPr>
      </w:pPr>
    </w:p>
    <w:p>
      <w:pPr>
        <w:snapToGrid w:val="0"/>
        <w:spacing w:before="120" w:beforeLines="50" w:after="50"/>
        <w:rPr>
          <w:rFonts w:ascii="宋体"/>
          <w:szCs w:val="21"/>
        </w:rPr>
      </w:pPr>
    </w:p>
    <w:p>
      <w:pPr>
        <w:snapToGrid w:val="0"/>
        <w:spacing w:before="120" w:beforeLines="50" w:after="50"/>
        <w:jc w:val="center"/>
        <w:rPr>
          <w:rFonts w:ascii="宋体"/>
          <w:bCs/>
          <w:szCs w:val="21"/>
        </w:rPr>
      </w:pPr>
      <w:r>
        <w:rPr>
          <w:rFonts w:hint="eastAsia" w:ascii="宋体" w:hAnsi="宋体"/>
          <w:bCs/>
          <w:szCs w:val="21"/>
        </w:rPr>
        <w:t>报价文件</w:t>
      </w:r>
    </w:p>
    <w:p>
      <w:pPr>
        <w:snapToGrid w:val="0"/>
        <w:spacing w:before="120" w:beforeLines="50" w:after="50"/>
        <w:rPr>
          <w:rFonts w:ascii="宋体"/>
          <w:bCs/>
          <w:szCs w:val="21"/>
        </w:rPr>
      </w:pPr>
    </w:p>
    <w:p>
      <w:pPr>
        <w:snapToGrid w:val="0"/>
        <w:spacing w:before="120" w:beforeLines="50" w:after="50"/>
        <w:ind w:firstLine="630" w:firstLineChars="300"/>
        <w:rPr>
          <w:rFonts w:ascii="宋体"/>
          <w:bCs/>
          <w:szCs w:val="21"/>
        </w:rPr>
      </w:pPr>
      <w:r>
        <w:rPr>
          <w:rFonts w:hint="eastAsia" w:ascii="宋体" w:hAnsi="宋体"/>
          <w:bCs/>
          <w:szCs w:val="21"/>
        </w:rPr>
        <w:t>项目名称：</w:t>
      </w:r>
    </w:p>
    <w:p>
      <w:pPr>
        <w:snapToGrid w:val="0"/>
        <w:spacing w:before="120" w:beforeLines="50" w:after="50"/>
        <w:ind w:firstLine="504" w:firstLineChars="240"/>
        <w:rPr>
          <w:rFonts w:ascii="宋体"/>
          <w:bCs/>
          <w:szCs w:val="21"/>
        </w:rPr>
      </w:pPr>
      <w:r>
        <w:rPr>
          <w:rFonts w:hint="eastAsia" w:ascii="宋体" w:hAnsi="宋体"/>
          <w:bCs/>
          <w:szCs w:val="21"/>
        </w:rPr>
        <w:t>项目编号：</w:t>
      </w:r>
    </w:p>
    <w:p>
      <w:pPr>
        <w:snapToGrid w:val="0"/>
        <w:spacing w:before="120" w:beforeLines="50" w:after="50"/>
        <w:ind w:firstLine="525" w:firstLineChars="250"/>
        <w:rPr>
          <w:rFonts w:ascii="宋体"/>
          <w:bCs/>
          <w:szCs w:val="21"/>
        </w:rPr>
      </w:pPr>
    </w:p>
    <w:p>
      <w:pPr>
        <w:snapToGrid w:val="0"/>
        <w:spacing w:before="120" w:beforeLines="50" w:after="50"/>
        <w:ind w:firstLine="504" w:firstLineChars="240"/>
        <w:rPr>
          <w:rFonts w:ascii="宋体"/>
          <w:bCs/>
          <w:szCs w:val="21"/>
        </w:rPr>
      </w:pPr>
      <w:r>
        <w:rPr>
          <w:rFonts w:hint="eastAsia" w:ascii="宋体" w:hAnsi="宋体"/>
          <w:bCs/>
          <w:szCs w:val="21"/>
          <w:lang w:eastAsia="zh-CN"/>
        </w:rPr>
        <w:t>供应商</w:t>
      </w:r>
      <w:r>
        <w:rPr>
          <w:rFonts w:hint="eastAsia" w:ascii="宋体" w:hAnsi="宋体"/>
          <w:bCs/>
          <w:szCs w:val="21"/>
        </w:rPr>
        <w:t>名称：</w:t>
      </w:r>
    </w:p>
    <w:p>
      <w:pPr>
        <w:snapToGrid w:val="0"/>
        <w:spacing w:before="120" w:beforeLines="50" w:after="50"/>
        <w:ind w:firstLine="504" w:firstLineChars="240"/>
        <w:rPr>
          <w:rFonts w:ascii="宋体"/>
          <w:bCs/>
          <w:szCs w:val="21"/>
        </w:rPr>
      </w:pPr>
      <w:r>
        <w:rPr>
          <w:rFonts w:hint="eastAsia" w:ascii="宋体" w:hAnsi="宋体"/>
          <w:bCs/>
          <w:szCs w:val="21"/>
          <w:lang w:eastAsia="zh-CN"/>
        </w:rPr>
        <w:t>供应商</w:t>
      </w:r>
      <w:r>
        <w:rPr>
          <w:rFonts w:hint="eastAsia" w:ascii="宋体" w:hAnsi="宋体"/>
          <w:bCs/>
          <w:szCs w:val="21"/>
        </w:rPr>
        <w:t>地址：</w:t>
      </w:r>
    </w:p>
    <w:p>
      <w:pPr>
        <w:jc w:val="right"/>
      </w:pPr>
      <w:r>
        <w:rPr>
          <w:rFonts w:hint="eastAsia"/>
        </w:rPr>
        <w:t>年月日</w:t>
      </w: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b/>
          <w:bCs/>
          <w:spacing w:val="0"/>
          <w:sz w:val="28"/>
          <w:szCs w:val="28"/>
        </w:rPr>
      </w:pPr>
    </w:p>
    <w:p>
      <w:pPr>
        <w:pStyle w:val="11"/>
        <w:spacing w:line="360" w:lineRule="auto"/>
        <w:ind w:firstLine="0"/>
        <w:rPr>
          <w:rFonts w:hAnsi="宋体" w:cs="宋体"/>
          <w:b/>
          <w:bCs/>
          <w:spacing w:val="0"/>
          <w:sz w:val="28"/>
          <w:szCs w:val="28"/>
        </w:rPr>
      </w:pPr>
      <w:r>
        <w:rPr>
          <w:rFonts w:hint="eastAsia" w:hAnsi="宋体" w:cs="宋体"/>
          <w:spacing w:val="0"/>
          <w:sz w:val="21"/>
          <w:szCs w:val="21"/>
        </w:rPr>
        <w:t>格式一：开表一览表</w:t>
      </w:r>
    </w:p>
    <w:p>
      <w:pPr>
        <w:pStyle w:val="11"/>
        <w:spacing w:line="360" w:lineRule="auto"/>
        <w:ind w:firstLine="0"/>
        <w:jc w:val="center"/>
        <w:rPr>
          <w:rFonts w:hAnsi="宋体" w:cs="宋体"/>
          <w:b/>
          <w:bCs/>
          <w:spacing w:val="0"/>
          <w:sz w:val="28"/>
          <w:szCs w:val="28"/>
        </w:rPr>
      </w:pPr>
      <w:r>
        <w:rPr>
          <w:rFonts w:hint="eastAsia" w:hAnsi="宋体" w:cs="宋体"/>
          <w:b/>
          <w:bCs/>
          <w:spacing w:val="0"/>
          <w:sz w:val="28"/>
          <w:szCs w:val="28"/>
        </w:rPr>
        <w:t>开标一览表</w:t>
      </w:r>
    </w:p>
    <w:p>
      <w:pPr>
        <w:pStyle w:val="11"/>
        <w:spacing w:line="360" w:lineRule="auto"/>
        <w:ind w:firstLine="0"/>
        <w:rPr>
          <w:sz w:val="21"/>
          <w:szCs w:val="21"/>
        </w:rPr>
      </w:pPr>
    </w:p>
    <w:p>
      <w:pPr>
        <w:pStyle w:val="11"/>
        <w:spacing w:line="360" w:lineRule="auto"/>
        <w:ind w:firstLine="0"/>
        <w:rPr>
          <w:sz w:val="21"/>
          <w:szCs w:val="21"/>
        </w:rPr>
      </w:pPr>
      <w:r>
        <w:rPr>
          <w:rFonts w:hint="eastAsia"/>
          <w:sz w:val="21"/>
          <w:szCs w:val="21"/>
        </w:rPr>
        <w:t>项目名称：</w:t>
      </w:r>
    </w:p>
    <w:p>
      <w:pPr>
        <w:pStyle w:val="11"/>
        <w:spacing w:line="360" w:lineRule="auto"/>
        <w:ind w:firstLine="0"/>
        <w:rPr>
          <w:rFonts w:hAnsi="宋体"/>
        </w:rPr>
      </w:pPr>
      <w:r>
        <w:rPr>
          <w:rFonts w:hint="eastAsia"/>
          <w:sz w:val="21"/>
          <w:szCs w:val="21"/>
        </w:rPr>
        <w:t>招标编号：</w:t>
      </w:r>
    </w:p>
    <w:tbl>
      <w:tblPr>
        <w:tblStyle w:val="30"/>
        <w:tblpPr w:leftFromText="180" w:rightFromText="180" w:vertAnchor="text" w:horzAnchor="page" w:tblpX="1417" w:tblpY="4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3097"/>
        <w:gridCol w:w="1718"/>
        <w:gridCol w:w="3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64" w:type="dxa"/>
            <w:noWrap w:val="0"/>
            <w:vAlign w:val="center"/>
          </w:tcPr>
          <w:p>
            <w:pPr>
              <w:snapToGrid w:val="0"/>
              <w:spacing w:line="360" w:lineRule="auto"/>
              <w:jc w:val="center"/>
              <w:rPr>
                <w:rFonts w:hint="eastAsia" w:ascii="宋体" w:hAnsi="宋体" w:eastAsia="宋体" w:cs="宋体"/>
                <w:b/>
                <w:bCs/>
                <w:color w:val="auto"/>
                <w:szCs w:val="21"/>
                <w:highlight w:val="none"/>
              </w:rPr>
            </w:pPr>
            <w:r>
              <w:rPr>
                <w:rFonts w:hint="eastAsia" w:ascii="宋体" w:hAnsi="宋体" w:cs="宋体"/>
                <w:b/>
                <w:bCs/>
                <w:color w:val="auto"/>
                <w:szCs w:val="21"/>
                <w:highlight w:val="none"/>
                <w:lang w:eastAsia="zh-CN"/>
              </w:rPr>
              <w:t>序号</w:t>
            </w:r>
          </w:p>
        </w:tc>
        <w:tc>
          <w:tcPr>
            <w:tcW w:w="3097" w:type="dxa"/>
            <w:noWrap w:val="0"/>
            <w:vAlign w:val="center"/>
          </w:tcPr>
          <w:p>
            <w:pPr>
              <w:snapToGrid w:val="0"/>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采购内容</w:t>
            </w:r>
          </w:p>
        </w:tc>
        <w:tc>
          <w:tcPr>
            <w:tcW w:w="1718" w:type="dxa"/>
            <w:noWrap w:val="0"/>
            <w:vAlign w:val="center"/>
          </w:tcPr>
          <w:p>
            <w:pPr>
              <w:snapToGrid w:val="0"/>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数量</w:t>
            </w:r>
          </w:p>
        </w:tc>
        <w:tc>
          <w:tcPr>
            <w:tcW w:w="3382" w:type="dxa"/>
            <w:noWrap w:val="0"/>
            <w:vAlign w:val="center"/>
          </w:tcPr>
          <w:p>
            <w:pPr>
              <w:snapToGrid w:val="0"/>
              <w:spacing w:line="360" w:lineRule="auto"/>
              <w:jc w:val="center"/>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eastAsia="zh-CN"/>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1064" w:type="dxa"/>
            <w:noWrap w:val="0"/>
            <w:vAlign w:val="center"/>
          </w:tcPr>
          <w:p>
            <w:pPr>
              <w:snapToGrid w:val="0"/>
              <w:spacing w:line="360" w:lineRule="auto"/>
              <w:jc w:val="center"/>
              <w:rPr>
                <w:rFonts w:hint="eastAsia" w:ascii="宋体" w:hAnsi="宋体" w:eastAsia="宋体" w:cs="宋体"/>
                <w:color w:val="auto"/>
                <w:szCs w:val="21"/>
                <w:highlight w:val="none"/>
              </w:rPr>
            </w:pPr>
          </w:p>
        </w:tc>
        <w:tc>
          <w:tcPr>
            <w:tcW w:w="3097" w:type="dxa"/>
            <w:noWrap w:val="0"/>
            <w:vAlign w:val="center"/>
          </w:tcPr>
          <w:p>
            <w:pPr>
              <w:snapToGrid w:val="0"/>
              <w:spacing w:line="360" w:lineRule="auto"/>
              <w:jc w:val="center"/>
              <w:rPr>
                <w:rFonts w:hint="eastAsia" w:ascii="宋体" w:hAnsi="宋体" w:eastAsia="宋体" w:cs="宋体"/>
                <w:color w:val="auto"/>
                <w:szCs w:val="21"/>
                <w:highlight w:val="none"/>
              </w:rPr>
            </w:pPr>
          </w:p>
        </w:tc>
        <w:tc>
          <w:tcPr>
            <w:tcW w:w="1718" w:type="dxa"/>
            <w:noWrap w:val="0"/>
            <w:vAlign w:val="center"/>
          </w:tcPr>
          <w:p>
            <w:pPr>
              <w:snapToGrid w:val="0"/>
              <w:spacing w:line="360" w:lineRule="auto"/>
              <w:rPr>
                <w:rFonts w:hint="eastAsia" w:ascii="宋体" w:hAnsi="宋体" w:eastAsia="宋体" w:cs="宋体"/>
                <w:color w:val="auto"/>
                <w:szCs w:val="21"/>
                <w:highlight w:val="none"/>
              </w:rPr>
            </w:pPr>
          </w:p>
        </w:tc>
        <w:tc>
          <w:tcPr>
            <w:tcW w:w="3382" w:type="dxa"/>
            <w:noWrap w:val="0"/>
            <w:vAlign w:val="center"/>
          </w:tcPr>
          <w:p>
            <w:pPr>
              <w:snapToGrid w:val="0"/>
              <w:spacing w:line="360" w:lineRule="auto"/>
              <w:jc w:val="center"/>
              <w:rPr>
                <w:rFonts w:hint="eastAsia" w:ascii="宋体" w:hAnsi="宋体"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4161" w:type="dxa"/>
            <w:gridSpan w:val="2"/>
            <w:noWrap w:val="0"/>
            <w:vAlign w:val="center"/>
          </w:tcPr>
          <w:p>
            <w:pPr>
              <w:snapToGrid w:val="0"/>
              <w:spacing w:line="360" w:lineRule="auto"/>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第一年度</w:t>
            </w:r>
            <w:r>
              <w:rPr>
                <w:rFonts w:hint="eastAsia" w:ascii="宋体" w:hAnsi="宋体" w:eastAsia="宋体" w:cs="宋体"/>
                <w:color w:val="auto"/>
                <w:szCs w:val="21"/>
                <w:highlight w:val="none"/>
              </w:rPr>
              <w:t>投标价</w:t>
            </w:r>
          </w:p>
        </w:tc>
        <w:tc>
          <w:tcPr>
            <w:tcW w:w="5100" w:type="dxa"/>
            <w:gridSpan w:val="2"/>
            <w:noWrap w:val="0"/>
            <w:vAlign w:val="center"/>
          </w:tcPr>
          <w:p>
            <w:p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p>
          <w:p>
            <w:pPr>
              <w:snapToGrid w:val="0"/>
              <w:spacing w:line="360" w:lineRule="auto"/>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4161" w:type="dxa"/>
            <w:gridSpan w:val="2"/>
            <w:noWrap w:val="0"/>
            <w:vAlign w:val="center"/>
          </w:tcPr>
          <w:p>
            <w:pPr>
              <w:snapToGrid w:val="0"/>
              <w:spacing w:line="360"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后两年度单年投标价</w:t>
            </w:r>
          </w:p>
        </w:tc>
        <w:tc>
          <w:tcPr>
            <w:tcW w:w="5100" w:type="dxa"/>
            <w:gridSpan w:val="2"/>
            <w:noWrap w:val="0"/>
            <w:vAlign w:val="center"/>
          </w:tcPr>
          <w:p>
            <w:p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p>
          <w:p>
            <w:p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4161" w:type="dxa"/>
            <w:gridSpan w:val="2"/>
            <w:noWrap w:val="0"/>
            <w:vAlign w:val="center"/>
          </w:tcPr>
          <w:p>
            <w:pPr>
              <w:snapToGrid w:val="0"/>
              <w:spacing w:line="36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三年投标总价</w:t>
            </w:r>
          </w:p>
        </w:tc>
        <w:tc>
          <w:tcPr>
            <w:tcW w:w="5100" w:type="dxa"/>
            <w:gridSpan w:val="2"/>
            <w:noWrap w:val="0"/>
            <w:vAlign w:val="center"/>
          </w:tcPr>
          <w:p>
            <w:p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p>
          <w:p>
            <w:pPr>
              <w:snapToGrid w:val="0"/>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1064" w:type="dxa"/>
            <w:noWrap w:val="0"/>
            <w:vAlign w:val="center"/>
          </w:tcPr>
          <w:p>
            <w:pPr>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highlight w:val="none"/>
              </w:rPr>
              <w:t>投标声明</w:t>
            </w:r>
          </w:p>
        </w:tc>
        <w:tc>
          <w:tcPr>
            <w:tcW w:w="8197" w:type="dxa"/>
            <w:gridSpan w:val="3"/>
            <w:noWrap w:val="0"/>
            <w:vAlign w:val="center"/>
          </w:tcPr>
          <w:p>
            <w:pPr>
              <w:snapToGrid w:val="0"/>
              <w:spacing w:line="360" w:lineRule="auto"/>
              <w:jc w:val="center"/>
              <w:rPr>
                <w:rFonts w:hint="eastAsia" w:ascii="宋体" w:hAnsi="宋体" w:eastAsia="宋体" w:cs="宋体"/>
                <w:color w:val="auto"/>
                <w:szCs w:val="21"/>
                <w:highlight w:val="none"/>
              </w:rPr>
            </w:pPr>
          </w:p>
        </w:tc>
      </w:tr>
    </w:tbl>
    <w:p>
      <w:pPr>
        <w:pStyle w:val="26"/>
        <w:widowControl w:val="0"/>
        <w:spacing w:before="0" w:beforeAutospacing="0" w:after="0" w:afterAutospacing="0" w:line="360" w:lineRule="auto"/>
        <w:jc w:val="both"/>
        <w:rPr>
          <w:rFonts w:ascii="宋体" w:hAnsi="宋体" w:cs="宋体"/>
          <w:spacing w:val="-4"/>
          <w:kern w:val="2"/>
          <w:sz w:val="21"/>
          <w:szCs w:val="21"/>
          <w:highlight w:val="none"/>
        </w:rPr>
      </w:pPr>
      <w:r>
        <w:rPr>
          <w:rFonts w:hint="eastAsia" w:ascii="宋体" w:hAnsi="宋体" w:cs="宋体"/>
          <w:spacing w:val="-4"/>
          <w:kern w:val="2"/>
          <w:sz w:val="21"/>
          <w:szCs w:val="21"/>
          <w:highlight w:val="none"/>
        </w:rPr>
        <w:t>注：1、若供应商尚有其它内容需明列的，请按此表格式扩展。</w:t>
      </w:r>
    </w:p>
    <w:p>
      <w:pPr>
        <w:pStyle w:val="26"/>
        <w:widowControl w:val="0"/>
        <w:spacing w:before="0" w:beforeAutospacing="0" w:after="0" w:afterAutospacing="0" w:line="360" w:lineRule="auto"/>
        <w:ind w:left="403"/>
        <w:jc w:val="both"/>
        <w:rPr>
          <w:rFonts w:ascii="宋体" w:hAnsi="宋体" w:cs="宋体"/>
          <w:spacing w:val="-4"/>
          <w:kern w:val="2"/>
          <w:sz w:val="21"/>
          <w:szCs w:val="21"/>
          <w:highlight w:val="none"/>
        </w:rPr>
      </w:pPr>
      <w:r>
        <w:rPr>
          <w:rFonts w:hint="eastAsia" w:ascii="宋体" w:hAnsi="宋体" w:cs="宋体"/>
          <w:spacing w:val="-4"/>
          <w:kern w:val="2"/>
          <w:sz w:val="21"/>
          <w:szCs w:val="21"/>
          <w:highlight w:val="none"/>
        </w:rPr>
        <w:t>2、以上“三年投标总价”应与“投标报价明细表”中的“三年投标总价”相一致。</w:t>
      </w:r>
    </w:p>
    <w:p>
      <w:pPr>
        <w:pStyle w:val="11"/>
        <w:spacing w:line="360" w:lineRule="auto"/>
        <w:ind w:firstLine="0"/>
        <w:rPr>
          <w:sz w:val="21"/>
          <w:szCs w:val="21"/>
        </w:rPr>
      </w:pPr>
    </w:p>
    <w:p>
      <w:pPr>
        <w:pStyle w:val="11"/>
        <w:spacing w:line="360" w:lineRule="auto"/>
        <w:ind w:firstLine="0"/>
        <w:rPr>
          <w:sz w:val="21"/>
          <w:szCs w:val="21"/>
        </w:rPr>
      </w:pPr>
      <w:r>
        <w:rPr>
          <w:rFonts w:hint="eastAsia"/>
          <w:sz w:val="21"/>
          <w:szCs w:val="21"/>
          <w:lang w:eastAsia="zh-CN"/>
        </w:rPr>
        <w:t>供应商</w:t>
      </w:r>
      <w:r>
        <w:rPr>
          <w:rFonts w:hint="eastAsia"/>
          <w:sz w:val="21"/>
          <w:szCs w:val="21"/>
        </w:rPr>
        <w:t>（盖章）：</w:t>
      </w:r>
    </w:p>
    <w:p>
      <w:pPr>
        <w:pStyle w:val="11"/>
        <w:spacing w:line="360" w:lineRule="auto"/>
        <w:ind w:firstLine="0"/>
        <w:rPr>
          <w:sz w:val="21"/>
          <w:szCs w:val="21"/>
        </w:rPr>
      </w:pPr>
      <w:r>
        <w:rPr>
          <w:rFonts w:hint="eastAsia"/>
          <w:sz w:val="21"/>
          <w:szCs w:val="21"/>
        </w:rPr>
        <w:t>法定代表人或授权代表人（签字）：</w:t>
      </w:r>
    </w:p>
    <w:p>
      <w:pPr>
        <w:pStyle w:val="11"/>
        <w:spacing w:line="360" w:lineRule="auto"/>
        <w:rPr>
          <w:szCs w:val="21"/>
        </w:rPr>
        <w:sectPr>
          <w:footerReference r:id="rId15" w:type="default"/>
          <w:pgSz w:w="11906" w:h="16838"/>
          <w:pgMar w:top="1440" w:right="1361" w:bottom="1304" w:left="1361" w:header="720" w:footer="720" w:gutter="0"/>
          <w:pgNumType w:fmt="decimal"/>
          <w:cols w:space="720" w:num="1"/>
        </w:sectPr>
      </w:pPr>
      <w:r>
        <w:rPr>
          <w:rFonts w:hint="eastAsia"/>
          <w:sz w:val="21"/>
          <w:szCs w:val="21"/>
        </w:rPr>
        <w:t>日期：</w:t>
      </w:r>
    </w:p>
    <w:p>
      <w:pPr>
        <w:pStyle w:val="11"/>
        <w:snapToGrid w:val="0"/>
        <w:spacing w:line="360" w:lineRule="auto"/>
        <w:ind w:firstLine="0"/>
        <w:rPr>
          <w:rFonts w:hint="eastAsia" w:ascii="宋体" w:hAnsi="宋体" w:eastAsia="宋体" w:cs="宋体"/>
          <w:b w:val="0"/>
          <w:bCs w:val="0"/>
          <w:spacing w:val="0"/>
          <w:sz w:val="21"/>
          <w:szCs w:val="21"/>
          <w:highlight w:val="none"/>
        </w:rPr>
      </w:pPr>
      <w:r>
        <w:rPr>
          <w:rFonts w:hint="eastAsia" w:ascii="宋体" w:hAnsi="宋体" w:eastAsia="宋体" w:cs="宋体"/>
          <w:b w:val="0"/>
          <w:bCs w:val="0"/>
          <w:spacing w:val="0"/>
          <w:sz w:val="21"/>
          <w:szCs w:val="21"/>
          <w:lang w:eastAsia="zh-CN"/>
        </w:rPr>
        <w:t>格式二：</w:t>
      </w:r>
      <w:r>
        <w:rPr>
          <w:rFonts w:hint="eastAsia" w:ascii="宋体" w:hAnsi="宋体" w:eastAsia="宋体" w:cs="宋体"/>
          <w:b w:val="0"/>
          <w:bCs w:val="0"/>
          <w:spacing w:val="0"/>
          <w:sz w:val="21"/>
          <w:szCs w:val="21"/>
          <w:highlight w:val="none"/>
        </w:rPr>
        <w:t>投标报价明细表格式</w:t>
      </w:r>
    </w:p>
    <w:p>
      <w:pPr>
        <w:jc w:val="center"/>
        <w:rPr>
          <w:rFonts w:hint="eastAsia" w:ascii="宋体" w:hAnsi="宋体" w:cs="宋体"/>
          <w:b/>
          <w:sz w:val="32"/>
          <w:szCs w:val="32"/>
          <w:highlight w:val="none"/>
        </w:rPr>
      </w:pPr>
    </w:p>
    <w:p>
      <w:pPr>
        <w:jc w:val="center"/>
        <w:rPr>
          <w:rFonts w:ascii="宋体" w:hAnsi="宋体" w:cs="宋体"/>
          <w:b/>
          <w:sz w:val="32"/>
          <w:szCs w:val="32"/>
          <w:highlight w:val="none"/>
        </w:rPr>
      </w:pPr>
      <w:r>
        <w:rPr>
          <w:rFonts w:hint="eastAsia" w:ascii="宋体" w:hAnsi="宋体" w:cs="宋体"/>
          <w:b/>
          <w:sz w:val="32"/>
          <w:szCs w:val="32"/>
          <w:highlight w:val="none"/>
        </w:rPr>
        <w:t>投标报价明细表</w:t>
      </w:r>
    </w:p>
    <w:p>
      <w:pPr>
        <w:rPr>
          <w:rFonts w:ascii="宋体" w:hAnsi="宋体" w:cs="宋体"/>
          <w:spacing w:val="-4"/>
          <w:szCs w:val="21"/>
          <w:highlight w:val="none"/>
        </w:rPr>
      </w:pPr>
      <w:r>
        <w:rPr>
          <w:rFonts w:hint="eastAsia" w:ascii="宋体" w:hAnsi="宋体" w:cs="宋体"/>
          <w:spacing w:val="-4"/>
          <w:szCs w:val="21"/>
          <w:highlight w:val="none"/>
        </w:rPr>
        <w:t>采购项目：</w:t>
      </w:r>
    </w:p>
    <w:p>
      <w:pPr>
        <w:rPr>
          <w:rFonts w:ascii="宋体" w:hAnsi="宋体" w:cs="宋体"/>
          <w:spacing w:val="-4"/>
          <w:szCs w:val="21"/>
          <w:highlight w:val="none"/>
        </w:rPr>
      </w:pPr>
      <w:r>
        <w:rPr>
          <w:rFonts w:hint="eastAsia" w:ascii="宋体" w:hAnsi="宋体" w:cs="宋体"/>
          <w:spacing w:val="-4"/>
          <w:szCs w:val="21"/>
          <w:highlight w:val="none"/>
        </w:rPr>
        <w:t>项目编号：</w:t>
      </w:r>
    </w:p>
    <w:tbl>
      <w:tblPr>
        <w:tblStyle w:val="30"/>
        <w:tblW w:w="8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3164"/>
        <w:gridCol w:w="1770"/>
        <w:gridCol w:w="1550"/>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jc w:val="center"/>
              <w:rPr>
                <w:rFonts w:ascii="宋体" w:hAnsi="宋体" w:cs="宋体"/>
                <w:b/>
                <w:szCs w:val="21"/>
                <w:highlight w:val="none"/>
              </w:rPr>
            </w:pPr>
            <w:r>
              <w:rPr>
                <w:rFonts w:hint="eastAsia" w:ascii="宋体" w:hAnsi="宋体" w:cs="宋体"/>
                <w:b/>
                <w:szCs w:val="21"/>
                <w:highlight w:val="none"/>
              </w:rPr>
              <w:t>序号</w:t>
            </w:r>
          </w:p>
        </w:tc>
        <w:tc>
          <w:tcPr>
            <w:tcW w:w="3164" w:type="dxa"/>
          </w:tcPr>
          <w:p>
            <w:pPr>
              <w:jc w:val="center"/>
              <w:rPr>
                <w:rFonts w:ascii="宋体" w:hAnsi="宋体" w:cs="宋体"/>
                <w:b/>
                <w:szCs w:val="21"/>
                <w:highlight w:val="none"/>
              </w:rPr>
            </w:pPr>
            <w:r>
              <w:rPr>
                <w:rFonts w:hint="eastAsia" w:ascii="宋体" w:hAnsi="宋体" w:cs="宋体"/>
                <w:b/>
                <w:szCs w:val="21"/>
                <w:highlight w:val="none"/>
              </w:rPr>
              <w:t>内容</w:t>
            </w:r>
          </w:p>
        </w:tc>
        <w:tc>
          <w:tcPr>
            <w:tcW w:w="1770" w:type="dxa"/>
          </w:tcPr>
          <w:p>
            <w:pPr>
              <w:jc w:val="center"/>
              <w:rPr>
                <w:rFonts w:ascii="宋体" w:hAnsi="宋体" w:cs="宋体"/>
                <w:b/>
                <w:szCs w:val="21"/>
                <w:highlight w:val="none"/>
              </w:rPr>
            </w:pPr>
            <w:r>
              <w:rPr>
                <w:rFonts w:hint="eastAsia" w:ascii="宋体" w:hAnsi="宋体" w:cs="宋体"/>
                <w:b/>
                <w:szCs w:val="21"/>
                <w:highlight w:val="none"/>
              </w:rPr>
              <w:t>数量</w:t>
            </w:r>
          </w:p>
        </w:tc>
        <w:tc>
          <w:tcPr>
            <w:tcW w:w="1550" w:type="dxa"/>
          </w:tcPr>
          <w:p>
            <w:pPr>
              <w:jc w:val="center"/>
              <w:rPr>
                <w:rFonts w:ascii="宋体" w:hAnsi="宋体" w:cs="宋体"/>
                <w:b/>
                <w:szCs w:val="21"/>
                <w:highlight w:val="none"/>
              </w:rPr>
            </w:pPr>
            <w:r>
              <w:rPr>
                <w:rFonts w:hint="eastAsia" w:ascii="宋体" w:hAnsi="宋体" w:cs="宋体"/>
                <w:b/>
                <w:szCs w:val="21"/>
                <w:highlight w:val="none"/>
              </w:rPr>
              <w:t>单价</w:t>
            </w:r>
          </w:p>
        </w:tc>
        <w:tc>
          <w:tcPr>
            <w:tcW w:w="1123" w:type="dxa"/>
          </w:tcPr>
          <w:p>
            <w:pPr>
              <w:jc w:val="center"/>
              <w:rPr>
                <w:rFonts w:ascii="宋体" w:hAnsi="宋体" w:cs="宋体"/>
                <w:b/>
                <w:szCs w:val="21"/>
                <w:highlight w:val="none"/>
              </w:rPr>
            </w:pPr>
            <w:r>
              <w:rPr>
                <w:rFonts w:hint="eastAsia" w:ascii="宋体" w:hAnsi="宋体" w:cs="宋体"/>
                <w:b/>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19"/>
              <w:jc w:val="center"/>
              <w:rPr>
                <w:rFonts w:ascii="宋体" w:hAnsi="宋体" w:cs="宋体"/>
                <w:highlight w:val="none"/>
              </w:rPr>
            </w:pPr>
            <w:r>
              <w:rPr>
                <w:rFonts w:hint="eastAsia" w:ascii="宋体" w:hAnsi="宋体" w:cs="宋体"/>
                <w:highlight w:val="none"/>
              </w:rPr>
              <w:t>1</w:t>
            </w:r>
          </w:p>
        </w:tc>
        <w:tc>
          <w:tcPr>
            <w:tcW w:w="3164" w:type="dxa"/>
            <w:vAlign w:val="center"/>
          </w:tcPr>
          <w:p>
            <w:pPr>
              <w:pStyle w:val="19"/>
              <w:jc w:val="center"/>
              <w:rPr>
                <w:rFonts w:ascii="宋体" w:hAnsi="宋体" w:cs="宋体"/>
                <w:highlight w:val="none"/>
              </w:rPr>
            </w:pPr>
          </w:p>
        </w:tc>
        <w:tc>
          <w:tcPr>
            <w:tcW w:w="1770" w:type="dxa"/>
            <w:vAlign w:val="center"/>
          </w:tcPr>
          <w:p>
            <w:pPr>
              <w:pStyle w:val="19"/>
              <w:jc w:val="center"/>
              <w:rPr>
                <w:rFonts w:ascii="宋体" w:hAnsi="宋体" w:cs="宋体"/>
                <w:highlight w:val="none"/>
              </w:rPr>
            </w:pPr>
          </w:p>
        </w:tc>
        <w:tc>
          <w:tcPr>
            <w:tcW w:w="1550" w:type="dxa"/>
            <w:vAlign w:val="center"/>
          </w:tcPr>
          <w:p>
            <w:pPr>
              <w:pStyle w:val="19"/>
              <w:jc w:val="center"/>
              <w:rPr>
                <w:rFonts w:ascii="宋体" w:hAnsi="宋体" w:cs="宋体"/>
                <w:highlight w:val="none"/>
              </w:rPr>
            </w:pPr>
          </w:p>
        </w:tc>
        <w:tc>
          <w:tcPr>
            <w:tcW w:w="1123" w:type="dxa"/>
          </w:tcPr>
          <w:p>
            <w:pPr>
              <w:pStyle w:val="19"/>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19"/>
              <w:jc w:val="center"/>
              <w:rPr>
                <w:rFonts w:ascii="宋体" w:hAnsi="宋体" w:cs="宋体"/>
                <w:highlight w:val="none"/>
              </w:rPr>
            </w:pPr>
            <w:r>
              <w:rPr>
                <w:rFonts w:hint="eastAsia" w:ascii="宋体" w:hAnsi="宋体" w:cs="宋体"/>
                <w:highlight w:val="none"/>
              </w:rPr>
              <w:t>2</w:t>
            </w:r>
          </w:p>
        </w:tc>
        <w:tc>
          <w:tcPr>
            <w:tcW w:w="3164" w:type="dxa"/>
            <w:vAlign w:val="center"/>
          </w:tcPr>
          <w:p>
            <w:pPr>
              <w:pStyle w:val="19"/>
              <w:jc w:val="center"/>
              <w:rPr>
                <w:rFonts w:ascii="宋体" w:hAnsi="宋体" w:cs="宋体"/>
                <w:highlight w:val="none"/>
              </w:rPr>
            </w:pPr>
          </w:p>
        </w:tc>
        <w:tc>
          <w:tcPr>
            <w:tcW w:w="1770" w:type="dxa"/>
            <w:vAlign w:val="center"/>
          </w:tcPr>
          <w:p>
            <w:pPr>
              <w:pStyle w:val="19"/>
              <w:jc w:val="center"/>
              <w:rPr>
                <w:rFonts w:ascii="宋体" w:hAnsi="宋体" w:cs="宋体"/>
                <w:highlight w:val="none"/>
              </w:rPr>
            </w:pPr>
          </w:p>
        </w:tc>
        <w:tc>
          <w:tcPr>
            <w:tcW w:w="1550" w:type="dxa"/>
            <w:vAlign w:val="center"/>
          </w:tcPr>
          <w:p>
            <w:pPr>
              <w:pStyle w:val="19"/>
              <w:jc w:val="center"/>
              <w:rPr>
                <w:rFonts w:ascii="宋体" w:hAnsi="宋体" w:cs="宋体"/>
                <w:highlight w:val="none"/>
              </w:rPr>
            </w:pPr>
          </w:p>
        </w:tc>
        <w:tc>
          <w:tcPr>
            <w:tcW w:w="1123" w:type="dxa"/>
          </w:tcPr>
          <w:p>
            <w:pPr>
              <w:pStyle w:val="19"/>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19"/>
              <w:jc w:val="center"/>
              <w:rPr>
                <w:rFonts w:ascii="宋体" w:hAnsi="宋体" w:cs="宋体"/>
                <w:highlight w:val="none"/>
              </w:rPr>
            </w:pPr>
            <w:r>
              <w:rPr>
                <w:rFonts w:hint="eastAsia" w:ascii="宋体" w:hAnsi="宋体" w:cs="宋体"/>
                <w:highlight w:val="none"/>
              </w:rPr>
              <w:t>3</w:t>
            </w:r>
          </w:p>
        </w:tc>
        <w:tc>
          <w:tcPr>
            <w:tcW w:w="3164" w:type="dxa"/>
            <w:vAlign w:val="center"/>
          </w:tcPr>
          <w:p>
            <w:pPr>
              <w:pStyle w:val="19"/>
              <w:jc w:val="center"/>
              <w:rPr>
                <w:rFonts w:ascii="宋体" w:hAnsi="宋体" w:cs="宋体"/>
                <w:highlight w:val="none"/>
              </w:rPr>
            </w:pPr>
          </w:p>
        </w:tc>
        <w:tc>
          <w:tcPr>
            <w:tcW w:w="1770" w:type="dxa"/>
            <w:vAlign w:val="center"/>
          </w:tcPr>
          <w:p>
            <w:pPr>
              <w:pStyle w:val="19"/>
              <w:jc w:val="center"/>
              <w:rPr>
                <w:rFonts w:ascii="宋体" w:hAnsi="宋体" w:cs="宋体"/>
                <w:highlight w:val="none"/>
              </w:rPr>
            </w:pPr>
          </w:p>
        </w:tc>
        <w:tc>
          <w:tcPr>
            <w:tcW w:w="1550" w:type="dxa"/>
            <w:vAlign w:val="center"/>
          </w:tcPr>
          <w:p>
            <w:pPr>
              <w:pStyle w:val="19"/>
              <w:jc w:val="center"/>
              <w:rPr>
                <w:rFonts w:ascii="宋体" w:hAnsi="宋体" w:cs="宋体"/>
                <w:highlight w:val="none"/>
              </w:rPr>
            </w:pPr>
          </w:p>
        </w:tc>
        <w:tc>
          <w:tcPr>
            <w:tcW w:w="1123" w:type="dxa"/>
          </w:tcPr>
          <w:p>
            <w:pPr>
              <w:pStyle w:val="19"/>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19"/>
              <w:jc w:val="center"/>
              <w:rPr>
                <w:rFonts w:ascii="宋体" w:hAnsi="宋体" w:cs="宋体"/>
                <w:highlight w:val="none"/>
              </w:rPr>
            </w:pPr>
            <w:r>
              <w:rPr>
                <w:rFonts w:hint="eastAsia" w:ascii="宋体" w:hAnsi="宋体" w:cs="宋体"/>
                <w:highlight w:val="none"/>
              </w:rPr>
              <w:t>4</w:t>
            </w:r>
          </w:p>
        </w:tc>
        <w:tc>
          <w:tcPr>
            <w:tcW w:w="3164" w:type="dxa"/>
            <w:vAlign w:val="center"/>
          </w:tcPr>
          <w:p>
            <w:pPr>
              <w:pStyle w:val="19"/>
              <w:jc w:val="center"/>
              <w:rPr>
                <w:rFonts w:ascii="宋体" w:hAnsi="宋体" w:cs="宋体"/>
                <w:highlight w:val="none"/>
              </w:rPr>
            </w:pPr>
          </w:p>
        </w:tc>
        <w:tc>
          <w:tcPr>
            <w:tcW w:w="1770" w:type="dxa"/>
            <w:vAlign w:val="center"/>
          </w:tcPr>
          <w:p>
            <w:pPr>
              <w:pStyle w:val="19"/>
              <w:jc w:val="center"/>
              <w:rPr>
                <w:rFonts w:ascii="宋体" w:hAnsi="宋体" w:cs="宋体"/>
                <w:highlight w:val="none"/>
              </w:rPr>
            </w:pPr>
          </w:p>
        </w:tc>
        <w:tc>
          <w:tcPr>
            <w:tcW w:w="1550" w:type="dxa"/>
            <w:vAlign w:val="center"/>
          </w:tcPr>
          <w:p>
            <w:pPr>
              <w:pStyle w:val="19"/>
              <w:jc w:val="center"/>
              <w:rPr>
                <w:rFonts w:ascii="宋体" w:hAnsi="宋体" w:cs="宋体"/>
                <w:highlight w:val="none"/>
              </w:rPr>
            </w:pPr>
          </w:p>
        </w:tc>
        <w:tc>
          <w:tcPr>
            <w:tcW w:w="1123" w:type="dxa"/>
          </w:tcPr>
          <w:p>
            <w:pPr>
              <w:pStyle w:val="19"/>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19"/>
              <w:jc w:val="center"/>
              <w:rPr>
                <w:rFonts w:ascii="宋体" w:hAnsi="宋体" w:cs="宋体"/>
                <w:highlight w:val="none"/>
              </w:rPr>
            </w:pPr>
            <w:r>
              <w:rPr>
                <w:rFonts w:hint="eastAsia" w:ascii="宋体" w:hAnsi="宋体" w:cs="宋体"/>
                <w:highlight w:val="none"/>
              </w:rPr>
              <w:t>5</w:t>
            </w:r>
          </w:p>
        </w:tc>
        <w:tc>
          <w:tcPr>
            <w:tcW w:w="3164" w:type="dxa"/>
            <w:vAlign w:val="center"/>
          </w:tcPr>
          <w:p>
            <w:pPr>
              <w:pStyle w:val="19"/>
              <w:jc w:val="center"/>
              <w:rPr>
                <w:rFonts w:ascii="宋体" w:hAnsi="宋体" w:cs="宋体"/>
                <w:highlight w:val="none"/>
              </w:rPr>
            </w:pPr>
          </w:p>
        </w:tc>
        <w:tc>
          <w:tcPr>
            <w:tcW w:w="1770" w:type="dxa"/>
            <w:vAlign w:val="center"/>
          </w:tcPr>
          <w:p>
            <w:pPr>
              <w:pStyle w:val="19"/>
              <w:jc w:val="center"/>
              <w:rPr>
                <w:rFonts w:ascii="宋体" w:hAnsi="宋体" w:cs="宋体"/>
                <w:highlight w:val="none"/>
              </w:rPr>
            </w:pPr>
          </w:p>
        </w:tc>
        <w:tc>
          <w:tcPr>
            <w:tcW w:w="1550" w:type="dxa"/>
            <w:vAlign w:val="center"/>
          </w:tcPr>
          <w:p>
            <w:pPr>
              <w:pStyle w:val="19"/>
              <w:jc w:val="center"/>
              <w:rPr>
                <w:rFonts w:ascii="宋体" w:hAnsi="宋体" w:cs="宋体"/>
                <w:highlight w:val="none"/>
              </w:rPr>
            </w:pPr>
          </w:p>
        </w:tc>
        <w:tc>
          <w:tcPr>
            <w:tcW w:w="1123" w:type="dxa"/>
          </w:tcPr>
          <w:p>
            <w:pPr>
              <w:pStyle w:val="19"/>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19"/>
              <w:jc w:val="center"/>
              <w:rPr>
                <w:rFonts w:ascii="宋体" w:hAnsi="宋体" w:cs="宋体"/>
                <w:highlight w:val="none"/>
              </w:rPr>
            </w:pPr>
            <w:r>
              <w:rPr>
                <w:rFonts w:hint="eastAsia" w:ascii="宋体" w:hAnsi="宋体" w:cs="宋体"/>
                <w:highlight w:val="none"/>
              </w:rPr>
              <w:t>6</w:t>
            </w:r>
          </w:p>
        </w:tc>
        <w:tc>
          <w:tcPr>
            <w:tcW w:w="3164" w:type="dxa"/>
            <w:vAlign w:val="center"/>
          </w:tcPr>
          <w:p>
            <w:pPr>
              <w:pStyle w:val="19"/>
              <w:jc w:val="center"/>
              <w:rPr>
                <w:rFonts w:ascii="宋体" w:hAnsi="宋体" w:cs="宋体"/>
                <w:highlight w:val="none"/>
              </w:rPr>
            </w:pPr>
          </w:p>
        </w:tc>
        <w:tc>
          <w:tcPr>
            <w:tcW w:w="1770" w:type="dxa"/>
            <w:vAlign w:val="center"/>
          </w:tcPr>
          <w:p>
            <w:pPr>
              <w:pStyle w:val="19"/>
              <w:jc w:val="center"/>
              <w:rPr>
                <w:rFonts w:ascii="宋体" w:hAnsi="宋体" w:cs="宋体"/>
                <w:highlight w:val="none"/>
              </w:rPr>
            </w:pPr>
          </w:p>
        </w:tc>
        <w:tc>
          <w:tcPr>
            <w:tcW w:w="1550" w:type="dxa"/>
            <w:vAlign w:val="center"/>
          </w:tcPr>
          <w:p>
            <w:pPr>
              <w:pStyle w:val="19"/>
              <w:jc w:val="center"/>
              <w:rPr>
                <w:rFonts w:ascii="宋体" w:hAnsi="宋体" w:cs="宋体"/>
                <w:highlight w:val="none"/>
              </w:rPr>
            </w:pPr>
          </w:p>
        </w:tc>
        <w:tc>
          <w:tcPr>
            <w:tcW w:w="1123" w:type="dxa"/>
          </w:tcPr>
          <w:p>
            <w:pPr>
              <w:pStyle w:val="19"/>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19"/>
              <w:jc w:val="center"/>
              <w:rPr>
                <w:rFonts w:ascii="宋体" w:hAnsi="宋体" w:cs="宋体"/>
                <w:highlight w:val="none"/>
              </w:rPr>
            </w:pPr>
            <w:r>
              <w:rPr>
                <w:rFonts w:hint="eastAsia" w:ascii="宋体" w:hAnsi="宋体" w:cs="宋体"/>
                <w:highlight w:val="none"/>
              </w:rPr>
              <w:t>7</w:t>
            </w:r>
          </w:p>
        </w:tc>
        <w:tc>
          <w:tcPr>
            <w:tcW w:w="3164" w:type="dxa"/>
            <w:vAlign w:val="center"/>
          </w:tcPr>
          <w:p>
            <w:pPr>
              <w:pStyle w:val="19"/>
              <w:jc w:val="center"/>
              <w:rPr>
                <w:rFonts w:ascii="宋体" w:hAnsi="宋体" w:cs="宋体"/>
                <w:highlight w:val="none"/>
              </w:rPr>
            </w:pPr>
          </w:p>
        </w:tc>
        <w:tc>
          <w:tcPr>
            <w:tcW w:w="1770" w:type="dxa"/>
            <w:vAlign w:val="center"/>
          </w:tcPr>
          <w:p>
            <w:pPr>
              <w:pStyle w:val="19"/>
              <w:jc w:val="center"/>
              <w:rPr>
                <w:rFonts w:ascii="宋体" w:hAnsi="宋体" w:cs="宋体"/>
                <w:highlight w:val="none"/>
              </w:rPr>
            </w:pPr>
          </w:p>
        </w:tc>
        <w:tc>
          <w:tcPr>
            <w:tcW w:w="1550" w:type="dxa"/>
            <w:vAlign w:val="center"/>
          </w:tcPr>
          <w:p>
            <w:pPr>
              <w:pStyle w:val="19"/>
              <w:jc w:val="center"/>
              <w:rPr>
                <w:rFonts w:ascii="宋体" w:hAnsi="宋体" w:cs="宋体"/>
                <w:highlight w:val="none"/>
              </w:rPr>
            </w:pPr>
          </w:p>
        </w:tc>
        <w:tc>
          <w:tcPr>
            <w:tcW w:w="1123" w:type="dxa"/>
          </w:tcPr>
          <w:p>
            <w:pPr>
              <w:pStyle w:val="19"/>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274" w:type="dxa"/>
            <w:gridSpan w:val="4"/>
            <w:vAlign w:val="center"/>
          </w:tcPr>
          <w:p>
            <w:pPr>
              <w:pStyle w:val="19"/>
              <w:jc w:val="center"/>
              <w:rPr>
                <w:highlight w:val="none"/>
              </w:rPr>
            </w:pPr>
            <w:r>
              <w:rPr>
                <w:rFonts w:hint="eastAsia"/>
                <w:highlight w:val="none"/>
              </w:rPr>
              <w:t>投标总价</w:t>
            </w:r>
          </w:p>
        </w:tc>
        <w:tc>
          <w:tcPr>
            <w:tcW w:w="1123" w:type="dxa"/>
          </w:tcPr>
          <w:p>
            <w:pPr>
              <w:pStyle w:val="19"/>
              <w:rPr>
                <w:highlight w:val="none"/>
              </w:rPr>
            </w:pPr>
          </w:p>
        </w:tc>
      </w:tr>
    </w:tbl>
    <w:p>
      <w:pPr>
        <w:rPr>
          <w:rFonts w:ascii="宋体" w:hAnsi="宋体" w:cs="宋体"/>
          <w:highlight w:val="none"/>
        </w:rPr>
      </w:pPr>
      <w:r>
        <w:rPr>
          <w:rFonts w:hint="eastAsia" w:ascii="宋体" w:hAnsi="宋体" w:cs="宋体"/>
          <w:bCs/>
          <w:szCs w:val="21"/>
          <w:highlight w:val="none"/>
        </w:rPr>
        <w:t>注：1、投标单位可根据实际情况自行调整表格。</w:t>
      </w:r>
    </w:p>
    <w:p>
      <w:pPr>
        <w:spacing w:line="360" w:lineRule="auto"/>
        <w:ind w:firstLine="4095" w:firstLineChars="1950"/>
        <w:rPr>
          <w:rFonts w:ascii="宋体" w:hAnsi="宋体" w:cs="宋体"/>
          <w:highlight w:val="none"/>
        </w:rPr>
      </w:pPr>
    </w:p>
    <w:p>
      <w:pPr>
        <w:spacing w:line="360" w:lineRule="auto"/>
        <w:ind w:firstLine="4095" w:firstLineChars="1950"/>
        <w:rPr>
          <w:rFonts w:ascii="宋体" w:hAnsi="宋体" w:cs="宋体"/>
          <w:highlight w:val="none"/>
        </w:rPr>
      </w:pPr>
    </w:p>
    <w:p>
      <w:pPr>
        <w:spacing w:line="360" w:lineRule="auto"/>
        <w:ind w:firstLine="4095" w:firstLineChars="1950"/>
        <w:rPr>
          <w:rFonts w:ascii="宋体" w:hAnsi="宋体" w:cs="宋体"/>
          <w:highlight w:val="none"/>
        </w:rPr>
      </w:pPr>
      <w:r>
        <w:rPr>
          <w:rFonts w:hint="eastAsia" w:ascii="宋体" w:hAnsi="宋体" w:cs="宋体"/>
          <w:highlight w:val="none"/>
        </w:rPr>
        <w:t xml:space="preserve">法定代表人或授权代表（签名或印章）：        </w:t>
      </w:r>
    </w:p>
    <w:p>
      <w:pPr>
        <w:spacing w:line="360" w:lineRule="auto"/>
        <w:ind w:firstLine="5460" w:firstLineChars="2600"/>
        <w:rPr>
          <w:rFonts w:ascii="宋体" w:hAnsi="宋体" w:cs="宋体"/>
          <w:highlight w:val="none"/>
        </w:rPr>
      </w:pPr>
      <w:r>
        <w:rPr>
          <w:rFonts w:hint="eastAsia" w:ascii="宋体" w:hAnsi="宋体" w:cs="宋体"/>
          <w:highlight w:val="none"/>
        </w:rPr>
        <w:t xml:space="preserve">供应商盖章：         </w:t>
      </w:r>
    </w:p>
    <w:p>
      <w:pPr>
        <w:snapToGrid w:val="0"/>
        <w:ind w:right="840" w:firstLine="5880" w:firstLineChars="2800"/>
        <w:rPr>
          <w:rFonts w:ascii="宋体" w:hAnsi="宋体" w:cs="宋体"/>
          <w:highlight w:val="none"/>
        </w:rPr>
      </w:pPr>
      <w:r>
        <w:rPr>
          <w:rFonts w:hint="eastAsia" w:ascii="宋体" w:hAnsi="宋体" w:cs="宋体"/>
          <w:highlight w:val="none"/>
        </w:rPr>
        <w:t xml:space="preserve">日  期：   </w:t>
      </w:r>
    </w:p>
    <w:p>
      <w:pPr>
        <w:pStyle w:val="9"/>
        <w:rPr>
          <w:rFonts w:ascii="宋体" w:hAnsi="宋体" w:cs="宋体"/>
          <w:b/>
          <w:bCs/>
          <w:highlight w:val="none"/>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rPr>
          <w:rFonts w:ascii="宋体"/>
          <w:b/>
          <w:szCs w:val="21"/>
        </w:rPr>
      </w:pPr>
      <w:r>
        <w:rPr>
          <w:rFonts w:hint="eastAsia" w:ascii="宋体" w:hAnsi="宋体" w:cs="宋体"/>
          <w:b/>
          <w:bCs/>
          <w:szCs w:val="21"/>
        </w:rPr>
        <w:t>格式</w:t>
      </w:r>
      <w:r>
        <w:rPr>
          <w:rFonts w:hint="eastAsia" w:ascii="宋体" w:hAnsi="宋体" w:cs="宋体"/>
          <w:b/>
          <w:bCs/>
          <w:szCs w:val="21"/>
          <w:lang w:eastAsia="zh-CN"/>
        </w:rPr>
        <w:t>三</w:t>
      </w:r>
      <w:r>
        <w:rPr>
          <w:rFonts w:hint="eastAsia" w:ascii="宋体" w:hAnsi="宋体" w:cs="宋体"/>
          <w:b/>
          <w:bCs/>
          <w:szCs w:val="21"/>
        </w:rPr>
        <w:t>：</w:t>
      </w:r>
      <w:r>
        <w:rPr>
          <w:rFonts w:hint="eastAsia" w:ascii="宋体" w:hAnsi="宋体" w:cs="宋体"/>
          <w:b/>
          <w:bCs/>
          <w:szCs w:val="21"/>
          <w:lang w:eastAsia="zh-CN"/>
        </w:rPr>
        <w:t>供应商</w:t>
      </w:r>
      <w:r>
        <w:rPr>
          <w:rFonts w:hint="eastAsia" w:ascii="宋体" w:hAnsi="宋体" w:cs="宋体"/>
          <w:b/>
          <w:bCs/>
          <w:szCs w:val="21"/>
        </w:rPr>
        <w:t>针对报价需要说明的其他文件和说明（格式自拟）</w:t>
      </w:r>
    </w:p>
    <w:p>
      <w:pPr>
        <w:pStyle w:val="13"/>
        <w:numPr>
          <w:ilvl w:val="0"/>
          <w:numId w:val="16"/>
        </w:numPr>
        <w:snapToGrid w:val="0"/>
        <w:spacing w:before="156" w:after="156" w:line="360" w:lineRule="auto"/>
        <w:jc w:val="center"/>
        <w:rPr>
          <w:rFonts w:hAnsi="宋体"/>
          <w:b/>
          <w:sz w:val="30"/>
        </w:rPr>
      </w:pPr>
      <w:r>
        <w:rPr>
          <w:rFonts w:hAnsi="宋体" w:cs="宋体"/>
          <w:szCs w:val="21"/>
        </w:rPr>
        <w:br w:type="page"/>
      </w:r>
      <w:r>
        <w:rPr>
          <w:rFonts w:hint="eastAsia" w:hAnsi="宋体"/>
          <w:b/>
          <w:sz w:val="30"/>
        </w:rPr>
        <w:t>合同样本</w:t>
      </w:r>
    </w:p>
    <w:p>
      <w:pPr>
        <w:spacing w:line="520" w:lineRule="exact"/>
        <w:jc w:val="center"/>
        <w:rPr>
          <w:rFonts w:hAnsi="宋体"/>
        </w:rPr>
      </w:pPr>
      <w:r>
        <w:rPr>
          <w:rFonts w:hint="eastAsia" w:hAnsi="宋体"/>
          <w:b/>
          <w:sz w:val="28"/>
          <w:szCs w:val="28"/>
        </w:rPr>
        <w:t>（作为参考）</w:t>
      </w:r>
    </w:p>
    <w:p>
      <w:pPr>
        <w:snapToGrid w:val="0"/>
        <w:spacing w:line="400" w:lineRule="exact"/>
        <w:rPr>
          <w:rFonts w:ascii="宋体" w:hAnsi="宋体" w:cs="宋体"/>
          <w:szCs w:val="21"/>
        </w:rPr>
      </w:pPr>
    </w:p>
    <w:p>
      <w:pPr>
        <w:spacing w:line="360" w:lineRule="auto"/>
        <w:rPr>
          <w:rFonts w:hint="default" w:ascii="宋体" w:hAnsi="宋体" w:cs="宋体"/>
          <w:szCs w:val="21"/>
          <w:highlight w:val="none"/>
          <w:lang w:val="en-US"/>
        </w:rPr>
      </w:pPr>
      <w:r>
        <w:rPr>
          <w:rFonts w:hint="eastAsia" w:ascii="宋体" w:hAnsi="宋体" w:cs="宋体"/>
          <w:szCs w:val="21"/>
          <w:highlight w:val="none"/>
        </w:rPr>
        <w:t>项目名称：</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项目编号：</w:t>
      </w:r>
      <w:r>
        <w:rPr>
          <w:rFonts w:hint="eastAsia" w:ascii="宋体" w:hAnsi="宋体" w:cs="宋体"/>
          <w:szCs w:val="21"/>
          <w:highlight w:val="none"/>
          <w:lang w:val="en-US" w:eastAsia="zh-CN"/>
        </w:rPr>
        <w:t xml:space="preserve">  </w:t>
      </w:r>
    </w:p>
    <w:p>
      <w:pPr>
        <w:spacing w:line="360" w:lineRule="auto"/>
        <w:rPr>
          <w:rFonts w:ascii="宋体" w:hAnsi="宋体" w:cs="宋体"/>
          <w:szCs w:val="21"/>
          <w:highlight w:val="none"/>
        </w:rPr>
      </w:pPr>
      <w:r>
        <w:rPr>
          <w:rFonts w:hint="eastAsia" w:ascii="宋体" w:hAnsi="宋体" w:cs="宋体"/>
          <w:szCs w:val="21"/>
          <w:highlight w:val="none"/>
        </w:rPr>
        <w:t>甲方：</w:t>
      </w:r>
      <w:r>
        <w:rPr>
          <w:rFonts w:hint="eastAsia" w:ascii="宋体" w:hAnsi="宋体" w:cs="宋体"/>
          <w:szCs w:val="21"/>
          <w:highlight w:val="none"/>
          <w:lang w:val="en-US" w:eastAsia="zh-CN"/>
        </w:rPr>
        <w:t xml:space="preserve">          </w:t>
      </w:r>
      <w:r>
        <w:rPr>
          <w:rFonts w:hint="eastAsia" w:ascii="宋体" w:hAnsi="宋体" w:cs="宋体"/>
          <w:szCs w:val="21"/>
          <w:highlight w:val="none"/>
        </w:rPr>
        <w:t>（以下简称甲方）</w:t>
      </w:r>
    </w:p>
    <w:p>
      <w:pPr>
        <w:spacing w:line="360" w:lineRule="auto"/>
        <w:rPr>
          <w:rFonts w:ascii="宋体" w:hAnsi="宋体" w:cs="宋体"/>
          <w:szCs w:val="21"/>
          <w:highlight w:val="none"/>
        </w:rPr>
      </w:pPr>
      <w:r>
        <w:rPr>
          <w:rFonts w:hint="eastAsia" w:ascii="宋体" w:hAnsi="宋体" w:cs="宋体"/>
          <w:szCs w:val="21"/>
          <w:highlight w:val="none"/>
        </w:rPr>
        <w:t>乙方：</w:t>
      </w:r>
      <w:r>
        <w:rPr>
          <w:rFonts w:hint="eastAsia" w:ascii="宋体" w:hAnsi="宋体" w:cs="宋体"/>
          <w:szCs w:val="21"/>
          <w:highlight w:val="none"/>
          <w:lang w:val="en-US" w:eastAsia="zh-CN"/>
        </w:rPr>
        <w:t xml:space="preserve">          </w:t>
      </w:r>
      <w:r>
        <w:rPr>
          <w:rFonts w:hint="eastAsia" w:ascii="宋体" w:hAnsi="宋体" w:cs="宋体"/>
          <w:szCs w:val="21"/>
          <w:highlight w:val="none"/>
        </w:rPr>
        <w:t>（以下简称乙方）</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根据《中华人民共和国政府采购法》、《中华人民共和国政府采购法实施条例》、《政府采购货物和服务招标投标管理办法》等法律法规，</w:t>
      </w:r>
      <w:r>
        <w:rPr>
          <w:rFonts w:hint="eastAsia" w:ascii="宋体" w:hAnsi="宋体" w:cs="宋体"/>
          <w:szCs w:val="21"/>
          <w:highlight w:val="none"/>
          <w:u w:val="single"/>
          <w:lang w:val="en-US" w:eastAsia="zh-CN"/>
        </w:rPr>
        <w:t xml:space="preserve">                  项目</w:t>
      </w:r>
      <w:r>
        <w:rPr>
          <w:rFonts w:hint="eastAsia" w:ascii="宋体" w:hAnsi="宋体" w:cs="宋体"/>
          <w:szCs w:val="21"/>
          <w:highlight w:val="none"/>
        </w:rPr>
        <w:t>于</w:t>
      </w:r>
      <w:r>
        <w:rPr>
          <w:rFonts w:hint="eastAsia" w:ascii="宋体" w:hAnsi="宋体" w:cs="宋体"/>
          <w:szCs w:val="21"/>
          <w:highlight w:val="none"/>
          <w:lang w:val="en-US" w:eastAsia="zh-CN"/>
        </w:rPr>
        <w:t xml:space="preserve">  </w:t>
      </w:r>
      <w:r>
        <w:rPr>
          <w:rFonts w:hint="eastAsia" w:ascii="宋体" w:hAnsi="宋体" w:cs="宋体"/>
          <w:szCs w:val="21"/>
          <w:highlight w:val="none"/>
        </w:rPr>
        <w:t>年</w:t>
      </w:r>
      <w:r>
        <w:rPr>
          <w:rFonts w:hint="eastAsia" w:ascii="宋体" w:hAnsi="宋体" w:cs="宋体"/>
          <w:szCs w:val="21"/>
          <w:highlight w:val="none"/>
          <w:lang w:val="en-US" w:eastAsia="zh-CN"/>
        </w:rPr>
        <w:t xml:space="preserve"> </w:t>
      </w:r>
      <w:r>
        <w:rPr>
          <w:rFonts w:hint="eastAsia" w:ascii="宋体" w:hAnsi="宋体" w:cs="宋体"/>
          <w:szCs w:val="21"/>
          <w:highlight w:val="none"/>
        </w:rPr>
        <w:t>月</w:t>
      </w:r>
      <w:r>
        <w:rPr>
          <w:rFonts w:hint="eastAsia" w:ascii="宋体" w:hAnsi="宋体" w:cs="宋体"/>
          <w:szCs w:val="21"/>
          <w:highlight w:val="none"/>
          <w:lang w:val="en-US" w:eastAsia="zh-CN"/>
        </w:rPr>
        <w:t xml:space="preserve"> </w:t>
      </w:r>
      <w:r>
        <w:rPr>
          <w:rFonts w:hint="eastAsia" w:ascii="宋体" w:hAnsi="宋体" w:cs="宋体"/>
          <w:szCs w:val="21"/>
          <w:highlight w:val="none"/>
        </w:rPr>
        <w:t>日，在宁海县公共资源交易中心进行公开招标，经结果公告确定由乙方中标。按照《中华人民共和国民法典》的有关规定，在自愿、平等、公平、诚信的基础上，经双方协商一致，签订本合同。</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下述文件作为附件，是合同的一部分，并与本合同一起阅读和解释：</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a.</w:t>
      </w:r>
      <w:r>
        <w:rPr>
          <w:rFonts w:hint="eastAsia" w:ascii="宋体" w:hAnsi="宋体" w:cs="宋体"/>
          <w:szCs w:val="21"/>
          <w:highlight w:val="none"/>
          <w:lang w:val="en-US" w:eastAsia="zh-CN"/>
        </w:rPr>
        <w:t>招标</w:t>
      </w:r>
      <w:r>
        <w:rPr>
          <w:rFonts w:hint="eastAsia" w:ascii="宋体" w:hAnsi="宋体" w:cs="宋体"/>
          <w:szCs w:val="21"/>
          <w:highlight w:val="none"/>
        </w:rPr>
        <w:t>文件；</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b.投标文件及澄清文件；</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c.中标通知书；</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上述文件与合同若有不一致之处，优先次序第一应为合同、第二应为附件(附件的优先次序为 c,b,a)。</w:t>
      </w:r>
    </w:p>
    <w:p>
      <w:pPr>
        <w:spacing w:line="360" w:lineRule="auto"/>
        <w:rPr>
          <w:rFonts w:ascii="宋体" w:hAnsi="宋体" w:cs="宋体"/>
          <w:b/>
          <w:szCs w:val="21"/>
          <w:highlight w:val="none"/>
        </w:rPr>
      </w:pPr>
      <w:r>
        <w:rPr>
          <w:rFonts w:hint="eastAsia" w:ascii="宋体" w:hAnsi="宋体" w:cs="宋体"/>
          <w:b/>
          <w:szCs w:val="21"/>
          <w:highlight w:val="none"/>
        </w:rPr>
        <w:t>一、项目名称、服务期限、服务内容</w:t>
      </w:r>
    </w:p>
    <w:p>
      <w:pPr>
        <w:spacing w:line="360" w:lineRule="auto"/>
        <w:rPr>
          <w:rFonts w:ascii="宋体" w:hAnsi="宋体" w:cs="宋体"/>
          <w:bCs/>
          <w:szCs w:val="21"/>
          <w:highlight w:val="none"/>
        </w:rPr>
      </w:pPr>
      <w:r>
        <w:rPr>
          <w:rFonts w:hint="eastAsia" w:ascii="宋体" w:hAnsi="宋体" w:cs="宋体"/>
          <w:bCs/>
          <w:szCs w:val="21"/>
          <w:highlight w:val="none"/>
        </w:rPr>
        <w:t>1.1项目名称：</w:t>
      </w:r>
      <w:r>
        <w:rPr>
          <w:rFonts w:hint="eastAsia" w:ascii="宋体" w:hAnsi="宋体" w:cs="宋体"/>
          <w:bCs/>
          <w:szCs w:val="21"/>
          <w:highlight w:val="none"/>
          <w:lang w:val="en-US" w:eastAsia="zh-CN"/>
        </w:rPr>
        <w:t xml:space="preserve"> </w:t>
      </w:r>
    </w:p>
    <w:p>
      <w:pPr>
        <w:spacing w:line="360" w:lineRule="auto"/>
        <w:rPr>
          <w:rFonts w:ascii="Times New Roman" w:hAnsi="宋体" w:eastAsia="宋体" w:cs="宋体"/>
          <w:bCs/>
          <w:color w:val="auto"/>
          <w:sz w:val="21"/>
          <w:szCs w:val="21"/>
          <w:highlight w:val="none"/>
        </w:rPr>
      </w:pPr>
      <w:r>
        <w:rPr>
          <w:rFonts w:hint="eastAsia" w:ascii="宋体" w:hAnsi="宋体" w:cs="宋体"/>
          <w:bCs/>
          <w:szCs w:val="21"/>
          <w:highlight w:val="none"/>
        </w:rPr>
        <w:t>1.2服务期限：</w:t>
      </w:r>
      <w:r>
        <w:rPr>
          <w:rFonts w:hint="eastAsia" w:ascii="Times New Roman" w:hAnsi="宋体" w:eastAsia="宋体" w:cs="宋体"/>
          <w:bCs/>
          <w:color w:val="auto"/>
          <w:sz w:val="21"/>
          <w:szCs w:val="21"/>
          <w:highlight w:val="none"/>
        </w:rPr>
        <w:t>202</w:t>
      </w:r>
      <w:r>
        <w:rPr>
          <w:rFonts w:hint="eastAsia" w:ascii="Times New Roman" w:hAnsi="宋体" w:cs="宋体"/>
          <w:bCs/>
          <w:color w:val="auto"/>
          <w:sz w:val="21"/>
          <w:szCs w:val="21"/>
          <w:highlight w:val="none"/>
          <w:lang w:val="en-US" w:eastAsia="zh-CN"/>
        </w:rPr>
        <w:t>3</w:t>
      </w:r>
      <w:r>
        <w:rPr>
          <w:rFonts w:hint="eastAsia" w:ascii="Times New Roman" w:hAnsi="宋体" w:eastAsia="宋体" w:cs="宋体"/>
          <w:bCs/>
          <w:color w:val="auto"/>
          <w:sz w:val="21"/>
          <w:szCs w:val="21"/>
          <w:highlight w:val="none"/>
        </w:rPr>
        <w:t>年</w:t>
      </w:r>
      <w:r>
        <w:rPr>
          <w:rFonts w:hint="eastAsia" w:ascii="Times New Roman" w:hAnsi="宋体" w:eastAsia="宋体" w:cs="宋体"/>
          <w:bCs/>
          <w:color w:val="auto"/>
          <w:sz w:val="21"/>
          <w:szCs w:val="21"/>
          <w:highlight w:val="none"/>
          <w:u w:val="single"/>
        </w:rPr>
        <w:t xml:space="preserve"> </w:t>
      </w:r>
      <w:r>
        <w:rPr>
          <w:rFonts w:hint="eastAsia" w:ascii="Times New Roman" w:hAnsi="宋体" w:eastAsia="宋体" w:cs="宋体"/>
          <w:bCs/>
          <w:color w:val="auto"/>
          <w:sz w:val="21"/>
          <w:szCs w:val="21"/>
          <w:highlight w:val="none"/>
          <w:u w:val="single"/>
          <w:lang w:val="en-US" w:eastAsia="zh-CN"/>
        </w:rPr>
        <w:t xml:space="preserve">  </w:t>
      </w:r>
      <w:r>
        <w:rPr>
          <w:rFonts w:hint="eastAsia" w:ascii="Times New Roman" w:hAnsi="宋体" w:eastAsia="宋体" w:cs="宋体"/>
          <w:bCs/>
          <w:color w:val="auto"/>
          <w:sz w:val="21"/>
          <w:szCs w:val="21"/>
          <w:highlight w:val="none"/>
        </w:rPr>
        <w:t>月</w:t>
      </w:r>
      <w:r>
        <w:rPr>
          <w:rFonts w:hint="eastAsia" w:ascii="Times New Roman" w:hAnsi="宋体" w:eastAsia="宋体" w:cs="宋体"/>
          <w:bCs/>
          <w:color w:val="auto"/>
          <w:sz w:val="21"/>
          <w:szCs w:val="21"/>
          <w:highlight w:val="none"/>
          <w:u w:val="single"/>
        </w:rPr>
        <w:t xml:space="preserve"> </w:t>
      </w:r>
      <w:r>
        <w:rPr>
          <w:rFonts w:hint="eastAsia" w:ascii="Times New Roman" w:hAnsi="宋体" w:eastAsia="宋体" w:cs="宋体"/>
          <w:bCs/>
          <w:color w:val="auto"/>
          <w:sz w:val="21"/>
          <w:szCs w:val="21"/>
          <w:highlight w:val="none"/>
          <w:u w:val="single"/>
          <w:lang w:val="en-US" w:eastAsia="zh-CN"/>
        </w:rPr>
        <w:t xml:space="preserve"> </w:t>
      </w:r>
      <w:r>
        <w:rPr>
          <w:rFonts w:hint="eastAsia" w:ascii="Times New Roman" w:hAnsi="宋体" w:eastAsia="宋体" w:cs="宋体"/>
          <w:bCs/>
          <w:color w:val="auto"/>
          <w:sz w:val="21"/>
          <w:szCs w:val="21"/>
          <w:highlight w:val="none"/>
          <w:u w:val="single"/>
        </w:rPr>
        <w:t xml:space="preserve"> </w:t>
      </w:r>
      <w:r>
        <w:rPr>
          <w:rFonts w:hint="eastAsia" w:ascii="Times New Roman" w:hAnsi="宋体" w:eastAsia="宋体" w:cs="宋体"/>
          <w:bCs/>
          <w:color w:val="auto"/>
          <w:sz w:val="21"/>
          <w:szCs w:val="21"/>
          <w:highlight w:val="none"/>
        </w:rPr>
        <w:t>日起至202</w:t>
      </w:r>
      <w:r>
        <w:rPr>
          <w:rFonts w:hint="eastAsia" w:ascii="Times New Roman" w:hAnsi="宋体" w:cs="宋体"/>
          <w:bCs/>
          <w:color w:val="auto"/>
          <w:sz w:val="21"/>
          <w:szCs w:val="21"/>
          <w:highlight w:val="none"/>
          <w:lang w:val="en-US" w:eastAsia="zh-CN"/>
        </w:rPr>
        <w:t>6</w:t>
      </w:r>
      <w:r>
        <w:rPr>
          <w:rFonts w:hint="eastAsia" w:ascii="Times New Roman" w:hAnsi="宋体" w:eastAsia="宋体" w:cs="宋体"/>
          <w:bCs/>
          <w:color w:val="auto"/>
          <w:sz w:val="21"/>
          <w:szCs w:val="21"/>
          <w:highlight w:val="none"/>
        </w:rPr>
        <w:t>年</w:t>
      </w:r>
      <w:r>
        <w:rPr>
          <w:rFonts w:hint="eastAsia" w:ascii="Times New Roman" w:hAnsi="宋体" w:eastAsia="宋体" w:cs="宋体"/>
          <w:bCs/>
          <w:color w:val="auto"/>
          <w:sz w:val="21"/>
          <w:szCs w:val="21"/>
          <w:highlight w:val="none"/>
          <w:u w:val="single"/>
        </w:rPr>
        <w:t xml:space="preserve"> </w:t>
      </w:r>
      <w:r>
        <w:rPr>
          <w:rFonts w:hint="eastAsia" w:ascii="Times New Roman" w:hAnsi="宋体" w:eastAsia="宋体" w:cs="宋体"/>
          <w:bCs/>
          <w:color w:val="auto"/>
          <w:sz w:val="21"/>
          <w:szCs w:val="21"/>
          <w:highlight w:val="none"/>
          <w:u w:val="single"/>
          <w:lang w:val="en-US" w:eastAsia="zh-CN"/>
        </w:rPr>
        <w:t xml:space="preserve"> </w:t>
      </w:r>
      <w:r>
        <w:rPr>
          <w:rFonts w:hint="eastAsia" w:ascii="Times New Roman" w:hAnsi="宋体" w:eastAsia="宋体" w:cs="宋体"/>
          <w:bCs/>
          <w:color w:val="auto"/>
          <w:sz w:val="21"/>
          <w:szCs w:val="21"/>
          <w:highlight w:val="none"/>
          <w:u w:val="single"/>
        </w:rPr>
        <w:t xml:space="preserve"> </w:t>
      </w:r>
      <w:r>
        <w:rPr>
          <w:rFonts w:hint="eastAsia" w:ascii="Times New Roman" w:hAnsi="宋体" w:eastAsia="宋体" w:cs="宋体"/>
          <w:bCs/>
          <w:color w:val="auto"/>
          <w:sz w:val="21"/>
          <w:szCs w:val="21"/>
          <w:highlight w:val="none"/>
        </w:rPr>
        <w:t>月</w:t>
      </w:r>
      <w:r>
        <w:rPr>
          <w:rFonts w:hint="eastAsia" w:ascii="Times New Roman" w:hAnsi="宋体" w:eastAsia="宋体" w:cs="宋体"/>
          <w:bCs/>
          <w:color w:val="auto"/>
          <w:sz w:val="21"/>
          <w:szCs w:val="21"/>
          <w:highlight w:val="none"/>
          <w:u w:val="single"/>
        </w:rPr>
        <w:t xml:space="preserve"> </w:t>
      </w:r>
      <w:r>
        <w:rPr>
          <w:rFonts w:hint="eastAsia" w:ascii="Times New Roman" w:hAnsi="宋体" w:eastAsia="宋体" w:cs="宋体"/>
          <w:bCs/>
          <w:color w:val="auto"/>
          <w:sz w:val="21"/>
          <w:szCs w:val="21"/>
          <w:highlight w:val="none"/>
          <w:u w:val="single"/>
          <w:lang w:val="en-US" w:eastAsia="zh-CN"/>
        </w:rPr>
        <w:t xml:space="preserve"> </w:t>
      </w:r>
      <w:r>
        <w:rPr>
          <w:rFonts w:hint="eastAsia" w:ascii="Times New Roman" w:hAnsi="宋体" w:eastAsia="宋体" w:cs="宋体"/>
          <w:bCs/>
          <w:color w:val="auto"/>
          <w:sz w:val="21"/>
          <w:szCs w:val="21"/>
          <w:highlight w:val="none"/>
          <w:u w:val="single"/>
        </w:rPr>
        <w:t xml:space="preserve"> </w:t>
      </w:r>
      <w:r>
        <w:rPr>
          <w:rFonts w:hint="eastAsia" w:ascii="Times New Roman" w:hAnsi="宋体" w:eastAsia="宋体" w:cs="宋体"/>
          <w:bCs/>
          <w:color w:val="auto"/>
          <w:sz w:val="21"/>
          <w:szCs w:val="21"/>
          <w:highlight w:val="none"/>
        </w:rPr>
        <w:t>日止，合同一年一签</w:t>
      </w:r>
      <w:r>
        <w:rPr>
          <w:rFonts w:ascii="Times New Roman" w:hAnsi="宋体" w:eastAsia="宋体" w:cs="宋体"/>
          <w:color w:val="auto"/>
          <w:sz w:val="21"/>
          <w:szCs w:val="21"/>
          <w:highlight w:val="none"/>
        </w:rPr>
        <w:t>。合同应符合政府采购预算安排要求，经批准，并经甲方考核验收，双方同意后，方可续签订下一年度的合同。合同续签后，应经原政府采购代理机构见证及备案，并报宁海县政府采购管理办公室。</w:t>
      </w:r>
    </w:p>
    <w:p>
      <w:pPr>
        <w:spacing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第一年服务期限：202</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日至 202</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 xml:space="preserve"> 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日止；</w:t>
      </w:r>
    </w:p>
    <w:p>
      <w:pPr>
        <w:spacing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第二年服务期限合同根据第一阶段合同履约情况另行签订；</w:t>
      </w:r>
    </w:p>
    <w:p>
      <w:pPr>
        <w:spacing w:line="360" w:lineRule="auto"/>
        <w:ind w:firstLine="42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第三年服务期限合同根据第二阶段合同履约情况另行签订。</w:t>
      </w:r>
    </w:p>
    <w:p>
      <w:pPr>
        <w:spacing w:line="360" w:lineRule="auto"/>
        <w:rPr>
          <w:rFonts w:hint="eastAsia" w:ascii="宋体" w:hAnsi="宋体" w:cs="宋体"/>
          <w:b w:val="0"/>
          <w:bCs w:val="0"/>
          <w:szCs w:val="21"/>
          <w:highlight w:val="none"/>
        </w:rPr>
      </w:pPr>
      <w:r>
        <w:rPr>
          <w:rFonts w:hint="eastAsia" w:ascii="宋体" w:hAnsi="宋体" w:cs="宋体"/>
          <w:b w:val="0"/>
          <w:bCs w:val="0"/>
          <w:szCs w:val="21"/>
          <w:highlight w:val="none"/>
        </w:rPr>
        <w:t>1.3服务范围：</w:t>
      </w:r>
    </w:p>
    <w:p>
      <w:pPr>
        <w:spacing w:line="360" w:lineRule="auto"/>
        <w:rPr>
          <w:rFonts w:hint="eastAsia" w:ascii="宋体" w:hAnsi="宋体" w:cs="宋体"/>
          <w:b/>
          <w:bCs/>
          <w:szCs w:val="21"/>
          <w:highlight w:val="none"/>
          <w:lang w:val="en-US" w:eastAsia="zh-CN"/>
        </w:rPr>
      </w:pPr>
      <w:r>
        <w:rPr>
          <w:rFonts w:hint="eastAsia" w:ascii="宋体" w:hAnsi="宋体" w:cs="宋体"/>
          <w:b/>
          <w:bCs/>
          <w:szCs w:val="21"/>
          <w:highlight w:val="none"/>
          <w:lang w:val="en-US" w:eastAsia="zh-CN"/>
        </w:rPr>
        <w:t>1.4服务基本内容：</w:t>
      </w:r>
    </w:p>
    <w:p>
      <w:pPr>
        <w:spacing w:line="360" w:lineRule="auto"/>
        <w:rPr>
          <w:rFonts w:ascii="宋体" w:hAnsi="宋体" w:cs="宋体"/>
          <w:b/>
          <w:szCs w:val="21"/>
          <w:highlight w:val="none"/>
        </w:rPr>
      </w:pPr>
      <w:r>
        <w:rPr>
          <w:rFonts w:hint="eastAsia" w:ascii="宋体" w:hAnsi="宋体" w:cs="宋体"/>
          <w:b/>
          <w:szCs w:val="21"/>
          <w:highlight w:val="none"/>
        </w:rPr>
        <w:t>二、合同金额</w:t>
      </w:r>
    </w:p>
    <w:p>
      <w:pPr>
        <w:spacing w:line="360" w:lineRule="auto"/>
        <w:ind w:left="359" w:hanging="359" w:hangingChars="171"/>
        <w:rPr>
          <w:rFonts w:hint="eastAsia" w:ascii="宋体" w:hAnsi="宋体" w:cs="宋体"/>
          <w:szCs w:val="21"/>
          <w:highlight w:val="none"/>
        </w:rPr>
      </w:pPr>
      <w:r>
        <w:rPr>
          <w:rFonts w:hint="eastAsia" w:ascii="宋体" w:hAnsi="宋体" w:cs="宋体"/>
          <w:szCs w:val="21"/>
          <w:highlight w:val="none"/>
        </w:rPr>
        <w:t>2.1本合同年度总金额为（大写）：_</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元）人民币。</w:t>
      </w:r>
    </w:p>
    <w:p>
      <w:pPr>
        <w:spacing w:line="360" w:lineRule="auto"/>
        <w:ind w:left="359" w:hanging="359" w:hangingChars="171"/>
        <w:rPr>
          <w:rFonts w:ascii="宋体" w:hAnsi="宋体" w:cs="宋体"/>
          <w:szCs w:val="21"/>
          <w:highlight w:val="none"/>
        </w:rPr>
      </w:pPr>
      <w:r>
        <w:rPr>
          <w:rFonts w:hint="eastAsia" w:ascii="宋体" w:hAnsi="宋体" w:cs="宋体"/>
          <w:szCs w:val="21"/>
          <w:highlight w:val="none"/>
        </w:rPr>
        <w:t>2.2月度保洁经费暂定为（大写）：</w:t>
      </w:r>
      <w:r>
        <w:rPr>
          <w:rFonts w:hint="eastAsia" w:ascii="宋体" w:hAnsi="宋体" w:cs="宋体"/>
          <w:szCs w:val="21"/>
          <w:highlight w:val="none"/>
          <w:lang w:val="en-US" w:eastAsia="zh-CN"/>
        </w:rPr>
        <w:t xml:space="preserve">                </w:t>
      </w:r>
      <w:r>
        <w:rPr>
          <w:rFonts w:hint="eastAsia" w:ascii="宋体" w:hAnsi="宋体" w:cs="宋体"/>
          <w:szCs w:val="21"/>
          <w:highlight w:val="none"/>
        </w:rPr>
        <w:t xml:space="preserve">（¥ </w:t>
      </w:r>
      <w:r>
        <w:rPr>
          <w:rFonts w:hint="eastAsia" w:ascii="宋体" w:hAnsi="宋体" w:cs="宋体"/>
          <w:szCs w:val="21"/>
          <w:highlight w:val="none"/>
          <w:lang w:val="en-US" w:eastAsia="zh-CN"/>
        </w:rPr>
        <w:t xml:space="preserve">         </w:t>
      </w:r>
      <w:r>
        <w:rPr>
          <w:rFonts w:hint="eastAsia" w:ascii="宋体" w:hAnsi="宋体" w:cs="宋体"/>
          <w:szCs w:val="21"/>
          <w:highlight w:val="none"/>
        </w:rPr>
        <w:t>_元）人民币。</w:t>
      </w:r>
    </w:p>
    <w:p>
      <w:pPr>
        <w:spacing w:line="360" w:lineRule="auto"/>
        <w:ind w:left="358" w:hanging="358" w:hangingChars="170"/>
        <w:rPr>
          <w:rFonts w:ascii="宋体" w:hAnsi="宋体" w:cs="宋体"/>
          <w:b/>
          <w:szCs w:val="21"/>
          <w:highlight w:val="none"/>
        </w:rPr>
      </w:pPr>
      <w:r>
        <w:rPr>
          <w:rFonts w:hint="eastAsia" w:ascii="宋体" w:hAnsi="宋体" w:cs="宋体"/>
          <w:b/>
          <w:szCs w:val="21"/>
          <w:highlight w:val="none"/>
        </w:rPr>
        <w:t>三、履约保证金</w:t>
      </w:r>
    </w:p>
    <w:p>
      <w:pPr>
        <w:spacing w:line="360" w:lineRule="auto"/>
        <w:rPr>
          <w:rFonts w:hint="eastAsia" w:ascii="宋体" w:hAnsi="宋体" w:cs="宋体"/>
          <w:highlight w:val="none"/>
        </w:rPr>
      </w:pPr>
      <w:r>
        <w:rPr>
          <w:rFonts w:hint="eastAsia" w:ascii="宋体" w:hAnsi="宋体" w:cs="宋体"/>
          <w:highlight w:val="none"/>
        </w:rPr>
        <w:t>3.1乙方缴纳人民币</w:t>
      </w:r>
      <w:r>
        <w:rPr>
          <w:rFonts w:hint="eastAsia" w:ascii="宋体" w:hAnsi="宋体" w:cs="宋体"/>
          <w:highlight w:val="none"/>
          <w:u w:val="single"/>
        </w:rPr>
        <w:t xml:space="preserve"> </w:t>
      </w:r>
      <w:r>
        <w:rPr>
          <w:rFonts w:hint="eastAsia" w:ascii="宋体" w:hAnsi="宋体" w:cs="宋体"/>
          <w:highlight w:val="none"/>
          <w:u w:val="single"/>
          <w:lang w:val="en-US" w:eastAsia="zh-CN"/>
        </w:rPr>
        <w:t xml:space="preserve">       </w:t>
      </w:r>
      <w:r>
        <w:rPr>
          <w:rFonts w:hint="eastAsia" w:ascii="宋体" w:hAnsi="宋体" w:cs="宋体"/>
          <w:highlight w:val="none"/>
        </w:rPr>
        <w:t>元作为本合同的履约保证金。</w:t>
      </w:r>
    </w:p>
    <w:p>
      <w:pPr>
        <w:spacing w:line="360" w:lineRule="auto"/>
        <w:rPr>
          <w:rFonts w:ascii="宋体" w:hAnsi="宋体" w:cs="宋体"/>
          <w:highlight w:val="none"/>
        </w:rPr>
      </w:pPr>
      <w:r>
        <w:rPr>
          <w:rFonts w:hint="eastAsia" w:ascii="宋体" w:hAnsi="宋体" w:cs="宋体"/>
          <w:highlight w:val="none"/>
        </w:rPr>
        <w:t>3.2履约保证金形式：以银行汇票、转账、电汇、保函等形式缴纳至专用账户。履约保证金在保洁服务合同完成后无息退还。如乙方未能履行合同规定的任何义务，甲方有权从履约保证金中优先受偿。</w:t>
      </w:r>
    </w:p>
    <w:p>
      <w:pPr>
        <w:spacing w:line="360" w:lineRule="auto"/>
        <w:rPr>
          <w:rFonts w:ascii="宋体" w:hAnsi="宋体" w:cs="宋体"/>
          <w:b/>
          <w:szCs w:val="21"/>
          <w:highlight w:val="none"/>
        </w:rPr>
      </w:pPr>
      <w:r>
        <w:rPr>
          <w:rFonts w:hint="eastAsia" w:ascii="宋体" w:hAnsi="宋体" w:cs="宋体"/>
          <w:b/>
          <w:szCs w:val="21"/>
          <w:highlight w:val="none"/>
          <w:lang w:eastAsia="zh-CN"/>
        </w:rPr>
        <w:t>四</w:t>
      </w:r>
      <w:r>
        <w:rPr>
          <w:rFonts w:hint="eastAsia" w:ascii="宋体" w:hAnsi="宋体" w:cs="宋体"/>
          <w:b/>
          <w:szCs w:val="21"/>
          <w:highlight w:val="none"/>
        </w:rPr>
        <w:t>、转包或分包</w:t>
      </w:r>
    </w:p>
    <w:p>
      <w:pPr>
        <w:spacing w:line="360" w:lineRule="auto"/>
        <w:rPr>
          <w:rFonts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.1本合同范围的服务，应由乙方直接提供，不得转让他人；</w:t>
      </w:r>
    </w:p>
    <w:p>
      <w:pPr>
        <w:spacing w:line="360" w:lineRule="auto"/>
        <w:rPr>
          <w:rFonts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.2 除非得到甲方的书面同意，乙方不得部分分包给他人。甲方有绝对权力阻止分包。</w:t>
      </w:r>
    </w:p>
    <w:p>
      <w:pPr>
        <w:spacing w:line="360" w:lineRule="auto"/>
        <w:rPr>
          <w:rFonts w:ascii="宋体" w:hAnsi="宋体" w:cs="宋体"/>
          <w:szCs w:val="21"/>
          <w:highlight w:val="none"/>
        </w:rPr>
      </w:pPr>
      <w:r>
        <w:rPr>
          <w:rFonts w:hint="eastAsia" w:ascii="宋体" w:hAnsi="宋体" w:cs="宋体"/>
          <w:szCs w:val="21"/>
          <w:highlight w:val="none"/>
          <w:lang w:val="en-US" w:eastAsia="zh-CN"/>
        </w:rPr>
        <w:t>4</w:t>
      </w:r>
      <w:r>
        <w:rPr>
          <w:rFonts w:hint="eastAsia" w:ascii="宋体" w:hAnsi="宋体" w:cs="宋体"/>
          <w:szCs w:val="21"/>
          <w:highlight w:val="none"/>
        </w:rPr>
        <w:t>.3如有转让和未经甲方同意的分包行为，甲方有权给予终止合同。</w:t>
      </w:r>
    </w:p>
    <w:p>
      <w:pPr>
        <w:spacing w:line="360" w:lineRule="auto"/>
        <w:rPr>
          <w:rFonts w:ascii="宋体" w:hAnsi="宋体" w:cs="宋体"/>
          <w:b/>
          <w:szCs w:val="21"/>
          <w:highlight w:val="none"/>
        </w:rPr>
      </w:pPr>
      <w:r>
        <w:rPr>
          <w:rFonts w:hint="eastAsia" w:ascii="宋体" w:hAnsi="宋体" w:cs="宋体"/>
          <w:b/>
          <w:szCs w:val="21"/>
          <w:highlight w:val="none"/>
          <w:lang w:eastAsia="zh-CN"/>
        </w:rPr>
        <w:t>五</w:t>
      </w:r>
      <w:r>
        <w:rPr>
          <w:rFonts w:hint="eastAsia" w:ascii="宋体" w:hAnsi="宋体" w:cs="宋体"/>
          <w:b/>
          <w:szCs w:val="21"/>
          <w:highlight w:val="none"/>
        </w:rPr>
        <w:t>、合同付款方法</w:t>
      </w:r>
    </w:p>
    <w:p>
      <w:pPr>
        <w:spacing w:line="360" w:lineRule="auto"/>
        <w:rPr>
          <w:rFonts w:hint="eastAsia" w:ascii="宋体" w:hAnsi="宋体" w:cs="宋体"/>
          <w:bCs/>
          <w:szCs w:val="21"/>
          <w:highlight w:val="none"/>
          <w:lang w:val="en-US" w:eastAsia="zh-CN"/>
        </w:rPr>
      </w:pPr>
      <w:r>
        <w:rPr>
          <w:rFonts w:hint="eastAsia" w:ascii="宋体" w:hAnsi="宋体" w:cs="宋体"/>
          <w:bCs/>
          <w:szCs w:val="21"/>
          <w:highlight w:val="none"/>
          <w:lang w:val="en-US" w:eastAsia="zh-CN"/>
        </w:rPr>
        <w:t>5</w:t>
      </w:r>
      <w:r>
        <w:rPr>
          <w:rFonts w:hint="eastAsia" w:ascii="宋体" w:hAnsi="宋体" w:cs="宋体"/>
          <w:bCs/>
          <w:szCs w:val="21"/>
          <w:highlight w:val="none"/>
        </w:rPr>
        <w:t>.1</w:t>
      </w:r>
      <w:r>
        <w:rPr>
          <w:rFonts w:hint="eastAsia" w:ascii="宋体" w:hAnsi="宋体" w:cs="宋体"/>
          <w:bCs/>
          <w:szCs w:val="21"/>
          <w:highlight w:val="none"/>
          <w:lang w:val="en-US" w:eastAsia="zh-CN"/>
        </w:rPr>
        <w:t>合同签订后，在确认完成当月工作并通过考核后，按月支付给乙方。以上付款方式结合每月考核结果。</w:t>
      </w:r>
    </w:p>
    <w:p>
      <w:pPr>
        <w:spacing w:line="360" w:lineRule="auto"/>
        <w:rPr>
          <w:rFonts w:hint="eastAsia" w:ascii="宋体" w:hAnsi="宋体" w:cs="宋体"/>
          <w:bCs/>
          <w:szCs w:val="21"/>
          <w:highlight w:val="none"/>
          <w:lang w:val="en-US" w:eastAsia="zh-CN"/>
        </w:rPr>
      </w:pPr>
      <w:r>
        <w:rPr>
          <w:rFonts w:hint="eastAsia" w:ascii="宋体" w:hAnsi="宋体" w:cs="宋体"/>
          <w:bCs/>
          <w:szCs w:val="21"/>
          <w:highlight w:val="none"/>
          <w:lang w:val="en-US" w:eastAsia="zh-CN"/>
        </w:rPr>
        <w:t>5.2如甲方出具书面整改意见要求进行整改，在出具整改意见后七天内乙方未按规定整改的，将延迟拨付月服务经费的30%。</w:t>
      </w:r>
    </w:p>
    <w:p>
      <w:pPr>
        <w:numPr>
          <w:ilvl w:val="-1"/>
          <w:numId w:val="0"/>
        </w:numPr>
        <w:spacing w:line="360" w:lineRule="auto"/>
        <w:rPr>
          <w:rFonts w:hint="eastAsia"/>
          <w:b/>
          <w:bCs/>
          <w:highlight w:val="none"/>
        </w:rPr>
      </w:pPr>
      <w:r>
        <w:rPr>
          <w:rFonts w:hint="eastAsia"/>
          <w:b/>
          <w:bCs/>
          <w:highlight w:val="none"/>
          <w:lang w:eastAsia="zh-CN"/>
        </w:rPr>
        <w:t>六、</w:t>
      </w:r>
      <w:r>
        <w:rPr>
          <w:rFonts w:hint="eastAsia"/>
          <w:b/>
          <w:bCs/>
          <w:highlight w:val="none"/>
        </w:rPr>
        <w:t>考核标准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建立承包人每日自查、 </w:t>
      </w:r>
      <w:r>
        <w:rPr>
          <w:rFonts w:hint="eastAsia" w:ascii="宋体" w:hAnsi="宋体" w:eastAsia="宋体" w:cs="宋体"/>
          <w:color w:val="000000"/>
          <w:sz w:val="21"/>
          <w:szCs w:val="21"/>
          <w:highlight w:val="none"/>
          <w:lang w:eastAsia="zh-CN"/>
        </w:rPr>
        <w:t>采购人</w:t>
      </w:r>
      <w:r>
        <w:rPr>
          <w:rFonts w:hint="eastAsia" w:ascii="宋体" w:hAnsi="宋体" w:eastAsia="宋体" w:cs="宋体"/>
          <w:color w:val="000000"/>
          <w:sz w:val="21"/>
          <w:szCs w:val="21"/>
          <w:highlight w:val="none"/>
        </w:rPr>
        <w:t>考核全面巡查的三查制度 （日常巡查、 抽查，空档时间突击检查），不断总结完善考核机制，达到既能提高公司积极性，又便于考核公司的各方面工作。</w:t>
      </w:r>
      <w:r>
        <w:rPr>
          <w:rFonts w:hint="eastAsia" w:ascii="宋体" w:hAnsi="宋体" w:eastAsia="宋体" w:cs="宋体"/>
          <w:b/>
          <w:bCs/>
          <w:color w:val="000000"/>
          <w:sz w:val="21"/>
          <w:szCs w:val="21"/>
          <w:highlight w:val="none"/>
          <w:lang w:eastAsia="zh-CN"/>
        </w:rPr>
        <w:t>本项目由桥头胡街道负责招标文件内所有范围的考核</w:t>
      </w:r>
      <w:r>
        <w:rPr>
          <w:rFonts w:hint="eastAsia" w:ascii="宋体" w:hAnsi="宋体" w:eastAsia="宋体" w:cs="宋体"/>
          <w:color w:val="000000"/>
          <w:sz w:val="21"/>
          <w:szCs w:val="21"/>
          <w:highlight w:val="none"/>
          <w:lang w:eastAsia="zh-CN"/>
        </w:rPr>
        <w:t>，采购人</w:t>
      </w:r>
      <w:r>
        <w:rPr>
          <w:rFonts w:hint="eastAsia" w:ascii="宋体" w:hAnsi="宋体" w:eastAsia="宋体" w:cs="宋体"/>
          <w:color w:val="000000"/>
          <w:sz w:val="21"/>
          <w:szCs w:val="21"/>
          <w:highlight w:val="none"/>
        </w:rPr>
        <w:t>根据每月考评结果，作出综合考核评价意见，发放每月承包经费。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考核办法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1、以保洁标段为考核单位。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2、月评：满分为100分。具体情况如下：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（1）考核分在98分（含）以上的为合格，全额支付当月经费；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（2）考核分在98分以下的，以98分为基准每下降1分，扣当月经费的1%；以此类推，中间采用内插法计算。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被宁海县委、县政府或大整治办等相关单位点名通报批评的（包括本、上级媒体曝光），每次扣1万元，并在一年内出现三次被宁海县委、县政府或大整治办等相关单位通报批评的，业主方有权单方面终止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（4）被群众举报并经核实情况属实的，每次扣0.5万元。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20" w:firstLineChars="200"/>
        <w:jc w:val="both"/>
        <w:textAlignment w:val="auto"/>
        <w:outlineLvl w:val="1"/>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3、明查暗查相结合，根据考核分来核拔当月保洁经费。</w:t>
      </w:r>
    </w:p>
    <w:p>
      <w:pPr>
        <w:pStyle w:val="29"/>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4、具体考核细则详见附件</w:t>
      </w:r>
    </w:p>
    <w:p>
      <w:pPr>
        <w:spacing w:line="360" w:lineRule="auto"/>
        <w:rPr>
          <w:rFonts w:ascii="宋体" w:hAnsi="宋体" w:cs="宋体"/>
          <w:b/>
          <w:szCs w:val="21"/>
          <w:highlight w:val="none"/>
        </w:rPr>
      </w:pPr>
      <w:r>
        <w:rPr>
          <w:rFonts w:hint="eastAsia" w:ascii="宋体" w:hAnsi="宋体" w:cs="宋体"/>
          <w:b/>
          <w:szCs w:val="21"/>
          <w:highlight w:val="none"/>
          <w:lang w:eastAsia="zh-CN"/>
        </w:rPr>
        <w:t>七</w:t>
      </w:r>
      <w:r>
        <w:rPr>
          <w:rFonts w:hint="eastAsia" w:ascii="宋体" w:hAnsi="宋体" w:cs="宋体"/>
          <w:b/>
          <w:szCs w:val="21"/>
          <w:highlight w:val="none"/>
        </w:rPr>
        <w:t>、税</w:t>
      </w:r>
    </w:p>
    <w:p>
      <w:pPr>
        <w:spacing w:line="360" w:lineRule="auto"/>
        <w:rPr>
          <w:rFonts w:ascii="宋体" w:hAnsi="宋体" w:cs="宋体"/>
          <w:szCs w:val="21"/>
          <w:highlight w:val="none"/>
        </w:rPr>
      </w:pPr>
      <w:r>
        <w:rPr>
          <w:rFonts w:hint="eastAsia" w:ascii="宋体" w:hAnsi="宋体" w:cs="宋体"/>
          <w:szCs w:val="21"/>
          <w:highlight w:val="none"/>
          <w:lang w:val="en-US" w:eastAsia="zh-CN"/>
        </w:rPr>
        <w:t>7</w:t>
      </w:r>
      <w:r>
        <w:rPr>
          <w:rFonts w:hint="eastAsia" w:ascii="宋体" w:hAnsi="宋体" w:cs="宋体"/>
          <w:szCs w:val="21"/>
          <w:highlight w:val="none"/>
        </w:rPr>
        <w:t>.1本合同执行中相关的一切税费均由乙方负担。</w:t>
      </w:r>
    </w:p>
    <w:p>
      <w:pPr>
        <w:spacing w:line="360" w:lineRule="auto"/>
        <w:ind w:left="360" w:hanging="361" w:hangingChars="171"/>
        <w:rPr>
          <w:rFonts w:ascii="宋体" w:hAnsi="宋体" w:cs="宋体"/>
          <w:szCs w:val="21"/>
          <w:highlight w:val="none"/>
        </w:rPr>
      </w:pPr>
      <w:r>
        <w:rPr>
          <w:rFonts w:hint="eastAsia" w:ascii="宋体" w:hAnsi="宋体" w:cs="宋体"/>
          <w:b/>
          <w:szCs w:val="21"/>
          <w:highlight w:val="none"/>
          <w:lang w:eastAsia="zh-CN"/>
        </w:rPr>
        <w:t>八</w:t>
      </w:r>
      <w:r>
        <w:rPr>
          <w:rFonts w:hint="eastAsia" w:ascii="宋体" w:hAnsi="宋体" w:cs="宋体"/>
          <w:b/>
          <w:szCs w:val="21"/>
          <w:highlight w:val="none"/>
        </w:rPr>
        <w:t>、完成质量要求</w:t>
      </w:r>
    </w:p>
    <w:p>
      <w:pPr>
        <w:spacing w:line="360" w:lineRule="auto"/>
        <w:rPr>
          <w:rFonts w:ascii="宋体" w:hAnsi="宋体" w:cs="宋体"/>
          <w:szCs w:val="21"/>
          <w:highlight w:val="none"/>
        </w:rPr>
      </w:pPr>
      <w:r>
        <w:rPr>
          <w:rFonts w:hint="eastAsia" w:ascii="宋体" w:hAnsi="宋体" w:cs="宋体"/>
          <w:szCs w:val="21"/>
          <w:highlight w:val="none"/>
          <w:lang w:val="en-US" w:eastAsia="zh-CN"/>
        </w:rPr>
        <w:t>8</w:t>
      </w:r>
      <w:r>
        <w:rPr>
          <w:rFonts w:hint="eastAsia" w:ascii="宋体" w:hAnsi="宋体" w:cs="宋体"/>
          <w:szCs w:val="21"/>
          <w:highlight w:val="none"/>
        </w:rPr>
        <w:t>.1 服务期间乙方不得随意更换项目负责人，如有特殊情况需要更换，须经甲方同意确认。</w:t>
      </w:r>
    </w:p>
    <w:p>
      <w:pPr>
        <w:spacing w:line="360" w:lineRule="auto"/>
        <w:rPr>
          <w:rFonts w:ascii="宋体" w:hAnsi="宋体" w:cs="宋体"/>
          <w:szCs w:val="21"/>
          <w:highlight w:val="none"/>
        </w:rPr>
      </w:pPr>
      <w:r>
        <w:rPr>
          <w:rFonts w:hint="eastAsia" w:ascii="宋体" w:hAnsi="宋体" w:cs="宋体"/>
          <w:szCs w:val="21"/>
          <w:highlight w:val="none"/>
          <w:lang w:val="en-US" w:eastAsia="zh-CN"/>
        </w:rPr>
        <w:t>8</w:t>
      </w:r>
      <w:r>
        <w:rPr>
          <w:rFonts w:hint="eastAsia" w:ascii="宋体" w:hAnsi="宋体" w:cs="宋体"/>
          <w:szCs w:val="21"/>
          <w:highlight w:val="none"/>
        </w:rPr>
        <w:t>.2服务期间，乙方须配备足够的人员和设备。</w:t>
      </w:r>
    </w:p>
    <w:p>
      <w:pPr>
        <w:spacing w:line="360" w:lineRule="auto"/>
        <w:rPr>
          <w:rFonts w:ascii="宋体" w:hAnsi="宋体" w:cs="宋体"/>
          <w:szCs w:val="21"/>
          <w:highlight w:val="none"/>
        </w:rPr>
      </w:pPr>
      <w:r>
        <w:rPr>
          <w:rFonts w:hint="eastAsia" w:ascii="宋体" w:hAnsi="宋体" w:cs="宋体"/>
          <w:szCs w:val="21"/>
          <w:highlight w:val="none"/>
          <w:lang w:val="en-US" w:eastAsia="zh-CN"/>
        </w:rPr>
        <w:t>8</w:t>
      </w:r>
      <w:r>
        <w:rPr>
          <w:rFonts w:hint="eastAsia" w:ascii="宋体" w:hAnsi="宋体" w:cs="宋体"/>
          <w:szCs w:val="21"/>
          <w:highlight w:val="none"/>
        </w:rPr>
        <w:t>.3合同执行过程中，乙方如有弄虚作假行为，甲方有权单方面解除合同并没收全部履约保证金，由此引起的所</w:t>
      </w:r>
      <w:r>
        <w:rPr>
          <w:rFonts w:hint="eastAsia" w:ascii="宋体" w:hAnsi="宋体" w:cs="宋体"/>
          <w:szCs w:val="21"/>
          <w:highlight w:val="none"/>
          <w:lang w:val="en-US" w:eastAsia="zh-CN"/>
        </w:rPr>
        <w:t>有</w:t>
      </w:r>
      <w:r>
        <w:rPr>
          <w:rFonts w:hint="eastAsia" w:ascii="宋体" w:hAnsi="宋体" w:cs="宋体"/>
          <w:szCs w:val="21"/>
          <w:highlight w:val="none"/>
        </w:rPr>
        <w:t>损失由乙方承担。</w:t>
      </w:r>
    </w:p>
    <w:p>
      <w:pPr>
        <w:spacing w:line="360" w:lineRule="auto"/>
        <w:ind w:left="360" w:hanging="361" w:hangingChars="171"/>
        <w:rPr>
          <w:rFonts w:ascii="宋体" w:hAnsi="宋体" w:cs="宋体"/>
          <w:b/>
          <w:szCs w:val="21"/>
          <w:highlight w:val="none"/>
        </w:rPr>
      </w:pPr>
      <w:r>
        <w:rPr>
          <w:rFonts w:hint="eastAsia" w:ascii="宋体" w:hAnsi="宋体" w:cs="宋体"/>
          <w:b/>
          <w:szCs w:val="21"/>
          <w:highlight w:val="none"/>
          <w:lang w:eastAsia="zh-CN"/>
        </w:rPr>
        <w:t>九</w:t>
      </w:r>
      <w:r>
        <w:rPr>
          <w:rFonts w:hint="eastAsia" w:ascii="宋体" w:hAnsi="宋体" w:cs="宋体"/>
          <w:b/>
          <w:szCs w:val="21"/>
          <w:highlight w:val="none"/>
        </w:rPr>
        <w:t>、违约责任</w:t>
      </w:r>
    </w:p>
    <w:p>
      <w:pPr>
        <w:spacing w:line="360" w:lineRule="auto"/>
        <w:rPr>
          <w:rFonts w:ascii="宋体" w:hAnsi="宋体" w:cs="宋体"/>
          <w:szCs w:val="21"/>
          <w:highlight w:val="none"/>
        </w:rPr>
      </w:pPr>
      <w:r>
        <w:rPr>
          <w:rFonts w:hint="eastAsia" w:ascii="宋体" w:hAnsi="宋体" w:cs="宋体"/>
          <w:szCs w:val="21"/>
          <w:highlight w:val="none"/>
          <w:lang w:val="en-US" w:eastAsia="zh-CN"/>
        </w:rPr>
        <w:t>9</w:t>
      </w:r>
      <w:r>
        <w:rPr>
          <w:rFonts w:hint="eastAsia" w:ascii="宋体" w:hAnsi="宋体" w:cs="宋体"/>
          <w:szCs w:val="21"/>
          <w:highlight w:val="none"/>
        </w:rPr>
        <w:t>.1 甲方无正当理由拒收接受服务的，甲方向乙方偿付合同款项百分之五作为违约金。</w:t>
      </w:r>
    </w:p>
    <w:p>
      <w:pPr>
        <w:spacing w:line="360" w:lineRule="auto"/>
        <w:rPr>
          <w:rFonts w:ascii="宋体" w:hAnsi="宋体" w:cs="宋体"/>
          <w:szCs w:val="21"/>
          <w:highlight w:val="none"/>
        </w:rPr>
      </w:pPr>
      <w:r>
        <w:rPr>
          <w:rFonts w:hint="eastAsia" w:ascii="宋体" w:hAnsi="宋体" w:cs="宋体"/>
          <w:szCs w:val="21"/>
          <w:highlight w:val="none"/>
          <w:lang w:val="en-US" w:eastAsia="zh-CN"/>
        </w:rPr>
        <w:t>9</w:t>
      </w:r>
      <w:r>
        <w:rPr>
          <w:rFonts w:hint="eastAsia" w:ascii="宋体" w:hAnsi="宋体" w:cs="宋体"/>
          <w:szCs w:val="21"/>
          <w:highlight w:val="none"/>
        </w:rPr>
        <w:t>.2 甲方无故逾期验收和办理款项支付手续的，甲方应按逾期付款总额每日万分之五向乙方支付违约金。</w:t>
      </w:r>
    </w:p>
    <w:p>
      <w:pPr>
        <w:spacing w:line="360" w:lineRule="auto"/>
        <w:rPr>
          <w:rFonts w:ascii="宋体" w:hAnsi="宋体" w:cs="宋体"/>
          <w:szCs w:val="21"/>
          <w:highlight w:val="none"/>
        </w:rPr>
      </w:pPr>
      <w:r>
        <w:rPr>
          <w:rFonts w:hint="eastAsia" w:ascii="宋体" w:hAnsi="宋体" w:cs="宋体"/>
          <w:szCs w:val="21"/>
          <w:highlight w:val="none"/>
          <w:lang w:val="en-US" w:eastAsia="zh-CN"/>
        </w:rPr>
        <w:t>9</w:t>
      </w:r>
      <w:r>
        <w:rPr>
          <w:rFonts w:hint="eastAsia" w:ascii="宋体" w:hAnsi="宋体" w:cs="宋体"/>
          <w:szCs w:val="21"/>
          <w:highlight w:val="none"/>
        </w:rPr>
        <w:t>.3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spacing w:line="360" w:lineRule="auto"/>
        <w:ind w:left="360" w:hanging="361" w:hangingChars="171"/>
        <w:rPr>
          <w:rFonts w:ascii="宋体" w:hAnsi="宋体" w:cs="宋体"/>
          <w:b/>
          <w:szCs w:val="21"/>
          <w:highlight w:val="none"/>
        </w:rPr>
      </w:pPr>
      <w:r>
        <w:rPr>
          <w:rFonts w:hint="eastAsia" w:ascii="宋体" w:hAnsi="宋体" w:cs="宋体"/>
          <w:b/>
          <w:szCs w:val="21"/>
          <w:highlight w:val="none"/>
          <w:lang w:eastAsia="zh-CN"/>
        </w:rPr>
        <w:t>十</w:t>
      </w:r>
      <w:r>
        <w:rPr>
          <w:rFonts w:hint="eastAsia" w:ascii="宋体" w:hAnsi="宋体" w:cs="宋体"/>
          <w:b/>
          <w:szCs w:val="21"/>
          <w:highlight w:val="none"/>
        </w:rPr>
        <w:t>、不可抗力事件处理</w:t>
      </w:r>
    </w:p>
    <w:p>
      <w:pPr>
        <w:spacing w:line="360" w:lineRule="auto"/>
        <w:rPr>
          <w:rFonts w:ascii="宋体" w:hAnsi="宋体" w:cs="宋体"/>
          <w:szCs w:val="21"/>
          <w:highlight w:val="none"/>
        </w:rPr>
      </w:pPr>
      <w:r>
        <w:rPr>
          <w:rFonts w:hint="eastAsia" w:ascii="宋体" w:hAnsi="宋体" w:cs="宋体"/>
          <w:szCs w:val="21"/>
          <w:highlight w:val="none"/>
          <w:lang w:val="en-US" w:eastAsia="zh-CN"/>
        </w:rPr>
        <w:t>10</w:t>
      </w:r>
      <w:r>
        <w:rPr>
          <w:rFonts w:hint="eastAsia" w:ascii="宋体" w:hAnsi="宋体" w:cs="宋体"/>
          <w:szCs w:val="21"/>
          <w:highlight w:val="none"/>
        </w:rPr>
        <w:t>.1 在合同有效期内，任何一方因不可抗力事件导致不能履行合同，则合同履行期可延长，其延长期与不可抗力影响期相同。</w:t>
      </w:r>
    </w:p>
    <w:p>
      <w:pPr>
        <w:spacing w:line="360" w:lineRule="auto"/>
        <w:rPr>
          <w:rFonts w:ascii="宋体" w:hAnsi="宋体" w:cs="宋体"/>
          <w:szCs w:val="21"/>
          <w:highlight w:val="none"/>
        </w:rPr>
      </w:pPr>
      <w:r>
        <w:rPr>
          <w:rFonts w:hint="eastAsia" w:ascii="宋体" w:hAnsi="宋体" w:cs="宋体"/>
          <w:szCs w:val="21"/>
          <w:highlight w:val="none"/>
          <w:lang w:val="en-US" w:eastAsia="zh-CN"/>
        </w:rPr>
        <w:t>10</w:t>
      </w:r>
      <w:r>
        <w:rPr>
          <w:rFonts w:hint="eastAsia" w:ascii="宋体" w:hAnsi="宋体" w:cs="宋体"/>
          <w:szCs w:val="21"/>
          <w:highlight w:val="none"/>
        </w:rPr>
        <w:t>.2 不可抗力事件发生后，应立即通知对方，并寄送有关权威机构出具的证明。</w:t>
      </w:r>
    </w:p>
    <w:p>
      <w:pPr>
        <w:spacing w:line="360" w:lineRule="auto"/>
        <w:rPr>
          <w:rFonts w:ascii="宋体" w:hAnsi="宋体" w:cs="宋体"/>
          <w:szCs w:val="21"/>
          <w:highlight w:val="none"/>
        </w:rPr>
      </w:pPr>
      <w:r>
        <w:rPr>
          <w:rFonts w:hint="eastAsia" w:ascii="宋体" w:hAnsi="宋体" w:cs="宋体"/>
          <w:szCs w:val="21"/>
          <w:highlight w:val="none"/>
          <w:lang w:val="en-US" w:eastAsia="zh-CN"/>
        </w:rPr>
        <w:t>10</w:t>
      </w:r>
      <w:r>
        <w:rPr>
          <w:rFonts w:hint="eastAsia" w:ascii="宋体" w:hAnsi="宋体" w:cs="宋体"/>
          <w:szCs w:val="21"/>
          <w:highlight w:val="none"/>
        </w:rPr>
        <w:t>.3 不可抗力事件延续120天以上，双方应通过友好协商，确定是否继续履行合同。</w:t>
      </w:r>
    </w:p>
    <w:p>
      <w:pPr>
        <w:spacing w:line="360" w:lineRule="auto"/>
        <w:rPr>
          <w:rFonts w:ascii="宋体" w:hAnsi="宋体" w:cs="宋体"/>
          <w:b/>
          <w:szCs w:val="21"/>
          <w:highlight w:val="none"/>
        </w:rPr>
      </w:pPr>
      <w:r>
        <w:rPr>
          <w:rFonts w:hint="eastAsia" w:ascii="宋体" w:hAnsi="宋体" w:cs="宋体"/>
          <w:b/>
          <w:szCs w:val="21"/>
          <w:highlight w:val="none"/>
        </w:rPr>
        <w:t>十</w:t>
      </w:r>
      <w:r>
        <w:rPr>
          <w:rFonts w:hint="eastAsia" w:ascii="宋体" w:hAnsi="宋体" w:cs="宋体"/>
          <w:b/>
          <w:szCs w:val="21"/>
          <w:highlight w:val="none"/>
          <w:lang w:eastAsia="zh-CN"/>
        </w:rPr>
        <w:t>一</w:t>
      </w:r>
      <w:r>
        <w:rPr>
          <w:rFonts w:hint="eastAsia" w:ascii="宋体" w:hAnsi="宋体" w:cs="宋体"/>
          <w:b/>
          <w:szCs w:val="21"/>
          <w:highlight w:val="none"/>
        </w:rPr>
        <w:t>、诉讼</w:t>
      </w:r>
    </w:p>
    <w:p>
      <w:pPr>
        <w:spacing w:line="360" w:lineRule="auto"/>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1</w:t>
      </w:r>
      <w:r>
        <w:rPr>
          <w:rFonts w:hint="eastAsia" w:ascii="宋体" w:hAnsi="宋体" w:cs="宋体"/>
          <w:szCs w:val="21"/>
          <w:highlight w:val="none"/>
        </w:rPr>
        <w:t>.1 双方在执行合同中所发生的一切争议，应通过协商解决。如协商不成，可向合同签订地法院起诉。</w:t>
      </w:r>
    </w:p>
    <w:p>
      <w:pPr>
        <w:spacing w:line="360" w:lineRule="auto"/>
        <w:rPr>
          <w:rFonts w:ascii="宋体" w:hAnsi="宋体" w:cs="宋体"/>
          <w:b/>
          <w:szCs w:val="21"/>
          <w:highlight w:val="none"/>
        </w:rPr>
      </w:pPr>
      <w:r>
        <w:rPr>
          <w:rFonts w:hint="eastAsia" w:ascii="宋体" w:hAnsi="宋体" w:cs="宋体"/>
          <w:b/>
          <w:szCs w:val="21"/>
          <w:highlight w:val="none"/>
        </w:rPr>
        <w:t>十</w:t>
      </w:r>
      <w:r>
        <w:rPr>
          <w:rFonts w:hint="eastAsia" w:ascii="宋体" w:hAnsi="宋体" w:cs="宋体"/>
          <w:b/>
          <w:szCs w:val="21"/>
          <w:highlight w:val="none"/>
          <w:lang w:eastAsia="zh-CN"/>
        </w:rPr>
        <w:t>二</w:t>
      </w:r>
      <w:r>
        <w:rPr>
          <w:rFonts w:hint="eastAsia" w:ascii="宋体" w:hAnsi="宋体" w:cs="宋体"/>
          <w:b/>
          <w:szCs w:val="21"/>
          <w:highlight w:val="none"/>
        </w:rPr>
        <w:t>、合同生效及其它</w:t>
      </w:r>
    </w:p>
    <w:p>
      <w:pPr>
        <w:spacing w:line="360" w:lineRule="auto"/>
        <w:rPr>
          <w:rFonts w:hint="default" w:eastAsia="宋体"/>
          <w:highlight w:val="none"/>
          <w:lang w:val="en-US" w:eastAsia="zh-CN"/>
        </w:rPr>
      </w:pPr>
      <w:r>
        <w:rPr>
          <w:rFonts w:hint="eastAsia" w:ascii="宋体" w:hAnsi="宋体" w:cs="宋体"/>
          <w:szCs w:val="21"/>
          <w:highlight w:val="none"/>
        </w:rPr>
        <w:t>1</w:t>
      </w:r>
      <w:r>
        <w:rPr>
          <w:rFonts w:hint="eastAsia" w:ascii="宋体" w:hAnsi="宋体" w:cs="宋体"/>
          <w:szCs w:val="21"/>
          <w:highlight w:val="none"/>
          <w:lang w:val="en-US" w:eastAsia="zh-CN"/>
        </w:rPr>
        <w:t>2</w:t>
      </w:r>
      <w:r>
        <w:rPr>
          <w:rFonts w:hint="eastAsia" w:ascii="宋体" w:hAnsi="宋体" w:cs="宋体"/>
          <w:szCs w:val="21"/>
          <w:highlight w:val="none"/>
        </w:rPr>
        <w:t>.1</w:t>
      </w:r>
      <w:r>
        <w:rPr>
          <w:rFonts w:hint="eastAsia" w:ascii="宋体" w:hAnsi="宋体" w:cs="宋体"/>
          <w:szCs w:val="21"/>
          <w:highlight w:val="none"/>
          <w:lang w:val="en-US" w:eastAsia="zh-CN"/>
        </w:rPr>
        <w:t>乙方</w:t>
      </w:r>
      <w:r>
        <w:rPr>
          <w:rFonts w:hint="eastAsia" w:ascii="宋体" w:hAnsi="宋体" w:cs="宋体"/>
          <w:szCs w:val="21"/>
          <w:highlight w:val="none"/>
        </w:rPr>
        <w:t>应严格按照《浙江省落实生产经营单位安全生产主体责任暂行规定》承担安全生产主体责任。</w:t>
      </w:r>
      <w:r>
        <w:rPr>
          <w:rFonts w:hint="eastAsia" w:ascii="宋体" w:hAnsi="宋体" w:cs="宋体"/>
          <w:szCs w:val="21"/>
          <w:highlight w:val="none"/>
          <w:lang w:val="en-US" w:eastAsia="zh-CN"/>
        </w:rPr>
        <w:t>乙方的</w:t>
      </w:r>
      <w:r>
        <w:rPr>
          <w:rFonts w:hint="eastAsia" w:ascii="宋体" w:hAnsi="宋体" w:cs="宋体"/>
          <w:szCs w:val="21"/>
          <w:highlight w:val="none"/>
        </w:rPr>
        <w:t>法定代表人是本项目安全生产的第一责任人，应对本单位的安全生产负全部责任。对单位所发生的一切安全事故（包括由于作业受伤等引起的全部事故内容），全部责任由</w:t>
      </w:r>
      <w:r>
        <w:rPr>
          <w:rFonts w:hint="eastAsia" w:ascii="宋体" w:hAnsi="宋体" w:cs="宋体"/>
          <w:szCs w:val="21"/>
          <w:highlight w:val="none"/>
          <w:lang w:val="en-US" w:eastAsia="zh-CN"/>
        </w:rPr>
        <w:t>乙方</w:t>
      </w:r>
      <w:r>
        <w:rPr>
          <w:rFonts w:hint="eastAsia" w:ascii="宋体" w:hAnsi="宋体" w:cs="宋体"/>
          <w:szCs w:val="21"/>
          <w:highlight w:val="none"/>
        </w:rPr>
        <w:t>自行承</w:t>
      </w:r>
      <w:r>
        <w:rPr>
          <w:rFonts w:hint="eastAsia" w:ascii="宋体" w:hAnsi="宋体" w:cs="宋体"/>
          <w:color w:val="auto"/>
          <w:szCs w:val="21"/>
          <w:highlight w:val="none"/>
        </w:rPr>
        <w:t>担，自主负责处理解决并承担相关费用。</w:t>
      </w:r>
      <w:r>
        <w:rPr>
          <w:rFonts w:hint="eastAsia" w:ascii="宋体" w:hAnsi="宋体" w:cs="宋体"/>
          <w:szCs w:val="21"/>
          <w:highlight w:val="none"/>
          <w:lang w:val="en-US" w:eastAsia="zh-CN"/>
        </w:rPr>
        <w:t>乙方</w:t>
      </w:r>
      <w:r>
        <w:rPr>
          <w:rFonts w:hint="eastAsia" w:ascii="宋体" w:hAnsi="宋体" w:cs="宋体"/>
          <w:color w:val="auto"/>
          <w:szCs w:val="21"/>
          <w:highlight w:val="none"/>
        </w:rPr>
        <w:t>的职工在法律规定的工伤认定范围内发生事故的应按工伤赔偿标准赔偿。</w:t>
      </w:r>
    </w:p>
    <w:p>
      <w:pPr>
        <w:spacing w:line="360" w:lineRule="auto"/>
        <w:rPr>
          <w:rFonts w:ascii="宋体" w:hAnsi="宋体" w:cs="宋体"/>
          <w:szCs w:val="21"/>
          <w:highlight w:val="none"/>
        </w:rPr>
      </w:pPr>
      <w:r>
        <w:rPr>
          <w:rFonts w:hint="eastAsia" w:ascii="宋体" w:hAnsi="宋体" w:cs="宋体"/>
          <w:szCs w:val="21"/>
          <w:highlight w:val="none"/>
          <w:lang w:val="en-US" w:eastAsia="zh-CN"/>
        </w:rPr>
        <w:t>12.2</w:t>
      </w:r>
      <w:r>
        <w:rPr>
          <w:rFonts w:hint="eastAsia" w:ascii="宋体" w:hAnsi="宋体" w:cs="宋体"/>
          <w:szCs w:val="21"/>
          <w:highlight w:val="none"/>
        </w:rPr>
        <w:t>合同经双方法定代表人或授权委托代理人签字并加盖单位公章后生效。</w:t>
      </w:r>
    </w:p>
    <w:p>
      <w:pPr>
        <w:spacing w:line="360" w:lineRule="auto"/>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2</w:t>
      </w: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合同执行中涉及采购资金和采购内容修改或补充的，须经财政部门审批，并签书面补充协议报政府采购监督管理部门备案，方可作为主合同不可分割的一部分。</w:t>
      </w:r>
    </w:p>
    <w:p>
      <w:pPr>
        <w:spacing w:line="360" w:lineRule="auto"/>
        <w:rPr>
          <w:rFonts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val="en-US" w:eastAsia="zh-CN"/>
        </w:rPr>
        <w:t>2</w:t>
      </w: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本合同未尽事宜，遵照《中华人民共和国民法典》有关条文、补充协议、投标承诺、投标文件、采购文件及补充执行。</w:t>
      </w:r>
    </w:p>
    <w:p>
      <w:pPr>
        <w:spacing w:line="360" w:lineRule="auto"/>
        <w:rPr>
          <w:rFonts w:ascii="Calibri" w:hAnsi="Calibri"/>
          <w:highlight w:val="none"/>
        </w:rPr>
      </w:pPr>
      <w:r>
        <w:rPr>
          <w:rFonts w:hint="eastAsia" w:ascii="宋体" w:hAnsi="宋体" w:cs="宋体"/>
          <w:szCs w:val="21"/>
          <w:highlight w:val="none"/>
        </w:rPr>
        <w:t>1</w:t>
      </w:r>
      <w:r>
        <w:rPr>
          <w:rFonts w:hint="eastAsia" w:ascii="宋体" w:hAnsi="宋体" w:cs="宋体"/>
          <w:szCs w:val="21"/>
          <w:highlight w:val="none"/>
          <w:lang w:val="en-US" w:eastAsia="zh-CN"/>
        </w:rPr>
        <w:t>2</w:t>
      </w: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本合同正本一式   份，甲乙双方各执  份；副本  份，甲乙双方各执  份。合同正副本具有同等法律效力。</w:t>
      </w:r>
    </w:p>
    <w:p>
      <w:pPr>
        <w:spacing w:line="360" w:lineRule="auto"/>
        <w:jc w:val="left"/>
        <w:rPr>
          <w:rFonts w:ascii="Calibri" w:hAnsi="Calibri"/>
          <w:kern w:val="0"/>
          <w:sz w:val="24"/>
          <w:highlight w:val="none"/>
        </w:rPr>
      </w:pPr>
      <w:r>
        <w:rPr>
          <w:rFonts w:hint="eastAsia" w:ascii="宋体" w:hAnsi="宋体" w:cs="宋体"/>
          <w:kern w:val="0"/>
          <w:szCs w:val="21"/>
          <w:highlight w:val="none"/>
        </w:rPr>
        <w:t>甲方：(公章)                               乙方：(公章)</w:t>
      </w:r>
    </w:p>
    <w:p>
      <w:pPr>
        <w:spacing w:line="360" w:lineRule="auto"/>
        <w:jc w:val="left"/>
        <w:rPr>
          <w:rFonts w:ascii="Calibri" w:hAnsi="Calibri"/>
          <w:kern w:val="0"/>
          <w:sz w:val="24"/>
          <w:highlight w:val="none"/>
        </w:rPr>
      </w:pPr>
      <w:r>
        <w:rPr>
          <w:rFonts w:hint="eastAsia" w:ascii="宋体" w:hAnsi="宋体" w:cs="宋体"/>
          <w:kern w:val="0"/>
          <w:szCs w:val="21"/>
          <w:highlight w:val="none"/>
        </w:rPr>
        <w:t>地址：                                     地址：</w:t>
      </w:r>
    </w:p>
    <w:p>
      <w:pPr>
        <w:spacing w:line="360" w:lineRule="auto"/>
        <w:jc w:val="left"/>
        <w:rPr>
          <w:rFonts w:ascii="Calibri" w:hAnsi="Calibri"/>
          <w:kern w:val="0"/>
          <w:sz w:val="24"/>
          <w:highlight w:val="none"/>
        </w:rPr>
      </w:pPr>
      <w:r>
        <w:rPr>
          <w:rFonts w:hint="eastAsia" w:ascii="宋体" w:hAnsi="宋体" w:cs="宋体"/>
          <w:kern w:val="0"/>
          <w:szCs w:val="21"/>
          <w:highlight w:val="none"/>
        </w:rPr>
        <w:t>法定代表人：(签字)                         法定代表人：(签字)</w:t>
      </w:r>
    </w:p>
    <w:p>
      <w:pPr>
        <w:spacing w:line="360" w:lineRule="auto"/>
        <w:jc w:val="left"/>
        <w:rPr>
          <w:rFonts w:ascii="Calibri" w:hAnsi="Calibri"/>
          <w:kern w:val="0"/>
          <w:sz w:val="24"/>
          <w:highlight w:val="none"/>
        </w:rPr>
      </w:pPr>
      <w:r>
        <w:rPr>
          <w:rFonts w:hint="eastAsia" w:ascii="宋体" w:hAnsi="宋体" w:cs="宋体"/>
          <w:kern w:val="0"/>
          <w:szCs w:val="21"/>
          <w:highlight w:val="none"/>
        </w:rPr>
        <w:t>委托代理人：(签字)                         委托代理人：(签字)</w:t>
      </w:r>
    </w:p>
    <w:p>
      <w:pPr>
        <w:spacing w:line="360" w:lineRule="auto"/>
        <w:jc w:val="left"/>
        <w:rPr>
          <w:rFonts w:ascii="Calibri" w:hAnsi="Calibri"/>
          <w:kern w:val="0"/>
          <w:sz w:val="24"/>
          <w:highlight w:val="none"/>
        </w:rPr>
      </w:pPr>
      <w:r>
        <w:rPr>
          <w:rFonts w:hint="eastAsia" w:ascii="宋体" w:hAnsi="宋体" w:cs="宋体"/>
          <w:kern w:val="0"/>
          <w:szCs w:val="21"/>
          <w:highlight w:val="none"/>
        </w:rPr>
        <w:t>电话：                                     电话：</w:t>
      </w:r>
    </w:p>
    <w:p>
      <w:pPr>
        <w:spacing w:line="360" w:lineRule="auto"/>
        <w:jc w:val="left"/>
        <w:rPr>
          <w:rFonts w:ascii="Calibri" w:hAnsi="Calibri"/>
          <w:kern w:val="0"/>
          <w:sz w:val="24"/>
          <w:highlight w:val="none"/>
        </w:rPr>
      </w:pPr>
      <w:r>
        <w:rPr>
          <w:rFonts w:hint="eastAsia" w:ascii="宋体" w:hAnsi="宋体" w:cs="宋体"/>
          <w:kern w:val="0"/>
          <w:szCs w:val="21"/>
          <w:highlight w:val="none"/>
        </w:rPr>
        <w:t>传真：                                     传真：</w:t>
      </w:r>
    </w:p>
    <w:p>
      <w:pPr>
        <w:spacing w:line="360" w:lineRule="auto"/>
        <w:jc w:val="left"/>
        <w:rPr>
          <w:rFonts w:ascii="Calibri" w:hAnsi="Calibri"/>
          <w:kern w:val="0"/>
          <w:sz w:val="24"/>
          <w:highlight w:val="none"/>
        </w:rPr>
      </w:pPr>
      <w:r>
        <w:rPr>
          <w:rFonts w:hint="eastAsia" w:ascii="宋体" w:hAnsi="宋体" w:cs="宋体"/>
          <w:kern w:val="0"/>
          <w:szCs w:val="21"/>
          <w:highlight w:val="none"/>
        </w:rPr>
        <w:t>开户银行：                                 开户银行：</w:t>
      </w:r>
    </w:p>
    <w:p>
      <w:pPr>
        <w:spacing w:line="360" w:lineRule="auto"/>
        <w:jc w:val="left"/>
        <w:rPr>
          <w:rFonts w:ascii="Calibri" w:hAnsi="Calibri"/>
          <w:kern w:val="0"/>
          <w:sz w:val="24"/>
          <w:highlight w:val="none"/>
        </w:rPr>
      </w:pPr>
      <w:r>
        <w:rPr>
          <w:rFonts w:hint="eastAsia" w:ascii="宋体" w:hAnsi="宋体" w:cs="宋体"/>
          <w:kern w:val="0"/>
          <w:szCs w:val="21"/>
          <w:highlight w:val="none"/>
        </w:rPr>
        <w:t>账号：                                     账号：</w:t>
      </w:r>
    </w:p>
    <w:p>
      <w:pPr>
        <w:widowControl/>
        <w:spacing w:line="360" w:lineRule="auto"/>
        <w:jc w:val="left"/>
        <w:rPr>
          <w:rFonts w:ascii="Calibri" w:hAnsi="Calibri"/>
          <w:highlight w:val="none"/>
        </w:rPr>
      </w:pPr>
      <w:r>
        <w:rPr>
          <w:rFonts w:hint="eastAsia" w:ascii="宋体" w:hAnsi="宋体" w:cs="宋体"/>
          <w:szCs w:val="21"/>
          <w:highlight w:val="none"/>
        </w:rPr>
        <w:t>邮政编码：                                 邮政编码：</w:t>
      </w:r>
    </w:p>
    <w:p>
      <w:pPr>
        <w:spacing w:line="360" w:lineRule="auto"/>
        <w:rPr>
          <w:rFonts w:ascii="宋体" w:hAnsi="宋体" w:cs="宋体"/>
          <w:szCs w:val="21"/>
          <w:highlight w:val="none"/>
        </w:rPr>
      </w:pPr>
    </w:p>
    <w:p>
      <w:pPr>
        <w:spacing w:line="360" w:lineRule="auto"/>
        <w:contextualSpacing/>
        <w:rPr>
          <w:rFonts w:hint="eastAsia" w:ascii="宋体" w:hAnsi="宋体" w:eastAsia="宋体" w:cs="宋体"/>
          <w:szCs w:val="21"/>
          <w:highlight w:val="none"/>
          <w:lang w:eastAsia="zh-CN"/>
        </w:rPr>
      </w:pPr>
      <w:r>
        <w:rPr>
          <w:rFonts w:hint="eastAsia" w:ascii="宋体" w:hAnsi="宋体" w:cs="宋体"/>
          <w:szCs w:val="21"/>
          <w:highlight w:val="none"/>
        </w:rPr>
        <w:t>合同见证方：</w:t>
      </w:r>
      <w:r>
        <w:rPr>
          <w:rFonts w:hint="eastAsia" w:ascii="宋体" w:hAnsi="宋体" w:cs="宋体"/>
          <w:szCs w:val="21"/>
          <w:highlight w:val="none"/>
          <w:lang w:val="en-US" w:eastAsia="zh-CN"/>
        </w:rPr>
        <w:t xml:space="preserve"> </w:t>
      </w:r>
    </w:p>
    <w:p>
      <w:pPr>
        <w:pStyle w:val="13"/>
        <w:spacing w:beforeLines="0" w:afterLines="0"/>
        <w:jc w:val="both"/>
        <w:outlineLvl w:val="0"/>
        <w:rPr>
          <w:rFonts w:hint="default"/>
          <w:highlight w:val="none"/>
        </w:rPr>
      </w:pPr>
      <w:r>
        <w:rPr>
          <w:rFonts w:hint="eastAsia" w:ascii="宋体" w:hAnsi="宋体" w:eastAsia="宋体" w:cs="宋体"/>
          <w:kern w:val="2"/>
          <w:sz w:val="21"/>
          <w:szCs w:val="21"/>
          <w:highlight w:val="none"/>
          <w:lang w:val="en-US" w:eastAsia="zh-CN" w:bidi="ar-SA"/>
        </w:rPr>
        <w:t>见证日期：</w:t>
      </w:r>
    </w:p>
    <w:p>
      <w:pPr>
        <w:spacing w:line="360" w:lineRule="auto"/>
        <w:jc w:val="left"/>
        <w:rPr>
          <w:rFonts w:hint="eastAsia"/>
          <w:highlight w:val="none"/>
          <w:lang w:eastAsia="zh-CN"/>
        </w:rPr>
      </w:pPr>
      <w:r>
        <w:rPr>
          <w:highlight w:val="none"/>
        </w:rPr>
        <w:br w:type="page"/>
      </w:r>
      <w:r>
        <w:rPr>
          <w:rFonts w:hint="eastAsia"/>
          <w:highlight w:val="none"/>
          <w:lang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center"/>
        <w:textAlignment w:val="auto"/>
        <w:outlineLvl w:val="1"/>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宁海县桥头胡街道</w:t>
      </w:r>
      <w:r>
        <w:rPr>
          <w:rFonts w:hint="eastAsia" w:ascii="宋体" w:hAnsi="宋体" w:eastAsia="宋体" w:cs="宋体"/>
          <w:b/>
          <w:color w:val="000000"/>
          <w:sz w:val="21"/>
          <w:szCs w:val="21"/>
          <w:highlight w:val="none"/>
        </w:rPr>
        <w:t>环卫保洁作业标准及考核细则</w:t>
      </w:r>
      <w:r>
        <w:rPr>
          <w:rFonts w:hint="eastAsia" w:ascii="宋体" w:hAnsi="宋体" w:eastAsia="宋体" w:cs="宋体"/>
          <w:b/>
          <w:color w:val="000000"/>
          <w:sz w:val="21"/>
          <w:szCs w:val="21"/>
          <w:highlight w:val="none"/>
          <w:lang w:eastAsia="zh-CN"/>
        </w:rPr>
        <w:t>（保洁）</w:t>
      </w:r>
    </w:p>
    <w:tbl>
      <w:tblPr>
        <w:tblStyle w:val="30"/>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1"/>
        <w:gridCol w:w="1049"/>
        <w:gridCol w:w="5911"/>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exact"/>
          <w:tblHeader/>
          <w:jc w:val="center"/>
        </w:trPr>
        <w:tc>
          <w:tcPr>
            <w:tcW w:w="59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1" w:beforeLines="0" w:afterLines="0" w:line="240" w:lineRule="auto"/>
              <w:ind w:left="0" w:leftChars="0" w:right="0" w:rightChars="0" w:firstLine="85"/>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104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1" w:beforeLines="0" w:afterLines="0" w:line="240" w:lineRule="auto"/>
              <w:ind w:left="0" w:leftChars="0" w:right="0" w:rightChars="0" w:firstLine="108"/>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考核项目</w:t>
            </w: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1" w:beforeLines="0" w:afterLines="0" w:line="240" w:lineRule="auto"/>
              <w:ind w:left="0" w:leftChars="0" w:right="0" w:rightChars="0" w:firstLine="1842"/>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考核内容及评分标准</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1" w:beforeLines="0" w:afterLines="0" w:line="240" w:lineRule="auto"/>
              <w:ind w:left="0" w:leftChars="0" w:right="0" w:rightChars="0" w:firstLine="114"/>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eastAsia="zh-CN"/>
              </w:rPr>
              <w:t>分值</w:t>
            </w:r>
            <w:r>
              <w:rPr>
                <w:rFonts w:hint="eastAsia" w:ascii="宋体" w:hAnsi="宋体" w:eastAsia="宋体" w:cs="宋体"/>
                <w:color w:val="000000"/>
                <w:sz w:val="21"/>
                <w:szCs w:val="21"/>
                <w:highlight w:val="none"/>
                <w:lang w:val="en-US"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591"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1049"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工作保障</w:t>
            </w:r>
          </w:p>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机制及管</w:t>
            </w:r>
          </w:p>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理措施</w:t>
            </w:r>
          </w:p>
        </w:tc>
        <w:tc>
          <w:tcPr>
            <w:tcW w:w="5911"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0" w:beforeLines="0" w:afterLines="0" w:line="240" w:lineRule="auto"/>
              <w:ind w:left="0" w:leftChars="0" w:right="0" w:rightChars="0" w:firstLine="85"/>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1、有组织机构。承包单位组织机构分工明确，能顺利找到相关责任人以及各道路清扫负责人。没有落实或落实不全面， 每发现一个保洁段扣0.5分。</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2、切实保障环卫工人合法权益，无因劳资纠纷引起的群体性事件发生，每发生一次扣2分。</w:t>
            </w:r>
          </w:p>
        </w:tc>
        <w:tc>
          <w:tcPr>
            <w:tcW w:w="1117"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84"/>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3、具有一套完整的保洁制度，没有制度扣2分。</w:t>
            </w:r>
          </w:p>
        </w:tc>
        <w:tc>
          <w:tcPr>
            <w:tcW w:w="1117"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78"/>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4、具有一套完整的内部考核机制，完善管理制度，没有机制或制度扣2分。</w:t>
            </w:r>
          </w:p>
        </w:tc>
        <w:tc>
          <w:tcPr>
            <w:tcW w:w="1117"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5、按规定配备保洁人员数</w:t>
            </w:r>
            <w:r>
              <w:rPr>
                <w:rFonts w:hint="eastAsia" w:ascii="宋体" w:hAnsi="宋体" w:eastAsia="宋体" w:cs="宋体"/>
                <w:color w:val="000000"/>
                <w:sz w:val="21"/>
                <w:szCs w:val="21"/>
                <w:highlight w:val="none"/>
                <w:lang w:val="en-US" w:eastAsia="zh-CN"/>
              </w:rPr>
              <w:t>的</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eastAsia="zh-CN"/>
              </w:rPr>
              <w:t>人员未</w:t>
            </w:r>
            <w:r>
              <w:rPr>
                <w:rFonts w:hint="eastAsia" w:ascii="宋体" w:hAnsi="宋体" w:cs="宋体"/>
                <w:color w:val="000000"/>
                <w:sz w:val="21"/>
                <w:szCs w:val="21"/>
                <w:highlight w:val="none"/>
                <w:lang w:eastAsia="zh-CN"/>
              </w:rPr>
              <w:t>到</w:t>
            </w:r>
            <w:r>
              <w:rPr>
                <w:rFonts w:hint="eastAsia" w:ascii="宋体" w:hAnsi="宋体" w:eastAsia="宋体" w:cs="宋体"/>
                <w:color w:val="000000"/>
                <w:sz w:val="21"/>
                <w:szCs w:val="21"/>
                <w:highlight w:val="none"/>
                <w:lang w:eastAsia="zh-CN"/>
              </w:rPr>
              <w:t>岗，每发现一次扣</w:t>
            </w:r>
            <w:r>
              <w:rPr>
                <w:rFonts w:hint="eastAsia" w:ascii="宋体" w:hAnsi="宋体" w:eastAsia="宋体" w:cs="宋体"/>
                <w:color w:val="000000"/>
                <w:sz w:val="21"/>
                <w:szCs w:val="21"/>
                <w:highlight w:val="none"/>
              </w:rPr>
              <w:t xml:space="preserve"> 0. 5分。</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3"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6、配备满足垃圾清扫设备，每发现一次配备不齐全的扣 0. 5分。（清扫设备包括：工作服、反光背心、扫帚、三轮保洁车、畚斗、手套）</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jc w:val="center"/>
        </w:trPr>
        <w:tc>
          <w:tcPr>
            <w:tcW w:w="591"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p>
        </w:tc>
        <w:tc>
          <w:tcPr>
            <w:tcW w:w="1049"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保洁质量情况及作业规范</w:t>
            </w:r>
          </w:p>
        </w:tc>
        <w:tc>
          <w:tcPr>
            <w:tcW w:w="5911"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5"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1、路面（100米）纸屑、果皮、烟头、塑料袋等，有1-3个扣0.1分，4-6个扣0.2分，7-9个扣0.3分，10个以上扣0. 4分。</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2、道路积泥（沙石）长度＜5米的每处扣0.1分，＜10米的每处扣0.2分，＜20米的每处扣0.3分， ≥20米的每处扣0. 4分。</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3、发现道路晴天积水，有1m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扣0.1分，1-2m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扣0.2分，3-4m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扣0.3分，4m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以上0. 4分。冬季路面积水导致路面结冰的每处扣0.1分，导致有责交通事故的每次扣0.2分。</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78"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4、人行道各类井盖间等缝隙有垃圾（杂物）的每处扣0.1</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0"/>
                <w:tab w:val="left" w:pos="522"/>
              </w:tabs>
              <w:spacing w:line="340" w:lineRule="exact"/>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r>
              <w:rPr>
                <w:rFonts w:hint="eastAsia" w:ascii="宋体" w:hAnsi="宋体" w:eastAsia="宋体" w:cs="宋体"/>
                <w:bCs/>
                <w:sz w:val="21"/>
                <w:szCs w:val="21"/>
              </w:rPr>
              <w:t>道路路面清洗有特殊标准要求的按要求执行，未达到次数的，每少一次扣0.5分，其他一级道路每周少于一次的，每次扣0.5分；气温30℃以上时，每天洒水少于3次的，每少一次扣0.5分。（用于一级道路考核）。</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78" w:firstLineChars="0"/>
              <w:jc w:val="both"/>
              <w:textAlignment w:val="auto"/>
              <w:outlineLvl w:val="9"/>
              <w:rPr>
                <w:rFonts w:hint="eastAsia" w:ascii="宋体" w:hAnsi="宋体" w:eastAsia="宋体" w:cs="宋体"/>
                <w:bCs/>
                <w:sz w:val="21"/>
                <w:szCs w:val="21"/>
              </w:rPr>
            </w:pPr>
            <w:r>
              <w:rPr>
                <w:rFonts w:hint="eastAsia" w:ascii="宋体" w:hAnsi="宋体" w:eastAsia="宋体" w:cs="宋体"/>
                <w:bCs/>
                <w:sz w:val="21"/>
                <w:szCs w:val="21"/>
              </w:rPr>
              <w:t>6、道路路面清洗每周少于1次的，每次扣0.5分，气温30℃以上时，每天洒水少于2次的，每少一次扣0.5分。</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2"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5、绿化带纸屑、果皮、烟头、塑料袋等，有1-3个扣0.1分，4-6个扣0.2分，7-9个扣0.3分，10个以上扣0.4分。</w:t>
            </w:r>
          </w:p>
        </w:tc>
        <w:tc>
          <w:tcPr>
            <w:tcW w:w="1117"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8"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6、机动车道、非机动车道、人行道（含店前道路）路面油污、污渍、污迹＜10m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的每处扣0.1分，≥10m</w:t>
            </w:r>
            <w:r>
              <w:rPr>
                <w:rFonts w:hint="eastAsia" w:ascii="宋体" w:hAnsi="宋体" w:eastAsia="宋体" w:cs="宋体"/>
                <w:color w:val="000000"/>
                <w:sz w:val="21"/>
                <w:szCs w:val="21"/>
                <w:highlight w:val="none"/>
                <w:vertAlign w:val="superscript"/>
              </w:rPr>
              <w:t>2</w:t>
            </w:r>
            <w:r>
              <w:rPr>
                <w:rFonts w:hint="eastAsia" w:ascii="宋体" w:hAnsi="宋体" w:eastAsia="宋体" w:cs="宋体"/>
                <w:color w:val="000000"/>
                <w:sz w:val="21"/>
                <w:szCs w:val="21"/>
                <w:highlight w:val="none"/>
              </w:rPr>
              <w:t>的每处扣0.2分， 路面清洗质量不到位未见本色的，每处扣0.3分。</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7、三轮保洁车外观不洁、积尘、破损，实行密闭运输发生抛洒滴漏污染路面、车厢外有吊挂垃圾等问题，每次扣0.1分；靠边停放，不得阻碍交通，没发现一次扣0.2分。</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8、道路、人行道（含店前道路）漏扫的每处扣0.1分，垃圾归拢、归堆未清除的每处扣0.1分，清除不彻底的每处扣0.1分，清扫保洁时将垃圾扫入窨井中或向道路两侧反扫的每次扣 0.2分；</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6"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9、环卫工人着装不规范，如衣冠不整（如钮扣不扣、工作帽歪戴等）、服装不洁、未穿着统一的工作服、未使用统一的保洁工具的每人次扣0.1分。保洁员不遵守交通规则，在机动车道骑自行车逆向行驶的每人次扣0.1分；保洁员未按车道规定有序停发保洁车辆，每人次扣0.1分；乱穿、乱闯交通信号灯的每人次扣0.1分。</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10、垃圾未倾倒在规定地点或焚烧垃圾、树叶的每次扣0.1分。</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11、果壳箱每天清理两次以上，擦洗一次，保持箱体洁净，箱内垃圾不满溢，每发现一次扣0.1分。</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2、 道路两侧废弃物超标或有成堆垃圾的每发现一次扣0.2分。</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c>
          <w:tcPr>
            <w:tcW w:w="1049"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监督管理</w:t>
            </w:r>
          </w:p>
          <w:p>
            <w:pPr>
              <w:keepNext w:val="0"/>
              <w:keepLines w:val="0"/>
              <w:pageBreakBefore w:val="0"/>
              <w:widowControl w:val="0"/>
              <w:kinsoku/>
              <w:wordWrap/>
              <w:overflowPunct/>
              <w:topLinePunct w:val="0"/>
              <w:autoSpaceDE/>
              <w:autoSpaceDN/>
              <w:bidi w:val="0"/>
              <w:adjustRightInd/>
              <w:snapToGrid/>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落实</w:t>
            </w: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1、 群众投诉等的道路保洁问题，经确认有责的每件问题，扣所在保洁段当月清洁度0.1分；未在规定期限内整改解决的每件问题扣所在保洁段当月清洁度0.1分；重大活动保障不力的，每发生1次扣所在保洁段当月清洁度0.5分；市级以上检查失分的，每发生1次扣所在保洁段当月清洁度0.5分。</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55" w:line="240" w:lineRule="auto"/>
              <w:ind w:left="0" w:leftChars="0" w:right="0" w:rightChars="0" w:firstLine="316" w:firstLineChars="0"/>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2、对非当月被检道路上发现的突出保洁问题，每发生1次，所在保洁段当月清洁度扣0.1分；在规定期限内未落实整改的， 每发生1次，所在保洁段当月清洁度扣0.1分。</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61" w:beforeLines="0" w:afterLines="0" w:line="240" w:lineRule="auto"/>
              <w:ind w:left="0" w:leftChars="0" w:right="0" w:rightChars="0" w:firstLine="108" w:firstLineChars="0"/>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3、在次月列入复查的道路（街巷）未在规定时间内落实整改、长效保洁不落实、典型保洁问题不解决的，每发生1次所在保洁段当月清洁度扣0.5分。</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591"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256"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1049"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社会形象</w:t>
            </w: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1、辖区垃圾成堆面貌差，并造成社会不良影响的事件，被国家级媒体曝光的扣4分、省级媒体曝光的扣3分、市级媒体曝光的扣2分、县级媒体曝光的扣1分，累计扣完为止</w:t>
            </w:r>
          </w:p>
        </w:tc>
        <w:tc>
          <w:tcPr>
            <w:tcW w:w="1117"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6" w:hRule="atLeast"/>
          <w:jc w:val="center"/>
        </w:trPr>
        <w:tc>
          <w:tcPr>
            <w:tcW w:w="591"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256" w:firstLineChars="0"/>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68" w:firstLineChars="0"/>
              <w:textAlignment w:val="auto"/>
              <w:outlineLvl w:val="9"/>
              <w:rPr>
                <w:rFonts w:hint="eastAsia" w:ascii="宋体" w:hAnsi="宋体" w:eastAsia="宋体" w:cs="宋体"/>
                <w:color w:val="000000"/>
                <w:sz w:val="21"/>
                <w:szCs w:val="21"/>
                <w:highlight w:val="none"/>
              </w:rPr>
            </w:pP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2、对被曝光的问题不及时整改的，该项不得分</w:t>
            </w:r>
          </w:p>
        </w:tc>
        <w:tc>
          <w:tcPr>
            <w:tcW w:w="1117"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256"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c>
          <w:tcPr>
            <w:tcW w:w="1049" w:type="dxa"/>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3"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安全生产管理</w:t>
            </w:r>
          </w:p>
        </w:tc>
        <w:tc>
          <w:tcPr>
            <w:tcW w:w="59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sz w:val="21"/>
                <w:szCs w:val="21"/>
                <w:lang w:val="en-US" w:eastAsia="zh-CN"/>
              </w:rPr>
              <w:t>1、</w:t>
            </w:r>
            <w:r>
              <w:rPr>
                <w:rFonts w:hint="eastAsia" w:ascii="宋体" w:hAnsi="宋体" w:eastAsia="宋体" w:cs="宋体"/>
                <w:color w:val="000000"/>
                <w:sz w:val="21"/>
                <w:szCs w:val="21"/>
                <w:highlight w:val="none"/>
                <w:lang w:val="en-US" w:eastAsia="zh-CN"/>
              </w:rPr>
              <w:t>未及时登记安全工作检查情况、落实情况，扣0.5分；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2、未按规定配备专职安全员的，扣1分；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3、车辆未按规定时间年检、保险，扣1分；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4、驾驶员无证操作，扣1分；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5、未按宿舍管理办法规定执行的，扣0.5分；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6、未发现安全隐患的，扣0.5分；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7、发现安全隐患问题未及时整改的，扣1分；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8、发生安全事故未及时上报的，扣0.5分；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9、发生安全事故瞒报的，扣1分；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color w:val="000000"/>
                <w:sz w:val="21"/>
                <w:szCs w:val="21"/>
                <w:highlight w:val="none"/>
                <w:lang w:val="en-US" w:eastAsia="zh-CN"/>
              </w:rPr>
              <w:t>10、操作人员无证操作或未年检的，扣1分。</w:t>
            </w:r>
          </w:p>
        </w:tc>
        <w:tc>
          <w:tcPr>
            <w:tcW w:w="1117" w:type="dxa"/>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551" w:type="dxa"/>
            <w:gridSpan w:val="3"/>
            <w:tcBorders>
              <w:left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41"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合计</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41" w:line="240" w:lineRule="auto"/>
              <w:ind w:left="0" w:leftChars="0" w:right="0" w:rightChars="0" w:firstLine="183"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1"/>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1"/>
        <w:rPr>
          <w:rFonts w:hint="eastAsia" w:ascii="宋体" w:hAnsi="宋体" w:eastAsia="宋体" w:cs="宋体"/>
          <w:b/>
          <w:color w:val="000000"/>
          <w:sz w:val="21"/>
          <w:szCs w:val="21"/>
          <w:highlight w:val="none"/>
          <w:lang w:val="en-US" w:eastAsia="zh-CN"/>
        </w:rPr>
      </w:pPr>
    </w:p>
    <w:p>
      <w:pPr>
        <w:pStyle w:val="28"/>
        <w:rPr>
          <w:rFonts w:hint="eastAsia" w:ascii="宋体" w:hAnsi="宋体" w:eastAsia="宋体" w:cs="宋体"/>
          <w:b/>
          <w:color w:val="000000"/>
          <w:sz w:val="21"/>
          <w:szCs w:val="21"/>
          <w:highlight w:val="none"/>
          <w:lang w:val="en-US" w:eastAsia="zh-CN"/>
        </w:rPr>
      </w:pPr>
    </w:p>
    <w:p>
      <w:pPr>
        <w:rPr>
          <w:rFonts w:hint="eastAsia" w:ascii="宋体" w:hAnsi="宋体" w:eastAsia="宋体" w:cs="宋体"/>
          <w:b/>
          <w:color w:val="000000"/>
          <w:sz w:val="21"/>
          <w:szCs w:val="21"/>
          <w:highlight w:val="none"/>
          <w:lang w:val="en-US" w:eastAsia="zh-CN"/>
        </w:rPr>
      </w:pPr>
    </w:p>
    <w:p>
      <w:pPr>
        <w:pStyle w:val="28"/>
        <w:rPr>
          <w:rFonts w:hint="eastAsia" w:ascii="宋体" w:hAnsi="宋体" w:eastAsia="宋体" w:cs="宋体"/>
          <w:b/>
          <w:color w:val="000000"/>
          <w:sz w:val="21"/>
          <w:szCs w:val="21"/>
          <w:highlight w:val="none"/>
          <w:lang w:val="en-US" w:eastAsia="zh-CN"/>
        </w:rPr>
      </w:pPr>
    </w:p>
    <w:p>
      <w:pPr>
        <w:rPr>
          <w:rFonts w:hint="eastAsia" w:ascii="宋体" w:hAnsi="宋体" w:eastAsia="宋体" w:cs="宋体"/>
          <w:b/>
          <w:color w:val="000000"/>
          <w:sz w:val="21"/>
          <w:szCs w:val="21"/>
          <w:highlight w:val="none"/>
          <w:lang w:val="en-US" w:eastAsia="zh-CN"/>
        </w:rPr>
      </w:pPr>
    </w:p>
    <w:p>
      <w:pPr>
        <w:pStyle w:val="28"/>
        <w:rPr>
          <w:rFonts w:hint="eastAsia"/>
          <w:lang w:val="en-US" w:eastAsia="zh-CN"/>
        </w:rPr>
      </w:pPr>
    </w:p>
    <w:p>
      <w:pPr>
        <w:rPr>
          <w:rFonts w:hint="eastAsia"/>
          <w:lang w:val="en-US" w:eastAsia="zh-CN"/>
        </w:rPr>
      </w:pPr>
    </w:p>
    <w:p>
      <w:pPr>
        <w:pStyle w:val="28"/>
        <w:rPr>
          <w:rFonts w:hint="eastAsia"/>
          <w:lang w:val="en-US" w:eastAsia="zh-CN"/>
        </w:rPr>
      </w:pPr>
    </w:p>
    <w:p>
      <w:pPr>
        <w:rPr>
          <w:rFonts w:hint="eastAsia"/>
          <w:lang w:val="en-US" w:eastAsia="zh-CN"/>
        </w:rPr>
      </w:pPr>
    </w:p>
    <w:p>
      <w:pPr>
        <w:pStyle w:val="28"/>
        <w:rPr>
          <w:rFonts w:hint="eastAsia"/>
          <w:lang w:val="en-US" w:eastAsia="zh-CN"/>
        </w:rPr>
      </w:pPr>
    </w:p>
    <w:p>
      <w:pPr>
        <w:rPr>
          <w:rFonts w:hint="eastAsia"/>
          <w:lang w:val="en-US" w:eastAsia="zh-CN"/>
        </w:rPr>
      </w:pPr>
    </w:p>
    <w:p>
      <w:pPr>
        <w:pStyle w:val="28"/>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1"/>
        <w:rPr>
          <w:rFonts w:hint="eastAsia" w:ascii="宋体" w:hAnsi="宋体" w:eastAsia="宋体" w:cs="宋体"/>
          <w:b/>
          <w:color w:val="000000"/>
          <w:sz w:val="21"/>
          <w:szCs w:val="21"/>
          <w:highlight w:val="none"/>
          <w:lang w:val="en-US" w:eastAsia="zh-CN"/>
        </w:rPr>
      </w:pPr>
    </w:p>
    <w:p>
      <w:pPr>
        <w:pStyle w:val="28"/>
        <w:rPr>
          <w:rFonts w:hint="eastAsia" w:ascii="宋体" w:hAnsi="宋体" w:eastAsia="宋体" w:cs="宋体"/>
          <w:b/>
          <w:color w:val="000000"/>
          <w:sz w:val="21"/>
          <w:szCs w:val="21"/>
          <w:highlight w:val="none"/>
          <w:lang w:val="en-US" w:eastAsia="zh-CN"/>
        </w:rPr>
      </w:pPr>
    </w:p>
    <w:p>
      <w:pPr>
        <w:rPr>
          <w:rFonts w:hint="eastAsia" w:ascii="宋体" w:hAnsi="宋体" w:eastAsia="宋体" w:cs="宋体"/>
          <w:b/>
          <w:color w:val="000000"/>
          <w:sz w:val="21"/>
          <w:szCs w:val="21"/>
          <w:highlight w:val="none"/>
          <w:lang w:val="en-US" w:eastAsia="zh-CN"/>
        </w:rPr>
      </w:pPr>
    </w:p>
    <w:p>
      <w:pPr>
        <w:pStyle w:val="28"/>
        <w:rPr>
          <w:rFonts w:hint="eastAsia" w:ascii="宋体" w:hAnsi="宋体" w:eastAsia="宋体" w:cs="宋体"/>
          <w:b/>
          <w:color w:val="00000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1"/>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val="en-US" w:eastAsia="zh-CN"/>
        </w:rPr>
        <w:t>宁海县桥头胡街道</w:t>
      </w:r>
      <w:r>
        <w:rPr>
          <w:rFonts w:hint="eastAsia" w:ascii="宋体" w:hAnsi="宋体" w:eastAsia="宋体" w:cs="宋体"/>
          <w:b/>
          <w:color w:val="000000"/>
          <w:sz w:val="21"/>
          <w:szCs w:val="21"/>
          <w:highlight w:val="none"/>
        </w:rPr>
        <w:t>环卫保洁作业标准及考核细则（</w:t>
      </w:r>
      <w:r>
        <w:rPr>
          <w:rFonts w:hint="eastAsia" w:ascii="宋体" w:hAnsi="宋体" w:eastAsia="宋体" w:cs="宋体"/>
          <w:b/>
          <w:color w:val="000000"/>
          <w:sz w:val="21"/>
          <w:szCs w:val="21"/>
          <w:highlight w:val="none"/>
          <w:lang w:eastAsia="zh-CN"/>
        </w:rPr>
        <w:t>垃圾清运</w:t>
      </w:r>
      <w:r>
        <w:rPr>
          <w:rFonts w:hint="eastAsia" w:ascii="宋体" w:hAnsi="宋体" w:eastAsia="宋体" w:cs="宋体"/>
          <w:b/>
          <w:color w:val="000000"/>
          <w:sz w:val="21"/>
          <w:szCs w:val="21"/>
          <w:highlight w:val="none"/>
        </w:rPr>
        <w:t>）</w:t>
      </w:r>
    </w:p>
    <w:tbl>
      <w:tblPr>
        <w:tblStyle w:val="30"/>
        <w:tblW w:w="8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1"/>
        <w:gridCol w:w="1049"/>
        <w:gridCol w:w="5964"/>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exact"/>
          <w:tblHeader/>
          <w:jc w:val="center"/>
        </w:trPr>
        <w:tc>
          <w:tcPr>
            <w:tcW w:w="59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01" w:beforeLines="0" w:afterLines="0" w:line="240" w:lineRule="auto"/>
              <w:ind w:left="0" w:leftChars="0" w:right="0" w:rightChars="0" w:firstLine="85"/>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序号</w:t>
            </w:r>
          </w:p>
        </w:tc>
        <w:tc>
          <w:tcPr>
            <w:tcW w:w="104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01" w:beforeLines="0" w:afterLines="0" w:line="240" w:lineRule="auto"/>
              <w:ind w:left="0" w:leftChars="0" w:right="0" w:rightChars="0" w:firstLine="108"/>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考核项目</w:t>
            </w: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01" w:beforeLines="0" w:afterLines="0" w:line="240" w:lineRule="auto"/>
              <w:ind w:left="0" w:leftChars="0" w:right="0" w:rightChars="0" w:firstLine="1842"/>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考核内容及评分标准</w:t>
            </w: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01" w:beforeLines="0" w:afterLines="0" w:line="240" w:lineRule="auto"/>
              <w:ind w:left="0" w:leftChars="0" w:right="0" w:rightChars="0" w:firstLine="114"/>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分值比例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591"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c>
          <w:tcPr>
            <w:tcW w:w="1049"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工作保障</w:t>
            </w:r>
          </w:p>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机制及管</w:t>
            </w:r>
          </w:p>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理措施</w:t>
            </w:r>
          </w:p>
        </w:tc>
        <w:tc>
          <w:tcPr>
            <w:tcW w:w="5964"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0" w:beforeLines="0" w:afterLines="0" w:line="240" w:lineRule="auto"/>
              <w:ind w:left="0" w:leftChars="0" w:right="0" w:rightChars="0" w:firstLine="85"/>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1、有组织机构。承包单位组织机构分工明确，能顺利找到相关责任人。没有落实或落实不全面， 每发现一个保洁段扣 0. 5分。</w:t>
            </w: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2、切实保障环卫工人合法权益，无因劳资纠纷引起的群体性事件发生， 每发生一次扣2分。</w:t>
            </w:r>
          </w:p>
        </w:tc>
        <w:tc>
          <w:tcPr>
            <w:tcW w:w="1087"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firstLine="84"/>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3、具有一套完整的</w:t>
            </w:r>
            <w:r>
              <w:rPr>
                <w:rFonts w:hint="eastAsia" w:ascii="宋体" w:hAnsi="宋体" w:cs="宋体"/>
                <w:color w:val="000000"/>
                <w:sz w:val="21"/>
                <w:szCs w:val="21"/>
                <w:highlight w:val="none"/>
                <w:lang w:eastAsia="zh-CN"/>
              </w:rPr>
              <w:t>垃圾清运</w:t>
            </w:r>
            <w:r>
              <w:rPr>
                <w:rFonts w:hint="eastAsia" w:ascii="宋体" w:hAnsi="宋体" w:eastAsia="宋体" w:cs="宋体"/>
                <w:color w:val="000000"/>
                <w:sz w:val="21"/>
                <w:szCs w:val="21"/>
                <w:highlight w:val="none"/>
              </w:rPr>
              <w:t>制度，没有制度扣</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分。</w:t>
            </w:r>
          </w:p>
        </w:tc>
        <w:tc>
          <w:tcPr>
            <w:tcW w:w="1087"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78"/>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4、具有一套完整的内部考核机制，完善管理制度，没有机制或制度扣</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分。</w:t>
            </w:r>
          </w:p>
        </w:tc>
        <w:tc>
          <w:tcPr>
            <w:tcW w:w="1087"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5、按规定配备</w:t>
            </w:r>
            <w:r>
              <w:rPr>
                <w:rFonts w:hint="eastAsia" w:ascii="宋体" w:hAnsi="宋体" w:eastAsia="宋体" w:cs="宋体"/>
                <w:color w:val="000000"/>
                <w:sz w:val="21"/>
                <w:szCs w:val="21"/>
                <w:highlight w:val="none"/>
                <w:lang w:eastAsia="zh-CN"/>
              </w:rPr>
              <w:t>司机和随车人员</w:t>
            </w:r>
            <w:r>
              <w:rPr>
                <w:rFonts w:hint="eastAsia" w:ascii="宋体" w:hAnsi="宋体" w:eastAsia="宋体" w:cs="宋体"/>
                <w:color w:val="000000"/>
                <w:sz w:val="21"/>
                <w:szCs w:val="21"/>
                <w:highlight w:val="none"/>
              </w:rPr>
              <w:t>， 未按规定每少一人扣 0. 5分。</w:t>
            </w: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8"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55" w:beforeLines="0" w:afterLines="0" w:line="240" w:lineRule="auto"/>
              <w:ind w:left="0" w:leftChars="0" w:right="0" w:rightChars="0" w:firstLine="68"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r>
              <w:rPr>
                <w:rFonts w:hint="eastAsia" w:ascii="宋体" w:hAnsi="宋体" w:eastAsia="宋体" w:cs="宋体"/>
                <w:color w:val="000000"/>
                <w:sz w:val="21"/>
                <w:szCs w:val="21"/>
                <w:highlight w:val="none"/>
                <w:lang w:eastAsia="zh-CN"/>
              </w:rPr>
              <w:t>垃圾清运车辆使用、维保制度，没有制度扣</w:t>
            </w:r>
            <w:r>
              <w:rPr>
                <w:rFonts w:hint="eastAsia" w:ascii="宋体" w:hAnsi="宋体" w:eastAsia="宋体" w:cs="宋体"/>
                <w:color w:val="000000"/>
                <w:sz w:val="21"/>
                <w:szCs w:val="21"/>
                <w:highlight w:val="none"/>
                <w:lang w:val="en-US" w:eastAsia="zh-CN"/>
              </w:rPr>
              <w:t>3分。</w:t>
            </w: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55" w:beforeLines="0" w:afterLines="0" w:line="240" w:lineRule="auto"/>
              <w:ind w:left="0" w:leftChars="0" w:right="0" w:rightChars="0" w:firstLine="68"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7、垃圾清运实行定点定车定人，固定清运的原则，不满足扣2分。</w:t>
            </w: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 w:hRule="atLeast"/>
          <w:jc w:val="center"/>
        </w:trPr>
        <w:tc>
          <w:tcPr>
            <w:tcW w:w="591"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p>
        </w:tc>
        <w:tc>
          <w:tcPr>
            <w:tcW w:w="1049"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垃圾清运质量</w:t>
            </w:r>
            <w:r>
              <w:rPr>
                <w:rFonts w:hint="eastAsia" w:ascii="宋体" w:hAnsi="宋体" w:eastAsia="宋体" w:cs="宋体"/>
                <w:color w:val="000000"/>
                <w:sz w:val="21"/>
                <w:szCs w:val="21"/>
                <w:highlight w:val="none"/>
              </w:rPr>
              <w:t>情况及作业规范</w:t>
            </w:r>
          </w:p>
        </w:tc>
        <w:tc>
          <w:tcPr>
            <w:tcW w:w="5964"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55" w:beforeLines="0" w:afterLines="0" w:line="240" w:lineRule="auto"/>
              <w:ind w:left="0" w:leftChars="0" w:right="0" w:rightChars="0" w:firstLine="68"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r>
              <w:rPr>
                <w:rFonts w:hint="eastAsia" w:ascii="宋体" w:hAnsi="宋体" w:eastAsia="宋体" w:cs="宋体"/>
                <w:color w:val="000000"/>
                <w:sz w:val="21"/>
                <w:szCs w:val="21"/>
                <w:highlight w:val="none"/>
                <w:lang w:eastAsia="zh-CN"/>
              </w:rPr>
              <w:t>生活垃圾日产日清、积尘、破损、设备完好无损，实行密闭运输发生抛洒滴漏污染路面、车厢外有吊挂垃圾等问题，每次扣</w:t>
            </w:r>
            <w:r>
              <w:rPr>
                <w:rFonts w:hint="eastAsia" w:ascii="宋体" w:hAnsi="宋体" w:eastAsia="宋体" w:cs="宋体"/>
                <w:color w:val="000000"/>
                <w:sz w:val="21"/>
                <w:szCs w:val="21"/>
                <w:highlight w:val="none"/>
                <w:lang w:val="en-US" w:eastAsia="zh-CN"/>
              </w:rPr>
              <w:t>0.5分。</w:t>
            </w: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r>
              <w:rPr>
                <w:rFonts w:hint="eastAsia" w:ascii="宋体" w:hAnsi="宋体" w:eastAsia="宋体" w:cs="宋体"/>
                <w:color w:val="000000"/>
                <w:sz w:val="21"/>
                <w:szCs w:val="21"/>
                <w:highlight w:val="none"/>
                <w:lang w:eastAsia="zh-CN"/>
              </w:rPr>
              <w:t>垃圾清运车外观不洁、积尘、破损、设备完好无损，实行密闭运输发生抛洒滴漏污染路面、车厢外有吊挂垃圾等问题，每次扣</w:t>
            </w:r>
            <w:r>
              <w:rPr>
                <w:rFonts w:hint="eastAsia" w:ascii="宋体" w:hAnsi="宋体" w:eastAsia="宋体" w:cs="宋体"/>
                <w:color w:val="000000"/>
                <w:sz w:val="21"/>
                <w:szCs w:val="21"/>
                <w:highlight w:val="none"/>
                <w:lang w:val="en-US" w:eastAsia="zh-CN"/>
              </w:rPr>
              <w:t>0.5分。</w:t>
            </w: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5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w:t>
            </w:r>
            <w:r>
              <w:rPr>
                <w:rFonts w:hint="eastAsia" w:ascii="宋体" w:hAnsi="宋体" w:eastAsia="宋体" w:cs="宋体"/>
                <w:color w:val="000000"/>
                <w:sz w:val="21"/>
                <w:szCs w:val="21"/>
                <w:highlight w:val="none"/>
                <w:lang w:eastAsia="zh-CN"/>
              </w:rPr>
              <w:t>垃圾清运车将垃圾直接接触路面（或地面）进行转运的每次扣</w:t>
            </w:r>
            <w:r>
              <w:rPr>
                <w:rFonts w:hint="eastAsia" w:ascii="宋体" w:hAnsi="宋体" w:eastAsia="宋体" w:cs="宋体"/>
                <w:color w:val="000000"/>
                <w:sz w:val="21"/>
                <w:szCs w:val="21"/>
                <w:highlight w:val="none"/>
                <w:lang w:val="en-US" w:eastAsia="zh-CN"/>
              </w:rPr>
              <w:t>0.2分；垃圾盘布清扫干净，做到车走地净，每发现一次不合格扣0.1分。</w:t>
            </w: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78"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r>
              <w:rPr>
                <w:rFonts w:hint="eastAsia" w:ascii="宋体" w:hAnsi="宋体" w:eastAsia="宋体" w:cs="宋体"/>
                <w:color w:val="000000"/>
                <w:sz w:val="21"/>
                <w:szCs w:val="21"/>
                <w:highlight w:val="none"/>
                <w:lang w:eastAsia="zh-CN"/>
              </w:rPr>
              <w:t>垃圾清运不及时，垃圾超出果壳箱、垃圾桶投放口平面的每处扣</w:t>
            </w:r>
            <w:r>
              <w:rPr>
                <w:rFonts w:hint="eastAsia" w:ascii="宋体" w:hAnsi="宋体" w:eastAsia="宋体" w:cs="宋体"/>
                <w:color w:val="000000"/>
                <w:sz w:val="21"/>
                <w:szCs w:val="21"/>
                <w:highlight w:val="none"/>
                <w:lang w:val="en-US" w:eastAsia="zh-CN"/>
              </w:rPr>
              <w:t>0.1分。垃圾收集容器边有暴露垃圾的每处扣0.1分。</w:t>
            </w: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w:t>
            </w:r>
            <w:r>
              <w:rPr>
                <w:rFonts w:hint="eastAsia" w:ascii="宋体" w:hAnsi="宋体" w:eastAsia="宋体" w:cs="宋体"/>
                <w:color w:val="000000"/>
                <w:sz w:val="21"/>
                <w:szCs w:val="21"/>
                <w:highlight w:val="none"/>
                <w:lang w:eastAsia="zh-CN"/>
              </w:rPr>
              <w:t>垃圾必须排放在指定地点，不得乱倒滥卸，每发现一次未排放到指定地点或乱倒滥卸扣</w:t>
            </w:r>
            <w:r>
              <w:rPr>
                <w:rFonts w:hint="eastAsia" w:ascii="宋体" w:hAnsi="宋体" w:eastAsia="宋体" w:cs="宋体"/>
                <w:color w:val="000000"/>
                <w:sz w:val="21"/>
                <w:szCs w:val="21"/>
                <w:highlight w:val="none"/>
                <w:lang w:val="en-US" w:eastAsia="zh-CN"/>
              </w:rPr>
              <w:t>0.5分。</w:t>
            </w:r>
          </w:p>
        </w:tc>
        <w:tc>
          <w:tcPr>
            <w:tcW w:w="1087" w:type="dxa"/>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w:t>
            </w:r>
            <w:r>
              <w:rPr>
                <w:rFonts w:hint="eastAsia" w:ascii="宋体" w:hAnsi="宋体" w:eastAsia="宋体" w:cs="宋体"/>
                <w:color w:val="000000"/>
                <w:sz w:val="21"/>
                <w:szCs w:val="21"/>
                <w:highlight w:val="none"/>
                <w:lang w:eastAsia="zh-CN"/>
              </w:rPr>
              <w:t>垃圾清运车司机必须持证上岗，不允许搞其他营运活动，每发现一次扣</w:t>
            </w:r>
            <w:r>
              <w:rPr>
                <w:rFonts w:hint="eastAsia" w:ascii="宋体" w:hAnsi="宋体" w:eastAsia="宋体" w:cs="宋体"/>
                <w:color w:val="000000"/>
                <w:sz w:val="21"/>
                <w:szCs w:val="21"/>
                <w:highlight w:val="none"/>
                <w:lang w:val="en-US" w:eastAsia="zh-CN"/>
              </w:rPr>
              <w:t>0.5分。</w:t>
            </w: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w:t>
            </w:r>
            <w:r>
              <w:rPr>
                <w:rFonts w:hint="eastAsia" w:ascii="宋体" w:hAnsi="宋体" w:eastAsia="宋体" w:cs="宋体"/>
                <w:color w:val="000000"/>
                <w:sz w:val="21"/>
                <w:szCs w:val="21"/>
                <w:highlight w:val="none"/>
                <w:lang w:eastAsia="zh-CN"/>
              </w:rPr>
              <w:t>垃圾容器如有遗失、损坏的应及时逐级上报并查追，否则每发现少一个垃圾容器扣</w:t>
            </w:r>
            <w:r>
              <w:rPr>
                <w:rFonts w:hint="eastAsia" w:ascii="宋体" w:hAnsi="宋体" w:eastAsia="宋体" w:cs="宋体"/>
                <w:color w:val="000000"/>
                <w:sz w:val="21"/>
                <w:szCs w:val="21"/>
                <w:highlight w:val="none"/>
                <w:lang w:val="en-US" w:eastAsia="zh-CN"/>
              </w:rPr>
              <w:t>0.5分。</w:t>
            </w: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8、</w:t>
            </w:r>
            <w:r>
              <w:rPr>
                <w:rFonts w:hint="eastAsia" w:ascii="宋体" w:hAnsi="宋体" w:eastAsia="宋体" w:cs="宋体"/>
                <w:color w:val="000000"/>
                <w:sz w:val="21"/>
                <w:szCs w:val="21"/>
                <w:highlight w:val="none"/>
                <w:lang w:eastAsia="zh-CN"/>
              </w:rPr>
              <w:t>垃圾容器需摆正放端，否则每发现一个垃圾箱歪斜扣</w:t>
            </w:r>
            <w:r>
              <w:rPr>
                <w:rFonts w:hint="eastAsia" w:ascii="宋体" w:hAnsi="宋体" w:eastAsia="宋体" w:cs="宋体"/>
                <w:color w:val="000000"/>
                <w:sz w:val="21"/>
                <w:szCs w:val="21"/>
                <w:highlight w:val="none"/>
                <w:lang w:val="en-US" w:eastAsia="zh-CN"/>
              </w:rPr>
              <w:t>0.2分。</w:t>
            </w: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9、</w:t>
            </w:r>
            <w:r>
              <w:rPr>
                <w:rFonts w:hint="eastAsia" w:ascii="宋体" w:hAnsi="宋体" w:eastAsia="宋体" w:cs="宋体"/>
                <w:color w:val="000000"/>
                <w:sz w:val="21"/>
                <w:szCs w:val="21"/>
                <w:highlight w:val="none"/>
                <w:lang w:eastAsia="zh-CN"/>
              </w:rPr>
              <w:t>垃圾清运司机必须严格遵守安全管理规定，自觉遵守交通法规，做到不酒后驾车、疲劳驾车、带病驾车，确保安全。每发现一次不安全行为扣</w:t>
            </w:r>
            <w:r>
              <w:rPr>
                <w:rFonts w:hint="eastAsia" w:ascii="宋体" w:hAnsi="宋体" w:eastAsia="宋体" w:cs="宋体"/>
                <w:color w:val="000000"/>
                <w:sz w:val="21"/>
                <w:szCs w:val="21"/>
                <w:highlight w:val="none"/>
                <w:lang w:val="en-US" w:eastAsia="zh-CN"/>
              </w:rPr>
              <w:t>0.5分。</w:t>
            </w: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2"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w:t>
            </w:r>
            <w:r>
              <w:rPr>
                <w:rFonts w:hint="eastAsia" w:ascii="宋体" w:hAnsi="宋体" w:eastAsia="宋体" w:cs="宋体"/>
                <w:color w:val="000000"/>
                <w:sz w:val="21"/>
                <w:szCs w:val="21"/>
                <w:highlight w:val="none"/>
                <w:lang w:eastAsia="zh-CN"/>
              </w:rPr>
              <w:t>每天必须按时完成清运任务，否则每发现一次扣</w:t>
            </w:r>
            <w:r>
              <w:rPr>
                <w:rFonts w:hint="eastAsia" w:ascii="宋体" w:hAnsi="宋体" w:eastAsia="宋体" w:cs="宋体"/>
                <w:color w:val="000000"/>
                <w:sz w:val="21"/>
                <w:szCs w:val="21"/>
                <w:highlight w:val="none"/>
                <w:lang w:val="en-US" w:eastAsia="zh-CN"/>
              </w:rPr>
              <w:t>0.5分。</w:t>
            </w: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w:t>
            </w:r>
          </w:p>
        </w:tc>
        <w:tc>
          <w:tcPr>
            <w:tcW w:w="1049"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监督管理</w:t>
            </w:r>
          </w:p>
          <w:p>
            <w:pPr>
              <w:keepNext w:val="0"/>
              <w:keepLines w:val="0"/>
              <w:pageBreakBefore w:val="0"/>
              <w:widowControl w:val="0"/>
              <w:kinsoku/>
              <w:wordWrap/>
              <w:overflowPunct/>
              <w:topLinePunct w:val="0"/>
              <w:autoSpaceDE/>
              <w:autoSpaceDN/>
              <w:bidi w:val="0"/>
              <w:adjustRightInd/>
              <w:snapToGrid w:val="0"/>
              <w:spacing w:before="15"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落实</w:t>
            </w: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1、 群众投诉等的</w:t>
            </w:r>
            <w:r>
              <w:rPr>
                <w:rFonts w:hint="eastAsia" w:ascii="宋体" w:hAnsi="宋体" w:eastAsia="宋体" w:cs="宋体"/>
                <w:color w:val="000000"/>
                <w:sz w:val="21"/>
                <w:szCs w:val="21"/>
                <w:highlight w:val="none"/>
                <w:lang w:eastAsia="zh-CN"/>
              </w:rPr>
              <w:t>垃圾清运</w:t>
            </w:r>
            <w:r>
              <w:rPr>
                <w:rFonts w:hint="eastAsia" w:ascii="宋体" w:hAnsi="宋体" w:eastAsia="宋体" w:cs="宋体"/>
                <w:color w:val="000000"/>
                <w:sz w:val="21"/>
                <w:szCs w:val="21"/>
                <w:highlight w:val="none"/>
              </w:rPr>
              <w:t>问题， 经确认有责的每件问题，扣所在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0.</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分； 未在规定期限内整改解决的每件问题扣所在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0.</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分；重大活动保障不力的，每发生1次扣所在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0.</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分；市级以上检查失分的，每发生1次扣所在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0.5分。</w:t>
            </w: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55" w:line="240" w:lineRule="auto"/>
              <w:ind w:left="0" w:leftChars="0" w:right="0" w:rightChars="0" w:firstLine="316" w:firstLine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2、对非当月被检</w:t>
            </w:r>
            <w:r>
              <w:rPr>
                <w:rFonts w:hint="eastAsia" w:ascii="宋体" w:hAnsi="宋体" w:eastAsia="宋体" w:cs="宋体"/>
                <w:color w:val="000000"/>
                <w:sz w:val="21"/>
                <w:szCs w:val="21"/>
                <w:highlight w:val="none"/>
                <w:lang w:eastAsia="zh-CN"/>
              </w:rPr>
              <w:t>片区上</w:t>
            </w:r>
            <w:r>
              <w:rPr>
                <w:rFonts w:hint="eastAsia" w:ascii="宋体" w:hAnsi="宋体" w:eastAsia="宋体" w:cs="宋体"/>
                <w:color w:val="000000"/>
                <w:sz w:val="21"/>
                <w:szCs w:val="21"/>
                <w:highlight w:val="none"/>
              </w:rPr>
              <w:t>发现的突出问题，每发生1次，所在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扣 0. 1分；在规定期限内未落实整改的， 每发生1次，所在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扣 0. 1分。</w:t>
            </w: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61" w:beforeLines="0" w:afterLines="0" w:line="240" w:lineRule="auto"/>
              <w:ind w:left="0" w:leftChars="0" w:right="0" w:rightChars="0" w:firstLine="108" w:firstLine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3、在次月列入复查的</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未在规定时间内落实整改、长效保洁不落实、典型保洁问题不解决的，每发生1次所在</w:t>
            </w:r>
            <w:r>
              <w:rPr>
                <w:rFonts w:hint="eastAsia" w:ascii="宋体" w:hAnsi="宋体" w:eastAsia="宋体" w:cs="宋体"/>
                <w:color w:val="000000"/>
                <w:sz w:val="21"/>
                <w:szCs w:val="21"/>
                <w:highlight w:val="none"/>
                <w:lang w:eastAsia="zh-CN"/>
              </w:rPr>
              <w:t>片区</w:t>
            </w:r>
            <w:r>
              <w:rPr>
                <w:rFonts w:hint="eastAsia" w:ascii="宋体" w:hAnsi="宋体" w:eastAsia="宋体" w:cs="宋体"/>
                <w:color w:val="000000"/>
                <w:sz w:val="21"/>
                <w:szCs w:val="21"/>
                <w:highlight w:val="none"/>
              </w:rPr>
              <w:t>扣 0. 5分。</w:t>
            </w: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256" w:firstLine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w:t>
            </w:r>
          </w:p>
        </w:tc>
        <w:tc>
          <w:tcPr>
            <w:tcW w:w="1049" w:type="dxa"/>
            <w:vMerge w:val="restart"/>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社会形象</w:t>
            </w: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1、辖区垃圾成堆面貌差，并造成社会不良影响的事件，被国家级媒体曝光的扣4分、省级媒体曝光的扣3分、市级媒体曝光的扣2分、县级媒体曝光的扣1分，累计扣完为止</w:t>
            </w:r>
          </w:p>
        </w:tc>
        <w:tc>
          <w:tcPr>
            <w:tcW w:w="1087" w:type="dxa"/>
            <w:vMerge w:val="restart"/>
            <w:tcBorders>
              <w:top w:val="single" w:color="auto"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2" w:hRule="atLeast"/>
          <w:jc w:val="center"/>
        </w:trPr>
        <w:tc>
          <w:tcPr>
            <w:tcW w:w="591"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256" w:firstLineChars="0"/>
              <w:jc w:val="center"/>
              <w:textAlignment w:val="auto"/>
              <w:outlineLvl w:val="9"/>
              <w:rPr>
                <w:rFonts w:hint="eastAsia" w:ascii="宋体" w:hAnsi="宋体" w:eastAsia="宋体" w:cs="宋体"/>
                <w:color w:val="000000"/>
                <w:sz w:val="21"/>
                <w:szCs w:val="21"/>
                <w:highlight w:val="none"/>
              </w:rPr>
            </w:pPr>
          </w:p>
        </w:tc>
        <w:tc>
          <w:tcPr>
            <w:tcW w:w="1049" w:type="dxa"/>
            <w:vMerge w:val="continue"/>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2、对被曝光的问题不及时整改的，该项不得分</w:t>
            </w:r>
          </w:p>
        </w:tc>
        <w:tc>
          <w:tcPr>
            <w:tcW w:w="1087" w:type="dxa"/>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591" w:type="dxa"/>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256"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c>
          <w:tcPr>
            <w:tcW w:w="1049" w:type="dxa"/>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安全生产管理</w:t>
            </w: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sz w:val="21"/>
                <w:szCs w:val="21"/>
                <w:lang w:val="en-US" w:eastAsia="zh-CN"/>
              </w:rPr>
              <w:t>1、</w:t>
            </w:r>
            <w:r>
              <w:rPr>
                <w:rFonts w:hint="eastAsia" w:ascii="宋体" w:hAnsi="宋体" w:eastAsia="宋体" w:cs="宋体"/>
                <w:color w:val="000000"/>
                <w:sz w:val="21"/>
                <w:szCs w:val="21"/>
                <w:highlight w:val="none"/>
                <w:lang w:val="en-US" w:eastAsia="zh-CN"/>
              </w:rPr>
              <w:t>未及时登记安全工作检查情况、落实情况，扣0.5分；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2、未按规定配备专职安全员的，扣1分；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3、车辆未按规定时间年检、保险，扣1分；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4、驾驶员无证操作，扣1分；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5、发生安全事故未及时上报的，扣0.5分；</w:t>
            </w:r>
          </w:p>
          <w:p>
            <w:pPr>
              <w:keepNext w:val="0"/>
              <w:keepLines w:val="0"/>
              <w:pageBreakBefore w:val="0"/>
              <w:widowControl w:val="0"/>
              <w:kinsoku/>
              <w:wordWrap/>
              <w:overflowPunct/>
              <w:topLinePunct w:val="0"/>
              <w:autoSpaceDE/>
              <w:autoSpaceDN/>
              <w:bidi w:val="0"/>
              <w:adjustRightInd/>
              <w:snapToGrid/>
              <w:spacing w:before="95" w:beforeLines="0" w:afterLines="0" w:line="240" w:lineRule="auto"/>
              <w:ind w:left="0" w:leftChars="0" w:right="0" w:rightChars="0" w:firstLine="84"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6、发生安全事故瞒报的，扣1分；</w:t>
            </w:r>
          </w:p>
        </w:tc>
        <w:tc>
          <w:tcPr>
            <w:tcW w:w="1087" w:type="dxa"/>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jc w:val="center"/>
        </w:trPr>
        <w:tc>
          <w:tcPr>
            <w:tcW w:w="591" w:type="dxa"/>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256" w:firstLineChars="0"/>
              <w:jc w:val="center"/>
              <w:textAlignment w:val="auto"/>
              <w:outlineLvl w:val="9"/>
              <w:rPr>
                <w:rFonts w:hint="eastAsia" w:ascii="宋体" w:hAnsi="宋体" w:eastAsia="宋体" w:cs="宋体"/>
                <w:color w:val="000000"/>
                <w:sz w:val="21"/>
                <w:szCs w:val="21"/>
                <w:highlight w:val="none"/>
              </w:rPr>
            </w:pPr>
          </w:p>
        </w:tc>
        <w:tc>
          <w:tcPr>
            <w:tcW w:w="1049" w:type="dxa"/>
            <w:tcBorders>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3" w:line="240" w:lineRule="auto"/>
              <w:ind w:left="0" w:leftChars="0" w:right="0" w:rightChars="0" w:firstLine="68" w:firstLineChars="0"/>
              <w:jc w:val="center"/>
              <w:textAlignment w:val="auto"/>
              <w:outlineLvl w:val="9"/>
              <w:rPr>
                <w:rFonts w:hint="eastAsia" w:ascii="宋体" w:hAnsi="宋体" w:eastAsia="宋体" w:cs="宋体"/>
                <w:color w:val="000000"/>
                <w:sz w:val="21"/>
                <w:szCs w:val="21"/>
                <w:highlight w:val="none"/>
              </w:rPr>
            </w:pPr>
          </w:p>
        </w:tc>
        <w:tc>
          <w:tcPr>
            <w:tcW w:w="5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41" w:line="240" w:lineRule="auto"/>
              <w:ind w:left="0" w:leftChars="0" w:right="0" w:rightChars="0" w:firstLine="68" w:firstLineChars="0"/>
              <w:jc w:val="both"/>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合计</w:t>
            </w: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before="141" w:line="240" w:lineRule="auto"/>
              <w:ind w:left="0" w:leftChars="0" w:right="0" w:rightChars="0" w:firstLine="183" w:firstLineChars="0"/>
              <w:jc w:val="center"/>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100</w:t>
            </w:r>
          </w:p>
        </w:tc>
      </w:tr>
    </w:tbl>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ind w:firstLine="420" w:firstLineChars="0"/>
        <w:rPr>
          <w:rFonts w:hint="eastAsia" w:ascii="宋体" w:hAnsi="宋体" w:eastAsia="宋体" w:cs="Times New Roman"/>
          <w:b w:val="0"/>
          <w:bCs/>
          <w:color w:val="auto"/>
          <w:kern w:val="2"/>
          <w:sz w:val="21"/>
          <w:szCs w:val="21"/>
          <w:highlight w:val="none"/>
          <w:lang w:val="en-US" w:eastAsia="zh-CN" w:bidi="ar-SA"/>
        </w:rPr>
      </w:pPr>
    </w:p>
    <w:p>
      <w:pPr>
        <w:spacing w:line="440" w:lineRule="exact"/>
        <w:jc w:val="center"/>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val="en-US" w:eastAsia="zh-CN"/>
        </w:rPr>
        <w:t>宁海县桥头胡街道</w:t>
      </w:r>
      <w:r>
        <w:rPr>
          <w:rFonts w:hint="eastAsia" w:ascii="宋体" w:hAnsi="宋体" w:eastAsia="宋体" w:cs="宋体"/>
          <w:b/>
          <w:color w:val="000000"/>
          <w:sz w:val="21"/>
          <w:szCs w:val="21"/>
          <w:highlight w:val="none"/>
        </w:rPr>
        <w:t>环卫保洁作业标准及考核细则（</w:t>
      </w:r>
      <w:r>
        <w:rPr>
          <w:rFonts w:hint="eastAsia" w:ascii="宋体" w:hAnsi="宋体" w:cs="宋体"/>
          <w:b/>
          <w:color w:val="000000"/>
          <w:sz w:val="21"/>
          <w:szCs w:val="21"/>
          <w:highlight w:val="none"/>
          <w:lang w:eastAsia="zh-CN"/>
        </w:rPr>
        <w:t>河道保洁</w:t>
      </w:r>
      <w:r>
        <w:rPr>
          <w:rFonts w:hint="eastAsia" w:ascii="宋体" w:hAnsi="宋体" w:eastAsia="宋体" w:cs="宋体"/>
          <w:b/>
          <w:color w:val="000000"/>
          <w:sz w:val="21"/>
          <w:szCs w:val="21"/>
          <w:highlight w:val="none"/>
        </w:rPr>
        <w:t>）</w:t>
      </w:r>
    </w:p>
    <w:tbl>
      <w:tblPr>
        <w:tblStyle w:val="30"/>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268"/>
        <w:gridCol w:w="5467"/>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81" w:type="dxa"/>
            <w:noWrap w:val="0"/>
            <w:vAlign w:val="center"/>
          </w:tcPr>
          <w:p>
            <w:pPr>
              <w:snapToGrid w:val="0"/>
              <w:spacing w:before="95" w:beforeLines="0" w:after="120" w:afterLines="0" w:line="240" w:lineRule="auto"/>
              <w:ind w:left="0" w:leftChars="0" w:firstLine="0" w:firstLineChars="0"/>
              <w:jc w:val="center"/>
              <w:outlineLvl w:val="9"/>
              <w:rPr>
                <w:rFonts w:hint="eastAsia" w:ascii="宋体" w:hAnsi="宋体" w:cs="宋体"/>
                <w:b w:val="0"/>
                <w:bCs w:val="0"/>
                <w:color w:val="000000"/>
                <w:sz w:val="21"/>
                <w:szCs w:val="21"/>
                <w:highlight w:val="none"/>
                <w:vertAlign w:val="baseline"/>
                <w:lang w:eastAsia="zh-CN"/>
              </w:rPr>
            </w:pPr>
            <w:r>
              <w:rPr>
                <w:rFonts w:hint="eastAsia" w:ascii="宋体" w:hAnsi="宋体" w:cs="宋体"/>
                <w:b w:val="0"/>
                <w:bCs w:val="0"/>
                <w:color w:val="000000"/>
                <w:sz w:val="21"/>
                <w:szCs w:val="21"/>
                <w:highlight w:val="none"/>
                <w:lang w:eastAsia="zh-CN"/>
              </w:rPr>
              <w:t>编号</w:t>
            </w:r>
          </w:p>
        </w:tc>
        <w:tc>
          <w:tcPr>
            <w:tcW w:w="1268" w:type="dxa"/>
            <w:noWrap w:val="0"/>
            <w:vAlign w:val="center"/>
          </w:tcPr>
          <w:p>
            <w:pPr>
              <w:snapToGrid w:val="0"/>
              <w:spacing w:before="95" w:beforeLines="0" w:after="120" w:afterLines="0" w:line="240" w:lineRule="auto"/>
              <w:ind w:left="0" w:leftChars="0" w:firstLine="84" w:firstLineChars="0"/>
              <w:jc w:val="center"/>
              <w:outlineLvl w:val="9"/>
              <w:rPr>
                <w:rFonts w:hint="eastAsia" w:ascii="宋体" w:hAnsi="宋体" w:cs="宋体"/>
                <w:b w:val="0"/>
                <w:bCs w:val="0"/>
                <w:color w:val="000000"/>
                <w:sz w:val="21"/>
                <w:szCs w:val="21"/>
                <w:highlight w:val="none"/>
                <w:vertAlign w:val="baseline"/>
                <w:lang w:eastAsia="zh-CN"/>
              </w:rPr>
            </w:pPr>
            <w:r>
              <w:rPr>
                <w:rFonts w:hint="eastAsia" w:ascii="宋体" w:hAnsi="宋体" w:cs="宋体"/>
                <w:b w:val="0"/>
                <w:bCs w:val="0"/>
                <w:color w:val="000000"/>
                <w:sz w:val="21"/>
                <w:szCs w:val="21"/>
                <w:highlight w:val="none"/>
                <w:vertAlign w:val="baseline"/>
                <w:lang w:eastAsia="zh-CN"/>
              </w:rPr>
              <w:t>考核项目</w:t>
            </w:r>
          </w:p>
        </w:tc>
        <w:tc>
          <w:tcPr>
            <w:tcW w:w="5467" w:type="dxa"/>
            <w:noWrap w:val="0"/>
            <w:vAlign w:val="center"/>
          </w:tcPr>
          <w:p>
            <w:pPr>
              <w:snapToGrid w:val="0"/>
              <w:spacing w:before="95" w:beforeLines="0" w:after="120" w:afterLines="0" w:line="240" w:lineRule="auto"/>
              <w:ind w:left="0" w:leftChars="0" w:firstLine="84" w:firstLineChars="0"/>
              <w:jc w:val="center"/>
              <w:outlineLvl w:val="9"/>
              <w:rPr>
                <w:rFonts w:hint="eastAsia" w:ascii="宋体" w:hAnsi="宋体" w:cs="宋体"/>
                <w:b w:val="0"/>
                <w:bCs w:val="0"/>
                <w:color w:val="000000"/>
                <w:sz w:val="21"/>
                <w:szCs w:val="21"/>
                <w:highlight w:val="none"/>
                <w:vertAlign w:val="baseline"/>
                <w:lang w:eastAsia="zh-CN"/>
              </w:rPr>
            </w:pPr>
            <w:r>
              <w:rPr>
                <w:rFonts w:hint="eastAsia" w:ascii="宋体" w:hAnsi="宋体" w:eastAsia="宋体" w:cs="宋体"/>
                <w:color w:val="000000"/>
                <w:sz w:val="21"/>
                <w:szCs w:val="21"/>
                <w:highlight w:val="none"/>
              </w:rPr>
              <w:t>考核内容及评分标准</w:t>
            </w:r>
          </w:p>
        </w:tc>
        <w:tc>
          <w:tcPr>
            <w:tcW w:w="1320" w:type="dxa"/>
            <w:noWrap w:val="0"/>
            <w:vAlign w:val="center"/>
          </w:tcPr>
          <w:p>
            <w:pPr>
              <w:snapToGrid w:val="0"/>
              <w:spacing w:before="95" w:beforeLines="0" w:after="120" w:afterLines="0" w:line="240" w:lineRule="auto"/>
              <w:ind w:left="0" w:leftChars="0" w:firstLine="84" w:firstLineChars="0"/>
              <w:jc w:val="center"/>
              <w:outlineLvl w:val="9"/>
              <w:rPr>
                <w:rFonts w:hint="eastAsia" w:ascii="宋体" w:hAnsi="宋体" w:cs="宋体"/>
                <w:b w:val="0"/>
                <w:bCs w:val="0"/>
                <w:color w:val="000000"/>
                <w:sz w:val="21"/>
                <w:szCs w:val="21"/>
                <w:highlight w:val="none"/>
                <w:vertAlign w:val="baseline"/>
                <w:lang w:eastAsia="zh-CN"/>
              </w:rPr>
            </w:pPr>
            <w:r>
              <w:rPr>
                <w:rFonts w:hint="eastAsia" w:ascii="宋体" w:hAnsi="宋体" w:cs="宋体"/>
                <w:b w:val="0"/>
                <w:bCs w:val="0"/>
                <w:color w:val="000000"/>
                <w:sz w:val="21"/>
                <w:szCs w:val="21"/>
                <w:highlight w:val="none"/>
                <w:vertAlign w:val="baseline"/>
                <w:lang w:eastAsia="zh-CN"/>
              </w:rPr>
              <w:t>分值比例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781" w:type="dxa"/>
            <w:vMerge w:val="restart"/>
            <w:noWrap w:val="0"/>
            <w:vAlign w:val="center"/>
          </w:tcPr>
          <w:p>
            <w:pPr>
              <w:pStyle w:val="11"/>
              <w:spacing w:after="120" w:afterLines="50" w:line="24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一</w:t>
            </w:r>
          </w:p>
        </w:tc>
        <w:tc>
          <w:tcPr>
            <w:tcW w:w="1268" w:type="dxa"/>
            <w:vMerge w:val="restart"/>
            <w:noWrap w:val="0"/>
            <w:vAlign w:val="center"/>
          </w:tcPr>
          <w:p>
            <w:pPr>
              <w:pStyle w:val="11"/>
              <w:spacing w:after="120" w:afterLines="50" w:line="24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管理机制</w:t>
            </w:r>
          </w:p>
        </w:tc>
        <w:tc>
          <w:tcPr>
            <w:tcW w:w="5467" w:type="dxa"/>
            <w:noWrap w:val="0"/>
            <w:vAlign w:val="top"/>
          </w:tcPr>
          <w:p>
            <w:pPr>
              <w:pStyle w:val="11"/>
              <w:spacing w:after="120" w:afterLines="50" w:line="24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承包单位落实专人负责桥头胡街道的河道保洁长效管理工作的，得</w:t>
            </w:r>
            <w:r>
              <w:rPr>
                <w:rFonts w:hint="eastAsia"/>
                <w:b w:val="0"/>
                <w:bCs w:val="0"/>
                <w:sz w:val="21"/>
                <w:szCs w:val="21"/>
                <w:vertAlign w:val="baseline"/>
                <w:lang w:val="en-US" w:eastAsia="zh-CN"/>
              </w:rPr>
              <w:t>2分，未落实不得分</w:t>
            </w:r>
          </w:p>
        </w:tc>
        <w:tc>
          <w:tcPr>
            <w:tcW w:w="1320" w:type="dxa"/>
            <w:noWrap w:val="0"/>
            <w:vAlign w:val="center"/>
          </w:tcPr>
          <w:p>
            <w:pPr>
              <w:pStyle w:val="11"/>
              <w:spacing w:after="120" w:afterLines="50" w:line="240" w:lineRule="auto"/>
              <w:ind w:left="0" w:leftChars="0" w:firstLine="0" w:firstLineChars="0"/>
              <w:jc w:val="center"/>
              <w:rPr>
                <w:rFonts w:hint="eastAsia"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781" w:type="dxa"/>
            <w:vMerge w:val="continue"/>
            <w:noWrap w:val="0"/>
            <w:vAlign w:val="top"/>
          </w:tcPr>
          <w:p>
            <w:pPr>
              <w:pStyle w:val="11"/>
              <w:spacing w:after="120" w:afterLines="50" w:line="240" w:lineRule="auto"/>
              <w:jc w:val="center"/>
              <w:rPr>
                <w:rFonts w:hint="eastAsia"/>
                <w:b w:val="0"/>
                <w:bCs w:val="0"/>
                <w:sz w:val="21"/>
                <w:szCs w:val="21"/>
                <w:vertAlign w:val="baseline"/>
                <w:lang w:eastAsia="zh-CN"/>
              </w:rPr>
            </w:pPr>
          </w:p>
        </w:tc>
        <w:tc>
          <w:tcPr>
            <w:tcW w:w="1268" w:type="dxa"/>
            <w:vMerge w:val="continue"/>
            <w:noWrap w:val="0"/>
            <w:vAlign w:val="top"/>
          </w:tcPr>
          <w:p>
            <w:pPr>
              <w:pStyle w:val="11"/>
              <w:spacing w:after="120" w:afterLines="50" w:line="240" w:lineRule="auto"/>
              <w:jc w:val="center"/>
              <w:rPr>
                <w:rFonts w:hint="eastAsia"/>
                <w:b w:val="0"/>
                <w:bCs w:val="0"/>
                <w:sz w:val="21"/>
                <w:szCs w:val="21"/>
                <w:vertAlign w:val="baseline"/>
                <w:lang w:eastAsia="zh-CN"/>
              </w:rPr>
            </w:pPr>
          </w:p>
        </w:tc>
        <w:tc>
          <w:tcPr>
            <w:tcW w:w="5467" w:type="dxa"/>
            <w:noWrap w:val="0"/>
            <w:vAlign w:val="top"/>
          </w:tcPr>
          <w:p>
            <w:pPr>
              <w:pStyle w:val="11"/>
              <w:spacing w:after="120" w:afterLines="50" w:line="24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遇连续暴雨，能在规定时间内全面打捞，恢复河道原貌，遇重大活动或重要检查，服从采购人统一安排的，得</w:t>
            </w:r>
            <w:r>
              <w:rPr>
                <w:rFonts w:hint="eastAsia"/>
                <w:b w:val="0"/>
                <w:bCs w:val="0"/>
                <w:sz w:val="21"/>
                <w:szCs w:val="21"/>
                <w:vertAlign w:val="baseline"/>
                <w:lang w:val="en-US" w:eastAsia="zh-CN"/>
              </w:rPr>
              <w:t>3分；未在规定时间内完成保洁任务的，扣1分；不服从统一安排的，不得分。</w:t>
            </w:r>
          </w:p>
        </w:tc>
        <w:tc>
          <w:tcPr>
            <w:tcW w:w="1320" w:type="dxa"/>
            <w:noWrap w:val="0"/>
            <w:vAlign w:val="center"/>
          </w:tcPr>
          <w:p>
            <w:pPr>
              <w:pStyle w:val="11"/>
              <w:spacing w:after="120" w:afterLines="50" w:line="240" w:lineRule="auto"/>
              <w:ind w:left="0" w:leftChars="0" w:firstLine="0" w:firstLineChars="0"/>
              <w:jc w:val="center"/>
              <w:rPr>
                <w:rFonts w:hint="eastAsia"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81" w:type="dxa"/>
            <w:vMerge w:val="restart"/>
            <w:noWrap w:val="0"/>
            <w:vAlign w:val="center"/>
          </w:tcPr>
          <w:p>
            <w:pPr>
              <w:pStyle w:val="11"/>
              <w:spacing w:after="120" w:afterLines="50" w:line="24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二</w:t>
            </w:r>
          </w:p>
        </w:tc>
        <w:tc>
          <w:tcPr>
            <w:tcW w:w="1268" w:type="dxa"/>
            <w:vMerge w:val="restart"/>
            <w:noWrap w:val="0"/>
            <w:vAlign w:val="center"/>
          </w:tcPr>
          <w:p>
            <w:pPr>
              <w:pStyle w:val="11"/>
              <w:spacing w:after="120" w:afterLines="50" w:line="24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管理保洁</w:t>
            </w:r>
          </w:p>
          <w:p>
            <w:pPr>
              <w:pStyle w:val="11"/>
              <w:spacing w:after="120" w:afterLines="50" w:line="24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效果</w:t>
            </w:r>
          </w:p>
        </w:tc>
        <w:tc>
          <w:tcPr>
            <w:tcW w:w="5467" w:type="dxa"/>
            <w:noWrap w:val="0"/>
            <w:vAlign w:val="top"/>
          </w:tcPr>
          <w:p>
            <w:pPr>
              <w:pStyle w:val="11"/>
              <w:spacing w:after="120" w:afterLines="50" w:line="24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及时劝导报告河道管理范围内新发生的水事违法行为的，得</w:t>
            </w:r>
            <w:r>
              <w:rPr>
                <w:rFonts w:hint="eastAsia"/>
                <w:b w:val="0"/>
                <w:bCs w:val="0"/>
                <w:sz w:val="21"/>
                <w:szCs w:val="21"/>
                <w:vertAlign w:val="baseline"/>
                <w:lang w:val="en-US" w:eastAsia="zh-CN"/>
              </w:rPr>
              <w:t>5分；未及时劝阻并报告的不得分</w:t>
            </w:r>
          </w:p>
        </w:tc>
        <w:tc>
          <w:tcPr>
            <w:tcW w:w="1320" w:type="dxa"/>
            <w:noWrap w:val="0"/>
            <w:vAlign w:val="center"/>
          </w:tcPr>
          <w:p>
            <w:pPr>
              <w:pStyle w:val="11"/>
              <w:spacing w:after="120" w:afterLines="50" w:line="240" w:lineRule="auto"/>
              <w:ind w:left="0" w:leftChars="0" w:firstLine="0" w:firstLineChars="0"/>
              <w:jc w:val="center"/>
              <w:rPr>
                <w:rFonts w:hint="eastAsia"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noWrap w:val="0"/>
            <w:vAlign w:val="top"/>
          </w:tcPr>
          <w:p>
            <w:pPr>
              <w:pStyle w:val="11"/>
              <w:spacing w:after="120" w:afterLines="50" w:line="240" w:lineRule="auto"/>
              <w:jc w:val="center"/>
              <w:rPr>
                <w:rFonts w:hint="eastAsia"/>
                <w:b w:val="0"/>
                <w:bCs w:val="0"/>
                <w:sz w:val="21"/>
                <w:szCs w:val="21"/>
                <w:vertAlign w:val="baseline"/>
                <w:lang w:eastAsia="zh-CN"/>
              </w:rPr>
            </w:pPr>
          </w:p>
        </w:tc>
        <w:tc>
          <w:tcPr>
            <w:tcW w:w="1268" w:type="dxa"/>
            <w:vMerge w:val="continue"/>
            <w:noWrap w:val="0"/>
            <w:vAlign w:val="top"/>
          </w:tcPr>
          <w:p>
            <w:pPr>
              <w:pStyle w:val="11"/>
              <w:spacing w:after="120" w:afterLines="50" w:line="240" w:lineRule="auto"/>
              <w:jc w:val="center"/>
              <w:rPr>
                <w:rFonts w:hint="eastAsia"/>
                <w:b w:val="0"/>
                <w:bCs w:val="0"/>
                <w:sz w:val="21"/>
                <w:szCs w:val="21"/>
                <w:vertAlign w:val="baseline"/>
                <w:lang w:eastAsia="zh-CN"/>
              </w:rPr>
            </w:pPr>
          </w:p>
        </w:tc>
        <w:tc>
          <w:tcPr>
            <w:tcW w:w="5467" w:type="dxa"/>
            <w:noWrap w:val="0"/>
            <w:vAlign w:val="top"/>
          </w:tcPr>
          <w:p>
            <w:pPr>
              <w:pStyle w:val="11"/>
              <w:spacing w:after="120" w:afterLines="50" w:line="24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河道管理范围内没有动物尸体的，得</w:t>
            </w:r>
            <w:r>
              <w:rPr>
                <w:rFonts w:hint="eastAsia"/>
                <w:b w:val="0"/>
                <w:bCs w:val="0"/>
                <w:sz w:val="21"/>
                <w:szCs w:val="21"/>
                <w:vertAlign w:val="baseline"/>
                <w:lang w:val="en-US" w:eastAsia="zh-CN"/>
              </w:rPr>
              <w:t>5分；发现动物尸体的，每只扣1分</w:t>
            </w:r>
          </w:p>
        </w:tc>
        <w:tc>
          <w:tcPr>
            <w:tcW w:w="1320" w:type="dxa"/>
            <w:noWrap w:val="0"/>
            <w:vAlign w:val="center"/>
          </w:tcPr>
          <w:p>
            <w:pPr>
              <w:pStyle w:val="11"/>
              <w:spacing w:after="120" w:afterLines="50" w:line="240" w:lineRule="auto"/>
              <w:ind w:left="0" w:leftChars="0" w:firstLine="0" w:firstLineChars="0"/>
              <w:jc w:val="center"/>
              <w:rPr>
                <w:rFonts w:hint="eastAsia"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81" w:type="dxa"/>
            <w:vMerge w:val="continue"/>
            <w:noWrap w:val="0"/>
            <w:vAlign w:val="top"/>
          </w:tcPr>
          <w:p>
            <w:pPr>
              <w:pStyle w:val="11"/>
              <w:spacing w:after="120" w:afterLines="50" w:line="240" w:lineRule="auto"/>
              <w:jc w:val="center"/>
              <w:rPr>
                <w:rFonts w:hint="eastAsia"/>
                <w:b w:val="0"/>
                <w:bCs w:val="0"/>
                <w:sz w:val="21"/>
                <w:szCs w:val="21"/>
                <w:vertAlign w:val="baseline"/>
                <w:lang w:eastAsia="zh-CN"/>
              </w:rPr>
            </w:pPr>
          </w:p>
        </w:tc>
        <w:tc>
          <w:tcPr>
            <w:tcW w:w="1268" w:type="dxa"/>
            <w:vMerge w:val="continue"/>
            <w:noWrap w:val="0"/>
            <w:vAlign w:val="top"/>
          </w:tcPr>
          <w:p>
            <w:pPr>
              <w:pStyle w:val="11"/>
              <w:spacing w:after="120" w:afterLines="50" w:line="240" w:lineRule="auto"/>
              <w:jc w:val="center"/>
              <w:rPr>
                <w:rFonts w:hint="eastAsia"/>
                <w:b w:val="0"/>
                <w:bCs w:val="0"/>
                <w:sz w:val="21"/>
                <w:szCs w:val="21"/>
                <w:vertAlign w:val="baseline"/>
                <w:lang w:eastAsia="zh-CN"/>
              </w:rPr>
            </w:pPr>
          </w:p>
        </w:tc>
        <w:tc>
          <w:tcPr>
            <w:tcW w:w="5467" w:type="dxa"/>
            <w:noWrap w:val="0"/>
            <w:vAlign w:val="top"/>
          </w:tcPr>
          <w:p>
            <w:pPr>
              <w:pStyle w:val="11"/>
              <w:spacing w:after="120" w:afterLines="50" w:line="24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河道打捞物日产日清，上岸运走，并在指定地点倾倒的，得</w:t>
            </w:r>
            <w:r>
              <w:rPr>
                <w:rFonts w:hint="eastAsia"/>
                <w:b w:val="0"/>
                <w:bCs w:val="0"/>
                <w:sz w:val="21"/>
                <w:szCs w:val="21"/>
                <w:vertAlign w:val="baseline"/>
                <w:lang w:val="en-US" w:eastAsia="zh-CN"/>
              </w:rPr>
              <w:t>10分。打捞物上岸未及时运走的，每处扣1分</w:t>
            </w:r>
          </w:p>
        </w:tc>
        <w:tc>
          <w:tcPr>
            <w:tcW w:w="1320" w:type="dxa"/>
            <w:noWrap w:val="0"/>
            <w:vAlign w:val="center"/>
          </w:tcPr>
          <w:p>
            <w:pPr>
              <w:pStyle w:val="11"/>
              <w:spacing w:after="120" w:afterLines="50" w:line="240" w:lineRule="auto"/>
              <w:ind w:left="0" w:leftChars="0" w:firstLine="0" w:firstLineChars="0"/>
              <w:jc w:val="center"/>
              <w:rPr>
                <w:rFonts w:hint="eastAsia"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noWrap w:val="0"/>
            <w:vAlign w:val="top"/>
          </w:tcPr>
          <w:p>
            <w:pPr>
              <w:pStyle w:val="11"/>
              <w:spacing w:after="120" w:afterLines="50" w:line="240" w:lineRule="auto"/>
              <w:jc w:val="center"/>
              <w:rPr>
                <w:rFonts w:hint="eastAsia"/>
                <w:b w:val="0"/>
                <w:bCs w:val="0"/>
                <w:sz w:val="21"/>
                <w:szCs w:val="21"/>
                <w:vertAlign w:val="baseline"/>
                <w:lang w:eastAsia="zh-CN"/>
              </w:rPr>
            </w:pPr>
          </w:p>
        </w:tc>
        <w:tc>
          <w:tcPr>
            <w:tcW w:w="1268" w:type="dxa"/>
            <w:vMerge w:val="continue"/>
            <w:noWrap w:val="0"/>
            <w:vAlign w:val="top"/>
          </w:tcPr>
          <w:p>
            <w:pPr>
              <w:pStyle w:val="11"/>
              <w:spacing w:after="120" w:afterLines="50" w:line="240" w:lineRule="auto"/>
              <w:jc w:val="center"/>
              <w:rPr>
                <w:rFonts w:hint="eastAsia"/>
                <w:b w:val="0"/>
                <w:bCs w:val="0"/>
                <w:sz w:val="21"/>
                <w:szCs w:val="21"/>
                <w:vertAlign w:val="baseline"/>
                <w:lang w:eastAsia="zh-CN"/>
              </w:rPr>
            </w:pPr>
          </w:p>
        </w:tc>
        <w:tc>
          <w:tcPr>
            <w:tcW w:w="5467" w:type="dxa"/>
            <w:noWrap w:val="0"/>
            <w:vAlign w:val="top"/>
          </w:tcPr>
          <w:p>
            <w:pPr>
              <w:pStyle w:val="11"/>
              <w:spacing w:after="120" w:afterLines="50" w:line="24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河面无漂浮废弃物的得</w:t>
            </w:r>
            <w:r>
              <w:rPr>
                <w:rFonts w:hint="eastAsia"/>
                <w:b w:val="0"/>
                <w:bCs w:val="0"/>
                <w:color w:val="FF0000"/>
                <w:sz w:val="21"/>
                <w:szCs w:val="21"/>
                <w:vertAlign w:val="baseline"/>
                <w:lang w:val="en-US" w:eastAsia="zh-CN"/>
              </w:rPr>
              <w:t>30</w:t>
            </w:r>
            <w:r>
              <w:rPr>
                <w:rFonts w:hint="eastAsia"/>
                <w:b w:val="0"/>
                <w:bCs w:val="0"/>
                <w:sz w:val="21"/>
                <w:szCs w:val="21"/>
                <w:vertAlign w:val="baseline"/>
                <w:lang w:val="en-US" w:eastAsia="zh-CN"/>
              </w:rPr>
              <w:t>分；河面有成片漂浮物的，每处扣5分</w:t>
            </w:r>
          </w:p>
        </w:tc>
        <w:tc>
          <w:tcPr>
            <w:tcW w:w="1320" w:type="dxa"/>
            <w:noWrap w:val="0"/>
            <w:vAlign w:val="center"/>
          </w:tcPr>
          <w:p>
            <w:pPr>
              <w:pStyle w:val="11"/>
              <w:spacing w:after="120" w:afterLines="50" w:line="240" w:lineRule="auto"/>
              <w:ind w:left="0" w:leftChars="0" w:firstLine="0" w:firstLineChars="0"/>
              <w:jc w:val="center"/>
              <w:rPr>
                <w:rFonts w:hint="default"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noWrap w:val="0"/>
            <w:vAlign w:val="top"/>
          </w:tcPr>
          <w:p>
            <w:pPr>
              <w:pStyle w:val="11"/>
              <w:spacing w:after="120" w:afterLines="50" w:line="240" w:lineRule="auto"/>
              <w:jc w:val="center"/>
              <w:rPr>
                <w:rFonts w:hint="eastAsia"/>
                <w:b w:val="0"/>
                <w:bCs w:val="0"/>
                <w:sz w:val="21"/>
                <w:szCs w:val="21"/>
                <w:vertAlign w:val="baseline"/>
                <w:lang w:eastAsia="zh-CN"/>
              </w:rPr>
            </w:pPr>
          </w:p>
        </w:tc>
        <w:tc>
          <w:tcPr>
            <w:tcW w:w="1268" w:type="dxa"/>
            <w:vMerge w:val="continue"/>
            <w:noWrap w:val="0"/>
            <w:vAlign w:val="top"/>
          </w:tcPr>
          <w:p>
            <w:pPr>
              <w:pStyle w:val="11"/>
              <w:spacing w:after="120" w:afterLines="50" w:line="240" w:lineRule="auto"/>
              <w:jc w:val="center"/>
              <w:rPr>
                <w:rFonts w:hint="eastAsia"/>
                <w:b w:val="0"/>
                <w:bCs w:val="0"/>
                <w:sz w:val="21"/>
                <w:szCs w:val="21"/>
                <w:vertAlign w:val="baseline"/>
                <w:lang w:eastAsia="zh-CN"/>
              </w:rPr>
            </w:pPr>
          </w:p>
        </w:tc>
        <w:tc>
          <w:tcPr>
            <w:tcW w:w="5467" w:type="dxa"/>
            <w:noWrap w:val="0"/>
            <w:vAlign w:val="top"/>
          </w:tcPr>
          <w:p>
            <w:pPr>
              <w:pStyle w:val="11"/>
              <w:spacing w:after="120" w:afterLines="50" w:line="240" w:lineRule="auto"/>
              <w:ind w:left="0" w:leftChars="0" w:firstLine="0" w:firstLineChars="0"/>
              <w:jc w:val="both"/>
              <w:rPr>
                <w:rFonts w:hint="default"/>
                <w:b w:val="0"/>
                <w:bCs w:val="0"/>
                <w:sz w:val="21"/>
                <w:szCs w:val="21"/>
                <w:vertAlign w:val="baseline"/>
                <w:lang w:val="en-US" w:eastAsia="zh-CN"/>
              </w:rPr>
            </w:pPr>
            <w:r>
              <w:rPr>
                <w:rFonts w:hint="eastAsia"/>
                <w:b w:val="0"/>
                <w:bCs w:val="0"/>
                <w:sz w:val="21"/>
                <w:szCs w:val="21"/>
                <w:vertAlign w:val="baseline"/>
                <w:lang w:eastAsia="zh-CN"/>
              </w:rPr>
              <w:t>河面无油污漂浮的得</w:t>
            </w:r>
            <w:r>
              <w:rPr>
                <w:rFonts w:hint="eastAsia"/>
                <w:b w:val="0"/>
                <w:bCs w:val="0"/>
                <w:sz w:val="21"/>
                <w:szCs w:val="21"/>
                <w:vertAlign w:val="baseline"/>
                <w:lang w:val="en-US" w:eastAsia="zh-CN"/>
              </w:rPr>
              <w:t>20分，</w:t>
            </w:r>
            <w:r>
              <w:rPr>
                <w:rFonts w:hint="eastAsia"/>
                <w:b w:val="0"/>
                <w:bCs w:val="0"/>
                <w:sz w:val="21"/>
                <w:szCs w:val="21"/>
                <w:vertAlign w:val="baseline"/>
                <w:lang w:eastAsia="zh-CN"/>
              </w:rPr>
              <w:t>河面有油污未及时清理的，每处扣</w:t>
            </w:r>
            <w:r>
              <w:rPr>
                <w:rFonts w:hint="eastAsia"/>
                <w:b w:val="0"/>
                <w:bCs w:val="0"/>
                <w:sz w:val="21"/>
                <w:szCs w:val="21"/>
                <w:vertAlign w:val="baseline"/>
                <w:lang w:val="en-US" w:eastAsia="zh-CN"/>
              </w:rPr>
              <w:t>5分</w:t>
            </w:r>
          </w:p>
        </w:tc>
        <w:tc>
          <w:tcPr>
            <w:tcW w:w="1320" w:type="dxa"/>
            <w:noWrap w:val="0"/>
            <w:vAlign w:val="center"/>
          </w:tcPr>
          <w:p>
            <w:pPr>
              <w:pStyle w:val="11"/>
              <w:spacing w:after="120" w:afterLines="50" w:line="240" w:lineRule="auto"/>
              <w:ind w:left="0" w:leftChars="0" w:firstLine="0" w:firstLineChars="0"/>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noWrap w:val="0"/>
            <w:vAlign w:val="center"/>
          </w:tcPr>
          <w:p>
            <w:pPr>
              <w:pStyle w:val="11"/>
              <w:spacing w:after="120" w:afterLines="50" w:line="24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三</w:t>
            </w:r>
          </w:p>
        </w:tc>
        <w:tc>
          <w:tcPr>
            <w:tcW w:w="1268" w:type="dxa"/>
            <w:noWrap w:val="0"/>
            <w:vAlign w:val="center"/>
          </w:tcPr>
          <w:p>
            <w:pPr>
              <w:pStyle w:val="11"/>
              <w:spacing w:after="120" w:afterLines="50" w:line="24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安全生产</w:t>
            </w:r>
          </w:p>
        </w:tc>
        <w:tc>
          <w:tcPr>
            <w:tcW w:w="5467" w:type="dxa"/>
            <w:noWrap w:val="0"/>
            <w:vAlign w:val="top"/>
          </w:tcPr>
          <w:p>
            <w:pPr>
              <w:pStyle w:val="11"/>
              <w:spacing w:after="120" w:afterLines="50" w:line="24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作业是保洁船未配备救生圈、保洁人员未穿救生衣、未带安全帽，扣</w:t>
            </w:r>
            <w:r>
              <w:rPr>
                <w:rFonts w:hint="eastAsia"/>
                <w:b w:val="0"/>
                <w:bCs w:val="0"/>
                <w:sz w:val="21"/>
                <w:szCs w:val="21"/>
                <w:vertAlign w:val="baseline"/>
                <w:lang w:val="en-US" w:eastAsia="zh-CN"/>
              </w:rPr>
              <w:t>1分/人</w:t>
            </w:r>
          </w:p>
        </w:tc>
        <w:tc>
          <w:tcPr>
            <w:tcW w:w="1320" w:type="dxa"/>
            <w:noWrap w:val="0"/>
            <w:vAlign w:val="center"/>
          </w:tcPr>
          <w:p>
            <w:pPr>
              <w:pStyle w:val="11"/>
              <w:spacing w:after="120" w:afterLines="50" w:line="240" w:lineRule="auto"/>
              <w:ind w:left="0" w:leftChars="0" w:firstLine="0" w:firstLineChars="0"/>
              <w:jc w:val="center"/>
              <w:rPr>
                <w:rFonts w:hint="eastAsia"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restart"/>
            <w:noWrap w:val="0"/>
            <w:vAlign w:val="center"/>
          </w:tcPr>
          <w:p>
            <w:pPr>
              <w:pStyle w:val="11"/>
              <w:spacing w:after="120" w:afterLines="50" w:line="24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四</w:t>
            </w:r>
          </w:p>
        </w:tc>
        <w:tc>
          <w:tcPr>
            <w:tcW w:w="1268" w:type="dxa"/>
            <w:vMerge w:val="restart"/>
            <w:noWrap w:val="0"/>
            <w:vAlign w:val="center"/>
          </w:tcPr>
          <w:p>
            <w:pPr>
              <w:pStyle w:val="11"/>
              <w:spacing w:after="120" w:afterLines="50" w:line="24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工作制度</w:t>
            </w:r>
          </w:p>
        </w:tc>
        <w:tc>
          <w:tcPr>
            <w:tcW w:w="5467" w:type="dxa"/>
            <w:noWrap w:val="0"/>
            <w:vAlign w:val="top"/>
          </w:tcPr>
          <w:p>
            <w:pPr>
              <w:pStyle w:val="11"/>
              <w:spacing w:after="120" w:afterLines="50" w:line="24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建立河道保洁长效管理工作规章制度的，得</w:t>
            </w:r>
            <w:r>
              <w:rPr>
                <w:rFonts w:hint="eastAsia"/>
                <w:b w:val="0"/>
                <w:bCs w:val="0"/>
                <w:sz w:val="21"/>
                <w:szCs w:val="21"/>
                <w:vertAlign w:val="baseline"/>
                <w:lang w:val="en-US" w:eastAsia="zh-CN"/>
              </w:rPr>
              <w:t>2分；未建立的，不得分</w:t>
            </w:r>
          </w:p>
        </w:tc>
        <w:tc>
          <w:tcPr>
            <w:tcW w:w="1320" w:type="dxa"/>
            <w:noWrap w:val="0"/>
            <w:vAlign w:val="center"/>
          </w:tcPr>
          <w:p>
            <w:pPr>
              <w:pStyle w:val="11"/>
              <w:spacing w:after="120" w:afterLines="50" w:line="240" w:lineRule="auto"/>
              <w:ind w:left="0" w:leftChars="0" w:firstLine="0" w:firstLineChars="0"/>
              <w:jc w:val="center"/>
              <w:rPr>
                <w:rFonts w:hint="eastAsia"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noWrap w:val="0"/>
            <w:vAlign w:val="top"/>
          </w:tcPr>
          <w:p>
            <w:pPr>
              <w:pStyle w:val="11"/>
              <w:spacing w:after="120" w:afterLines="50" w:line="240" w:lineRule="auto"/>
              <w:ind w:left="0" w:leftChars="0" w:firstLine="0" w:firstLineChars="0"/>
              <w:jc w:val="center"/>
              <w:rPr>
                <w:rFonts w:hint="eastAsia"/>
                <w:b w:val="0"/>
                <w:bCs w:val="0"/>
                <w:sz w:val="21"/>
                <w:szCs w:val="21"/>
                <w:vertAlign w:val="baseline"/>
                <w:lang w:eastAsia="zh-CN"/>
              </w:rPr>
            </w:pPr>
          </w:p>
        </w:tc>
        <w:tc>
          <w:tcPr>
            <w:tcW w:w="1268" w:type="dxa"/>
            <w:vMerge w:val="continue"/>
            <w:noWrap w:val="0"/>
            <w:vAlign w:val="top"/>
          </w:tcPr>
          <w:p>
            <w:pPr>
              <w:pStyle w:val="11"/>
              <w:spacing w:after="120" w:afterLines="50" w:line="240" w:lineRule="auto"/>
              <w:jc w:val="center"/>
              <w:rPr>
                <w:rFonts w:hint="eastAsia"/>
                <w:b w:val="0"/>
                <w:bCs w:val="0"/>
                <w:sz w:val="21"/>
                <w:szCs w:val="21"/>
                <w:vertAlign w:val="baseline"/>
                <w:lang w:eastAsia="zh-CN"/>
              </w:rPr>
            </w:pPr>
          </w:p>
        </w:tc>
        <w:tc>
          <w:tcPr>
            <w:tcW w:w="5467" w:type="dxa"/>
            <w:noWrap w:val="0"/>
            <w:vAlign w:val="top"/>
          </w:tcPr>
          <w:p>
            <w:pPr>
              <w:pStyle w:val="11"/>
              <w:spacing w:after="120" w:afterLines="50" w:line="24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制订实施河道保洁长效管理监督检查办法的，得</w:t>
            </w:r>
            <w:r>
              <w:rPr>
                <w:rFonts w:hint="eastAsia"/>
                <w:b w:val="0"/>
                <w:bCs w:val="0"/>
                <w:sz w:val="21"/>
                <w:szCs w:val="21"/>
                <w:vertAlign w:val="baseline"/>
                <w:lang w:val="en-US" w:eastAsia="zh-CN"/>
              </w:rPr>
              <w:t>3分；未制订监督检查办法的不得分</w:t>
            </w:r>
          </w:p>
        </w:tc>
        <w:tc>
          <w:tcPr>
            <w:tcW w:w="1320" w:type="dxa"/>
            <w:noWrap w:val="0"/>
            <w:vAlign w:val="top"/>
          </w:tcPr>
          <w:p>
            <w:pPr>
              <w:pStyle w:val="11"/>
              <w:spacing w:after="120" w:afterLines="50" w:line="240" w:lineRule="auto"/>
              <w:ind w:firstLine="562"/>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vMerge w:val="continue"/>
            <w:noWrap w:val="0"/>
            <w:vAlign w:val="top"/>
          </w:tcPr>
          <w:p>
            <w:pPr>
              <w:pStyle w:val="11"/>
              <w:spacing w:after="120" w:afterLines="50" w:line="240" w:lineRule="auto"/>
              <w:ind w:left="0" w:leftChars="0" w:firstLine="0" w:firstLineChars="0"/>
              <w:jc w:val="center"/>
              <w:rPr>
                <w:rFonts w:hint="eastAsia"/>
                <w:b w:val="0"/>
                <w:bCs w:val="0"/>
                <w:sz w:val="21"/>
                <w:szCs w:val="21"/>
                <w:vertAlign w:val="baseline"/>
                <w:lang w:eastAsia="zh-CN"/>
              </w:rPr>
            </w:pPr>
          </w:p>
        </w:tc>
        <w:tc>
          <w:tcPr>
            <w:tcW w:w="1268" w:type="dxa"/>
            <w:vMerge w:val="continue"/>
            <w:noWrap w:val="0"/>
            <w:vAlign w:val="top"/>
          </w:tcPr>
          <w:p>
            <w:pPr>
              <w:pStyle w:val="11"/>
              <w:spacing w:after="120" w:afterLines="50" w:line="240" w:lineRule="auto"/>
              <w:jc w:val="center"/>
              <w:rPr>
                <w:rFonts w:hint="eastAsia"/>
                <w:b w:val="0"/>
                <w:bCs w:val="0"/>
                <w:sz w:val="21"/>
                <w:szCs w:val="21"/>
                <w:vertAlign w:val="baseline"/>
                <w:lang w:eastAsia="zh-CN"/>
              </w:rPr>
            </w:pPr>
          </w:p>
        </w:tc>
        <w:tc>
          <w:tcPr>
            <w:tcW w:w="5467" w:type="dxa"/>
            <w:noWrap w:val="0"/>
            <w:vAlign w:val="top"/>
          </w:tcPr>
          <w:p>
            <w:pPr>
              <w:pStyle w:val="11"/>
              <w:spacing w:after="120" w:afterLines="50" w:line="24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建立河道保洁长效管理台账制度，台账记录准确详细的，得</w:t>
            </w:r>
            <w:r>
              <w:rPr>
                <w:rFonts w:hint="eastAsia"/>
                <w:b w:val="0"/>
                <w:bCs w:val="0"/>
                <w:sz w:val="21"/>
                <w:szCs w:val="21"/>
                <w:vertAlign w:val="baseline"/>
                <w:lang w:val="en-US" w:eastAsia="zh-CN"/>
              </w:rPr>
              <w:t>5分；台账不齐全的，扣2分；未建立台账的，不得分</w:t>
            </w:r>
          </w:p>
        </w:tc>
        <w:tc>
          <w:tcPr>
            <w:tcW w:w="1320" w:type="dxa"/>
            <w:noWrap w:val="0"/>
            <w:vAlign w:val="top"/>
          </w:tcPr>
          <w:p>
            <w:pPr>
              <w:pStyle w:val="11"/>
              <w:tabs>
                <w:tab w:val="left" w:pos="532"/>
              </w:tabs>
              <w:spacing w:after="120" w:afterLines="50" w:line="240" w:lineRule="auto"/>
              <w:jc w:val="left"/>
              <w:rPr>
                <w:rFonts w:hint="default"/>
                <w:b w:val="0"/>
                <w:bCs w:val="0"/>
                <w:sz w:val="21"/>
                <w:szCs w:val="21"/>
                <w:vertAlign w:val="baseline"/>
                <w:lang w:val="en-US" w:eastAsia="zh-CN"/>
              </w:rPr>
            </w:pPr>
            <w:r>
              <w:rPr>
                <w:rFonts w:hint="eastAsia"/>
                <w:b w:val="0"/>
                <w:bCs w:val="0"/>
                <w:sz w:val="21"/>
                <w:szCs w:val="21"/>
                <w:vertAlign w:val="baseline"/>
                <w:lang w:eastAsia="zh-CN"/>
              </w:rPr>
              <w:tab/>
            </w:r>
            <w:r>
              <w:rPr>
                <w:rFonts w:hint="eastAsia"/>
                <w:b w:val="0"/>
                <w:bCs w:val="0"/>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noWrap w:val="0"/>
            <w:vAlign w:val="center"/>
          </w:tcPr>
          <w:p>
            <w:pPr>
              <w:pStyle w:val="11"/>
              <w:spacing w:after="120" w:afterLines="50" w:line="24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五</w:t>
            </w:r>
          </w:p>
        </w:tc>
        <w:tc>
          <w:tcPr>
            <w:tcW w:w="1268" w:type="dxa"/>
            <w:noWrap w:val="0"/>
            <w:vAlign w:val="center"/>
          </w:tcPr>
          <w:p>
            <w:pPr>
              <w:pStyle w:val="11"/>
              <w:spacing w:after="120" w:afterLines="50" w:line="240" w:lineRule="auto"/>
              <w:ind w:left="0" w:leftChars="0" w:firstLine="0" w:firstLineChars="0"/>
              <w:jc w:val="center"/>
              <w:rPr>
                <w:rFonts w:hint="eastAsia"/>
                <w:b w:val="0"/>
                <w:bCs w:val="0"/>
                <w:sz w:val="21"/>
                <w:szCs w:val="21"/>
                <w:vertAlign w:val="baseline"/>
                <w:lang w:eastAsia="zh-CN"/>
              </w:rPr>
            </w:pPr>
            <w:r>
              <w:rPr>
                <w:rFonts w:hint="eastAsia"/>
                <w:b w:val="0"/>
                <w:bCs w:val="0"/>
                <w:sz w:val="21"/>
                <w:szCs w:val="21"/>
                <w:vertAlign w:val="baseline"/>
                <w:lang w:eastAsia="zh-CN"/>
              </w:rPr>
              <w:t>社会形象</w:t>
            </w:r>
          </w:p>
        </w:tc>
        <w:tc>
          <w:tcPr>
            <w:tcW w:w="5467" w:type="dxa"/>
            <w:noWrap w:val="0"/>
            <w:vAlign w:val="top"/>
          </w:tcPr>
          <w:p>
            <w:pPr>
              <w:pStyle w:val="11"/>
              <w:spacing w:after="120" w:afterLines="50" w:line="240" w:lineRule="auto"/>
              <w:ind w:left="0" w:leftChars="0" w:firstLine="0" w:firstLineChars="0"/>
              <w:jc w:val="both"/>
              <w:rPr>
                <w:rFonts w:hint="eastAsia"/>
                <w:b w:val="0"/>
                <w:bCs w:val="0"/>
                <w:sz w:val="21"/>
                <w:szCs w:val="21"/>
                <w:vertAlign w:val="baseline"/>
                <w:lang w:eastAsia="zh-CN"/>
              </w:rPr>
            </w:pPr>
            <w:r>
              <w:rPr>
                <w:rFonts w:hint="eastAsia"/>
                <w:b w:val="0"/>
                <w:bCs w:val="0"/>
                <w:sz w:val="21"/>
                <w:szCs w:val="21"/>
                <w:vertAlign w:val="baseline"/>
                <w:lang w:eastAsia="zh-CN"/>
              </w:rPr>
              <w:t>社会形象良好，不发生新闻曝光和群众投诉等情况的，得</w:t>
            </w:r>
            <w:r>
              <w:rPr>
                <w:rFonts w:hint="eastAsia"/>
                <w:b w:val="0"/>
                <w:bCs w:val="0"/>
                <w:sz w:val="21"/>
                <w:szCs w:val="21"/>
                <w:vertAlign w:val="baseline"/>
                <w:lang w:val="en-US" w:eastAsia="zh-CN"/>
              </w:rPr>
              <w:t>10分，每曝光或投诉一起扣5分，对曝光和投诉不及时整改的扣10分</w:t>
            </w:r>
          </w:p>
        </w:tc>
        <w:tc>
          <w:tcPr>
            <w:tcW w:w="1320" w:type="dxa"/>
            <w:noWrap w:val="0"/>
            <w:vAlign w:val="center"/>
          </w:tcPr>
          <w:p>
            <w:pPr>
              <w:pStyle w:val="11"/>
              <w:spacing w:after="120" w:afterLines="50" w:line="240" w:lineRule="auto"/>
              <w:ind w:left="0" w:leftChars="0" w:firstLine="0" w:firstLineChars="0"/>
              <w:jc w:val="center"/>
              <w:rPr>
                <w:rFonts w:hint="eastAsia"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dxa"/>
            <w:noWrap w:val="0"/>
            <w:vAlign w:val="center"/>
          </w:tcPr>
          <w:p>
            <w:pPr>
              <w:pStyle w:val="11"/>
              <w:spacing w:after="120" w:afterLines="50" w:line="240" w:lineRule="auto"/>
              <w:ind w:left="0" w:leftChars="0" w:firstLine="0" w:firstLineChars="0"/>
              <w:jc w:val="center"/>
              <w:rPr>
                <w:rFonts w:hint="eastAsia"/>
                <w:b w:val="0"/>
                <w:bCs w:val="0"/>
                <w:sz w:val="21"/>
                <w:szCs w:val="21"/>
                <w:vertAlign w:val="baseline"/>
                <w:lang w:eastAsia="zh-CN"/>
              </w:rPr>
            </w:pPr>
          </w:p>
        </w:tc>
        <w:tc>
          <w:tcPr>
            <w:tcW w:w="1268" w:type="dxa"/>
            <w:noWrap w:val="0"/>
            <w:vAlign w:val="center"/>
          </w:tcPr>
          <w:p>
            <w:pPr>
              <w:pStyle w:val="11"/>
              <w:spacing w:after="120" w:afterLines="50" w:line="240" w:lineRule="auto"/>
              <w:ind w:left="0" w:leftChars="0" w:firstLine="0" w:firstLineChars="0"/>
              <w:jc w:val="center"/>
              <w:rPr>
                <w:rFonts w:hint="eastAsia"/>
                <w:b w:val="0"/>
                <w:bCs w:val="0"/>
                <w:sz w:val="21"/>
                <w:szCs w:val="21"/>
                <w:vertAlign w:val="baseline"/>
                <w:lang w:eastAsia="zh-CN"/>
              </w:rPr>
            </w:pPr>
          </w:p>
        </w:tc>
        <w:tc>
          <w:tcPr>
            <w:tcW w:w="5467" w:type="dxa"/>
            <w:noWrap w:val="0"/>
            <w:vAlign w:val="top"/>
          </w:tcPr>
          <w:p>
            <w:pPr>
              <w:pStyle w:val="11"/>
              <w:spacing w:after="120" w:afterLines="50" w:line="240" w:lineRule="auto"/>
              <w:ind w:left="0" w:leftChars="0" w:firstLine="0" w:firstLineChars="0"/>
              <w:jc w:val="left"/>
              <w:rPr>
                <w:rFonts w:hint="eastAsia"/>
                <w:b w:val="0"/>
                <w:bCs w:val="0"/>
                <w:sz w:val="21"/>
                <w:szCs w:val="21"/>
                <w:vertAlign w:val="baseline"/>
                <w:lang w:eastAsia="zh-CN"/>
              </w:rPr>
            </w:pPr>
            <w:r>
              <w:rPr>
                <w:rFonts w:hint="eastAsia"/>
                <w:b w:val="0"/>
                <w:bCs w:val="0"/>
                <w:sz w:val="21"/>
                <w:szCs w:val="21"/>
                <w:vertAlign w:val="baseline"/>
                <w:lang w:eastAsia="zh-CN"/>
              </w:rPr>
              <w:t>合计</w:t>
            </w:r>
          </w:p>
        </w:tc>
        <w:tc>
          <w:tcPr>
            <w:tcW w:w="1320" w:type="dxa"/>
            <w:noWrap w:val="0"/>
            <w:vAlign w:val="center"/>
          </w:tcPr>
          <w:p>
            <w:pPr>
              <w:pStyle w:val="11"/>
              <w:spacing w:after="120" w:afterLines="50" w:line="240" w:lineRule="auto"/>
              <w:ind w:left="0" w:leftChars="0" w:firstLine="0" w:firstLineChars="0"/>
              <w:jc w:val="center"/>
              <w:rPr>
                <w:rFonts w:hint="eastAsia" w:ascii="宋体" w:hAnsi="Courier New" w:eastAsia="宋体" w:cs="黑体"/>
                <w:b w:val="0"/>
                <w:bCs w:val="0"/>
                <w:spacing w:val="-4"/>
                <w:kern w:val="2"/>
                <w:sz w:val="21"/>
                <w:szCs w:val="21"/>
                <w:vertAlign w:val="baseline"/>
                <w:lang w:val="en-US" w:eastAsia="zh-CN" w:bidi="ar-SA"/>
              </w:rPr>
            </w:pPr>
            <w:r>
              <w:rPr>
                <w:rFonts w:hint="eastAsia"/>
                <w:b w:val="0"/>
                <w:bCs w:val="0"/>
                <w:sz w:val="21"/>
                <w:szCs w:val="21"/>
                <w:vertAlign w:val="baseline"/>
                <w:lang w:val="en-US" w:eastAsia="zh-CN"/>
              </w:rPr>
              <w:t>100</w:t>
            </w:r>
          </w:p>
        </w:tc>
      </w:tr>
    </w:tbl>
    <w:p>
      <w:pPr>
        <w:ind w:firstLine="420" w:firstLineChars="0"/>
        <w:rPr>
          <w:highlight w:val="none"/>
        </w:rPr>
      </w:pPr>
      <w:r>
        <w:rPr>
          <w:rFonts w:hint="eastAsia" w:ascii="宋体" w:hAnsi="宋体" w:eastAsia="宋体" w:cs="Times New Roman"/>
          <w:b w:val="0"/>
          <w:bCs/>
          <w:color w:val="auto"/>
          <w:kern w:val="2"/>
          <w:sz w:val="21"/>
          <w:szCs w:val="21"/>
          <w:highlight w:val="none"/>
          <w:lang w:val="en-US" w:eastAsia="zh-CN" w:bidi="ar-SA"/>
        </w:rPr>
        <w:t>备注：本考核办法为暂行规定，若合同履行过程中，考核办法有调整的，以</w:t>
      </w:r>
      <w:r>
        <w:rPr>
          <w:rFonts w:hint="eastAsia" w:ascii="宋体" w:hAnsi="宋体" w:cs="Times New Roman"/>
          <w:b w:val="0"/>
          <w:bCs/>
          <w:color w:val="auto"/>
          <w:kern w:val="2"/>
          <w:sz w:val="21"/>
          <w:szCs w:val="21"/>
          <w:highlight w:val="none"/>
          <w:lang w:val="en-US" w:eastAsia="zh-CN" w:bidi="ar-SA"/>
        </w:rPr>
        <w:t>甲方</w:t>
      </w:r>
      <w:r>
        <w:rPr>
          <w:rFonts w:hint="eastAsia" w:ascii="宋体" w:hAnsi="宋体" w:eastAsia="宋体" w:cs="Times New Roman"/>
          <w:b w:val="0"/>
          <w:bCs/>
          <w:color w:val="auto"/>
          <w:kern w:val="2"/>
          <w:sz w:val="21"/>
          <w:szCs w:val="21"/>
          <w:highlight w:val="none"/>
          <w:lang w:val="en-US" w:eastAsia="zh-CN" w:bidi="ar-SA"/>
        </w:rPr>
        <w:t>正式发文后的考核办法执行。</w:t>
      </w:r>
    </w:p>
    <w:p>
      <w:pPr>
        <w:widowControl/>
        <w:jc w:val="left"/>
        <w:rPr>
          <w:rFonts w:ascii="宋体" w:hAnsi="宋体" w:cs="宋体"/>
          <w:szCs w:val="21"/>
        </w:rPr>
      </w:pPr>
    </w:p>
    <w:sectPr>
      <w:headerReference r:id="rId16" w:type="default"/>
      <w:footerReference r:id="rId1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B0604020202020204"/>
    <w:charset w:val="86"/>
    <w:family w:val="modern"/>
    <w:pitch w:val="default"/>
    <w:sig w:usb0="00000000" w:usb1="00000000" w:usb2="00000010" w:usb3="00000000" w:csb0="00040000" w:csb1="00000000"/>
  </w:font>
  <w:font w:name="仿宋_GB2312">
    <w:altName w:val="仿宋"/>
    <w:panose1 w:val="020B0604020202020204"/>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630"/>
      <w:rPr>
        <w:rStyle w:val="34"/>
        <w:rFonts w:cs="黑体"/>
      </w:rPr>
    </w:pPr>
  </w:p>
  <w:p>
    <w:pPr>
      <w:pStyle w:val="17"/>
      <w:ind w:right="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4"/>
        <w:rFonts w:cs="黑体"/>
      </w:rPr>
    </w:pPr>
    <w:r>
      <w:rPr>
        <w:rStyle w:val="34"/>
        <w:rFonts w:cs="黑体"/>
      </w:rPr>
      <w:fldChar w:fldCharType="begin"/>
    </w:r>
    <w:r>
      <w:rPr>
        <w:rStyle w:val="34"/>
        <w:rFonts w:cs="黑体"/>
      </w:rPr>
      <w:instrText xml:space="preserve">PAGE  </w:instrText>
    </w:r>
    <w:r>
      <w:rPr>
        <w:rStyle w:val="34"/>
        <w:rFonts w:cs="黑体"/>
      </w:rPr>
      <w:fldChar w:fldCharType="separate"/>
    </w:r>
    <w:r>
      <w:rPr>
        <w:rStyle w:val="34"/>
        <w:rFonts w:cs="黑体"/>
      </w:rPr>
      <w:t>24</w:t>
    </w:r>
    <w:r>
      <w:rPr>
        <w:rStyle w:val="34"/>
        <w:rFonts w:cs="黑体"/>
      </w:rPr>
      <w:fldChar w:fldCharType="end"/>
    </w:r>
  </w:p>
  <w:p>
    <w:pPr>
      <w:pStyle w:val="1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630"/>
      <w:rPr>
        <w:rStyle w:val="34"/>
        <w:rFonts w:cs="黑体"/>
      </w:rPr>
    </w:pPr>
  </w:p>
  <w:p>
    <w:pPr>
      <w:pStyle w:val="17"/>
      <w:ind w:right="7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4454"/>
      <w:rPr>
        <w:rFonts w:ascii="Arial" w:hAnsi="Arial" w:eastAsia="Arial" w:cs="Arial"/>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630"/>
      <w:rPr>
        <w:rStyle w:val="34"/>
        <w:rFonts w:cs="黑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ZNNQg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n31dpwuXDwAlxo5IonusdEK7a7tme1M&#10;cQIxZ7re8JZvaiTfMh/umUMz4MEYl3CHpZQGSUxvUVIZ9/Vf5zEeNYKXkgbNlVONWaJEftCoHQDD&#10;YLjB2A2GPqhbg26dYAwtTyYuuCAHs3RGfcEMrWIOuJjmyJTTMJi3oWtwzCAXq1UKQrdZFrb6wfII&#10;HcXzdnUIEDDpGkXplOi1Qr+lyvSzERv6z32Kevof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ZNNQgtAgAAVwQAAA4AAAAAAAAAAQAgAAAAHwEAAGRycy9lMm9Eb2MueG1sUEsFBgAAAAAG&#10;AAYAWQEAAL4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p>
    <w:pPr>
      <w:pStyle w:val="17"/>
      <w:ind w:right="72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LTQM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BJJopVPz04/vp&#10;58Pp1zeCMwjUWj9D3L1FZOjemQ5tM5x7HEbeXeVU/IIRgR9Yx4u8oguEx0vTyXSaw8XhGzbAzx6v&#10;W+fDe2EUiUZBHeqXZGWHjQ996BASs2mzbqRMNZSatAW9ev02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0tNAywCAABX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Q64M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Z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PQ64MtAgAAVwQAAA4AAAAAAAAAAQAgAAAAHwEAAGRycy9lMm9Eb2MueG1sUEsFBgAAAAAG&#10;AAYAWQEAAL4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spacing w:line="360" w:lineRule="auto"/>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spacing w:line="360" w:lineRule="auto"/>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EC79AE"/>
    <w:multiLevelType w:val="singleLevel"/>
    <w:tmpl w:val="94EC79AE"/>
    <w:lvl w:ilvl="0" w:tentative="0">
      <w:start w:val="1"/>
      <w:numFmt w:val="lowerLetter"/>
      <w:lvlText w:val="%1."/>
      <w:lvlJc w:val="left"/>
      <w:pPr>
        <w:tabs>
          <w:tab w:val="left" w:pos="840"/>
        </w:tabs>
        <w:ind w:left="1265" w:hanging="425"/>
      </w:pPr>
      <w:rPr>
        <w:rFonts w:hint="default"/>
      </w:rPr>
    </w:lvl>
  </w:abstractNum>
  <w:abstractNum w:abstractNumId="1">
    <w:nsid w:val="B0DAA993"/>
    <w:multiLevelType w:val="singleLevel"/>
    <w:tmpl w:val="B0DAA993"/>
    <w:lvl w:ilvl="0" w:tentative="0">
      <w:start w:val="3"/>
      <w:numFmt w:val="chineseCounting"/>
      <w:suff w:val="nothing"/>
      <w:lvlText w:val="%1、"/>
      <w:lvlJc w:val="left"/>
      <w:rPr>
        <w:rFonts w:hint="eastAsia" w:cs="Times New Roman"/>
      </w:rPr>
    </w:lvl>
  </w:abstractNum>
  <w:abstractNum w:abstractNumId="2">
    <w:nsid w:val="BF3B7ABB"/>
    <w:multiLevelType w:val="singleLevel"/>
    <w:tmpl w:val="BF3B7ABB"/>
    <w:lvl w:ilvl="0" w:tentative="0">
      <w:start w:val="6"/>
      <w:numFmt w:val="decimal"/>
      <w:lvlText w:val="%1."/>
      <w:lvlJc w:val="left"/>
      <w:pPr>
        <w:tabs>
          <w:tab w:val="left" w:pos="312"/>
        </w:tabs>
      </w:pPr>
    </w:lvl>
  </w:abstractNum>
  <w:abstractNum w:abstractNumId="3">
    <w:nsid w:val="F2F7A96C"/>
    <w:multiLevelType w:val="singleLevel"/>
    <w:tmpl w:val="F2F7A96C"/>
    <w:lvl w:ilvl="0" w:tentative="0">
      <w:start w:val="1"/>
      <w:numFmt w:val="decimalEnclosedCircleChinese"/>
      <w:suff w:val="nothing"/>
      <w:lvlText w:val="%1　"/>
      <w:lvlJc w:val="left"/>
      <w:pPr>
        <w:ind w:left="420" w:firstLine="400"/>
      </w:pPr>
      <w:rPr>
        <w:rFonts w:hint="eastAsia"/>
      </w:rPr>
    </w:lvl>
  </w:abstractNum>
  <w:abstractNum w:abstractNumId="4">
    <w:nsid w:val="F597299F"/>
    <w:multiLevelType w:val="singleLevel"/>
    <w:tmpl w:val="F597299F"/>
    <w:lvl w:ilvl="0" w:tentative="0">
      <w:start w:val="1"/>
      <w:numFmt w:val="decimal"/>
      <w:pStyle w:val="6"/>
      <w:lvlText w:val="%1."/>
      <w:lvlJc w:val="left"/>
      <w:pPr>
        <w:tabs>
          <w:tab w:val="left" w:pos="360"/>
        </w:tabs>
        <w:ind w:left="360" w:hanging="360"/>
      </w:pPr>
    </w:lvl>
  </w:abstractNum>
  <w:abstractNum w:abstractNumId="5">
    <w:nsid w:val="00000025"/>
    <w:multiLevelType w:val="singleLevel"/>
    <w:tmpl w:val="00000025"/>
    <w:lvl w:ilvl="0" w:tentative="0">
      <w:start w:val="1"/>
      <w:numFmt w:val="decimal"/>
      <w:suff w:val="nothing"/>
      <w:lvlText w:val="（%1）"/>
      <w:lvlJc w:val="left"/>
    </w:lvl>
  </w:abstractNum>
  <w:abstractNum w:abstractNumId="6">
    <w:nsid w:val="1B257762"/>
    <w:multiLevelType w:val="singleLevel"/>
    <w:tmpl w:val="1B257762"/>
    <w:lvl w:ilvl="0" w:tentative="0">
      <w:start w:val="4"/>
      <w:numFmt w:val="decimal"/>
      <w:suff w:val="nothing"/>
      <w:lvlText w:val="%1、"/>
      <w:lvlJc w:val="left"/>
    </w:lvl>
  </w:abstractNum>
  <w:abstractNum w:abstractNumId="7">
    <w:nsid w:val="2BF9D2DD"/>
    <w:multiLevelType w:val="singleLevel"/>
    <w:tmpl w:val="2BF9D2DD"/>
    <w:lvl w:ilvl="0" w:tentative="0">
      <w:start w:val="1"/>
      <w:numFmt w:val="decimal"/>
      <w:suff w:val="nothing"/>
      <w:lvlText w:val="（%1）"/>
      <w:lvlJc w:val="left"/>
    </w:lvl>
  </w:abstractNum>
  <w:abstractNum w:abstractNumId="8">
    <w:nsid w:val="35A9FF00"/>
    <w:multiLevelType w:val="singleLevel"/>
    <w:tmpl w:val="35A9FF00"/>
    <w:lvl w:ilvl="0" w:tentative="0">
      <w:start w:val="1"/>
      <w:numFmt w:val="decimal"/>
      <w:suff w:val="nothing"/>
      <w:lvlText w:val="（%1）"/>
      <w:lvlJc w:val="left"/>
      <w:rPr>
        <w:rFonts w:cs="Times New Roman"/>
      </w:rPr>
    </w:lvl>
  </w:abstractNum>
  <w:abstractNum w:abstractNumId="9">
    <w:nsid w:val="44160DF1"/>
    <w:multiLevelType w:val="singleLevel"/>
    <w:tmpl w:val="44160DF1"/>
    <w:lvl w:ilvl="0" w:tentative="0">
      <w:start w:val="1"/>
      <w:numFmt w:val="lowerLetter"/>
      <w:lvlText w:val="%1."/>
      <w:lvlJc w:val="left"/>
      <w:pPr>
        <w:tabs>
          <w:tab w:val="left" w:pos="840"/>
        </w:tabs>
        <w:ind w:left="1265" w:hanging="425"/>
      </w:pPr>
      <w:rPr>
        <w:rFonts w:hint="default"/>
      </w:rPr>
    </w:lvl>
  </w:abstractNum>
  <w:abstractNum w:abstractNumId="10">
    <w:nsid w:val="4F635646"/>
    <w:multiLevelType w:val="multilevel"/>
    <w:tmpl w:val="4F635646"/>
    <w:lvl w:ilvl="0" w:tentative="0">
      <w:start w:val="1"/>
      <w:numFmt w:val="decimal"/>
      <w:pStyle w:val="103"/>
      <w:suff w:val="space"/>
      <w:lvlText w:val="%1)"/>
      <w:lvlJc w:val="left"/>
      <w:pPr>
        <w:ind w:left="0" w:firstLine="482"/>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56FB16F3"/>
    <w:multiLevelType w:val="multilevel"/>
    <w:tmpl w:val="56FB16F3"/>
    <w:lvl w:ilvl="0" w:tentative="0">
      <w:start w:val="1"/>
      <w:numFmt w:val="decimal"/>
      <w:pStyle w:val="79"/>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864"/>
        </w:tabs>
        <w:ind w:left="864" w:hanging="864"/>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abstractNum w:abstractNumId="12">
    <w:nsid w:val="59E701E1"/>
    <w:multiLevelType w:val="singleLevel"/>
    <w:tmpl w:val="59E701E1"/>
    <w:lvl w:ilvl="0" w:tentative="0">
      <w:start w:val="1"/>
      <w:numFmt w:val="decimal"/>
      <w:suff w:val="nothing"/>
      <w:lvlText w:val="（%1）"/>
      <w:lvlJc w:val="left"/>
      <w:rPr>
        <w:rFonts w:cs="Times New Roman"/>
      </w:rPr>
    </w:lvl>
  </w:abstractNum>
  <w:abstractNum w:abstractNumId="13">
    <w:nsid w:val="5A715733"/>
    <w:multiLevelType w:val="singleLevel"/>
    <w:tmpl w:val="5A715733"/>
    <w:lvl w:ilvl="0" w:tentative="0">
      <w:start w:val="6"/>
      <w:numFmt w:val="chineseCounting"/>
      <w:suff w:val="space"/>
      <w:lvlText w:val="第%1章"/>
      <w:lvlJc w:val="left"/>
      <w:rPr>
        <w:rFonts w:cs="Times New Roman"/>
      </w:rPr>
    </w:lvl>
  </w:abstractNum>
  <w:abstractNum w:abstractNumId="14">
    <w:nsid w:val="5F8A9F24"/>
    <w:multiLevelType w:val="singleLevel"/>
    <w:tmpl w:val="5F8A9F24"/>
    <w:lvl w:ilvl="0" w:tentative="0">
      <w:start w:val="1"/>
      <w:numFmt w:val="lowerLetter"/>
      <w:lvlText w:val="%1."/>
      <w:lvlJc w:val="left"/>
      <w:pPr>
        <w:tabs>
          <w:tab w:val="left" w:pos="840"/>
        </w:tabs>
        <w:ind w:left="1265" w:hanging="425"/>
      </w:pPr>
      <w:rPr>
        <w:rFonts w:hint="default"/>
      </w:rPr>
    </w:lvl>
  </w:abstractNum>
  <w:abstractNum w:abstractNumId="15">
    <w:nsid w:val="6C2A6DD1"/>
    <w:multiLevelType w:val="singleLevel"/>
    <w:tmpl w:val="6C2A6DD1"/>
    <w:lvl w:ilvl="0" w:tentative="0">
      <w:start w:val="1"/>
      <w:numFmt w:val="chineseCounting"/>
      <w:suff w:val="nothing"/>
      <w:lvlText w:val="（%1）"/>
      <w:lvlJc w:val="left"/>
      <w:pPr>
        <w:ind w:left="0" w:firstLine="420"/>
      </w:pPr>
      <w:rPr>
        <w:rFonts w:hint="eastAsia"/>
      </w:rPr>
    </w:lvl>
  </w:abstractNum>
  <w:num w:numId="1">
    <w:abstractNumId w:val="4"/>
  </w:num>
  <w:num w:numId="2">
    <w:abstractNumId w:val="11"/>
  </w:num>
  <w:num w:numId="3">
    <w:abstractNumId w:val="10"/>
  </w:num>
  <w:num w:numId="4">
    <w:abstractNumId w:val="2"/>
  </w:num>
  <w:num w:numId="5">
    <w:abstractNumId w:val="5"/>
  </w:num>
  <w:num w:numId="6">
    <w:abstractNumId w:val="7"/>
  </w:num>
  <w:num w:numId="7">
    <w:abstractNumId w:val="6"/>
  </w:num>
  <w:num w:numId="8">
    <w:abstractNumId w:val="15"/>
  </w:num>
  <w:num w:numId="9">
    <w:abstractNumId w:val="3"/>
  </w:num>
  <w:num w:numId="10">
    <w:abstractNumId w:val="14"/>
  </w:num>
  <w:num w:numId="11">
    <w:abstractNumId w:val="0"/>
  </w:num>
  <w:num w:numId="12">
    <w:abstractNumId w:val="9"/>
  </w:num>
  <w:num w:numId="13">
    <w:abstractNumId w:val="8"/>
  </w:num>
  <w:num w:numId="14">
    <w:abstractNumId w:val="1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revisionView w:markup="0"/>
  <w:trackRevisions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I5MGNhZWI0NjJlMTQwZDA4OGIwOTE4NzAwMTNlMGMifQ=="/>
  </w:docVars>
  <w:rsids>
    <w:rsidRoot w:val="00D471AC"/>
    <w:rsid w:val="00043628"/>
    <w:rsid w:val="000438CF"/>
    <w:rsid w:val="00046469"/>
    <w:rsid w:val="00067C52"/>
    <w:rsid w:val="00072CA6"/>
    <w:rsid w:val="00092090"/>
    <w:rsid w:val="00093EDB"/>
    <w:rsid w:val="000A3CC8"/>
    <w:rsid w:val="000A5E0C"/>
    <w:rsid w:val="000C05D6"/>
    <w:rsid w:val="000C6FCD"/>
    <w:rsid w:val="00124427"/>
    <w:rsid w:val="001334FC"/>
    <w:rsid w:val="00136A8D"/>
    <w:rsid w:val="00137C7D"/>
    <w:rsid w:val="001438E1"/>
    <w:rsid w:val="00166341"/>
    <w:rsid w:val="00167910"/>
    <w:rsid w:val="0018034A"/>
    <w:rsid w:val="00181323"/>
    <w:rsid w:val="00195603"/>
    <w:rsid w:val="001D3F23"/>
    <w:rsid w:val="001E0697"/>
    <w:rsid w:val="002049F1"/>
    <w:rsid w:val="00205374"/>
    <w:rsid w:val="00224CAA"/>
    <w:rsid w:val="00232011"/>
    <w:rsid w:val="00241314"/>
    <w:rsid w:val="002503D0"/>
    <w:rsid w:val="00266EF2"/>
    <w:rsid w:val="00276BE8"/>
    <w:rsid w:val="002866B7"/>
    <w:rsid w:val="002D4EF8"/>
    <w:rsid w:val="00324D4B"/>
    <w:rsid w:val="00324E72"/>
    <w:rsid w:val="0033025A"/>
    <w:rsid w:val="0034632B"/>
    <w:rsid w:val="00357EB8"/>
    <w:rsid w:val="00395E44"/>
    <w:rsid w:val="003A1D45"/>
    <w:rsid w:val="003A43D8"/>
    <w:rsid w:val="004037A7"/>
    <w:rsid w:val="00451604"/>
    <w:rsid w:val="00455CA5"/>
    <w:rsid w:val="004D1778"/>
    <w:rsid w:val="004E5B09"/>
    <w:rsid w:val="00504C8A"/>
    <w:rsid w:val="00531542"/>
    <w:rsid w:val="00542875"/>
    <w:rsid w:val="005548D3"/>
    <w:rsid w:val="00564A0A"/>
    <w:rsid w:val="00581A7D"/>
    <w:rsid w:val="005A0DE3"/>
    <w:rsid w:val="005C31E8"/>
    <w:rsid w:val="005D133D"/>
    <w:rsid w:val="005E17FB"/>
    <w:rsid w:val="00651359"/>
    <w:rsid w:val="00677167"/>
    <w:rsid w:val="0067759C"/>
    <w:rsid w:val="006A02E9"/>
    <w:rsid w:val="006A113A"/>
    <w:rsid w:val="006E68E3"/>
    <w:rsid w:val="006F4C46"/>
    <w:rsid w:val="006F4DF0"/>
    <w:rsid w:val="00705E28"/>
    <w:rsid w:val="0071209B"/>
    <w:rsid w:val="007155EE"/>
    <w:rsid w:val="00742E06"/>
    <w:rsid w:val="00774797"/>
    <w:rsid w:val="00784D25"/>
    <w:rsid w:val="0079302A"/>
    <w:rsid w:val="00795D01"/>
    <w:rsid w:val="00796092"/>
    <w:rsid w:val="007A2E34"/>
    <w:rsid w:val="007C2014"/>
    <w:rsid w:val="007E03D2"/>
    <w:rsid w:val="00803A68"/>
    <w:rsid w:val="0080633F"/>
    <w:rsid w:val="00814676"/>
    <w:rsid w:val="008213D2"/>
    <w:rsid w:val="00822506"/>
    <w:rsid w:val="008610A8"/>
    <w:rsid w:val="0089211E"/>
    <w:rsid w:val="008A61BA"/>
    <w:rsid w:val="008A7011"/>
    <w:rsid w:val="008A7FF6"/>
    <w:rsid w:val="008E1AC5"/>
    <w:rsid w:val="00916654"/>
    <w:rsid w:val="00916F40"/>
    <w:rsid w:val="00946505"/>
    <w:rsid w:val="00956923"/>
    <w:rsid w:val="00962436"/>
    <w:rsid w:val="00963723"/>
    <w:rsid w:val="009754F0"/>
    <w:rsid w:val="009A28BE"/>
    <w:rsid w:val="009A4362"/>
    <w:rsid w:val="009D252D"/>
    <w:rsid w:val="009F317B"/>
    <w:rsid w:val="00A13BAD"/>
    <w:rsid w:val="00A463F8"/>
    <w:rsid w:val="00AA3E57"/>
    <w:rsid w:val="00B14F0B"/>
    <w:rsid w:val="00B352BA"/>
    <w:rsid w:val="00B67E54"/>
    <w:rsid w:val="00B771B3"/>
    <w:rsid w:val="00BB2F48"/>
    <w:rsid w:val="00BF4A1B"/>
    <w:rsid w:val="00C2712D"/>
    <w:rsid w:val="00C414CA"/>
    <w:rsid w:val="00C43E46"/>
    <w:rsid w:val="00C9628D"/>
    <w:rsid w:val="00CB46D3"/>
    <w:rsid w:val="00CD04E1"/>
    <w:rsid w:val="00CF3045"/>
    <w:rsid w:val="00CF40BD"/>
    <w:rsid w:val="00D111B4"/>
    <w:rsid w:val="00D471AC"/>
    <w:rsid w:val="00D62105"/>
    <w:rsid w:val="00DF72A3"/>
    <w:rsid w:val="00E0590B"/>
    <w:rsid w:val="00E115EE"/>
    <w:rsid w:val="00E87D22"/>
    <w:rsid w:val="00EA1AEE"/>
    <w:rsid w:val="00EB46BC"/>
    <w:rsid w:val="00EC1E41"/>
    <w:rsid w:val="00EC7E86"/>
    <w:rsid w:val="00EF6390"/>
    <w:rsid w:val="00F163AF"/>
    <w:rsid w:val="00F22F11"/>
    <w:rsid w:val="00F27880"/>
    <w:rsid w:val="00F34833"/>
    <w:rsid w:val="00F659D5"/>
    <w:rsid w:val="00F85A30"/>
    <w:rsid w:val="00F97FE8"/>
    <w:rsid w:val="00FD3CD4"/>
    <w:rsid w:val="01243845"/>
    <w:rsid w:val="01430827"/>
    <w:rsid w:val="01E8268F"/>
    <w:rsid w:val="01F1594A"/>
    <w:rsid w:val="025136CE"/>
    <w:rsid w:val="02597C15"/>
    <w:rsid w:val="028A2A36"/>
    <w:rsid w:val="02963DFC"/>
    <w:rsid w:val="03056297"/>
    <w:rsid w:val="03310369"/>
    <w:rsid w:val="03423503"/>
    <w:rsid w:val="03861F5B"/>
    <w:rsid w:val="03A60F79"/>
    <w:rsid w:val="03DB599B"/>
    <w:rsid w:val="040B6014"/>
    <w:rsid w:val="041A726D"/>
    <w:rsid w:val="0428192D"/>
    <w:rsid w:val="04B70A1A"/>
    <w:rsid w:val="051F0E28"/>
    <w:rsid w:val="052E30D8"/>
    <w:rsid w:val="054933A7"/>
    <w:rsid w:val="05AB10E0"/>
    <w:rsid w:val="05C94783"/>
    <w:rsid w:val="05EA4440"/>
    <w:rsid w:val="060D1CCA"/>
    <w:rsid w:val="063E1434"/>
    <w:rsid w:val="063E4861"/>
    <w:rsid w:val="065A7F28"/>
    <w:rsid w:val="06826CFA"/>
    <w:rsid w:val="06CC603E"/>
    <w:rsid w:val="06DB0A66"/>
    <w:rsid w:val="07323CC5"/>
    <w:rsid w:val="07737242"/>
    <w:rsid w:val="08316AA1"/>
    <w:rsid w:val="087C45D0"/>
    <w:rsid w:val="08F6354F"/>
    <w:rsid w:val="090C0608"/>
    <w:rsid w:val="09106C1C"/>
    <w:rsid w:val="09407AFF"/>
    <w:rsid w:val="0955240F"/>
    <w:rsid w:val="09816FF1"/>
    <w:rsid w:val="09884FF0"/>
    <w:rsid w:val="0A09205D"/>
    <w:rsid w:val="0A135F1E"/>
    <w:rsid w:val="0A592595"/>
    <w:rsid w:val="0A8114FF"/>
    <w:rsid w:val="0A88708F"/>
    <w:rsid w:val="0ADC767B"/>
    <w:rsid w:val="0B756CA4"/>
    <w:rsid w:val="0B793641"/>
    <w:rsid w:val="0B913FF9"/>
    <w:rsid w:val="0C4F1EE3"/>
    <w:rsid w:val="0C624801"/>
    <w:rsid w:val="0C711B61"/>
    <w:rsid w:val="0C7B7B73"/>
    <w:rsid w:val="0C9D4260"/>
    <w:rsid w:val="0CA65917"/>
    <w:rsid w:val="0CB4167B"/>
    <w:rsid w:val="0CC00333"/>
    <w:rsid w:val="0D242EEB"/>
    <w:rsid w:val="0D3A009E"/>
    <w:rsid w:val="0D714362"/>
    <w:rsid w:val="0E074104"/>
    <w:rsid w:val="0E121EF0"/>
    <w:rsid w:val="0E4137B5"/>
    <w:rsid w:val="0E48726F"/>
    <w:rsid w:val="0E493546"/>
    <w:rsid w:val="0E504642"/>
    <w:rsid w:val="0E5F06E1"/>
    <w:rsid w:val="0E751FF1"/>
    <w:rsid w:val="0EA50733"/>
    <w:rsid w:val="0FBF0E36"/>
    <w:rsid w:val="0FFB6990"/>
    <w:rsid w:val="103772C9"/>
    <w:rsid w:val="111711E9"/>
    <w:rsid w:val="11530A73"/>
    <w:rsid w:val="11622CCB"/>
    <w:rsid w:val="116705D7"/>
    <w:rsid w:val="117D56EF"/>
    <w:rsid w:val="11A10E2C"/>
    <w:rsid w:val="11B226FD"/>
    <w:rsid w:val="11B55F79"/>
    <w:rsid w:val="11DF0EAB"/>
    <w:rsid w:val="120846CE"/>
    <w:rsid w:val="120967FA"/>
    <w:rsid w:val="12224E87"/>
    <w:rsid w:val="12664A14"/>
    <w:rsid w:val="129E075C"/>
    <w:rsid w:val="12D214EF"/>
    <w:rsid w:val="12DB0330"/>
    <w:rsid w:val="130B283B"/>
    <w:rsid w:val="133C7554"/>
    <w:rsid w:val="138464A0"/>
    <w:rsid w:val="1387364E"/>
    <w:rsid w:val="13AF4036"/>
    <w:rsid w:val="13F97CB5"/>
    <w:rsid w:val="14573074"/>
    <w:rsid w:val="150A18F9"/>
    <w:rsid w:val="15B74BE1"/>
    <w:rsid w:val="15BB08AF"/>
    <w:rsid w:val="16081784"/>
    <w:rsid w:val="16133C89"/>
    <w:rsid w:val="16330800"/>
    <w:rsid w:val="164E4B9F"/>
    <w:rsid w:val="16691333"/>
    <w:rsid w:val="16833BD2"/>
    <w:rsid w:val="16CF1CFB"/>
    <w:rsid w:val="16DC7FB0"/>
    <w:rsid w:val="16E3375C"/>
    <w:rsid w:val="170F6D30"/>
    <w:rsid w:val="172D421D"/>
    <w:rsid w:val="1741665B"/>
    <w:rsid w:val="1764038C"/>
    <w:rsid w:val="1772266C"/>
    <w:rsid w:val="180D138F"/>
    <w:rsid w:val="188D699C"/>
    <w:rsid w:val="18EB4A4A"/>
    <w:rsid w:val="19735B94"/>
    <w:rsid w:val="199067E0"/>
    <w:rsid w:val="19D8662E"/>
    <w:rsid w:val="19EA77FA"/>
    <w:rsid w:val="1A2F3607"/>
    <w:rsid w:val="1A420555"/>
    <w:rsid w:val="1B913A0C"/>
    <w:rsid w:val="1B9241AB"/>
    <w:rsid w:val="1BC950AA"/>
    <w:rsid w:val="1C2B42A4"/>
    <w:rsid w:val="1C4403DF"/>
    <w:rsid w:val="1C747815"/>
    <w:rsid w:val="1C7D545A"/>
    <w:rsid w:val="1D316506"/>
    <w:rsid w:val="1D6F136F"/>
    <w:rsid w:val="1D824F16"/>
    <w:rsid w:val="1DEC7E10"/>
    <w:rsid w:val="1E331F48"/>
    <w:rsid w:val="1E4D5000"/>
    <w:rsid w:val="1EA058B5"/>
    <w:rsid w:val="1EB33165"/>
    <w:rsid w:val="1ED80DD4"/>
    <w:rsid w:val="1EF359DF"/>
    <w:rsid w:val="1EF9E0A7"/>
    <w:rsid w:val="1F6FF639"/>
    <w:rsid w:val="1F7A2683"/>
    <w:rsid w:val="1FE07BEE"/>
    <w:rsid w:val="2028178C"/>
    <w:rsid w:val="20322891"/>
    <w:rsid w:val="207C488B"/>
    <w:rsid w:val="209C3D4E"/>
    <w:rsid w:val="20A83807"/>
    <w:rsid w:val="20EB706B"/>
    <w:rsid w:val="210F4EF4"/>
    <w:rsid w:val="2125340C"/>
    <w:rsid w:val="2185741D"/>
    <w:rsid w:val="21970573"/>
    <w:rsid w:val="21991FB1"/>
    <w:rsid w:val="21FF077D"/>
    <w:rsid w:val="22223DAF"/>
    <w:rsid w:val="22362112"/>
    <w:rsid w:val="2254486F"/>
    <w:rsid w:val="226118D9"/>
    <w:rsid w:val="229B7D89"/>
    <w:rsid w:val="22A3401A"/>
    <w:rsid w:val="22EC18DD"/>
    <w:rsid w:val="22F85386"/>
    <w:rsid w:val="2306417E"/>
    <w:rsid w:val="231F2E16"/>
    <w:rsid w:val="233E5C69"/>
    <w:rsid w:val="233F5920"/>
    <w:rsid w:val="2379488D"/>
    <w:rsid w:val="237D06FA"/>
    <w:rsid w:val="23C806CF"/>
    <w:rsid w:val="240B5780"/>
    <w:rsid w:val="24860CD0"/>
    <w:rsid w:val="249A5874"/>
    <w:rsid w:val="24D171E9"/>
    <w:rsid w:val="24F24DF7"/>
    <w:rsid w:val="24F64A17"/>
    <w:rsid w:val="24FD260E"/>
    <w:rsid w:val="25141A53"/>
    <w:rsid w:val="25240956"/>
    <w:rsid w:val="256702B4"/>
    <w:rsid w:val="25876DFD"/>
    <w:rsid w:val="25C37823"/>
    <w:rsid w:val="26030B5F"/>
    <w:rsid w:val="260B0489"/>
    <w:rsid w:val="26264FCA"/>
    <w:rsid w:val="263430E6"/>
    <w:rsid w:val="266D1E83"/>
    <w:rsid w:val="26710614"/>
    <w:rsid w:val="26C52697"/>
    <w:rsid w:val="26CC7107"/>
    <w:rsid w:val="26CD21E8"/>
    <w:rsid w:val="270F7B55"/>
    <w:rsid w:val="271B3E6D"/>
    <w:rsid w:val="2759263F"/>
    <w:rsid w:val="27B77459"/>
    <w:rsid w:val="27C161AE"/>
    <w:rsid w:val="283E523E"/>
    <w:rsid w:val="28507290"/>
    <w:rsid w:val="285C0938"/>
    <w:rsid w:val="28A35109"/>
    <w:rsid w:val="28F41C64"/>
    <w:rsid w:val="29206404"/>
    <w:rsid w:val="297168A5"/>
    <w:rsid w:val="29830906"/>
    <w:rsid w:val="29A8275E"/>
    <w:rsid w:val="2A021201"/>
    <w:rsid w:val="2A962027"/>
    <w:rsid w:val="2AC154AB"/>
    <w:rsid w:val="2AC16B1D"/>
    <w:rsid w:val="2AE21F11"/>
    <w:rsid w:val="2AEA3B3F"/>
    <w:rsid w:val="2B1C4F36"/>
    <w:rsid w:val="2B2C3A65"/>
    <w:rsid w:val="2B780678"/>
    <w:rsid w:val="2BC2163A"/>
    <w:rsid w:val="2BC36CBD"/>
    <w:rsid w:val="2C1A509C"/>
    <w:rsid w:val="2C3F78DD"/>
    <w:rsid w:val="2C632E05"/>
    <w:rsid w:val="2CAB6E6D"/>
    <w:rsid w:val="2CC92C1B"/>
    <w:rsid w:val="2D51407C"/>
    <w:rsid w:val="2DF003D9"/>
    <w:rsid w:val="2E204D3E"/>
    <w:rsid w:val="2E5A4D4E"/>
    <w:rsid w:val="2EB57D7D"/>
    <w:rsid w:val="2F0E7699"/>
    <w:rsid w:val="2F6B12FA"/>
    <w:rsid w:val="2FA04648"/>
    <w:rsid w:val="2FBA185F"/>
    <w:rsid w:val="30576FA0"/>
    <w:rsid w:val="30610C0E"/>
    <w:rsid w:val="306F5574"/>
    <w:rsid w:val="30B72ED7"/>
    <w:rsid w:val="30DF0ADC"/>
    <w:rsid w:val="315F1325"/>
    <w:rsid w:val="317C199B"/>
    <w:rsid w:val="31A17C16"/>
    <w:rsid w:val="32042B7D"/>
    <w:rsid w:val="321A60B0"/>
    <w:rsid w:val="321C1FB4"/>
    <w:rsid w:val="3241036B"/>
    <w:rsid w:val="32A53F87"/>
    <w:rsid w:val="32D81E00"/>
    <w:rsid w:val="330A7F5F"/>
    <w:rsid w:val="33310E24"/>
    <w:rsid w:val="33866D5B"/>
    <w:rsid w:val="33943C4F"/>
    <w:rsid w:val="33BE5356"/>
    <w:rsid w:val="33DEFC39"/>
    <w:rsid w:val="33F1209E"/>
    <w:rsid w:val="33FC1326"/>
    <w:rsid w:val="340F4E76"/>
    <w:rsid w:val="342D4BF6"/>
    <w:rsid w:val="3436228A"/>
    <w:rsid w:val="34CE5F48"/>
    <w:rsid w:val="34EC248E"/>
    <w:rsid w:val="351373D3"/>
    <w:rsid w:val="35307BAB"/>
    <w:rsid w:val="3548170C"/>
    <w:rsid w:val="355E26C5"/>
    <w:rsid w:val="35671868"/>
    <w:rsid w:val="356E294F"/>
    <w:rsid w:val="35B33097"/>
    <w:rsid w:val="35D0330C"/>
    <w:rsid w:val="364549C4"/>
    <w:rsid w:val="36641E7C"/>
    <w:rsid w:val="36C8583E"/>
    <w:rsid w:val="370C2830"/>
    <w:rsid w:val="370E1966"/>
    <w:rsid w:val="37124147"/>
    <w:rsid w:val="372E04F0"/>
    <w:rsid w:val="37334744"/>
    <w:rsid w:val="374F1A68"/>
    <w:rsid w:val="37AB5D8D"/>
    <w:rsid w:val="382F633B"/>
    <w:rsid w:val="38790421"/>
    <w:rsid w:val="38BF40AD"/>
    <w:rsid w:val="38BF5E0E"/>
    <w:rsid w:val="38D83AB1"/>
    <w:rsid w:val="38F85BA0"/>
    <w:rsid w:val="392C1B1A"/>
    <w:rsid w:val="393523EF"/>
    <w:rsid w:val="39535FC7"/>
    <w:rsid w:val="39551126"/>
    <w:rsid w:val="396E70EE"/>
    <w:rsid w:val="398268AC"/>
    <w:rsid w:val="39C64CFA"/>
    <w:rsid w:val="39CA05A9"/>
    <w:rsid w:val="39D85D53"/>
    <w:rsid w:val="39E70032"/>
    <w:rsid w:val="39EB4452"/>
    <w:rsid w:val="39FC3E94"/>
    <w:rsid w:val="3A0C5099"/>
    <w:rsid w:val="3A176C96"/>
    <w:rsid w:val="3A4C456B"/>
    <w:rsid w:val="3A787347"/>
    <w:rsid w:val="3A7E4889"/>
    <w:rsid w:val="3A956C3F"/>
    <w:rsid w:val="3ABD0030"/>
    <w:rsid w:val="3ABF2E7F"/>
    <w:rsid w:val="3ACE1A3C"/>
    <w:rsid w:val="3B4A33E5"/>
    <w:rsid w:val="3BBA30C0"/>
    <w:rsid w:val="3BBF01A1"/>
    <w:rsid w:val="3BD87160"/>
    <w:rsid w:val="3BE94A1B"/>
    <w:rsid w:val="3C581B4B"/>
    <w:rsid w:val="3C5B6C9E"/>
    <w:rsid w:val="3C69530D"/>
    <w:rsid w:val="3CCD5447"/>
    <w:rsid w:val="3CF040C1"/>
    <w:rsid w:val="3D234845"/>
    <w:rsid w:val="3D261167"/>
    <w:rsid w:val="3D494424"/>
    <w:rsid w:val="3D496F0D"/>
    <w:rsid w:val="3DA31D02"/>
    <w:rsid w:val="3DEE62BF"/>
    <w:rsid w:val="3E033C71"/>
    <w:rsid w:val="3E0A75AD"/>
    <w:rsid w:val="3E2B3DAF"/>
    <w:rsid w:val="3E3D1BDA"/>
    <w:rsid w:val="3E425502"/>
    <w:rsid w:val="3E451B6A"/>
    <w:rsid w:val="3EB613F8"/>
    <w:rsid w:val="3EF700CF"/>
    <w:rsid w:val="3F0C492E"/>
    <w:rsid w:val="3F1B2901"/>
    <w:rsid w:val="3F4F2F28"/>
    <w:rsid w:val="3F571DD2"/>
    <w:rsid w:val="3F5B21BE"/>
    <w:rsid w:val="3FC7326B"/>
    <w:rsid w:val="3FDB2873"/>
    <w:rsid w:val="40806F3C"/>
    <w:rsid w:val="40D664CD"/>
    <w:rsid w:val="40F0393A"/>
    <w:rsid w:val="40FC0746"/>
    <w:rsid w:val="412B5592"/>
    <w:rsid w:val="415C1174"/>
    <w:rsid w:val="41D34A2F"/>
    <w:rsid w:val="41D929D5"/>
    <w:rsid w:val="41EF6221"/>
    <w:rsid w:val="41FD370B"/>
    <w:rsid w:val="42D82544"/>
    <w:rsid w:val="42E50092"/>
    <w:rsid w:val="433E7DF4"/>
    <w:rsid w:val="435E5C94"/>
    <w:rsid w:val="441C165D"/>
    <w:rsid w:val="444A3181"/>
    <w:rsid w:val="44A75323"/>
    <w:rsid w:val="44C82306"/>
    <w:rsid w:val="455D3D6C"/>
    <w:rsid w:val="45757717"/>
    <w:rsid w:val="458366CF"/>
    <w:rsid w:val="45983EDC"/>
    <w:rsid w:val="45A66715"/>
    <w:rsid w:val="45F75CEB"/>
    <w:rsid w:val="467D2580"/>
    <w:rsid w:val="46C17D16"/>
    <w:rsid w:val="46DF4F04"/>
    <w:rsid w:val="46F6679B"/>
    <w:rsid w:val="472100B2"/>
    <w:rsid w:val="47913EA5"/>
    <w:rsid w:val="479A0A66"/>
    <w:rsid w:val="47D95AC5"/>
    <w:rsid w:val="48084518"/>
    <w:rsid w:val="480C59B4"/>
    <w:rsid w:val="48986BDF"/>
    <w:rsid w:val="48D64607"/>
    <w:rsid w:val="494F5253"/>
    <w:rsid w:val="49586DEC"/>
    <w:rsid w:val="4A0B01F8"/>
    <w:rsid w:val="4A390CF7"/>
    <w:rsid w:val="4A554800"/>
    <w:rsid w:val="4A78588E"/>
    <w:rsid w:val="4AEF0793"/>
    <w:rsid w:val="4B325D24"/>
    <w:rsid w:val="4C487D23"/>
    <w:rsid w:val="4C905A31"/>
    <w:rsid w:val="4CD8018E"/>
    <w:rsid w:val="4D4B54DB"/>
    <w:rsid w:val="4D540032"/>
    <w:rsid w:val="4E194C75"/>
    <w:rsid w:val="4E5E288B"/>
    <w:rsid w:val="4EC02C51"/>
    <w:rsid w:val="4F1F3B84"/>
    <w:rsid w:val="4F6938A9"/>
    <w:rsid w:val="4FB85102"/>
    <w:rsid w:val="4FBBC7D8"/>
    <w:rsid w:val="4FDE6EE2"/>
    <w:rsid w:val="508911FE"/>
    <w:rsid w:val="50974E45"/>
    <w:rsid w:val="50BA5453"/>
    <w:rsid w:val="50D624C3"/>
    <w:rsid w:val="510D7C71"/>
    <w:rsid w:val="51544649"/>
    <w:rsid w:val="51594997"/>
    <w:rsid w:val="516A1E24"/>
    <w:rsid w:val="518468CC"/>
    <w:rsid w:val="51964B51"/>
    <w:rsid w:val="51B838B1"/>
    <w:rsid w:val="51E67934"/>
    <w:rsid w:val="51FD316B"/>
    <w:rsid w:val="52540893"/>
    <w:rsid w:val="527E0622"/>
    <w:rsid w:val="5302242E"/>
    <w:rsid w:val="53206EE7"/>
    <w:rsid w:val="53E30036"/>
    <w:rsid w:val="546400DB"/>
    <w:rsid w:val="54B06E77"/>
    <w:rsid w:val="54B55930"/>
    <w:rsid w:val="54FA1FFD"/>
    <w:rsid w:val="55747287"/>
    <w:rsid w:val="56130B60"/>
    <w:rsid w:val="561636C8"/>
    <w:rsid w:val="5644221B"/>
    <w:rsid w:val="56AA767B"/>
    <w:rsid w:val="56CC2300"/>
    <w:rsid w:val="56CF36FB"/>
    <w:rsid w:val="56D548B2"/>
    <w:rsid w:val="56E3062C"/>
    <w:rsid w:val="572C049F"/>
    <w:rsid w:val="57AF3C52"/>
    <w:rsid w:val="57D14A1C"/>
    <w:rsid w:val="58270847"/>
    <w:rsid w:val="582F6F19"/>
    <w:rsid w:val="586909CD"/>
    <w:rsid w:val="587D1420"/>
    <w:rsid w:val="588B5686"/>
    <w:rsid w:val="59205F69"/>
    <w:rsid w:val="595135A4"/>
    <w:rsid w:val="59605B52"/>
    <w:rsid w:val="59F3071D"/>
    <w:rsid w:val="59F40A9A"/>
    <w:rsid w:val="5A045656"/>
    <w:rsid w:val="5A240E5C"/>
    <w:rsid w:val="5A5E52B0"/>
    <w:rsid w:val="5A8B7D89"/>
    <w:rsid w:val="5ADA2BD3"/>
    <w:rsid w:val="5B0B4D20"/>
    <w:rsid w:val="5B3149C7"/>
    <w:rsid w:val="5B437EA1"/>
    <w:rsid w:val="5BB1416B"/>
    <w:rsid w:val="5BBB7CD0"/>
    <w:rsid w:val="5BC91971"/>
    <w:rsid w:val="5C27009C"/>
    <w:rsid w:val="5C277AD2"/>
    <w:rsid w:val="5C3253B4"/>
    <w:rsid w:val="5C7B034D"/>
    <w:rsid w:val="5C907E7B"/>
    <w:rsid w:val="5CCD601D"/>
    <w:rsid w:val="5CD6A0A3"/>
    <w:rsid w:val="5CE97AEB"/>
    <w:rsid w:val="5CEC78FF"/>
    <w:rsid w:val="5D10604B"/>
    <w:rsid w:val="5D2656C7"/>
    <w:rsid w:val="5D810325"/>
    <w:rsid w:val="5D82090B"/>
    <w:rsid w:val="5DF55672"/>
    <w:rsid w:val="5E303A33"/>
    <w:rsid w:val="5E3E0B49"/>
    <w:rsid w:val="5E5A5992"/>
    <w:rsid w:val="5E703D00"/>
    <w:rsid w:val="5EB14BA1"/>
    <w:rsid w:val="5EFCD2D2"/>
    <w:rsid w:val="5F8D4B24"/>
    <w:rsid w:val="5FB11D3D"/>
    <w:rsid w:val="603070A6"/>
    <w:rsid w:val="603E1A61"/>
    <w:rsid w:val="607C1C3B"/>
    <w:rsid w:val="609D7672"/>
    <w:rsid w:val="6124179C"/>
    <w:rsid w:val="614B63EE"/>
    <w:rsid w:val="62ED2D5E"/>
    <w:rsid w:val="634201F3"/>
    <w:rsid w:val="63857033"/>
    <w:rsid w:val="643C1B8C"/>
    <w:rsid w:val="6451167A"/>
    <w:rsid w:val="646917AA"/>
    <w:rsid w:val="64960153"/>
    <w:rsid w:val="64993218"/>
    <w:rsid w:val="651E383A"/>
    <w:rsid w:val="652B15AB"/>
    <w:rsid w:val="653919FB"/>
    <w:rsid w:val="653A2C40"/>
    <w:rsid w:val="65736996"/>
    <w:rsid w:val="65741EA4"/>
    <w:rsid w:val="65A140F7"/>
    <w:rsid w:val="65F1623B"/>
    <w:rsid w:val="65F704F9"/>
    <w:rsid w:val="66030D64"/>
    <w:rsid w:val="661E1820"/>
    <w:rsid w:val="66691B19"/>
    <w:rsid w:val="66E8338F"/>
    <w:rsid w:val="67105CDF"/>
    <w:rsid w:val="67557727"/>
    <w:rsid w:val="67FC577D"/>
    <w:rsid w:val="681355E8"/>
    <w:rsid w:val="69144E0F"/>
    <w:rsid w:val="6931512E"/>
    <w:rsid w:val="694BB7A6"/>
    <w:rsid w:val="69643755"/>
    <w:rsid w:val="696D1EDE"/>
    <w:rsid w:val="69967C92"/>
    <w:rsid w:val="699C74EB"/>
    <w:rsid w:val="6A095594"/>
    <w:rsid w:val="6A0E36C1"/>
    <w:rsid w:val="6A2427F6"/>
    <w:rsid w:val="6A2627B9"/>
    <w:rsid w:val="6A7F49DF"/>
    <w:rsid w:val="6A8504DF"/>
    <w:rsid w:val="6A856C30"/>
    <w:rsid w:val="6A9874D2"/>
    <w:rsid w:val="6ADF380C"/>
    <w:rsid w:val="6B793E61"/>
    <w:rsid w:val="6BA42624"/>
    <w:rsid w:val="6BBA2AE2"/>
    <w:rsid w:val="6BEF30F5"/>
    <w:rsid w:val="6BFB112E"/>
    <w:rsid w:val="6C00371C"/>
    <w:rsid w:val="6C0F40FE"/>
    <w:rsid w:val="6C165000"/>
    <w:rsid w:val="6C842861"/>
    <w:rsid w:val="6CA209DE"/>
    <w:rsid w:val="6CFB6C05"/>
    <w:rsid w:val="6D30371D"/>
    <w:rsid w:val="6D8B3878"/>
    <w:rsid w:val="6DEC11AA"/>
    <w:rsid w:val="6DF24ECF"/>
    <w:rsid w:val="6E6514A4"/>
    <w:rsid w:val="6E7B1B10"/>
    <w:rsid w:val="6E872194"/>
    <w:rsid w:val="6EA56D10"/>
    <w:rsid w:val="6EA63EC8"/>
    <w:rsid w:val="6EBF365D"/>
    <w:rsid w:val="6F321C00"/>
    <w:rsid w:val="6F3F148C"/>
    <w:rsid w:val="6F866D9E"/>
    <w:rsid w:val="6FD9B46B"/>
    <w:rsid w:val="700C7095"/>
    <w:rsid w:val="7056329E"/>
    <w:rsid w:val="709123DC"/>
    <w:rsid w:val="712249F0"/>
    <w:rsid w:val="713FC7EF"/>
    <w:rsid w:val="714E0C15"/>
    <w:rsid w:val="7169753E"/>
    <w:rsid w:val="71844371"/>
    <w:rsid w:val="719260C5"/>
    <w:rsid w:val="7195375A"/>
    <w:rsid w:val="71D26B2B"/>
    <w:rsid w:val="71FE002C"/>
    <w:rsid w:val="722038F6"/>
    <w:rsid w:val="725714DB"/>
    <w:rsid w:val="726E6E50"/>
    <w:rsid w:val="7286066C"/>
    <w:rsid w:val="736F2225"/>
    <w:rsid w:val="73AB115A"/>
    <w:rsid w:val="73CE2563"/>
    <w:rsid w:val="73DB0AB8"/>
    <w:rsid w:val="74170E8C"/>
    <w:rsid w:val="74A245FE"/>
    <w:rsid w:val="74F3598D"/>
    <w:rsid w:val="75881F3F"/>
    <w:rsid w:val="75A010E7"/>
    <w:rsid w:val="75A40BA8"/>
    <w:rsid w:val="75D0539A"/>
    <w:rsid w:val="75D123DD"/>
    <w:rsid w:val="75F7155B"/>
    <w:rsid w:val="76638863"/>
    <w:rsid w:val="769E5090"/>
    <w:rsid w:val="76AC27DD"/>
    <w:rsid w:val="76BD4528"/>
    <w:rsid w:val="76D45DE2"/>
    <w:rsid w:val="76FA15CA"/>
    <w:rsid w:val="771A43CC"/>
    <w:rsid w:val="7723168A"/>
    <w:rsid w:val="773510B9"/>
    <w:rsid w:val="774F6CD9"/>
    <w:rsid w:val="77525064"/>
    <w:rsid w:val="77A06D7C"/>
    <w:rsid w:val="77AA1AB4"/>
    <w:rsid w:val="77AA4DBA"/>
    <w:rsid w:val="77BB1C4D"/>
    <w:rsid w:val="77D05487"/>
    <w:rsid w:val="783D52C3"/>
    <w:rsid w:val="78A23DC7"/>
    <w:rsid w:val="78CA6202"/>
    <w:rsid w:val="79155564"/>
    <w:rsid w:val="791C4062"/>
    <w:rsid w:val="79554AB2"/>
    <w:rsid w:val="797E29DF"/>
    <w:rsid w:val="79AA4B06"/>
    <w:rsid w:val="79B06543"/>
    <w:rsid w:val="79E813E8"/>
    <w:rsid w:val="79FBCE37"/>
    <w:rsid w:val="79FF3D0B"/>
    <w:rsid w:val="7A1A4FB4"/>
    <w:rsid w:val="7A3D7A81"/>
    <w:rsid w:val="7AEA50F2"/>
    <w:rsid w:val="7B3B6AC2"/>
    <w:rsid w:val="7B742055"/>
    <w:rsid w:val="7BB61FBB"/>
    <w:rsid w:val="7BB85C55"/>
    <w:rsid w:val="7BCF78BF"/>
    <w:rsid w:val="7BDF8829"/>
    <w:rsid w:val="7CA4733E"/>
    <w:rsid w:val="7CAB4817"/>
    <w:rsid w:val="7CC34D97"/>
    <w:rsid w:val="7CF81629"/>
    <w:rsid w:val="7CFE086B"/>
    <w:rsid w:val="7D4EECBB"/>
    <w:rsid w:val="7D5E522E"/>
    <w:rsid w:val="7D7D0A25"/>
    <w:rsid w:val="7DB56973"/>
    <w:rsid w:val="7DC53433"/>
    <w:rsid w:val="7DE05D96"/>
    <w:rsid w:val="7E464D80"/>
    <w:rsid w:val="7E7044F2"/>
    <w:rsid w:val="7E8D7DD7"/>
    <w:rsid w:val="7ED1318C"/>
    <w:rsid w:val="7EE041D4"/>
    <w:rsid w:val="7F2B3445"/>
    <w:rsid w:val="7F4A3C39"/>
    <w:rsid w:val="7F4B1F99"/>
    <w:rsid w:val="7F6022DF"/>
    <w:rsid w:val="7F6B2667"/>
    <w:rsid w:val="7F8C01CA"/>
    <w:rsid w:val="7FDA319E"/>
    <w:rsid w:val="7FDC93B0"/>
    <w:rsid w:val="7FE3E47B"/>
    <w:rsid w:val="7FF3005E"/>
    <w:rsid w:val="8FBBF97D"/>
    <w:rsid w:val="8FFC0C6C"/>
    <w:rsid w:val="96B781CC"/>
    <w:rsid w:val="9CE5731C"/>
    <w:rsid w:val="ACFF5AF9"/>
    <w:rsid w:val="B5CE45F8"/>
    <w:rsid w:val="BFA79C80"/>
    <w:rsid w:val="BFBE8310"/>
    <w:rsid w:val="C3F48CB5"/>
    <w:rsid w:val="C5AFDDCD"/>
    <w:rsid w:val="CFFBEF40"/>
    <w:rsid w:val="D7125A98"/>
    <w:rsid w:val="DF9E3067"/>
    <w:rsid w:val="E7EEBC90"/>
    <w:rsid w:val="E7F77A57"/>
    <w:rsid w:val="E7FE2899"/>
    <w:rsid w:val="E9FBA2EE"/>
    <w:rsid w:val="EEDAC39D"/>
    <w:rsid w:val="EEFFC05B"/>
    <w:rsid w:val="EFE985CA"/>
    <w:rsid w:val="F2FFBEC6"/>
    <w:rsid w:val="F3EDBB5C"/>
    <w:rsid w:val="F42FEB96"/>
    <w:rsid w:val="F57B3A59"/>
    <w:rsid w:val="FDA3B462"/>
    <w:rsid w:val="FDFDAD00"/>
    <w:rsid w:val="FDFDCEDC"/>
    <w:rsid w:val="FFF12D58"/>
    <w:rsid w:val="FFFB897F"/>
    <w:rsid w:val="FFFF724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0" w:semiHidden="0"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qFormat="1" w:unhideWhenUsed="0" w:uiPriority="99" w:semiHidden="0" w:name="table of figures"/>
    <w:lsdException w:uiPriority="99" w:name="envelope address" w:locked="1"/>
    <w:lsdException w:uiPriority="99" w:name="envelope return" w:locked="1"/>
    <w:lsdException w:qFormat="1" w:unhideWhenUsed="0" w:uiPriority="0" w:semiHidden="0"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0" w:semiHidden="0" w:name="List Number"/>
    <w:lsdException w:uiPriority="99" w:name="List 2" w:locked="1"/>
    <w:lsdException w:uiPriority="99" w:name="List 3" w:locked="1"/>
    <w:lsdException w:unhideWhenUsed="0" w:uiPriority="0" w:semiHidden="0" w:name="List 4"/>
    <w:lsdException w:unhideWhenUsed="0" w:uiPriority="0"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link w:val="45"/>
    <w:qFormat/>
    <w:uiPriority w:val="99"/>
    <w:pPr>
      <w:keepNext/>
      <w:keepLines/>
      <w:spacing w:before="340" w:after="330" w:line="578" w:lineRule="auto"/>
      <w:outlineLvl w:val="0"/>
    </w:pPr>
    <w:rPr>
      <w:rFonts w:cs="Times New Roman"/>
      <w:b/>
      <w:bCs/>
      <w:kern w:val="44"/>
      <w:sz w:val="44"/>
      <w:szCs w:val="44"/>
    </w:rPr>
  </w:style>
  <w:style w:type="paragraph" w:styleId="2">
    <w:name w:val="heading 2"/>
    <w:basedOn w:val="1"/>
    <w:next w:val="3"/>
    <w:link w:val="46"/>
    <w:qFormat/>
    <w:uiPriority w:val="99"/>
    <w:pPr>
      <w:keepNext/>
      <w:keepLines/>
      <w:spacing w:line="413" w:lineRule="auto"/>
      <w:outlineLvl w:val="1"/>
    </w:pPr>
    <w:rPr>
      <w:rFonts w:ascii="Arial" w:hAnsi="Arial" w:eastAsia="黑体"/>
      <w:b/>
      <w:bCs/>
      <w:sz w:val="32"/>
      <w:szCs w:val="32"/>
    </w:rPr>
  </w:style>
  <w:style w:type="paragraph" w:styleId="5">
    <w:name w:val="heading 3"/>
    <w:basedOn w:val="1"/>
    <w:next w:val="1"/>
    <w:link w:val="47"/>
    <w:qFormat/>
    <w:uiPriority w:val="99"/>
    <w:pPr>
      <w:keepNext/>
      <w:keepLines/>
      <w:spacing w:before="260" w:after="260" w:line="416" w:lineRule="auto"/>
      <w:outlineLvl w:val="2"/>
    </w:pPr>
    <w:rPr>
      <w:b/>
      <w:bCs/>
      <w:sz w:val="32"/>
      <w:szCs w:val="32"/>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99"/>
    <w:pPr>
      <w:ind w:firstLine="420"/>
    </w:pPr>
    <w:rPr>
      <w:szCs w:val="20"/>
    </w:rPr>
  </w:style>
  <w:style w:type="paragraph" w:styleId="6">
    <w:name w:val="List Number"/>
    <w:basedOn w:val="1"/>
    <w:qFormat/>
    <w:uiPriority w:val="0"/>
    <w:pPr>
      <w:numPr>
        <w:ilvl w:val="0"/>
        <w:numId w:val="1"/>
      </w:numPr>
    </w:pPr>
  </w:style>
  <w:style w:type="paragraph" w:styleId="7">
    <w:name w:val="annotation text"/>
    <w:basedOn w:val="1"/>
    <w:link w:val="48"/>
    <w:qFormat/>
    <w:uiPriority w:val="99"/>
    <w:pPr>
      <w:jc w:val="left"/>
    </w:pPr>
    <w:rPr>
      <w:rFonts w:cs="Times New Roman"/>
    </w:rPr>
  </w:style>
  <w:style w:type="paragraph" w:styleId="8">
    <w:name w:val="Salutation"/>
    <w:basedOn w:val="1"/>
    <w:next w:val="1"/>
    <w:link w:val="49"/>
    <w:qFormat/>
    <w:uiPriority w:val="99"/>
    <w:rPr>
      <w:rFonts w:cs="Times New Roman"/>
    </w:rPr>
  </w:style>
  <w:style w:type="paragraph" w:styleId="9">
    <w:name w:val="Body Text"/>
    <w:basedOn w:val="1"/>
    <w:next w:val="10"/>
    <w:link w:val="50"/>
    <w:qFormat/>
    <w:uiPriority w:val="99"/>
    <w:rPr>
      <w:rFonts w:eastAsia="黑体"/>
      <w:b/>
      <w:bCs/>
      <w:spacing w:val="20"/>
      <w:kern w:val="52"/>
      <w:sz w:val="56"/>
    </w:rPr>
  </w:style>
  <w:style w:type="paragraph" w:customStyle="1" w:styleId="10">
    <w:name w:val="自动更正"/>
    <w:unhideWhenUsed/>
    <w:qFormat/>
    <w:uiPriority w:val="0"/>
    <w:pPr>
      <w:widowControl w:val="0"/>
      <w:jc w:val="both"/>
    </w:pPr>
    <w:rPr>
      <w:rFonts w:ascii="Times New Roman" w:hAnsi="Times New Roman" w:eastAsia="宋体" w:cs="Times New Roman"/>
      <w:kern w:val="2"/>
      <w:sz w:val="21"/>
      <w:lang w:val="en-US" w:eastAsia="zh-CN" w:bidi="ar-SA"/>
    </w:rPr>
  </w:style>
  <w:style w:type="paragraph" w:styleId="11">
    <w:name w:val="Body Text Indent"/>
    <w:basedOn w:val="1"/>
    <w:next w:val="1"/>
    <w:link w:val="51"/>
    <w:qFormat/>
    <w:uiPriority w:val="99"/>
    <w:pPr>
      <w:spacing w:line="200" w:lineRule="exact"/>
      <w:ind w:firstLine="301"/>
    </w:pPr>
    <w:rPr>
      <w:rFonts w:ascii="宋体" w:hAnsi="Courier New"/>
      <w:spacing w:val="-4"/>
      <w:sz w:val="18"/>
      <w:szCs w:val="20"/>
    </w:rPr>
  </w:style>
  <w:style w:type="paragraph" w:styleId="12">
    <w:name w:val="toc 3"/>
    <w:basedOn w:val="1"/>
    <w:next w:val="1"/>
    <w:qFormat/>
    <w:uiPriority w:val="99"/>
    <w:pPr>
      <w:ind w:left="840" w:leftChars="400"/>
    </w:pPr>
  </w:style>
  <w:style w:type="paragraph" w:styleId="13">
    <w:name w:val="Plain Text"/>
    <w:basedOn w:val="1"/>
    <w:link w:val="52"/>
    <w:qFormat/>
    <w:uiPriority w:val="99"/>
    <w:pPr>
      <w:spacing w:beforeLines="50" w:afterLines="50" w:line="400" w:lineRule="exact"/>
    </w:pPr>
    <w:rPr>
      <w:rFonts w:ascii="宋体" w:hAnsi="Courier New"/>
      <w:sz w:val="24"/>
    </w:rPr>
  </w:style>
  <w:style w:type="paragraph" w:styleId="14">
    <w:name w:val="Date"/>
    <w:basedOn w:val="1"/>
    <w:next w:val="1"/>
    <w:link w:val="53"/>
    <w:qFormat/>
    <w:uiPriority w:val="99"/>
    <w:pPr>
      <w:ind w:left="2500" w:leftChars="2500"/>
    </w:pPr>
    <w:rPr>
      <w:rFonts w:eastAsia="楷体_GB2312"/>
      <w:sz w:val="32"/>
      <w:szCs w:val="20"/>
    </w:rPr>
  </w:style>
  <w:style w:type="paragraph" w:styleId="15">
    <w:name w:val="Body Text Indent 2"/>
    <w:basedOn w:val="1"/>
    <w:link w:val="54"/>
    <w:qFormat/>
    <w:uiPriority w:val="99"/>
    <w:pPr>
      <w:spacing w:after="120" w:line="480" w:lineRule="auto"/>
      <w:ind w:left="420" w:leftChars="200"/>
    </w:pPr>
    <w:rPr>
      <w:szCs w:val="20"/>
    </w:rPr>
  </w:style>
  <w:style w:type="paragraph" w:styleId="16">
    <w:name w:val="Balloon Text"/>
    <w:basedOn w:val="1"/>
    <w:link w:val="55"/>
    <w:qFormat/>
    <w:uiPriority w:val="99"/>
    <w:rPr>
      <w:rFonts w:cs="Times New Roman"/>
      <w:sz w:val="18"/>
      <w:szCs w:val="18"/>
    </w:rPr>
  </w:style>
  <w:style w:type="paragraph" w:styleId="17">
    <w:name w:val="footer"/>
    <w:basedOn w:val="1"/>
    <w:link w:val="56"/>
    <w:qFormat/>
    <w:uiPriority w:val="99"/>
    <w:pPr>
      <w:tabs>
        <w:tab w:val="center" w:pos="4153"/>
        <w:tab w:val="right" w:pos="8306"/>
      </w:tabs>
      <w:snapToGrid w:val="0"/>
      <w:jc w:val="left"/>
    </w:pPr>
    <w:rPr>
      <w:rFonts w:eastAsia="黑体"/>
      <w:kern w:val="0"/>
      <w:sz w:val="18"/>
      <w:szCs w:val="18"/>
    </w:rPr>
  </w:style>
  <w:style w:type="paragraph" w:styleId="18">
    <w:name w:val="header"/>
    <w:basedOn w:val="1"/>
    <w:link w:val="57"/>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19">
    <w:name w:val="toc 1"/>
    <w:basedOn w:val="1"/>
    <w:next w:val="1"/>
    <w:qFormat/>
    <w:uiPriority w:val="99"/>
  </w:style>
  <w:style w:type="paragraph" w:styleId="20">
    <w:name w:val="List"/>
    <w:basedOn w:val="1"/>
    <w:qFormat/>
    <w:uiPriority w:val="99"/>
    <w:pPr>
      <w:ind w:left="200" w:hanging="200" w:hangingChars="200"/>
    </w:pPr>
    <w:rPr>
      <w:sz w:val="28"/>
    </w:rPr>
  </w:style>
  <w:style w:type="paragraph" w:styleId="21">
    <w:name w:val="footnote text"/>
    <w:basedOn w:val="1"/>
    <w:qFormat/>
    <w:locked/>
    <w:uiPriority w:val="0"/>
    <w:pPr>
      <w:snapToGrid w:val="0"/>
      <w:jc w:val="left"/>
    </w:pPr>
    <w:rPr>
      <w:sz w:val="18"/>
      <w:szCs w:val="18"/>
    </w:rPr>
  </w:style>
  <w:style w:type="paragraph" w:styleId="22">
    <w:name w:val="Body Text Indent 3"/>
    <w:basedOn w:val="1"/>
    <w:link w:val="58"/>
    <w:qFormat/>
    <w:uiPriority w:val="99"/>
    <w:pPr>
      <w:snapToGrid w:val="0"/>
      <w:ind w:firstLine="480" w:firstLineChars="200"/>
      <w:jc w:val="left"/>
    </w:pPr>
    <w:rPr>
      <w:rFonts w:ascii="仿宋_GB2312" w:hAnsi="宋体" w:eastAsia="仿宋_GB2312"/>
      <w:color w:val="000000"/>
      <w:sz w:val="24"/>
    </w:rPr>
  </w:style>
  <w:style w:type="paragraph" w:styleId="23">
    <w:name w:val="table of figures"/>
    <w:basedOn w:val="1"/>
    <w:next w:val="1"/>
    <w:qFormat/>
    <w:uiPriority w:val="99"/>
    <w:pPr>
      <w:widowControl/>
      <w:ind w:left="840" w:leftChars="200" w:hanging="420" w:hangingChars="200"/>
      <w:jc w:val="left"/>
    </w:pPr>
    <w:rPr>
      <w:rFonts w:ascii="Times New Roman"/>
    </w:rPr>
  </w:style>
  <w:style w:type="paragraph" w:styleId="24">
    <w:name w:val="toc 2"/>
    <w:basedOn w:val="1"/>
    <w:next w:val="1"/>
    <w:qFormat/>
    <w:uiPriority w:val="99"/>
    <w:pPr>
      <w:ind w:left="420" w:leftChars="200"/>
    </w:pPr>
  </w:style>
  <w:style w:type="paragraph" w:styleId="25">
    <w:name w:val="Body Text 2"/>
    <w:basedOn w:val="1"/>
    <w:link w:val="59"/>
    <w:qFormat/>
    <w:uiPriority w:val="99"/>
    <w:pPr>
      <w:widowControl/>
      <w:snapToGrid w:val="0"/>
      <w:spacing w:afterLines="50" w:line="400" w:lineRule="exact"/>
      <w:jc w:val="left"/>
    </w:pPr>
    <w:rPr>
      <w:rFonts w:ascii="宋体" w:hAnsi="宋体"/>
      <w:color w:val="000000"/>
      <w:sz w:val="24"/>
    </w:rPr>
  </w:style>
  <w:style w:type="paragraph" w:styleId="26">
    <w:name w:val="Normal (Web)"/>
    <w:basedOn w:val="1"/>
    <w:qFormat/>
    <w:uiPriority w:val="99"/>
    <w:pPr>
      <w:widowControl/>
      <w:spacing w:beforeAutospacing="1" w:afterAutospacing="1"/>
      <w:jc w:val="left"/>
    </w:pPr>
    <w:rPr>
      <w:rFonts w:ascii="宋体" w:hAnsi="宋体" w:cs="宋体"/>
      <w:color w:val="000000"/>
      <w:kern w:val="0"/>
      <w:sz w:val="24"/>
    </w:rPr>
  </w:style>
  <w:style w:type="paragraph" w:styleId="27">
    <w:name w:val="annotation subject"/>
    <w:basedOn w:val="7"/>
    <w:next w:val="7"/>
    <w:link w:val="60"/>
    <w:qFormat/>
    <w:uiPriority w:val="99"/>
    <w:rPr>
      <w:b/>
      <w:bCs/>
    </w:rPr>
  </w:style>
  <w:style w:type="paragraph" w:styleId="28">
    <w:name w:val="Body Text First Indent"/>
    <w:basedOn w:val="9"/>
    <w:next w:val="1"/>
    <w:link w:val="61"/>
    <w:qFormat/>
    <w:uiPriority w:val="99"/>
    <w:pPr>
      <w:spacing w:after="120"/>
      <w:ind w:firstLine="420" w:firstLineChars="100"/>
    </w:pPr>
    <w:rPr>
      <w:rFonts w:ascii="Times New Roman" w:hAnsi="Times New Roman" w:eastAsia="宋体" w:cs="Times New Roman"/>
      <w:b w:val="0"/>
      <w:bCs w:val="0"/>
      <w:color w:val="000000"/>
      <w:spacing w:val="0"/>
      <w:kern w:val="0"/>
      <w:sz w:val="21"/>
    </w:rPr>
  </w:style>
  <w:style w:type="paragraph" w:styleId="29">
    <w:name w:val="Body Text First Indent 2"/>
    <w:basedOn w:val="11"/>
    <w:qFormat/>
    <w:locked/>
    <w:uiPriority w:val="0"/>
    <w:pPr>
      <w:ind w:firstLine="420" w:firstLineChars="200"/>
    </w:pPr>
  </w:style>
  <w:style w:type="table" w:styleId="31">
    <w:name w:val="Table Grid"/>
    <w:basedOn w:val="3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basedOn w:val="32"/>
    <w:qFormat/>
    <w:uiPriority w:val="99"/>
    <w:rPr>
      <w:rFonts w:ascii="Tahoma" w:hAnsi="Tahoma" w:cs="Times New Roman"/>
      <w:b/>
      <w:sz w:val="20"/>
    </w:rPr>
  </w:style>
  <w:style w:type="character" w:styleId="34">
    <w:name w:val="page number"/>
    <w:basedOn w:val="32"/>
    <w:qFormat/>
    <w:uiPriority w:val="99"/>
    <w:rPr>
      <w:rFonts w:cs="Times New Roman"/>
    </w:rPr>
  </w:style>
  <w:style w:type="character" w:styleId="35">
    <w:name w:val="Hyperlink"/>
    <w:basedOn w:val="32"/>
    <w:qFormat/>
    <w:uiPriority w:val="99"/>
    <w:rPr>
      <w:rFonts w:cs="Times New Roman"/>
      <w:color w:val="0000FF"/>
      <w:u w:val="single"/>
    </w:rPr>
  </w:style>
  <w:style w:type="character" w:styleId="36">
    <w:name w:val="annotation reference"/>
    <w:basedOn w:val="32"/>
    <w:qFormat/>
    <w:uiPriority w:val="99"/>
    <w:rPr>
      <w:rFonts w:cs="Times New Roman"/>
      <w:sz w:val="21"/>
    </w:rPr>
  </w:style>
  <w:style w:type="character" w:styleId="37">
    <w:name w:val="footnote reference"/>
    <w:qFormat/>
    <w:locked/>
    <w:uiPriority w:val="0"/>
    <w:rPr>
      <w:vertAlign w:val="superscript"/>
    </w:rPr>
  </w:style>
  <w:style w:type="paragraph" w:customStyle="1" w:styleId="38">
    <w:name w:val="Body Text First Indent 21"/>
    <w:basedOn w:val="39"/>
    <w:qFormat/>
    <w:uiPriority w:val="0"/>
    <w:pPr>
      <w:ind w:firstLine="420"/>
    </w:pPr>
    <w:rPr>
      <w:rFonts w:ascii="Times New Roman" w:hAnsi="Times New Roman" w:cs="宋体"/>
    </w:rPr>
  </w:style>
  <w:style w:type="paragraph" w:customStyle="1" w:styleId="39">
    <w:name w:val="Body Text Indent1"/>
    <w:basedOn w:val="1"/>
    <w:next w:val="1"/>
    <w:qFormat/>
    <w:uiPriority w:val="0"/>
    <w:pPr>
      <w:spacing w:after="120"/>
      <w:ind w:left="420" w:leftChars="200"/>
    </w:pPr>
    <w:rPr>
      <w:color w:val="000000"/>
      <w:szCs w:val="21"/>
    </w:rPr>
  </w:style>
  <w:style w:type="paragraph" w:customStyle="1" w:styleId="40">
    <w:name w:val="BodyText1I2"/>
    <w:basedOn w:val="41"/>
    <w:qFormat/>
    <w:uiPriority w:val="0"/>
    <w:pPr>
      <w:ind w:firstLine="420"/>
    </w:pPr>
  </w:style>
  <w:style w:type="paragraph" w:customStyle="1" w:styleId="41">
    <w:name w:val="BodyTextIndent"/>
    <w:basedOn w:val="1"/>
    <w:qFormat/>
    <w:uiPriority w:val="0"/>
    <w:pPr>
      <w:spacing w:after="120"/>
      <w:ind w:left="420" w:leftChars="200"/>
      <w:textAlignment w:val="baseline"/>
    </w:pPr>
    <w:rPr>
      <w:rFonts w:ascii="Times New Roman" w:hAnsi="Times New Roman"/>
      <w:szCs w:val="20"/>
    </w:rPr>
  </w:style>
  <w:style w:type="paragraph" w:styleId="42">
    <w:name w:val="List Paragraph"/>
    <w:basedOn w:val="1"/>
    <w:qFormat/>
    <w:uiPriority w:val="99"/>
    <w:pPr>
      <w:ind w:firstLine="420" w:firstLineChars="200"/>
    </w:pPr>
  </w:style>
  <w:style w:type="paragraph" w:customStyle="1" w:styleId="43">
    <w:name w:val="首行缩进"/>
    <w:basedOn w:val="1"/>
    <w:qFormat/>
    <w:uiPriority w:val="0"/>
    <w:pPr>
      <w:spacing w:line="360" w:lineRule="auto"/>
      <w:ind w:firstLine="480" w:firstLineChars="200"/>
    </w:pPr>
    <w:rPr>
      <w:rFonts w:hAnsi="宋体" w:cs="宋体"/>
      <w:sz w:val="24"/>
    </w:rPr>
  </w:style>
  <w:style w:type="paragraph" w:customStyle="1" w:styleId="44">
    <w:name w:val="正文1"/>
    <w:basedOn w:val="1"/>
    <w:qFormat/>
    <w:uiPriority w:val="99"/>
    <w:pPr>
      <w:adjustRightInd w:val="0"/>
      <w:spacing w:line="318" w:lineRule="atLeast"/>
      <w:ind w:left="369" w:firstLine="369"/>
      <w:textAlignment w:val="baseline"/>
    </w:pPr>
    <w:rPr>
      <w:rFonts w:ascii="宋体"/>
      <w:szCs w:val="20"/>
    </w:rPr>
  </w:style>
  <w:style w:type="character" w:customStyle="1" w:styleId="45">
    <w:name w:val="标题 1 字符"/>
    <w:basedOn w:val="32"/>
    <w:link w:val="4"/>
    <w:qFormat/>
    <w:locked/>
    <w:uiPriority w:val="99"/>
    <w:rPr>
      <w:rFonts w:ascii="Calibri" w:hAnsi="Calibri" w:eastAsia="宋体"/>
      <w:b/>
      <w:kern w:val="44"/>
      <w:sz w:val="44"/>
    </w:rPr>
  </w:style>
  <w:style w:type="character" w:customStyle="1" w:styleId="46">
    <w:name w:val="标题 2 字符"/>
    <w:basedOn w:val="32"/>
    <w:link w:val="2"/>
    <w:semiHidden/>
    <w:qFormat/>
    <w:uiPriority w:val="9"/>
    <w:rPr>
      <w:rFonts w:ascii="Cambria" w:hAnsi="Cambria" w:eastAsia="宋体" w:cs="Times New Roman"/>
      <w:b/>
      <w:bCs/>
      <w:sz w:val="32"/>
      <w:szCs w:val="32"/>
    </w:rPr>
  </w:style>
  <w:style w:type="character" w:customStyle="1" w:styleId="47">
    <w:name w:val="标题 3 字符"/>
    <w:basedOn w:val="32"/>
    <w:link w:val="5"/>
    <w:semiHidden/>
    <w:qFormat/>
    <w:uiPriority w:val="9"/>
    <w:rPr>
      <w:rFonts w:cs="黑体"/>
      <w:b/>
      <w:bCs/>
      <w:sz w:val="32"/>
      <w:szCs w:val="32"/>
    </w:rPr>
  </w:style>
  <w:style w:type="character" w:customStyle="1" w:styleId="48">
    <w:name w:val="批注文字 字符"/>
    <w:basedOn w:val="32"/>
    <w:link w:val="7"/>
    <w:qFormat/>
    <w:locked/>
    <w:uiPriority w:val="99"/>
    <w:rPr>
      <w:rFonts w:ascii="Calibri" w:hAnsi="Calibri"/>
      <w:kern w:val="2"/>
      <w:sz w:val="24"/>
    </w:rPr>
  </w:style>
  <w:style w:type="character" w:customStyle="1" w:styleId="49">
    <w:name w:val="称呼 字符"/>
    <w:basedOn w:val="32"/>
    <w:link w:val="8"/>
    <w:semiHidden/>
    <w:qFormat/>
    <w:uiPriority w:val="99"/>
    <w:rPr>
      <w:rFonts w:cs="黑体"/>
      <w:szCs w:val="24"/>
    </w:rPr>
  </w:style>
  <w:style w:type="character" w:customStyle="1" w:styleId="50">
    <w:name w:val="正文文本 字符"/>
    <w:basedOn w:val="32"/>
    <w:link w:val="9"/>
    <w:semiHidden/>
    <w:qFormat/>
    <w:uiPriority w:val="99"/>
    <w:rPr>
      <w:rFonts w:cs="黑体"/>
      <w:szCs w:val="24"/>
    </w:rPr>
  </w:style>
  <w:style w:type="character" w:customStyle="1" w:styleId="51">
    <w:name w:val="正文文本缩进 字符"/>
    <w:basedOn w:val="32"/>
    <w:link w:val="11"/>
    <w:semiHidden/>
    <w:qFormat/>
    <w:uiPriority w:val="99"/>
    <w:rPr>
      <w:rFonts w:cs="黑体"/>
      <w:szCs w:val="24"/>
    </w:rPr>
  </w:style>
  <w:style w:type="character" w:customStyle="1" w:styleId="52">
    <w:name w:val="纯文本 字符"/>
    <w:basedOn w:val="32"/>
    <w:link w:val="13"/>
    <w:semiHidden/>
    <w:qFormat/>
    <w:uiPriority w:val="99"/>
    <w:rPr>
      <w:rFonts w:ascii="宋体" w:hAnsi="Courier New" w:cs="Courier New"/>
      <w:szCs w:val="21"/>
    </w:rPr>
  </w:style>
  <w:style w:type="character" w:customStyle="1" w:styleId="53">
    <w:name w:val="日期 字符"/>
    <w:basedOn w:val="32"/>
    <w:link w:val="14"/>
    <w:semiHidden/>
    <w:qFormat/>
    <w:uiPriority w:val="99"/>
    <w:rPr>
      <w:rFonts w:cs="黑体"/>
      <w:szCs w:val="24"/>
    </w:rPr>
  </w:style>
  <w:style w:type="character" w:customStyle="1" w:styleId="54">
    <w:name w:val="正文文本缩进 2 字符"/>
    <w:basedOn w:val="32"/>
    <w:link w:val="15"/>
    <w:semiHidden/>
    <w:qFormat/>
    <w:uiPriority w:val="99"/>
    <w:rPr>
      <w:rFonts w:cs="黑体"/>
      <w:szCs w:val="24"/>
    </w:rPr>
  </w:style>
  <w:style w:type="character" w:customStyle="1" w:styleId="55">
    <w:name w:val="批注框文本 字符"/>
    <w:basedOn w:val="32"/>
    <w:link w:val="16"/>
    <w:qFormat/>
    <w:locked/>
    <w:uiPriority w:val="99"/>
    <w:rPr>
      <w:rFonts w:ascii="Calibri" w:hAnsi="Calibri" w:eastAsia="宋体"/>
      <w:kern w:val="2"/>
      <w:sz w:val="18"/>
    </w:rPr>
  </w:style>
  <w:style w:type="character" w:customStyle="1" w:styleId="56">
    <w:name w:val="页脚 字符"/>
    <w:basedOn w:val="32"/>
    <w:link w:val="17"/>
    <w:semiHidden/>
    <w:qFormat/>
    <w:uiPriority w:val="99"/>
    <w:rPr>
      <w:rFonts w:cs="黑体"/>
      <w:sz w:val="18"/>
      <w:szCs w:val="18"/>
    </w:rPr>
  </w:style>
  <w:style w:type="character" w:customStyle="1" w:styleId="57">
    <w:name w:val="页眉 字符"/>
    <w:basedOn w:val="32"/>
    <w:link w:val="18"/>
    <w:semiHidden/>
    <w:qFormat/>
    <w:uiPriority w:val="99"/>
    <w:rPr>
      <w:rFonts w:cs="黑体"/>
      <w:sz w:val="18"/>
      <w:szCs w:val="18"/>
    </w:rPr>
  </w:style>
  <w:style w:type="character" w:customStyle="1" w:styleId="58">
    <w:name w:val="正文文本缩进 3 字符"/>
    <w:basedOn w:val="32"/>
    <w:link w:val="22"/>
    <w:semiHidden/>
    <w:qFormat/>
    <w:uiPriority w:val="99"/>
    <w:rPr>
      <w:rFonts w:cs="黑体"/>
      <w:sz w:val="16"/>
      <w:szCs w:val="16"/>
    </w:rPr>
  </w:style>
  <w:style w:type="character" w:customStyle="1" w:styleId="59">
    <w:name w:val="正文文本 2 字符"/>
    <w:basedOn w:val="32"/>
    <w:link w:val="25"/>
    <w:semiHidden/>
    <w:qFormat/>
    <w:uiPriority w:val="99"/>
    <w:rPr>
      <w:rFonts w:cs="黑体"/>
      <w:szCs w:val="24"/>
    </w:rPr>
  </w:style>
  <w:style w:type="character" w:customStyle="1" w:styleId="60">
    <w:name w:val="批注主题 字符"/>
    <w:basedOn w:val="48"/>
    <w:link w:val="27"/>
    <w:qFormat/>
    <w:locked/>
    <w:uiPriority w:val="99"/>
    <w:rPr>
      <w:rFonts w:ascii="Calibri" w:hAnsi="Calibri"/>
      <w:b/>
      <w:kern w:val="2"/>
      <w:sz w:val="24"/>
    </w:rPr>
  </w:style>
  <w:style w:type="character" w:customStyle="1" w:styleId="61">
    <w:name w:val="正文文本首行缩进 字符"/>
    <w:basedOn w:val="50"/>
    <w:link w:val="28"/>
    <w:semiHidden/>
    <w:qFormat/>
    <w:uiPriority w:val="99"/>
    <w:rPr>
      <w:rFonts w:cs="黑体"/>
      <w:szCs w:val="24"/>
    </w:rPr>
  </w:style>
  <w:style w:type="paragraph" w:customStyle="1" w:styleId="62">
    <w:name w:val="正文段"/>
    <w:basedOn w:val="1"/>
    <w:qFormat/>
    <w:uiPriority w:val="99"/>
    <w:pPr>
      <w:widowControl/>
      <w:snapToGrid w:val="0"/>
      <w:spacing w:afterLines="50"/>
      <w:ind w:firstLine="200" w:firstLineChars="200"/>
    </w:pPr>
    <w:rPr>
      <w:kern w:val="0"/>
      <w:sz w:val="24"/>
      <w:szCs w:val="20"/>
    </w:rPr>
  </w:style>
  <w:style w:type="paragraph" w:customStyle="1" w:styleId="63">
    <w:name w:val="Char Char1 Char Char Char Char Char Char Char Char"/>
    <w:basedOn w:val="1"/>
    <w:qFormat/>
    <w:uiPriority w:val="99"/>
    <w:pPr>
      <w:widowControl/>
      <w:spacing w:line="240" w:lineRule="exact"/>
      <w:jc w:val="left"/>
    </w:pPr>
  </w:style>
  <w:style w:type="paragraph" w:customStyle="1" w:styleId="64">
    <w:name w:val="Proposals body"/>
    <w:basedOn w:val="1"/>
    <w:next w:val="1"/>
    <w:qFormat/>
    <w:uiPriority w:val="99"/>
    <w:pPr>
      <w:widowControl/>
      <w:spacing w:line="360" w:lineRule="auto"/>
      <w:jc w:val="left"/>
    </w:pPr>
    <w:rPr>
      <w:rFonts w:ascii="宋体"/>
      <w:color w:val="000000"/>
      <w:kern w:val="0"/>
      <w:sz w:val="24"/>
      <w:szCs w:val="20"/>
    </w:rPr>
  </w:style>
  <w:style w:type="paragraph" w:customStyle="1" w:styleId="65">
    <w:name w:val="lei.header1"/>
    <w:next w:val="66"/>
    <w:qFormat/>
    <w:uiPriority w:val="99"/>
    <w:pPr>
      <w:ind w:left="50" w:leftChars="50" w:right="50" w:rightChars="50"/>
      <w:jc w:val="center"/>
      <w:outlineLvl w:val="0"/>
    </w:pPr>
    <w:rPr>
      <w:rFonts w:ascii="宋体" w:hAnsi="Tahoma" w:eastAsia="宋体" w:cs="Times New Roman"/>
      <w:b/>
      <w:sz w:val="30"/>
      <w:szCs w:val="22"/>
      <w:lang w:val="en-US" w:eastAsia="zh-CN" w:bidi="ar-SA"/>
    </w:rPr>
  </w:style>
  <w:style w:type="paragraph" w:customStyle="1" w:styleId="66">
    <w:name w:val="lei.header2"/>
    <w:next w:val="67"/>
    <w:qFormat/>
    <w:uiPriority w:val="99"/>
    <w:pPr>
      <w:snapToGrid w:val="0"/>
      <w:spacing w:beforeLines="50" w:afterLines="50"/>
      <w:ind w:firstLine="200" w:firstLineChars="200"/>
      <w:outlineLvl w:val="1"/>
    </w:pPr>
    <w:rPr>
      <w:rFonts w:ascii="宋体" w:hAnsi="Tahoma" w:eastAsia="宋体" w:cs="Times New Roman"/>
      <w:b/>
      <w:sz w:val="24"/>
      <w:szCs w:val="22"/>
      <w:lang w:val="en-US" w:eastAsia="zh-CN" w:bidi="ar-SA"/>
    </w:rPr>
  </w:style>
  <w:style w:type="paragraph" w:customStyle="1" w:styleId="67">
    <w:name w:val="lei.header3"/>
    <w:next w:val="68"/>
    <w:qFormat/>
    <w:uiPriority w:val="99"/>
    <w:pPr>
      <w:spacing w:beforeLines="50" w:afterLines="50"/>
      <w:ind w:firstLine="200" w:firstLineChars="200"/>
      <w:outlineLvl w:val="2"/>
    </w:pPr>
    <w:rPr>
      <w:rFonts w:ascii="宋体" w:hAnsi="Tahoma" w:eastAsia="宋体" w:cs="Times New Roman"/>
      <w:sz w:val="24"/>
      <w:szCs w:val="22"/>
      <w:lang w:val="en-US" w:eastAsia="zh-CN" w:bidi="ar-SA"/>
    </w:rPr>
  </w:style>
  <w:style w:type="paragraph" w:customStyle="1" w:styleId="68">
    <w:name w:val="lei.text"/>
    <w:qFormat/>
    <w:uiPriority w:val="99"/>
    <w:pPr>
      <w:spacing w:line="360" w:lineRule="exact"/>
      <w:ind w:firstLine="200" w:firstLineChars="200"/>
    </w:pPr>
    <w:rPr>
      <w:rFonts w:ascii="宋体" w:hAnsi="Tahoma" w:eastAsia="宋体" w:cs="Times New Roman"/>
      <w:sz w:val="24"/>
      <w:szCs w:val="22"/>
      <w:lang w:val="en-US" w:eastAsia="zh-CN" w:bidi="ar-SA"/>
    </w:rPr>
  </w:style>
  <w:style w:type="paragraph" w:customStyle="1" w:styleId="69">
    <w:name w:val="样式1"/>
    <w:basedOn w:val="1"/>
    <w:qFormat/>
    <w:uiPriority w:val="99"/>
    <w:pPr>
      <w:spacing w:line="480" w:lineRule="auto"/>
    </w:pPr>
    <w:rPr>
      <w:sz w:val="24"/>
      <w:szCs w:val="20"/>
    </w:rPr>
  </w:style>
  <w:style w:type="paragraph" w:customStyle="1" w:styleId="70">
    <w:name w:val="列出段落1"/>
    <w:basedOn w:val="1"/>
    <w:qFormat/>
    <w:uiPriority w:val="99"/>
    <w:pPr>
      <w:ind w:firstLine="420" w:firstLineChars="200"/>
    </w:pPr>
  </w:style>
  <w:style w:type="paragraph" w:customStyle="1" w:styleId="71">
    <w:name w:val="_Style 61"/>
    <w:basedOn w:val="1"/>
    <w:qFormat/>
    <w:uiPriority w:val="99"/>
    <w:pPr>
      <w:widowControl/>
      <w:spacing w:after="160" w:line="240" w:lineRule="exact"/>
      <w:jc w:val="left"/>
    </w:pPr>
    <w:rPr>
      <w:rFonts w:ascii="Times New Roman" w:hAnsi="Times New Roman" w:cs="Times New Roman"/>
    </w:rPr>
  </w:style>
  <w:style w:type="paragraph" w:customStyle="1" w:styleId="72">
    <w:name w:val="列出段落2"/>
    <w:basedOn w:val="1"/>
    <w:qFormat/>
    <w:uiPriority w:val="99"/>
    <w:pPr>
      <w:ind w:firstLine="420" w:firstLineChars="200"/>
    </w:pPr>
  </w:style>
  <w:style w:type="paragraph" w:customStyle="1" w:styleId="73">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74">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75">
    <w:name w:val="p-t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76">
    <w:name w:val="02正文"/>
    <w:basedOn w:val="1"/>
    <w:qFormat/>
    <w:uiPriority w:val="99"/>
    <w:pPr>
      <w:spacing w:line="360" w:lineRule="auto"/>
      <w:ind w:firstLine="200" w:firstLineChars="200"/>
    </w:pPr>
    <w:rPr>
      <w:rFonts w:ascii="仿宋_GB2312" w:eastAsia="仿宋_GB2312" w:cs="宋体"/>
      <w:color w:val="000000"/>
      <w:sz w:val="28"/>
      <w:szCs w:val="20"/>
    </w:rPr>
  </w:style>
  <w:style w:type="paragraph" w:customStyle="1" w:styleId="77">
    <w:name w:val="标书正文1"/>
    <w:basedOn w:val="1"/>
    <w:qFormat/>
    <w:uiPriority w:val="99"/>
    <w:pPr>
      <w:spacing w:line="520" w:lineRule="exact"/>
      <w:ind w:firstLine="640" w:firstLineChars="200"/>
    </w:pPr>
  </w:style>
  <w:style w:type="paragraph" w:customStyle="1" w:styleId="78">
    <w:name w:val="List Paragraph_8c10a5f1-10ce-4de6-9fb4-d808594f75ee"/>
    <w:basedOn w:val="1"/>
    <w:qFormat/>
    <w:uiPriority w:val="99"/>
    <w:pPr>
      <w:ind w:firstLine="420" w:firstLineChars="200"/>
    </w:pPr>
    <w:rPr>
      <w:szCs w:val="22"/>
    </w:rPr>
  </w:style>
  <w:style w:type="paragraph" w:customStyle="1" w:styleId="79">
    <w:name w:val="hea"/>
    <w:basedOn w:val="1"/>
    <w:next w:val="1"/>
    <w:qFormat/>
    <w:uiPriority w:val="99"/>
    <w:pPr>
      <w:keepNext/>
      <w:keepLines/>
      <w:numPr>
        <w:ilvl w:val="0"/>
        <w:numId w:val="2"/>
      </w:numPr>
      <w:spacing w:before="340" w:after="330" w:line="578" w:lineRule="auto"/>
      <w:outlineLvl w:val="0"/>
    </w:pPr>
    <w:rPr>
      <w:b/>
      <w:bCs/>
      <w:kern w:val="44"/>
      <w:sz w:val="44"/>
      <w:szCs w:val="44"/>
    </w:rPr>
  </w:style>
  <w:style w:type="paragraph" w:customStyle="1" w:styleId="80">
    <w:name w:val="[Normal]"/>
    <w:qFormat/>
    <w:uiPriority w:val="99"/>
    <w:rPr>
      <w:rFonts w:ascii="宋体" w:hAnsi="宋体" w:eastAsia="宋体" w:cs="Times New Roman"/>
      <w:sz w:val="24"/>
      <w:lang w:val="en-US" w:eastAsia="en-US" w:bidi="ar-SA"/>
    </w:rPr>
  </w:style>
  <w:style w:type="paragraph" w:customStyle="1" w:styleId="81">
    <w:name w:val="正文ok"/>
    <w:qFormat/>
    <w:uiPriority w:val="99"/>
    <w:pPr>
      <w:spacing w:line="360" w:lineRule="auto"/>
      <w:ind w:firstLine="200" w:firstLineChars="200"/>
    </w:pPr>
    <w:rPr>
      <w:rFonts w:ascii="宋体" w:hAnsi="Times New Roman" w:eastAsia="宋体" w:cs="宋体"/>
      <w:sz w:val="24"/>
      <w:lang w:val="en-US" w:eastAsia="zh-CN" w:bidi="ar-SA"/>
    </w:rPr>
  </w:style>
  <w:style w:type="character" w:customStyle="1" w:styleId="82">
    <w:name w:val="font11"/>
    <w:basedOn w:val="32"/>
    <w:qFormat/>
    <w:uiPriority w:val="0"/>
    <w:rPr>
      <w:rFonts w:hint="eastAsia" w:ascii="宋体" w:hAnsi="宋体" w:eastAsia="宋体" w:cs="宋体"/>
      <w:color w:val="000000"/>
      <w:sz w:val="21"/>
      <w:szCs w:val="21"/>
      <w:u w:val="none"/>
    </w:rPr>
  </w:style>
  <w:style w:type="paragraph" w:customStyle="1" w:styleId="83">
    <w:name w:val="正文文本 21"/>
    <w:basedOn w:val="1"/>
    <w:qFormat/>
    <w:uiPriority w:val="0"/>
    <w:pPr>
      <w:widowControl/>
      <w:snapToGrid w:val="0"/>
      <w:spacing w:afterLines="50" w:line="400" w:lineRule="exact"/>
      <w:jc w:val="left"/>
    </w:pPr>
  </w:style>
  <w:style w:type="character" w:customStyle="1" w:styleId="84">
    <w:name w:val="font01"/>
    <w:qFormat/>
    <w:uiPriority w:val="0"/>
    <w:rPr>
      <w:rFonts w:hint="eastAsia" w:ascii="宋体" w:hAnsi="宋体" w:eastAsia="宋体" w:cs="宋体"/>
      <w:color w:val="FF0000"/>
      <w:sz w:val="24"/>
      <w:szCs w:val="24"/>
      <w:u w:val="none"/>
    </w:rPr>
  </w:style>
  <w:style w:type="paragraph" w:customStyle="1" w:styleId="85">
    <w:name w:val="样式2"/>
    <w:basedOn w:val="1"/>
    <w:qFormat/>
    <w:uiPriority w:val="0"/>
    <w:pPr>
      <w:adjustRightInd w:val="0"/>
      <w:spacing w:before="60" w:line="360" w:lineRule="atLeast"/>
      <w:ind w:left="425" w:hanging="425"/>
      <w:textAlignment w:val="baseline"/>
    </w:pPr>
    <w:rPr>
      <w:kern w:val="0"/>
      <w:sz w:val="24"/>
      <w:szCs w:val="20"/>
    </w:rPr>
  </w:style>
  <w:style w:type="character" w:customStyle="1" w:styleId="86">
    <w:name w:val="font71"/>
    <w:basedOn w:val="32"/>
    <w:qFormat/>
    <w:uiPriority w:val="0"/>
    <w:rPr>
      <w:rFonts w:hint="eastAsia" w:ascii="宋体" w:hAnsi="宋体" w:eastAsia="宋体" w:cs="宋体"/>
      <w:color w:val="000000"/>
      <w:sz w:val="20"/>
      <w:szCs w:val="20"/>
      <w:u w:val="none"/>
    </w:rPr>
  </w:style>
  <w:style w:type="character" w:customStyle="1" w:styleId="87">
    <w:name w:val="font21"/>
    <w:basedOn w:val="32"/>
    <w:qFormat/>
    <w:uiPriority w:val="0"/>
    <w:rPr>
      <w:rFonts w:hint="eastAsia" w:ascii="宋体" w:hAnsi="宋体" w:eastAsia="宋体" w:cs="宋体"/>
      <w:color w:val="000000"/>
      <w:sz w:val="20"/>
      <w:szCs w:val="20"/>
      <w:u w:val="none"/>
    </w:rPr>
  </w:style>
  <w:style w:type="character" w:customStyle="1" w:styleId="88">
    <w:name w:val="font111"/>
    <w:basedOn w:val="32"/>
    <w:qFormat/>
    <w:uiPriority w:val="0"/>
    <w:rPr>
      <w:rFonts w:hint="eastAsia" w:ascii="宋体" w:hAnsi="宋体" w:eastAsia="宋体" w:cs="宋体"/>
      <w:color w:val="000000"/>
      <w:sz w:val="20"/>
      <w:szCs w:val="20"/>
      <w:u w:val="none"/>
    </w:rPr>
  </w:style>
  <w:style w:type="character" w:customStyle="1" w:styleId="89">
    <w:name w:val="font51"/>
    <w:basedOn w:val="32"/>
    <w:qFormat/>
    <w:uiPriority w:val="0"/>
    <w:rPr>
      <w:rFonts w:hint="eastAsia" w:ascii="宋体" w:hAnsi="宋体" w:eastAsia="宋体" w:cs="宋体"/>
      <w:color w:val="000000"/>
      <w:sz w:val="20"/>
      <w:szCs w:val="20"/>
      <w:u w:val="none"/>
    </w:rPr>
  </w:style>
  <w:style w:type="paragraph" w:customStyle="1" w:styleId="90">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91">
    <w:name w:val="正文2"/>
    <w:basedOn w:val="1"/>
    <w:qFormat/>
    <w:uiPriority w:val="0"/>
    <w:pPr>
      <w:adjustRightInd w:val="0"/>
      <w:spacing w:before="156" w:line="360" w:lineRule="auto"/>
      <w:ind w:firstLine="510" w:firstLineChars="200"/>
    </w:pPr>
    <w:rPr>
      <w:rFonts w:asciiTheme="minorHAnsi" w:hAnsiTheme="minorHAnsi" w:cstheme="minorBidi"/>
      <w:sz w:val="24"/>
      <w:szCs w:val="22"/>
    </w:rPr>
  </w:style>
  <w:style w:type="paragraph" w:customStyle="1" w:styleId="92">
    <w:name w:val="二级标题"/>
    <w:basedOn w:val="13"/>
    <w:qFormat/>
    <w:uiPriority w:val="0"/>
    <w:pPr>
      <w:snapToGrid w:val="0"/>
      <w:spacing w:before="60" w:after="60"/>
      <w:ind w:firstLine="422" w:firstLineChars="200"/>
      <w:outlineLvl w:val="1"/>
    </w:pPr>
    <w:rPr>
      <w:rFonts w:hAnsi="宋体" w:eastAsia="Times New Roman" w:cs="Times New Roman"/>
      <w:b/>
      <w:szCs w:val="21"/>
    </w:rPr>
  </w:style>
  <w:style w:type="paragraph" w:customStyle="1" w:styleId="93">
    <w:name w:val="段"/>
    <w:basedOn w:val="1"/>
    <w:qFormat/>
    <w:uiPriority w:val="0"/>
    <w:pPr>
      <w:widowControl/>
      <w:autoSpaceDE w:val="0"/>
      <w:autoSpaceDN w:val="0"/>
      <w:ind w:firstLine="200" w:firstLineChars="200"/>
    </w:pPr>
    <w:rPr>
      <w:rFonts w:ascii="宋体"/>
      <w:kern w:val="0"/>
    </w:rPr>
  </w:style>
  <w:style w:type="paragraph" w:customStyle="1" w:styleId="94">
    <w:name w:val="!正文"/>
    <w:basedOn w:val="1"/>
    <w:qFormat/>
    <w:uiPriority w:val="0"/>
    <w:pPr>
      <w:widowControl/>
      <w:spacing w:line="360" w:lineRule="auto"/>
      <w:ind w:firstLine="200" w:firstLineChars="200"/>
      <w:jc w:val="left"/>
    </w:pPr>
    <w:rPr>
      <w:rFonts w:ascii="宋体" w:hAnsi="宋体"/>
      <w:sz w:val="24"/>
      <w:szCs w:val="28"/>
      <w:lang w:val="zh-CN"/>
    </w:rPr>
  </w:style>
  <w:style w:type="paragraph" w:customStyle="1" w:styleId="95">
    <w:name w:val="Hyper正文"/>
    <w:basedOn w:val="1"/>
    <w:qFormat/>
    <w:uiPriority w:val="0"/>
    <w:pPr>
      <w:widowControl/>
      <w:spacing w:line="360" w:lineRule="auto"/>
      <w:ind w:firstLine="480" w:firstLineChars="200"/>
      <w:jc w:val="left"/>
    </w:pPr>
    <w:rPr>
      <w:rFonts w:ascii="Times New Roman" w:hAnsi="Times New Roman" w:cs="宋体"/>
      <w:kern w:val="0"/>
      <w:sz w:val="24"/>
    </w:rPr>
  </w:style>
  <w:style w:type="paragraph" w:customStyle="1" w:styleId="96">
    <w:name w:val="正文有缩紧"/>
    <w:basedOn w:val="1"/>
    <w:qFormat/>
    <w:uiPriority w:val="0"/>
    <w:pPr>
      <w:widowControl/>
      <w:spacing w:before="50" w:beforeLines="50" w:after="50" w:afterLines="50" w:line="360" w:lineRule="auto"/>
      <w:ind w:firstLine="200" w:firstLineChars="200"/>
      <w:jc w:val="left"/>
    </w:pPr>
    <w:rPr>
      <w:rFonts w:ascii="宋体" w:hAnsi="宋体" w:cs="宋体"/>
      <w:color w:val="333333"/>
      <w:kern w:val="0"/>
      <w:sz w:val="24"/>
    </w:rPr>
  </w:style>
  <w:style w:type="paragraph" w:customStyle="1" w:styleId="97">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修订1"/>
    <w:hidden/>
    <w:semiHidden/>
    <w:qFormat/>
    <w:uiPriority w:val="99"/>
    <w:rPr>
      <w:rFonts w:ascii="Calibri" w:hAnsi="Calibri" w:eastAsia="宋体" w:cs="黑体"/>
      <w:kern w:val="2"/>
      <w:sz w:val="21"/>
      <w:szCs w:val="24"/>
      <w:lang w:val="en-US" w:eastAsia="zh-CN" w:bidi="ar-SA"/>
    </w:rPr>
  </w:style>
  <w:style w:type="table" w:customStyle="1" w:styleId="99">
    <w:name w:val="网格型浅色1"/>
    <w:basedOn w:val="30"/>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100">
    <w:name w:val="无格式表格 11"/>
    <w:basedOn w:val="30"/>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101">
    <w:name w:val="修订2"/>
    <w:hidden/>
    <w:semiHidden/>
    <w:qFormat/>
    <w:uiPriority w:val="99"/>
    <w:rPr>
      <w:rFonts w:ascii="Calibri" w:hAnsi="Calibri" w:eastAsia="宋体" w:cs="黑体"/>
      <w:kern w:val="2"/>
      <w:sz w:val="21"/>
      <w:szCs w:val="24"/>
      <w:lang w:val="en-US" w:eastAsia="zh-CN" w:bidi="ar-SA"/>
    </w:rPr>
  </w:style>
  <w:style w:type="paragraph" w:customStyle="1" w:styleId="102">
    <w:name w:val="Revision"/>
    <w:hidden/>
    <w:semiHidden/>
    <w:qFormat/>
    <w:uiPriority w:val="99"/>
    <w:rPr>
      <w:rFonts w:ascii="Calibri" w:hAnsi="Calibri" w:eastAsia="宋体" w:cs="黑体"/>
      <w:kern w:val="2"/>
      <w:sz w:val="21"/>
      <w:szCs w:val="24"/>
      <w:lang w:val="en-US" w:eastAsia="zh-CN" w:bidi="ar-SA"/>
    </w:rPr>
  </w:style>
  <w:style w:type="paragraph" w:customStyle="1" w:styleId="103">
    <w:name w:val="标号"/>
    <w:qFormat/>
    <w:uiPriority w:val="0"/>
    <w:pPr>
      <w:numPr>
        <w:ilvl w:val="0"/>
        <w:numId w:val="3"/>
      </w:numPr>
      <w:spacing w:line="360" w:lineRule="auto"/>
      <w:jc w:val="both"/>
    </w:pPr>
    <w:rPr>
      <w:rFonts w:ascii="Times New Roman" w:hAnsi="Times New Roman" w:eastAsia="宋体" w:cs="Times New Roman"/>
      <w:kern w:val="2"/>
      <w:sz w:val="24"/>
      <w:szCs w:val="28"/>
      <w:lang w:val="en-US" w:eastAsia="zh-CN" w:bidi="ar-SA"/>
    </w:rPr>
  </w:style>
  <w:style w:type="paragraph" w:customStyle="1" w:styleId="10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table" w:customStyle="1" w:styleId="10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81</Pages>
  <Words>44885</Words>
  <Characters>47464</Characters>
  <Lines>33</Lines>
  <Paragraphs>64</Paragraphs>
  <TotalTime>35</TotalTime>
  <ScaleCrop>false</ScaleCrop>
  <LinksUpToDate>false</LinksUpToDate>
  <CharactersWithSpaces>48579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2022-09-23T18:54:00Z</dcterms:created>
  <dc:creator>Administrator</dc:creator>
  <cp:lastModifiedBy>ACTIVE SIDELIGHTS</cp:lastModifiedBy>
  <cp:lastPrinted>2023-05-09T06:14:54Z</cp:lastPrinted>
  <dcterms:modified xsi:type="dcterms:W3CDTF">2023-05-09T06:47:25Z</dcterms:modified>
  <dc:title>国内公开招标文件</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0E5C40D7C89F40829CFCAB752CE4A2FA_13</vt:lpwstr>
  </property>
</Properties>
</file>