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hAnsi="宋体"/>
          <w:b/>
          <w:color w:val="000000"/>
          <w:sz w:val="72"/>
        </w:rPr>
      </w:pPr>
    </w:p>
    <w:p>
      <w:pPr>
        <w:spacing w:after="120"/>
        <w:jc w:val="center"/>
        <w:rPr>
          <w:rFonts w:ascii="宋体" w:hAnsi="宋体" w:cs="宋体"/>
          <w:b/>
          <w:sz w:val="72"/>
        </w:rPr>
      </w:pPr>
      <w:r>
        <w:rPr>
          <w:rFonts w:hint="eastAsia" w:ascii="宋体" w:hAnsi="宋体" w:cs="宋体"/>
          <w:b/>
          <w:sz w:val="72"/>
        </w:rPr>
        <w:t>竞争性磋商文件</w:t>
      </w: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snapToGrid w:val="0"/>
        <w:spacing w:line="480" w:lineRule="auto"/>
        <w:ind w:firstLine="964" w:firstLineChars="300"/>
        <w:jc w:val="left"/>
        <w:rPr>
          <w:rFonts w:ascii="宋体" w:hAnsi="宋体" w:cs="宋体"/>
          <w:b/>
          <w:bCs/>
          <w:sz w:val="32"/>
          <w:szCs w:val="32"/>
        </w:rPr>
      </w:pPr>
      <w:r>
        <w:rPr>
          <w:rFonts w:hint="eastAsia" w:ascii="宋体" w:hAnsi="宋体" w:cs="宋体"/>
          <w:b/>
          <w:bCs/>
          <w:sz w:val="32"/>
          <w:szCs w:val="32"/>
          <w:lang w:val="zh-CN"/>
        </w:rPr>
        <w:t>采购编号：N</w:t>
      </w:r>
      <w:r>
        <w:rPr>
          <w:rFonts w:hint="eastAsia" w:ascii="宋体" w:hAnsi="宋体" w:cs="宋体"/>
          <w:b/>
          <w:bCs/>
          <w:sz w:val="32"/>
          <w:szCs w:val="32"/>
        </w:rPr>
        <w:t>BGJ</w:t>
      </w:r>
      <w:r>
        <w:rPr>
          <w:rFonts w:hint="eastAsia" w:ascii="宋体" w:hAnsi="宋体" w:cs="宋体"/>
          <w:b/>
          <w:bCs/>
          <w:sz w:val="32"/>
          <w:szCs w:val="32"/>
          <w:lang w:val="zh-CN"/>
        </w:rPr>
        <w:t>201</w:t>
      </w:r>
      <w:r>
        <w:rPr>
          <w:rFonts w:hint="eastAsia" w:ascii="宋体" w:hAnsi="宋体" w:cs="宋体"/>
          <w:b/>
          <w:bCs/>
          <w:sz w:val="32"/>
          <w:szCs w:val="32"/>
        </w:rPr>
        <w:t>9-CG00</w:t>
      </w:r>
      <w:r>
        <w:rPr>
          <w:rFonts w:hint="eastAsia" w:ascii="宋体" w:hAnsi="宋体" w:cs="宋体"/>
          <w:b/>
          <w:bCs/>
          <w:sz w:val="32"/>
          <w:szCs w:val="32"/>
          <w:lang w:val="en-US" w:eastAsia="zh-CN"/>
        </w:rPr>
        <w:t>64</w:t>
      </w:r>
      <w:r>
        <w:rPr>
          <w:rFonts w:hint="eastAsia" w:ascii="宋体" w:hAnsi="宋体" w:cs="宋体"/>
          <w:b/>
          <w:bCs/>
          <w:sz w:val="32"/>
          <w:szCs w:val="32"/>
        </w:rPr>
        <w:t>磋</w:t>
      </w:r>
    </w:p>
    <w:p>
      <w:pPr>
        <w:spacing w:line="480" w:lineRule="auto"/>
        <w:ind w:firstLine="964" w:firstLineChars="300"/>
        <w:rPr>
          <w:rFonts w:ascii="宋体" w:hAnsi="宋体" w:cs="宋体"/>
          <w:b/>
          <w:bCs/>
          <w:sz w:val="32"/>
          <w:szCs w:val="32"/>
        </w:rPr>
      </w:pPr>
      <w:r>
        <w:rPr>
          <w:rFonts w:hint="eastAsia" w:ascii="宋体" w:hAnsi="宋体" w:cs="宋体"/>
          <w:b/>
          <w:bCs/>
          <w:sz w:val="32"/>
          <w:szCs w:val="32"/>
          <w:lang w:val="zh-CN"/>
        </w:rPr>
        <w:t>项目名称：</w:t>
      </w:r>
      <w:r>
        <w:rPr>
          <w:rFonts w:hint="eastAsia" w:ascii="宋体" w:hAnsi="宋体"/>
          <w:b/>
          <w:color w:val="000000"/>
          <w:sz w:val="32"/>
          <w:szCs w:val="32"/>
          <w:lang w:eastAsia="zh-CN"/>
        </w:rPr>
        <w:t>白峤岭石料运输填方项目</w:t>
      </w:r>
    </w:p>
    <w:p>
      <w:pPr>
        <w:spacing w:line="480" w:lineRule="auto"/>
        <w:ind w:firstLine="964" w:firstLineChars="300"/>
        <w:rPr>
          <w:rFonts w:ascii="宋体" w:hAnsi="宋体" w:cs="宋体"/>
          <w:b/>
          <w:bCs/>
          <w:sz w:val="32"/>
          <w:szCs w:val="32"/>
        </w:rPr>
      </w:pPr>
      <w:r>
        <w:rPr>
          <w:rFonts w:hint="eastAsia" w:ascii="宋体" w:hAnsi="宋体" w:cs="宋体"/>
          <w:b/>
          <w:bCs/>
          <w:sz w:val="32"/>
          <w:szCs w:val="32"/>
          <w:lang w:val="zh-CN"/>
        </w:rPr>
        <w:t>采购单位：</w:t>
      </w:r>
      <w:r>
        <w:rPr>
          <w:rFonts w:hint="eastAsia" w:ascii="宋体" w:hAnsi="宋体"/>
          <w:b/>
          <w:color w:val="000000"/>
          <w:sz w:val="32"/>
          <w:szCs w:val="32"/>
          <w:lang w:val="en-US" w:eastAsia="zh-CN"/>
        </w:rPr>
        <w:t>宁海宁东新城矿产有限公司</w:t>
      </w:r>
    </w:p>
    <w:p>
      <w:pPr>
        <w:spacing w:line="480" w:lineRule="auto"/>
        <w:ind w:firstLine="964" w:firstLineChars="300"/>
        <w:rPr>
          <w:rFonts w:ascii="宋体" w:hAnsi="宋体" w:cs="宋体"/>
          <w:b/>
          <w:bCs/>
          <w:sz w:val="36"/>
          <w:szCs w:val="36"/>
          <w:lang w:val="zh-CN"/>
        </w:rPr>
      </w:pPr>
      <w:r>
        <w:rPr>
          <w:rFonts w:hint="eastAsia" w:ascii="宋体" w:hAnsi="宋体" w:cs="宋体"/>
          <w:b/>
          <w:bCs/>
          <w:sz w:val="32"/>
          <w:szCs w:val="32"/>
          <w:lang w:val="zh-CN"/>
        </w:rPr>
        <w:t>代理机构：宁波工建工程造价咨询有限公司</w:t>
      </w:r>
    </w:p>
    <w:p>
      <w:pPr>
        <w:rPr>
          <w:rFonts w:ascii="宋体" w:hAnsi="宋体" w:cs="宋体"/>
          <w:b/>
          <w:sz w:val="34"/>
        </w:rPr>
      </w:pPr>
    </w:p>
    <w:p>
      <w:pPr>
        <w:jc w:val="center"/>
        <w:rPr>
          <w:rFonts w:ascii="宋体" w:hAnsi="宋体" w:cs="宋体"/>
          <w:b/>
          <w:sz w:val="34"/>
        </w:rPr>
      </w:pPr>
    </w:p>
    <w:p>
      <w:pPr>
        <w:jc w:val="center"/>
        <w:rPr>
          <w:rFonts w:ascii="宋体" w:hAnsi="宋体" w:cs="宋体"/>
          <w:b/>
          <w:sz w:val="34"/>
        </w:rPr>
      </w:pPr>
      <w:r>
        <w:rPr>
          <w:rFonts w:hint="eastAsia" w:ascii="宋体" w:hAnsi="宋体" w:cs="宋体"/>
          <w:b/>
          <w:sz w:val="34"/>
        </w:rPr>
        <w:t>2019年0</w:t>
      </w:r>
      <w:r>
        <w:rPr>
          <w:rFonts w:hint="eastAsia" w:ascii="宋体" w:hAnsi="宋体" w:cs="宋体"/>
          <w:b/>
          <w:sz w:val="34"/>
          <w:lang w:val="en-US" w:eastAsia="zh-CN"/>
        </w:rPr>
        <w:t>9</w:t>
      </w:r>
      <w:r>
        <w:rPr>
          <w:rFonts w:hint="eastAsia" w:ascii="宋体" w:hAnsi="宋体" w:cs="宋体"/>
          <w:b/>
          <w:sz w:val="34"/>
        </w:rPr>
        <w:t>月</w:t>
      </w:r>
    </w:p>
    <w:p>
      <w:pPr>
        <w:pStyle w:val="12"/>
        <w:spacing w:beforeLines="0" w:after="120" w:line="360" w:lineRule="auto"/>
        <w:rPr>
          <w:rFonts w:hAnsi="宋体" w:cs="宋体"/>
        </w:rPr>
        <w:sectPr>
          <w:headerReference r:id="rId3" w:type="default"/>
          <w:footerReference r:id="rId5" w:type="default"/>
          <w:headerReference r:id="rId4" w:type="even"/>
          <w:footerReference r:id="rId6" w:type="even"/>
          <w:pgSz w:w="11906" w:h="16838"/>
          <w:pgMar w:top="1474" w:right="1134" w:bottom="1247" w:left="1134" w:header="851" w:footer="851" w:gutter="0"/>
          <w:cols w:space="720" w:num="1"/>
          <w:titlePg/>
          <w:docGrid w:linePitch="312" w:charSpace="0"/>
        </w:sectPr>
      </w:pPr>
    </w:p>
    <w:p>
      <w:pPr>
        <w:pStyle w:val="12"/>
        <w:spacing w:beforeLines="0" w:after="120" w:line="360" w:lineRule="auto"/>
        <w:jc w:val="center"/>
        <w:rPr>
          <w:rFonts w:hAnsi="宋体" w:cs="宋体"/>
        </w:rPr>
      </w:pPr>
    </w:p>
    <w:p>
      <w:pPr>
        <w:pStyle w:val="12"/>
        <w:spacing w:beforeLines="0" w:after="120" w:line="360" w:lineRule="auto"/>
        <w:jc w:val="center"/>
        <w:rPr>
          <w:rFonts w:hAnsi="宋体" w:cs="宋体"/>
          <w:b/>
          <w:bCs/>
          <w:sz w:val="52"/>
          <w:szCs w:val="52"/>
        </w:rPr>
      </w:pPr>
      <w:r>
        <w:rPr>
          <w:rFonts w:hint="eastAsia" w:hAnsi="宋体" w:cs="宋体"/>
          <w:b/>
          <w:bCs/>
          <w:sz w:val="52"/>
          <w:szCs w:val="52"/>
        </w:rPr>
        <w:t>目    录</w:t>
      </w:r>
    </w:p>
    <w:p>
      <w:pPr>
        <w:pStyle w:val="18"/>
        <w:tabs>
          <w:tab w:val="right" w:leader="dot" w:pos="8959"/>
        </w:tabs>
        <w:rPr>
          <w:rFonts w:ascii="宋体" w:hAnsi="宋体" w:cs="宋体"/>
          <w:b/>
          <w:bCs/>
          <w:sz w:val="32"/>
          <w:szCs w:val="32"/>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"1-3" \h \u </w:instrText>
      </w:r>
      <w:r>
        <w:rPr>
          <w:rFonts w:hint="eastAsia"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  竞争性磋商公告</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1</w:t>
      </w:r>
    </w:p>
    <w:p>
      <w:pPr>
        <w:pStyle w:val="21"/>
        <w:tabs>
          <w:tab w:val="right" w:leader="dot" w:pos="8959"/>
        </w:tabs>
        <w:ind w:left="0" w:leftChars="0"/>
        <w:rPr>
          <w:rFonts w:ascii="宋体" w:hAnsi="宋体" w:cs="宋体"/>
          <w:b/>
          <w:bCs/>
          <w:sz w:val="32"/>
          <w:szCs w:val="32"/>
        </w:rPr>
      </w:pPr>
    </w:p>
    <w:p>
      <w:pPr>
        <w:pStyle w:val="21"/>
        <w:tabs>
          <w:tab w:val="right" w:leader="dot" w:pos="8959"/>
        </w:tabs>
        <w:ind w:left="0" w:leftChars="0"/>
        <w:rPr>
          <w:rFonts w:hint="default" w:ascii="宋体" w:hAnsi="宋体" w:eastAsia="宋体" w:cs="宋体"/>
          <w:b/>
          <w:bCs/>
          <w:sz w:val="32"/>
          <w:szCs w:val="32"/>
          <w:lang w:val="en-US" w:eastAsia="zh-CN"/>
        </w:rPr>
      </w:pPr>
      <w:r>
        <w:fldChar w:fldCharType="begin"/>
      </w:r>
      <w:r>
        <w:instrText xml:space="preserve"> HYPERLINK \l "_Toc8089" </w:instrText>
      </w:r>
      <w:r>
        <w:fldChar w:fldCharType="separate"/>
      </w:r>
      <w:r>
        <w:rPr>
          <w:rFonts w:hint="eastAsia" w:ascii="宋体" w:hAnsi="宋体" w:cs="宋体"/>
          <w:b/>
          <w:bCs/>
          <w:sz w:val="32"/>
          <w:szCs w:val="32"/>
        </w:rPr>
        <w:t>第</w:t>
      </w:r>
      <w:r>
        <w:rPr>
          <w:rFonts w:hint="eastAsia" w:ascii="宋体" w:hAnsi="宋体" w:cs="宋体"/>
          <w:b/>
          <w:bCs/>
          <w:sz w:val="32"/>
          <w:szCs w:val="32"/>
          <w:lang w:eastAsia="zh-CN"/>
        </w:rPr>
        <w:t>二</w:t>
      </w:r>
      <w:r>
        <w:rPr>
          <w:rFonts w:hint="eastAsia" w:ascii="宋体" w:hAnsi="宋体" w:cs="宋体"/>
          <w:b/>
          <w:bCs/>
          <w:sz w:val="32"/>
          <w:szCs w:val="32"/>
        </w:rPr>
        <w:t>章  投标人须知</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3</w:t>
      </w:r>
    </w:p>
    <w:p>
      <w:pPr>
        <w:pStyle w:val="21"/>
        <w:tabs>
          <w:tab w:val="right" w:leader="dot" w:pos="8959"/>
        </w:tabs>
        <w:ind w:left="0" w:leftChars="0"/>
        <w:rPr>
          <w:rFonts w:ascii="宋体" w:hAnsi="宋体" w:cs="宋体"/>
          <w:b/>
          <w:bCs/>
          <w:sz w:val="32"/>
          <w:szCs w:val="32"/>
        </w:rPr>
      </w:pPr>
    </w:p>
    <w:p>
      <w:pPr>
        <w:pStyle w:val="21"/>
        <w:tabs>
          <w:tab w:val="right" w:leader="dot" w:pos="8959"/>
        </w:tabs>
        <w:ind w:left="0" w:leftChars="0"/>
        <w:rPr>
          <w:rFonts w:hint="default" w:ascii="宋体" w:hAnsi="宋体" w:eastAsia="宋体" w:cs="宋体"/>
          <w:b/>
          <w:bCs/>
          <w:sz w:val="32"/>
          <w:szCs w:val="32"/>
          <w:lang w:val="en-US" w:eastAsia="zh-CN"/>
        </w:rPr>
      </w:pPr>
      <w:r>
        <w:fldChar w:fldCharType="begin"/>
      </w:r>
      <w:r>
        <w:instrText xml:space="preserve"> HYPERLINK \l "_Toc11628" </w:instrText>
      </w:r>
      <w:r>
        <w:fldChar w:fldCharType="separate"/>
      </w:r>
      <w:r>
        <w:rPr>
          <w:rFonts w:hint="eastAsia" w:ascii="宋体" w:hAnsi="宋体" w:cs="宋体"/>
          <w:b/>
          <w:bCs/>
          <w:sz w:val="32"/>
          <w:szCs w:val="32"/>
        </w:rPr>
        <w:t>第</w:t>
      </w:r>
      <w:r>
        <w:rPr>
          <w:rFonts w:hint="eastAsia" w:ascii="宋体" w:hAnsi="宋体" w:cs="宋体"/>
          <w:b/>
          <w:bCs/>
          <w:sz w:val="32"/>
          <w:szCs w:val="32"/>
          <w:lang w:eastAsia="zh-CN"/>
        </w:rPr>
        <w:t>三</w:t>
      </w:r>
      <w:r>
        <w:rPr>
          <w:rFonts w:hint="eastAsia" w:ascii="宋体" w:hAnsi="宋体" w:cs="宋体"/>
          <w:b/>
          <w:bCs/>
          <w:sz w:val="32"/>
          <w:szCs w:val="32"/>
        </w:rPr>
        <w:t>章  评标办法及评分标准</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18</w:t>
      </w:r>
    </w:p>
    <w:p>
      <w:pPr>
        <w:pStyle w:val="21"/>
        <w:tabs>
          <w:tab w:val="right" w:leader="dot" w:pos="8959"/>
        </w:tabs>
        <w:ind w:left="0" w:leftChars="0"/>
        <w:rPr>
          <w:rFonts w:ascii="宋体" w:hAnsi="宋体" w:cs="宋体"/>
          <w:b/>
          <w:bCs/>
          <w:sz w:val="32"/>
          <w:szCs w:val="32"/>
        </w:rPr>
      </w:pPr>
    </w:p>
    <w:p>
      <w:pPr>
        <w:pStyle w:val="21"/>
        <w:tabs>
          <w:tab w:val="right" w:leader="dot" w:pos="8959"/>
        </w:tabs>
        <w:ind w:left="0" w:leftChars="0"/>
        <w:rPr>
          <w:rFonts w:hint="eastAsia" w:ascii="宋体" w:hAnsi="宋体" w:eastAsia="宋体" w:cs="宋体"/>
          <w:b/>
          <w:bCs/>
          <w:sz w:val="32"/>
          <w:szCs w:val="32"/>
          <w:lang w:eastAsia="zh-CN"/>
        </w:rPr>
      </w:pPr>
      <w:r>
        <w:fldChar w:fldCharType="begin"/>
      </w:r>
      <w:r>
        <w:instrText xml:space="preserve"> HYPERLINK \l "_Toc13620" </w:instrText>
      </w:r>
      <w:r>
        <w:fldChar w:fldCharType="separate"/>
      </w:r>
      <w:r>
        <w:rPr>
          <w:rFonts w:hint="eastAsia" w:ascii="宋体" w:hAnsi="宋体" w:cs="宋体"/>
          <w:b/>
          <w:bCs/>
          <w:sz w:val="32"/>
          <w:szCs w:val="32"/>
        </w:rPr>
        <w:t>第</w:t>
      </w:r>
      <w:r>
        <w:rPr>
          <w:rFonts w:hint="eastAsia" w:ascii="宋体" w:hAnsi="宋体" w:cs="宋体"/>
          <w:b/>
          <w:bCs/>
          <w:sz w:val="32"/>
          <w:szCs w:val="32"/>
          <w:lang w:eastAsia="zh-CN"/>
        </w:rPr>
        <w:t>四</w:t>
      </w:r>
      <w:r>
        <w:rPr>
          <w:rFonts w:hint="eastAsia" w:ascii="宋体" w:hAnsi="宋体" w:cs="宋体"/>
          <w:b/>
          <w:bCs/>
          <w:sz w:val="32"/>
          <w:szCs w:val="32"/>
        </w:rPr>
        <w:t>章  投标文件格式</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2</w:t>
      </w:r>
      <w:r>
        <w:rPr>
          <w:rFonts w:hint="eastAsia" w:ascii="宋体" w:hAnsi="宋体" w:cs="宋体"/>
          <w:b/>
          <w:bCs/>
          <w:sz w:val="32"/>
          <w:szCs w:val="32"/>
          <w:lang w:val="en-US" w:eastAsia="zh-CN"/>
        </w:rPr>
        <w:t>1</w:t>
      </w:r>
    </w:p>
    <w:p>
      <w:pPr>
        <w:pStyle w:val="21"/>
        <w:tabs>
          <w:tab w:val="right" w:leader="dot" w:pos="8959"/>
        </w:tabs>
        <w:ind w:left="0" w:leftChars="0"/>
        <w:rPr>
          <w:rFonts w:ascii="宋体" w:hAnsi="宋体" w:cs="宋体"/>
          <w:b/>
          <w:bCs/>
          <w:sz w:val="32"/>
          <w:szCs w:val="32"/>
        </w:rPr>
      </w:pPr>
    </w:p>
    <w:p>
      <w:pPr>
        <w:pStyle w:val="21"/>
        <w:tabs>
          <w:tab w:val="right" w:leader="dot" w:pos="8959"/>
        </w:tabs>
        <w:ind w:left="0" w:leftChars="0"/>
        <w:rPr>
          <w:rFonts w:hint="default" w:ascii="宋体" w:hAns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w:t>
      </w:r>
      <w:r>
        <w:rPr>
          <w:rFonts w:hint="eastAsia" w:ascii="宋体" w:hAnsi="宋体" w:cs="宋体"/>
          <w:b/>
          <w:bCs/>
          <w:sz w:val="32"/>
          <w:szCs w:val="32"/>
          <w:lang w:eastAsia="zh-CN"/>
        </w:rPr>
        <w:t>五</w:t>
      </w:r>
      <w:r>
        <w:rPr>
          <w:rFonts w:hint="eastAsia" w:ascii="宋体" w:hAnsi="宋体" w:cs="宋体"/>
          <w:b/>
          <w:bCs/>
          <w:sz w:val="32"/>
          <w:szCs w:val="32"/>
        </w:rPr>
        <w:t>章  合同样本</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30</w:t>
      </w:r>
    </w:p>
    <w:p>
      <w:pPr>
        <w:pStyle w:val="21"/>
        <w:tabs>
          <w:tab w:val="right" w:leader="dot" w:pos="8959"/>
        </w:tabs>
        <w:ind w:left="0" w:leftChars="0"/>
        <w:rPr>
          <w:rFonts w:ascii="宋体" w:hAnsi="宋体" w:cs="宋体"/>
          <w:b/>
          <w:bCs/>
          <w:sz w:val="32"/>
          <w:szCs w:val="32"/>
        </w:rPr>
      </w:pPr>
    </w:p>
    <w:p>
      <w:pPr>
        <w:pStyle w:val="21"/>
        <w:tabs>
          <w:tab w:val="right" w:leader="dot" w:pos="8959"/>
        </w:tabs>
        <w:ind w:left="0" w:leftChars="0"/>
        <w:rPr>
          <w:rFonts w:ascii="宋体" w:hAnsi="宋体" w:cs="宋体"/>
          <w:b/>
          <w:bCs/>
          <w:sz w:val="32"/>
          <w:szCs w:val="32"/>
        </w:rPr>
      </w:pPr>
    </w:p>
    <w:p>
      <w:pPr>
        <w:pStyle w:val="18"/>
        <w:tabs>
          <w:tab w:val="right" w:leader="dot" w:pos="8959"/>
        </w:tabs>
        <w:rPr>
          <w:rFonts w:ascii="宋体" w:hAnsi="宋体" w:cs="宋体"/>
          <w:sz w:val="44"/>
          <w:szCs w:val="44"/>
        </w:rPr>
      </w:pPr>
      <w:r>
        <w:rPr>
          <w:rFonts w:hint="eastAsia" w:ascii="宋体" w:hAnsi="宋体" w:cs="宋体"/>
          <w:b/>
          <w:bCs/>
          <w:sz w:val="32"/>
          <w:szCs w:val="32"/>
        </w:rPr>
        <w:fldChar w:fldCharType="end"/>
      </w:r>
    </w:p>
    <w:p>
      <w:pPr>
        <w:pStyle w:val="12"/>
        <w:tabs>
          <w:tab w:val="left" w:pos="795"/>
          <w:tab w:val="center" w:pos="4539"/>
        </w:tabs>
        <w:snapToGrid w:val="0"/>
        <w:spacing w:beforeLines="0" w:after="120"/>
        <w:jc w:val="left"/>
        <w:outlineLvl w:val="0"/>
        <w:rPr>
          <w:rFonts w:hAnsi="宋体" w:cs="宋体"/>
        </w:rPr>
      </w:pPr>
      <w:bookmarkStart w:id="0" w:name="_Toc9329"/>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pPr>
    </w:p>
    <w:p>
      <w:pPr>
        <w:pStyle w:val="12"/>
        <w:tabs>
          <w:tab w:val="left" w:pos="795"/>
          <w:tab w:val="center" w:pos="4539"/>
        </w:tabs>
        <w:snapToGrid w:val="0"/>
        <w:spacing w:beforeLines="0" w:after="120"/>
        <w:jc w:val="left"/>
        <w:outlineLvl w:val="0"/>
        <w:rPr>
          <w:rFonts w:hAnsi="宋体" w:cs="宋体"/>
        </w:rPr>
        <w:sectPr>
          <w:footerReference r:id="rId8" w:type="first"/>
          <w:footerReference r:id="rId7" w:type="default"/>
          <w:pgSz w:w="11907" w:h="16840"/>
          <w:pgMar w:top="1701" w:right="1474" w:bottom="1701" w:left="1474" w:header="851" w:footer="992" w:gutter="0"/>
          <w:cols w:space="720" w:num="1"/>
          <w:titlePg/>
          <w:docGrid w:linePitch="312" w:charSpace="0"/>
        </w:sectPr>
      </w:pPr>
    </w:p>
    <w:p>
      <w:pPr>
        <w:pStyle w:val="12"/>
        <w:snapToGrid w:val="0"/>
        <w:spacing w:beforeLines="0" w:after="156"/>
        <w:jc w:val="center"/>
        <w:outlineLvl w:val="0"/>
        <w:rPr>
          <w:rFonts w:hAnsi="宋体" w:cs="宋体"/>
          <w:b/>
          <w:sz w:val="30"/>
          <w:szCs w:val="30"/>
        </w:rPr>
      </w:pPr>
      <w:r>
        <w:rPr>
          <w:rFonts w:hint="eastAsia" w:hAnsi="宋体" w:cs="宋体"/>
          <w:b/>
          <w:sz w:val="30"/>
          <w:szCs w:val="30"/>
        </w:rPr>
        <w:t>第一章  竞争性磋商公告</w:t>
      </w:r>
      <w:bookmarkEnd w:id="0"/>
    </w:p>
    <w:p>
      <w:pPr>
        <w:pStyle w:val="32"/>
        <w:widowControl w:val="0"/>
        <w:spacing w:after="156" w:line="440" w:lineRule="exact"/>
        <w:ind w:firstLine="420"/>
        <w:rPr>
          <w:rFonts w:ascii="宋体" w:hAnsi="宋体" w:cs="宋体"/>
          <w:kern w:val="2"/>
          <w:sz w:val="21"/>
          <w:szCs w:val="21"/>
        </w:rPr>
      </w:pPr>
      <w:r>
        <w:rPr>
          <w:rFonts w:hint="eastAsia" w:ascii="宋体" w:hAnsi="宋体" w:cs="宋体"/>
          <w:kern w:val="2"/>
          <w:sz w:val="21"/>
          <w:szCs w:val="21"/>
        </w:rPr>
        <w:t>根据《中华人民共和国招投标法》等有关规定，本公司对</w:t>
      </w:r>
      <w:r>
        <w:rPr>
          <w:rFonts w:hint="eastAsia" w:ascii="宋体" w:hAnsi="宋体" w:cs="宋体"/>
          <w:b/>
          <w:bCs/>
          <w:kern w:val="2"/>
          <w:sz w:val="21"/>
          <w:szCs w:val="21"/>
          <w:u w:val="single"/>
          <w:lang w:eastAsia="zh-CN"/>
        </w:rPr>
        <w:t>白峤岭石料运输填方项目</w:t>
      </w:r>
      <w:r>
        <w:rPr>
          <w:rFonts w:hint="eastAsia" w:ascii="宋体" w:hAnsi="宋体" w:cs="宋体"/>
          <w:kern w:val="2"/>
          <w:sz w:val="21"/>
          <w:szCs w:val="21"/>
        </w:rPr>
        <w:t>进行竞争性磋商采购，欢迎合格的投标人参加投标。</w:t>
      </w:r>
    </w:p>
    <w:p>
      <w:pPr>
        <w:tabs>
          <w:tab w:val="left" w:pos="363"/>
        </w:tabs>
        <w:adjustRightInd w:val="0"/>
        <w:snapToGrid w:val="0"/>
        <w:spacing w:line="360" w:lineRule="auto"/>
        <w:ind w:left="3" w:firstLine="421"/>
        <w:rPr>
          <w:rFonts w:ascii="宋体" w:hAnsi="宋体" w:cs="宋体"/>
          <w:szCs w:val="21"/>
        </w:rPr>
      </w:pPr>
      <w:r>
        <w:rPr>
          <w:rFonts w:hint="eastAsia" w:ascii="宋体" w:hAnsi="宋体" w:cs="宋体"/>
          <w:b/>
          <w:szCs w:val="21"/>
        </w:rPr>
        <w:t>一、项目编号</w:t>
      </w:r>
      <w:r>
        <w:rPr>
          <w:rFonts w:hint="eastAsia" w:ascii="宋体" w:hAnsi="宋体" w:cs="宋体"/>
          <w:szCs w:val="21"/>
        </w:rPr>
        <w:t>：NBGJ2019-CG00</w:t>
      </w:r>
      <w:r>
        <w:rPr>
          <w:rFonts w:hint="eastAsia" w:ascii="宋体" w:hAnsi="宋体" w:cs="宋体"/>
          <w:szCs w:val="21"/>
          <w:lang w:val="en-US" w:eastAsia="zh-CN"/>
        </w:rPr>
        <w:t>64</w:t>
      </w:r>
      <w:r>
        <w:rPr>
          <w:rFonts w:hint="eastAsia" w:ascii="宋体" w:hAnsi="宋体" w:cs="宋体"/>
          <w:szCs w:val="21"/>
        </w:rPr>
        <w:t>磋</w:t>
      </w:r>
    </w:p>
    <w:p>
      <w:pPr>
        <w:tabs>
          <w:tab w:val="left" w:pos="363"/>
        </w:tabs>
        <w:adjustRightInd w:val="0"/>
        <w:snapToGrid w:val="0"/>
        <w:spacing w:line="360" w:lineRule="auto"/>
        <w:ind w:left="3" w:firstLine="421"/>
        <w:rPr>
          <w:rFonts w:ascii="宋体" w:hAnsi="宋体" w:cs="宋体"/>
          <w:szCs w:val="21"/>
        </w:rPr>
      </w:pPr>
      <w:r>
        <w:rPr>
          <w:rFonts w:hint="eastAsia" w:ascii="宋体" w:hAnsi="宋体" w:cs="宋体"/>
          <w:b/>
          <w:szCs w:val="21"/>
        </w:rPr>
        <w:t>二、采购组织类型</w:t>
      </w:r>
      <w:r>
        <w:rPr>
          <w:rFonts w:hint="eastAsia" w:ascii="宋体" w:hAnsi="宋体" w:cs="宋体"/>
          <w:szCs w:val="21"/>
        </w:rPr>
        <w:t>：</w:t>
      </w:r>
      <w:r>
        <w:rPr>
          <w:rFonts w:hint="eastAsia" w:ascii="宋体" w:hAnsi="宋体" w:cs="宋体"/>
          <w:bCs/>
          <w:kern w:val="0"/>
          <w:szCs w:val="21"/>
        </w:rPr>
        <w:t>分散采购</w:t>
      </w:r>
    </w:p>
    <w:p>
      <w:pPr>
        <w:snapToGrid w:val="0"/>
        <w:spacing w:line="360" w:lineRule="auto"/>
        <w:rPr>
          <w:rFonts w:ascii="宋体" w:hAnsi="宋体" w:cs="宋体"/>
          <w:szCs w:val="21"/>
        </w:rPr>
      </w:pPr>
      <w:r>
        <w:rPr>
          <w:rFonts w:hint="eastAsia" w:ascii="宋体" w:hAnsi="宋体" w:cs="宋体"/>
          <w:b/>
          <w:szCs w:val="21"/>
        </w:rPr>
        <w:t xml:space="preserve">    三、采购方式</w:t>
      </w:r>
      <w:r>
        <w:rPr>
          <w:rFonts w:hint="eastAsia" w:ascii="宋体" w:hAnsi="宋体" w:cs="宋体"/>
          <w:szCs w:val="21"/>
        </w:rPr>
        <w:t>：竞争性磋商</w:t>
      </w:r>
    </w:p>
    <w:p>
      <w:pPr>
        <w:snapToGrid w:val="0"/>
        <w:spacing w:line="360" w:lineRule="auto"/>
        <w:ind w:firstLine="422" w:firstLineChars="200"/>
        <w:rPr>
          <w:rFonts w:ascii="宋体" w:hAnsi="宋体" w:cs="宋体"/>
          <w:bCs/>
          <w:szCs w:val="21"/>
        </w:rPr>
      </w:pPr>
      <w:r>
        <w:rPr>
          <w:rFonts w:hint="eastAsia" w:ascii="宋体" w:hAnsi="宋体" w:cs="宋体"/>
          <w:b/>
          <w:szCs w:val="21"/>
        </w:rPr>
        <w:t>四、采购内容</w:t>
      </w:r>
      <w:r>
        <w:rPr>
          <w:rFonts w:hint="eastAsia" w:ascii="宋体" w:hAnsi="宋体" w:cs="宋体"/>
          <w:bCs/>
          <w:szCs w:val="21"/>
        </w:rPr>
        <w:t>：详见招标文件</w:t>
      </w:r>
    </w:p>
    <w:p>
      <w:pPr>
        <w:tabs>
          <w:tab w:val="left" w:pos="363"/>
        </w:tabs>
        <w:adjustRightInd w:val="0"/>
        <w:snapToGrid w:val="0"/>
        <w:spacing w:line="360" w:lineRule="auto"/>
        <w:rPr>
          <w:rFonts w:ascii="宋体" w:hAnsi="宋体" w:cs="宋体"/>
          <w:b/>
          <w:bCs/>
          <w:szCs w:val="21"/>
          <w:highlight w:val="yellow"/>
        </w:rPr>
      </w:pPr>
      <w:r>
        <w:rPr>
          <w:rFonts w:hint="eastAsia" w:ascii="宋体" w:hAnsi="宋体" w:cs="宋体"/>
          <w:b/>
          <w:szCs w:val="21"/>
        </w:rPr>
        <w:t xml:space="preserve">    五、</w:t>
      </w:r>
      <w:r>
        <w:rPr>
          <w:rFonts w:hint="eastAsia" w:ascii="宋体" w:hAnsi="宋体" w:cs="宋体"/>
          <w:b/>
          <w:szCs w:val="21"/>
          <w:lang w:eastAsia="zh-CN"/>
        </w:rPr>
        <w:t>最高限</w:t>
      </w:r>
      <w:r>
        <w:rPr>
          <w:rFonts w:hint="eastAsia" w:ascii="宋体" w:hAnsi="宋体" w:cs="宋体"/>
          <w:b/>
          <w:color w:val="000000" w:themeColor="text1"/>
          <w:szCs w:val="21"/>
        </w:rPr>
        <w:t>价：</w:t>
      </w:r>
      <w:r>
        <w:rPr>
          <w:rFonts w:hint="eastAsia" w:ascii="宋体" w:hAnsi="宋体" w:cs="宋体"/>
          <w:bCs/>
          <w:szCs w:val="21"/>
          <w:lang w:val="en-US" w:eastAsia="zh-CN"/>
        </w:rPr>
        <w:t>488138</w:t>
      </w:r>
      <w:r>
        <w:rPr>
          <w:rFonts w:hint="eastAsia" w:ascii="宋体" w:hAnsi="宋体" w:cs="宋体"/>
          <w:bCs/>
          <w:szCs w:val="21"/>
        </w:rPr>
        <w:t>元</w:t>
      </w:r>
    </w:p>
    <w:p>
      <w:pPr>
        <w:snapToGrid w:val="0"/>
        <w:spacing w:line="360" w:lineRule="auto"/>
        <w:rPr>
          <w:rFonts w:ascii="宋体" w:hAnsi="宋体" w:cs="宋体"/>
          <w:b/>
          <w:bCs/>
          <w:kern w:val="0"/>
          <w:szCs w:val="21"/>
        </w:rPr>
      </w:pPr>
      <w:r>
        <w:rPr>
          <w:rFonts w:hint="eastAsia" w:ascii="宋体" w:hAnsi="宋体" w:cs="宋体"/>
          <w:b/>
          <w:szCs w:val="21"/>
        </w:rPr>
        <w:t xml:space="preserve">    六</w:t>
      </w:r>
      <w:r>
        <w:rPr>
          <w:rFonts w:hint="eastAsia" w:ascii="宋体" w:hAnsi="宋体" w:cs="宋体"/>
          <w:b/>
          <w:bCs/>
          <w:kern w:val="0"/>
          <w:szCs w:val="21"/>
        </w:rPr>
        <w:t>、合格投标人的资格要求</w:t>
      </w:r>
    </w:p>
    <w:p>
      <w:pPr>
        <w:snapToGrid w:val="0"/>
        <w:spacing w:line="360" w:lineRule="auto"/>
        <w:ind w:firstLine="420" w:firstLineChars="200"/>
        <w:rPr>
          <w:rFonts w:ascii="宋体" w:hAnsi="宋体" w:cs="宋体"/>
          <w:szCs w:val="21"/>
        </w:rPr>
      </w:pPr>
      <w:r>
        <w:rPr>
          <w:rFonts w:hint="eastAsia" w:ascii="宋体" w:hAnsi="宋体" w:cs="宋体"/>
          <w:szCs w:val="21"/>
        </w:rPr>
        <w:t>（一）符合《中华人民共和国政府采购法》第二十二条规定的供应商资格条件：</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1、具有独立承担民事责任的能力；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2、具有良好的商业信誉和健全的财务会计制度；</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3、具有履行合同所必需的设备和专业技术能力；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4、有依法缴纳税收和社会保障资金的良好记录；</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5、参加政府采购活动前三年内，在经营活动中没有重大违法记录。</w:t>
      </w:r>
    </w:p>
    <w:p>
      <w:pPr>
        <w:snapToGrid w:val="0"/>
        <w:spacing w:line="360" w:lineRule="auto"/>
        <w:ind w:firstLine="420" w:firstLineChars="200"/>
        <w:rPr>
          <w:rFonts w:ascii="宋体" w:hAnsi="宋体" w:cs="宋体"/>
          <w:szCs w:val="21"/>
        </w:rPr>
      </w:pPr>
      <w:r>
        <w:rPr>
          <w:rFonts w:hint="eastAsia" w:ascii="宋体" w:hAnsi="宋体" w:cs="宋体"/>
          <w:szCs w:val="21"/>
        </w:rPr>
        <w:t>（二）特定条件</w:t>
      </w:r>
    </w:p>
    <w:p>
      <w:pPr>
        <w:snapToGrid w:val="0"/>
        <w:spacing w:line="360" w:lineRule="auto"/>
        <w:ind w:firstLine="420" w:firstLineChars="200"/>
        <w:rPr>
          <w:rFonts w:ascii="宋体" w:hAnsi="宋体" w:cs="宋体"/>
          <w:szCs w:val="21"/>
        </w:rPr>
      </w:pPr>
      <w:r>
        <w:rPr>
          <w:rFonts w:hint="eastAsia" w:ascii="宋体" w:hAnsi="宋体" w:cs="宋体"/>
          <w:szCs w:val="21"/>
        </w:rPr>
        <w:t>1、</w:t>
      </w:r>
      <w:r>
        <w:rPr>
          <w:rFonts w:hint="eastAsia"/>
          <w:szCs w:val="24"/>
        </w:rPr>
        <w:t>取得《城市建筑垃圾经营服务企业资格许可证》；</w:t>
      </w:r>
    </w:p>
    <w:p>
      <w:pPr>
        <w:snapToGrid w:val="0"/>
        <w:spacing w:line="360" w:lineRule="auto"/>
        <w:ind w:firstLine="420" w:firstLineChars="200"/>
        <w:rPr>
          <w:rFonts w:ascii="宋体" w:hAnsi="宋体" w:cs="宋体"/>
          <w:szCs w:val="21"/>
        </w:rPr>
      </w:pPr>
      <w:r>
        <w:rPr>
          <w:rFonts w:hint="eastAsia" w:ascii="宋体" w:hAnsi="宋体" w:cs="宋体"/>
          <w:szCs w:val="21"/>
        </w:rPr>
        <w:t>2、本项目不接受联合体投标。</w:t>
      </w:r>
    </w:p>
    <w:p>
      <w:pPr>
        <w:widowControl/>
        <w:spacing w:line="440" w:lineRule="exact"/>
        <w:jc w:val="left"/>
        <w:rPr>
          <w:rFonts w:ascii="宋体" w:hAnsi="宋体" w:cs="宋体"/>
          <w:b/>
          <w:bCs/>
          <w:kern w:val="0"/>
          <w:szCs w:val="21"/>
        </w:rPr>
      </w:pPr>
      <w:r>
        <w:rPr>
          <w:rFonts w:hint="eastAsia" w:ascii="宋体" w:hAnsi="宋体" w:cs="宋体"/>
          <w:b/>
          <w:bCs/>
          <w:kern w:val="0"/>
          <w:szCs w:val="21"/>
        </w:rPr>
        <w:t xml:space="preserve">    七、招标文件的发售：</w:t>
      </w:r>
    </w:p>
    <w:p>
      <w:pPr>
        <w:snapToGrid w:val="0"/>
        <w:spacing w:line="360" w:lineRule="auto"/>
        <w:ind w:firstLine="420" w:firstLineChars="200"/>
        <w:jc w:val="left"/>
        <w:rPr>
          <w:rFonts w:ascii="宋体" w:hAnsi="宋体" w:cs="宋体"/>
        </w:rPr>
      </w:pPr>
      <w:r>
        <w:rPr>
          <w:rFonts w:hint="eastAsia" w:ascii="宋体" w:hAnsi="宋体" w:cs="宋体"/>
        </w:rPr>
        <w:t>1、发售时间：公告发布日起至 2019年</w:t>
      </w:r>
      <w:r>
        <w:rPr>
          <w:rFonts w:hint="eastAsia" w:ascii="宋体" w:hAnsi="宋体" w:cs="宋体"/>
          <w:lang w:val="en-US" w:eastAsia="zh-CN"/>
        </w:rPr>
        <w:t>09</w:t>
      </w:r>
      <w:r>
        <w:rPr>
          <w:rFonts w:hint="eastAsia" w:ascii="宋体" w:hAnsi="宋体" w:cs="宋体"/>
        </w:rPr>
        <w:t>月</w:t>
      </w:r>
      <w:r>
        <w:rPr>
          <w:rFonts w:hint="eastAsia" w:ascii="宋体" w:hAnsi="宋体" w:cs="宋体"/>
          <w:lang w:val="en-US" w:eastAsia="zh-CN"/>
        </w:rPr>
        <w:t>16</w:t>
      </w:r>
      <w:r>
        <w:rPr>
          <w:rFonts w:hint="eastAsia" w:ascii="宋体" w:hAnsi="宋体" w:cs="宋体"/>
        </w:rPr>
        <w:t>日（节假日除外），上午：9:00时-11:00时 ；下午14:00时-16:00时 。</w:t>
      </w:r>
    </w:p>
    <w:p>
      <w:pPr>
        <w:snapToGrid w:val="0"/>
        <w:spacing w:line="360" w:lineRule="auto"/>
        <w:ind w:firstLine="420" w:firstLineChars="200"/>
        <w:jc w:val="left"/>
        <w:rPr>
          <w:rFonts w:ascii="宋体" w:hAnsi="宋体" w:cs="宋体"/>
        </w:rPr>
      </w:pPr>
      <w:r>
        <w:rPr>
          <w:rFonts w:hint="eastAsia" w:ascii="宋体" w:hAnsi="宋体" w:cs="宋体"/>
        </w:rPr>
        <w:t>2、发售地点：宁波工建工程造价咨询有限公司（宁海县兴工三路69号二楼）</w:t>
      </w:r>
    </w:p>
    <w:p>
      <w:pPr>
        <w:snapToGrid w:val="0"/>
        <w:spacing w:line="360" w:lineRule="auto"/>
        <w:ind w:firstLine="420" w:firstLineChars="200"/>
        <w:jc w:val="left"/>
        <w:rPr>
          <w:rFonts w:ascii="宋体" w:hAnsi="宋体" w:cs="宋体"/>
        </w:rPr>
      </w:pPr>
      <w:r>
        <w:rPr>
          <w:rFonts w:hint="eastAsia" w:ascii="宋体" w:hAnsi="宋体" w:cs="宋体"/>
        </w:rPr>
        <w:t>售价：招标文件每套500元人民币，售后不退。如需邮购，请与宁波工建工程造价咨询有限公司联系。联系人：王洋  联系电话（传真）：0574-65250961</w:t>
      </w:r>
    </w:p>
    <w:p>
      <w:pPr>
        <w:snapToGrid w:val="0"/>
        <w:spacing w:line="360" w:lineRule="auto"/>
        <w:ind w:firstLine="420" w:firstLineChars="200"/>
        <w:jc w:val="left"/>
        <w:rPr>
          <w:rFonts w:ascii="宋体" w:hAnsi="宋体" w:cs="宋体"/>
        </w:rPr>
      </w:pPr>
      <w:r>
        <w:rPr>
          <w:rFonts w:hint="eastAsia" w:ascii="宋体" w:hAnsi="宋体" w:cs="宋体"/>
        </w:rPr>
        <w:t>本公司不对邮寄过程中的遗失负责。</w:t>
      </w:r>
    </w:p>
    <w:p>
      <w:pPr>
        <w:widowControl/>
        <w:spacing w:line="360" w:lineRule="auto"/>
        <w:ind w:firstLine="310" w:firstLineChars="147"/>
        <w:jc w:val="left"/>
        <w:rPr>
          <w:rFonts w:ascii="宋体" w:hAnsi="宋体" w:cs="宋体"/>
          <w:kern w:val="0"/>
          <w:szCs w:val="21"/>
        </w:rPr>
      </w:pPr>
      <w:r>
        <w:rPr>
          <w:rFonts w:hint="eastAsia" w:ascii="宋体" w:hAnsi="宋体" w:cs="宋体"/>
          <w:b/>
          <w:bCs/>
          <w:kern w:val="0"/>
          <w:szCs w:val="21"/>
        </w:rPr>
        <w:t>购买招标文件时必须提供的资料：</w:t>
      </w:r>
    </w:p>
    <w:p>
      <w:pPr>
        <w:snapToGrid w:val="0"/>
        <w:spacing w:line="360" w:lineRule="auto"/>
        <w:ind w:firstLine="420" w:firstLineChars="200"/>
        <w:jc w:val="left"/>
        <w:rPr>
          <w:rFonts w:ascii="宋体" w:hAnsi="宋体" w:cs="宋体"/>
        </w:rPr>
      </w:pPr>
      <w:r>
        <w:rPr>
          <w:rFonts w:hint="eastAsia" w:ascii="宋体" w:hAnsi="宋体" w:cs="宋体"/>
        </w:rPr>
        <w:t xml:space="preserve">1、法定代表人授权书，授权委托代表人身份证； </w:t>
      </w:r>
    </w:p>
    <w:p>
      <w:pPr>
        <w:snapToGrid w:val="0"/>
        <w:spacing w:line="360" w:lineRule="auto"/>
        <w:ind w:firstLine="420" w:firstLineChars="200"/>
        <w:jc w:val="left"/>
        <w:rPr>
          <w:rFonts w:ascii="宋体" w:hAnsi="宋体" w:cs="宋体"/>
        </w:rPr>
      </w:pPr>
      <w:r>
        <w:rPr>
          <w:rFonts w:hint="eastAsia" w:ascii="宋体" w:hAnsi="宋体" w:cs="宋体"/>
        </w:rPr>
        <w:t>2、企业营业执照副本、组织机构代码证</w:t>
      </w:r>
      <w:r>
        <w:rPr>
          <w:rFonts w:hint="eastAsia" w:hAnsi="宋体" w:cs="宋体"/>
          <w:color w:val="000000"/>
        </w:rPr>
        <w:t>（若五证合一的仅需提供营业执照）</w:t>
      </w:r>
      <w:r>
        <w:rPr>
          <w:rFonts w:hint="eastAsia" w:ascii="宋体" w:hAnsi="宋体" w:cs="宋体"/>
        </w:rPr>
        <w:t>；</w:t>
      </w:r>
    </w:p>
    <w:p>
      <w:pPr>
        <w:snapToGrid w:val="0"/>
        <w:spacing w:line="360" w:lineRule="auto"/>
        <w:ind w:firstLine="420" w:firstLineChars="200"/>
        <w:jc w:val="left"/>
        <w:rPr>
          <w:rFonts w:ascii="宋体" w:hAnsi="宋体" w:cs="宋体"/>
        </w:rPr>
      </w:pPr>
      <w:r>
        <w:rPr>
          <w:rFonts w:hint="eastAsia" w:ascii="宋体" w:hAnsi="宋体" w:cs="宋体"/>
        </w:rPr>
        <w:t>3、资质证书；</w:t>
      </w:r>
    </w:p>
    <w:p>
      <w:pPr>
        <w:snapToGrid w:val="0"/>
        <w:spacing w:line="360" w:lineRule="auto"/>
        <w:ind w:firstLine="420" w:firstLineChars="200"/>
        <w:jc w:val="left"/>
        <w:rPr>
          <w:rFonts w:ascii="宋体" w:hAnsi="宋体" w:cs="宋体"/>
        </w:rPr>
      </w:pPr>
      <w:r>
        <w:rPr>
          <w:rFonts w:hint="eastAsia" w:ascii="宋体" w:hAnsi="宋体" w:cs="宋体"/>
        </w:rPr>
        <w:t>4、联系人及联系方式。</w:t>
      </w:r>
    </w:p>
    <w:p>
      <w:pPr>
        <w:widowControl/>
        <w:spacing w:line="360" w:lineRule="auto"/>
        <w:ind w:firstLine="420"/>
        <w:jc w:val="left"/>
        <w:rPr>
          <w:rFonts w:ascii="宋体" w:hAnsi="宋体" w:cs="宋体"/>
          <w:b/>
          <w:bCs/>
          <w:szCs w:val="21"/>
        </w:rPr>
      </w:pPr>
      <w:r>
        <w:rPr>
          <w:rFonts w:hint="eastAsia" w:ascii="宋体" w:hAnsi="宋体" w:cs="宋体"/>
          <w:kern w:val="0"/>
          <w:szCs w:val="21"/>
        </w:rPr>
        <w:t>以上资料复印件必须加盖公章，如有缺漏，招标代理机构将拒绝接受其报名。</w:t>
      </w:r>
    </w:p>
    <w:p>
      <w:pPr>
        <w:snapToGrid w:val="0"/>
        <w:spacing w:line="440" w:lineRule="exact"/>
        <w:ind w:firstLine="413" w:firstLineChars="196"/>
        <w:rPr>
          <w:rFonts w:ascii="宋体" w:hAnsi="宋体" w:cs="宋体"/>
          <w:szCs w:val="21"/>
        </w:rPr>
      </w:pPr>
      <w:r>
        <w:rPr>
          <w:rFonts w:hint="eastAsia" w:ascii="宋体" w:hAnsi="宋体" w:cs="宋体"/>
          <w:b/>
          <w:bCs/>
          <w:szCs w:val="21"/>
        </w:rPr>
        <w:t>八、投标保证金</w:t>
      </w:r>
      <w:r>
        <w:rPr>
          <w:rFonts w:hint="eastAsia" w:ascii="宋体" w:hAnsi="宋体" w:cs="宋体"/>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投标保证金：人民币</w:t>
      </w:r>
      <w:r>
        <w:rPr>
          <w:rFonts w:hint="eastAsia" w:ascii="宋体" w:hAnsi="宋体" w:cs="宋体"/>
          <w:szCs w:val="21"/>
          <w:lang w:val="en-US" w:eastAsia="zh-CN"/>
        </w:rPr>
        <w:t>9</w:t>
      </w:r>
      <w:r>
        <w:rPr>
          <w:rFonts w:hint="eastAsia" w:ascii="宋体" w:hAnsi="宋体" w:cs="宋体"/>
          <w:szCs w:val="21"/>
        </w:rPr>
        <w:t>000元整；</w:t>
      </w:r>
    </w:p>
    <w:p>
      <w:pPr>
        <w:snapToGrid w:val="0"/>
        <w:spacing w:line="360" w:lineRule="auto"/>
        <w:ind w:firstLine="420" w:firstLineChars="200"/>
        <w:rPr>
          <w:rFonts w:ascii="宋体" w:hAnsi="宋体" w:cs="宋体"/>
          <w:szCs w:val="21"/>
        </w:rPr>
      </w:pPr>
      <w:r>
        <w:rPr>
          <w:rFonts w:hint="eastAsia" w:ascii="宋体" w:hAnsi="宋体" w:cs="宋体"/>
          <w:szCs w:val="21"/>
        </w:rPr>
        <w:t>保证金收妥抵用(即到帐)截止时间：2019年</w:t>
      </w:r>
      <w:r>
        <w:rPr>
          <w:rFonts w:hint="eastAsia" w:ascii="宋体" w:hAnsi="宋体" w:cs="宋体"/>
          <w:szCs w:val="21"/>
          <w:lang w:val="en-US" w:eastAsia="zh-CN"/>
        </w:rPr>
        <w:t>09</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日16:00，各单位以转账支票(必须实时清算)、银行汇票或电汇形式向宁波工建工程造价咨询有限公司提交；</w:t>
      </w:r>
    </w:p>
    <w:p>
      <w:pPr>
        <w:snapToGrid w:val="0"/>
        <w:spacing w:line="360" w:lineRule="auto"/>
        <w:ind w:firstLine="420" w:firstLineChars="200"/>
        <w:rPr>
          <w:rFonts w:ascii="宋体" w:hAnsi="宋体" w:cs="宋体"/>
          <w:szCs w:val="21"/>
        </w:rPr>
      </w:pPr>
      <w:r>
        <w:rPr>
          <w:rFonts w:hint="eastAsia" w:ascii="宋体" w:hAnsi="宋体" w:cs="宋体"/>
          <w:szCs w:val="21"/>
        </w:rPr>
        <w:t>保证金交纳账户名：宁波工建工程造价咨询有限公司；</w:t>
      </w:r>
    </w:p>
    <w:p>
      <w:pPr>
        <w:snapToGrid w:val="0"/>
        <w:spacing w:line="360" w:lineRule="auto"/>
        <w:ind w:firstLine="420" w:firstLineChars="200"/>
        <w:rPr>
          <w:rFonts w:ascii="宋体" w:hAnsi="宋体" w:cs="宋体"/>
          <w:szCs w:val="21"/>
        </w:rPr>
      </w:pPr>
      <w:r>
        <w:rPr>
          <w:rFonts w:hint="eastAsia" w:ascii="宋体" w:hAnsi="宋体" w:cs="宋体"/>
          <w:szCs w:val="21"/>
        </w:rPr>
        <w:t>开户银行：工行宁海县支行；</w:t>
      </w:r>
    </w:p>
    <w:p>
      <w:pPr>
        <w:snapToGrid w:val="0"/>
        <w:spacing w:line="360" w:lineRule="auto"/>
        <w:ind w:firstLine="420" w:firstLineChars="200"/>
        <w:rPr>
          <w:rFonts w:ascii="宋体" w:hAnsi="宋体" w:cs="宋体"/>
          <w:szCs w:val="21"/>
        </w:rPr>
      </w:pPr>
      <w:r>
        <w:rPr>
          <w:rFonts w:hint="eastAsia" w:ascii="宋体" w:hAnsi="宋体" w:cs="宋体"/>
          <w:szCs w:val="21"/>
        </w:rPr>
        <w:t>帐号：3901330019200195597。</w:t>
      </w:r>
    </w:p>
    <w:p>
      <w:pPr>
        <w:snapToGrid w:val="0"/>
        <w:spacing w:line="360" w:lineRule="auto"/>
        <w:ind w:firstLine="420" w:firstLineChars="200"/>
        <w:rPr>
          <w:rFonts w:ascii="宋体" w:hAnsi="宋体" w:cs="宋体"/>
          <w:szCs w:val="21"/>
        </w:rPr>
      </w:pPr>
      <w:r>
        <w:rPr>
          <w:rFonts w:hint="eastAsia" w:ascii="宋体" w:hAnsi="宋体" w:cs="宋体"/>
          <w:szCs w:val="21"/>
        </w:rPr>
        <w:t>投标人须按规定缴纳保证金，保证金一律由投标人在相应时限内通过投标人公司基本账户缴入；</w:t>
      </w:r>
    </w:p>
    <w:p>
      <w:pPr>
        <w:widowControl/>
        <w:tabs>
          <w:tab w:val="left" w:pos="180"/>
          <w:tab w:val="left" w:pos="360"/>
        </w:tabs>
        <w:adjustRightInd w:val="0"/>
        <w:snapToGrid w:val="0"/>
        <w:spacing w:line="360" w:lineRule="auto"/>
        <w:ind w:left="273" w:leftChars="130" w:firstLine="105" w:firstLineChars="50"/>
        <w:jc w:val="left"/>
        <w:rPr>
          <w:rFonts w:ascii="宋体" w:hAnsi="宋体" w:cs="宋体"/>
        </w:rPr>
      </w:pPr>
      <w:r>
        <w:rPr>
          <w:rFonts w:hint="eastAsia" w:ascii="宋体" w:hAnsi="宋体" w:cs="宋体"/>
          <w:b/>
        </w:rPr>
        <w:t>九、投标截止时间及开标时间</w:t>
      </w:r>
      <w:r>
        <w:rPr>
          <w:rFonts w:hint="eastAsia" w:ascii="宋体" w:hAnsi="宋体" w:cs="宋体"/>
        </w:rPr>
        <w:t>：</w:t>
      </w:r>
      <w:r>
        <w:rPr>
          <w:rFonts w:hint="eastAsia" w:ascii="宋体" w:hAnsi="宋体" w:cs="宋体"/>
          <w:b/>
          <w:bCs/>
        </w:rPr>
        <w:t>2019年</w:t>
      </w:r>
      <w:r>
        <w:rPr>
          <w:rFonts w:hint="eastAsia" w:ascii="宋体" w:hAnsi="宋体" w:cs="宋体"/>
          <w:b/>
          <w:bCs/>
          <w:lang w:val="en-US" w:eastAsia="zh-CN"/>
        </w:rPr>
        <w:t>09</w:t>
      </w:r>
      <w:r>
        <w:rPr>
          <w:rFonts w:hint="eastAsia" w:ascii="宋体" w:hAnsi="宋体" w:cs="宋体"/>
          <w:b/>
          <w:bCs/>
        </w:rPr>
        <w:t>月</w:t>
      </w:r>
      <w:r>
        <w:rPr>
          <w:rFonts w:hint="eastAsia" w:ascii="宋体" w:hAnsi="宋体" w:cs="宋体"/>
          <w:b/>
          <w:bCs/>
          <w:lang w:val="en-US" w:eastAsia="zh-CN"/>
        </w:rPr>
        <w:t>20</w:t>
      </w:r>
      <w:r>
        <w:rPr>
          <w:rFonts w:hint="eastAsia" w:ascii="宋体" w:hAnsi="宋体" w:cs="宋体"/>
          <w:b/>
          <w:bCs/>
        </w:rPr>
        <w:t>日</w:t>
      </w:r>
      <w:r>
        <w:rPr>
          <w:rFonts w:hint="eastAsia" w:ascii="宋体" w:hAnsi="宋体" w:cs="宋体"/>
          <w:b/>
          <w:bCs/>
          <w:lang w:val="en-US" w:eastAsia="zh-CN"/>
        </w:rPr>
        <w:t>09时</w:t>
      </w:r>
      <w:r>
        <w:rPr>
          <w:rFonts w:hint="eastAsia" w:ascii="宋体" w:hAnsi="宋体" w:cs="宋体"/>
          <w:b/>
          <w:bCs/>
        </w:rPr>
        <w:t>（北京时间）</w:t>
      </w:r>
      <w:r>
        <w:rPr>
          <w:rFonts w:hint="eastAsia" w:ascii="宋体" w:hAnsi="宋体" w:cs="宋体"/>
        </w:rPr>
        <w:t>。</w:t>
      </w:r>
    </w:p>
    <w:p>
      <w:pPr>
        <w:snapToGrid w:val="0"/>
        <w:spacing w:line="360" w:lineRule="auto"/>
        <w:ind w:firstLine="420" w:firstLineChars="200"/>
        <w:rPr>
          <w:rFonts w:ascii="宋体" w:hAnsi="宋体" w:cs="宋体"/>
          <w:szCs w:val="21"/>
        </w:rPr>
      </w:pPr>
      <w:r>
        <w:rPr>
          <w:rFonts w:hint="eastAsia" w:ascii="宋体" w:hAnsi="宋体" w:cs="宋体"/>
          <w:szCs w:val="21"/>
        </w:rPr>
        <w:t>十、投标、开标地点：宁海县公共资源交易中心(宁海县桃源街道金水东路5号五楼，详见当天五楼大厅公告)；</w:t>
      </w:r>
    </w:p>
    <w:p>
      <w:pPr>
        <w:widowControl/>
        <w:tabs>
          <w:tab w:val="left" w:pos="180"/>
          <w:tab w:val="left" w:pos="360"/>
        </w:tabs>
        <w:adjustRightInd w:val="0"/>
        <w:snapToGrid w:val="0"/>
        <w:spacing w:line="440" w:lineRule="exact"/>
        <w:ind w:left="273" w:leftChars="130"/>
        <w:jc w:val="left"/>
        <w:rPr>
          <w:rFonts w:ascii="宋体" w:hAnsi="宋体" w:cs="宋体"/>
        </w:rPr>
      </w:pPr>
      <w:r>
        <w:rPr>
          <w:rFonts w:hint="eastAsia" w:ascii="宋体" w:hAnsi="宋体" w:cs="宋体"/>
        </w:rPr>
        <w:t xml:space="preserve"> 十一、投标文件递交方式：密封装袋加盖公章后直接送达现场；</w:t>
      </w:r>
    </w:p>
    <w:p>
      <w:pPr>
        <w:widowControl/>
        <w:tabs>
          <w:tab w:val="left" w:pos="180"/>
          <w:tab w:val="left" w:pos="360"/>
        </w:tabs>
        <w:adjustRightInd w:val="0"/>
        <w:snapToGrid w:val="0"/>
        <w:spacing w:line="440" w:lineRule="exact"/>
        <w:rPr>
          <w:rFonts w:ascii="宋体" w:hAnsi="宋体" w:cs="宋体"/>
          <w:b/>
        </w:rPr>
      </w:pPr>
      <w:r>
        <w:rPr>
          <w:rFonts w:hint="eastAsia" w:ascii="宋体" w:hAnsi="宋体" w:cs="宋体"/>
        </w:rPr>
        <w:t xml:space="preserve">    </w:t>
      </w:r>
      <w:r>
        <w:rPr>
          <w:rFonts w:hint="eastAsia" w:ascii="宋体" w:hAnsi="宋体" w:cs="宋体"/>
          <w:b/>
        </w:rPr>
        <w:t>十二、本次招标有关信息公告在:宁海县公共资源交易信息网（</w:t>
      </w:r>
      <w:r>
        <w:fldChar w:fldCharType="begin"/>
      </w:r>
      <w:r>
        <w:instrText xml:space="preserve"> HYPERLINK "http://www.nhztb.gov.cn/" </w:instrText>
      </w:r>
      <w:r>
        <w:fldChar w:fldCharType="separate"/>
      </w:r>
      <w:r>
        <w:rPr>
          <w:rFonts w:hint="eastAsia" w:ascii="宋体" w:hAnsi="宋体" w:cs="宋体"/>
          <w:b/>
        </w:rPr>
        <w:t>http://www.nhztb.gov.cn</w:t>
      </w:r>
      <w:r>
        <w:rPr>
          <w:rFonts w:hint="eastAsia" w:ascii="宋体" w:hAnsi="宋体" w:cs="宋体"/>
          <w:b/>
        </w:rPr>
        <w:fldChar w:fldCharType="end"/>
      </w:r>
      <w:r>
        <w:rPr>
          <w:rFonts w:hint="eastAsia" w:ascii="宋体" w:hAnsi="宋体" w:cs="宋体"/>
          <w:b/>
        </w:rPr>
        <w:t>）</w:t>
      </w:r>
    </w:p>
    <w:p>
      <w:pPr>
        <w:widowControl/>
        <w:spacing w:line="440" w:lineRule="exact"/>
        <w:ind w:firstLine="420" w:firstLineChars="200"/>
        <w:jc w:val="left"/>
        <w:rPr>
          <w:rFonts w:ascii="宋体" w:hAnsi="宋体" w:cs="宋体"/>
        </w:rPr>
      </w:pPr>
      <w:r>
        <w:rPr>
          <w:rFonts w:hint="eastAsia" w:ascii="宋体" w:hAnsi="宋体" w:cs="宋体"/>
        </w:rPr>
        <w:t>十三、联系方式</w:t>
      </w:r>
    </w:p>
    <w:p>
      <w:pPr>
        <w:widowControl/>
        <w:spacing w:line="440" w:lineRule="exact"/>
        <w:ind w:firstLine="420" w:firstLineChars="200"/>
        <w:jc w:val="left"/>
        <w:rPr>
          <w:rFonts w:ascii="宋体" w:hAnsi="宋体" w:cs="宋体"/>
        </w:rPr>
      </w:pPr>
      <w:r>
        <w:rPr>
          <w:rFonts w:hint="eastAsia" w:ascii="宋体" w:hAnsi="宋体" w:cs="宋体"/>
        </w:rPr>
        <w:t xml:space="preserve">  采购人：</w:t>
      </w:r>
      <w:r>
        <w:rPr>
          <w:rFonts w:hint="eastAsia" w:ascii="宋体" w:hAnsi="宋体" w:cs="宋体"/>
          <w:lang w:val="en-US" w:eastAsia="zh-CN"/>
        </w:rPr>
        <w:t>宁海宁东新城矿产有限公司</w:t>
      </w:r>
      <w:r>
        <w:rPr>
          <w:rFonts w:hint="eastAsia" w:ascii="宋体" w:hAnsi="宋体" w:cs="宋体"/>
        </w:rPr>
        <w:t xml:space="preserve"> </w:t>
      </w:r>
    </w:p>
    <w:p>
      <w:pPr>
        <w:widowControl/>
        <w:spacing w:line="440" w:lineRule="exact"/>
        <w:ind w:firstLine="420" w:firstLineChars="200"/>
        <w:jc w:val="left"/>
        <w:rPr>
          <w:rFonts w:ascii="宋体" w:hAnsi="宋体" w:cs="宋体"/>
        </w:rPr>
      </w:pPr>
      <w:r>
        <w:rPr>
          <w:rFonts w:hint="eastAsia" w:ascii="宋体" w:hAnsi="宋体" w:cs="宋体"/>
        </w:rPr>
        <w:t xml:space="preserve">  联系人：</w:t>
      </w:r>
      <w:r>
        <w:rPr>
          <w:rFonts w:hint="eastAsia" w:ascii="宋体" w:hAnsi="宋体" w:cs="宋体"/>
          <w:lang w:eastAsia="zh-CN"/>
        </w:rPr>
        <w:t>周山军</w:t>
      </w:r>
      <w:r>
        <w:rPr>
          <w:rFonts w:hint="eastAsia"/>
          <w:kern w:val="0"/>
          <w:sz w:val="20"/>
          <w:lang w:val="en-US" w:eastAsia="zh-CN"/>
        </w:rPr>
        <w:t xml:space="preserve">  </w:t>
      </w:r>
      <w:r>
        <w:rPr>
          <w:rFonts w:hint="eastAsia" w:ascii="宋体" w:hAnsi="宋体" w:cs="宋体"/>
        </w:rPr>
        <w:t xml:space="preserve">   </w:t>
      </w:r>
    </w:p>
    <w:p>
      <w:pPr>
        <w:widowControl/>
        <w:spacing w:line="440" w:lineRule="exact"/>
        <w:ind w:firstLine="420" w:firstLineChars="200"/>
        <w:jc w:val="left"/>
        <w:rPr>
          <w:rFonts w:hint="eastAsia" w:ascii="宋体" w:hAnsi="宋体" w:cs="宋体"/>
          <w:lang w:eastAsia="zh-CN"/>
        </w:rPr>
      </w:pPr>
      <w:r>
        <w:rPr>
          <w:rFonts w:hint="eastAsia" w:ascii="宋体" w:hAnsi="宋体" w:cs="宋体"/>
        </w:rPr>
        <w:t xml:space="preserve">  联系电话：</w:t>
      </w:r>
      <w:r>
        <w:rPr>
          <w:rFonts w:hint="eastAsia" w:ascii="宋体" w:hAnsi="宋体" w:cs="宋体"/>
          <w:lang w:eastAsia="zh-CN"/>
        </w:rPr>
        <w:t>0574-83553002</w:t>
      </w:r>
      <w:r>
        <w:rPr>
          <w:rFonts w:hint="eastAsia" w:ascii="宋体" w:hAnsi="宋体" w:cs="宋体"/>
          <w:lang w:val="en-US" w:eastAsia="zh-CN"/>
        </w:rPr>
        <w:t xml:space="preserve"> </w:t>
      </w:r>
    </w:p>
    <w:p>
      <w:pPr>
        <w:widowControl/>
        <w:spacing w:line="440" w:lineRule="exact"/>
        <w:jc w:val="left"/>
        <w:rPr>
          <w:rFonts w:ascii="宋体" w:hAnsi="宋体" w:cs="宋体"/>
        </w:rPr>
      </w:pPr>
    </w:p>
    <w:p>
      <w:pPr>
        <w:widowControl/>
        <w:spacing w:line="440" w:lineRule="exact"/>
        <w:ind w:firstLine="630" w:firstLineChars="300"/>
        <w:jc w:val="left"/>
        <w:rPr>
          <w:rFonts w:ascii="宋体" w:hAnsi="宋体" w:cs="宋体"/>
        </w:rPr>
      </w:pPr>
      <w:r>
        <w:rPr>
          <w:rFonts w:hint="eastAsia" w:ascii="宋体" w:hAnsi="宋体" w:cs="宋体"/>
        </w:rPr>
        <w:t>代理机构：宁波工建工程造价咨询有限公司</w:t>
      </w:r>
    </w:p>
    <w:p>
      <w:pPr>
        <w:widowControl/>
        <w:spacing w:line="440" w:lineRule="exact"/>
        <w:ind w:firstLine="420" w:firstLineChars="200"/>
        <w:jc w:val="left"/>
        <w:rPr>
          <w:rFonts w:ascii="宋体" w:hAnsi="宋体" w:cs="宋体"/>
        </w:rPr>
      </w:pPr>
      <w:r>
        <w:rPr>
          <w:rFonts w:hint="eastAsia" w:ascii="宋体" w:hAnsi="宋体" w:cs="宋体"/>
        </w:rPr>
        <w:t xml:space="preserve">  地    址：宁海县桃源街道兴工三路69号二楼</w:t>
      </w:r>
    </w:p>
    <w:p>
      <w:pPr>
        <w:widowControl/>
        <w:spacing w:line="440" w:lineRule="exact"/>
        <w:ind w:firstLine="420" w:firstLineChars="200"/>
        <w:jc w:val="left"/>
        <w:rPr>
          <w:rFonts w:ascii="宋体" w:hAnsi="宋体" w:cs="宋体"/>
        </w:rPr>
      </w:pPr>
      <w:r>
        <w:rPr>
          <w:rFonts w:hint="eastAsia" w:ascii="宋体" w:hAnsi="宋体" w:cs="宋体"/>
        </w:rPr>
        <w:t xml:space="preserve">  联 系 人：王洋        </w:t>
      </w:r>
    </w:p>
    <w:p>
      <w:pPr>
        <w:widowControl/>
        <w:spacing w:line="440" w:lineRule="exact"/>
        <w:ind w:firstLine="420" w:firstLineChars="200"/>
        <w:jc w:val="left"/>
        <w:rPr>
          <w:rFonts w:hint="eastAsia" w:ascii="宋体" w:hAnsi="宋体" w:cs="宋体"/>
        </w:rPr>
      </w:pPr>
      <w:r>
        <w:rPr>
          <w:rFonts w:hint="eastAsia" w:ascii="宋体" w:hAnsi="宋体" w:cs="宋体"/>
        </w:rPr>
        <w:t xml:space="preserve">  联系电话（传真）：0574-65250961</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right="0" w:firstLine="420" w:firstLineChars="200"/>
        <w:jc w:val="left"/>
        <w:rPr>
          <w:rFonts w:hint="eastAsia" w:ascii="宋体" w:hAnsi="宋体" w:eastAsia="宋体" w:cs="宋体"/>
          <w:i w:val="0"/>
          <w:caps w:val="0"/>
          <w:color w:val="414141"/>
          <w:spacing w:val="0"/>
          <w:sz w:val="21"/>
          <w:szCs w:val="21"/>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right="0" w:firstLine="630" w:firstLineChars="300"/>
        <w:jc w:val="left"/>
        <w:rPr>
          <w:rFonts w:ascii="微软雅黑" w:hAnsi="微软雅黑" w:eastAsia="微软雅黑" w:cs="微软雅黑"/>
          <w:i w:val="0"/>
          <w:caps w:val="0"/>
          <w:color w:val="414141"/>
          <w:spacing w:val="0"/>
          <w:sz w:val="27"/>
          <w:szCs w:val="27"/>
        </w:rPr>
      </w:pPr>
      <w:r>
        <w:rPr>
          <w:rFonts w:hint="eastAsia" w:ascii="宋体" w:hAnsi="宋体" w:eastAsia="宋体" w:cs="宋体"/>
          <w:i w:val="0"/>
          <w:caps w:val="0"/>
          <w:color w:val="414141"/>
          <w:spacing w:val="0"/>
          <w:sz w:val="21"/>
          <w:szCs w:val="21"/>
        </w:rPr>
        <w:t>监督管理部门名称：宁海县国有资产监督管理局 </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630" w:firstLineChars="300"/>
        <w:jc w:val="left"/>
        <w:rPr>
          <w:rFonts w:hint="eastAsia" w:ascii="微软雅黑" w:hAnsi="微软雅黑" w:eastAsia="微软雅黑" w:cs="微软雅黑"/>
          <w:i w:val="0"/>
          <w:caps w:val="0"/>
          <w:color w:val="414141"/>
          <w:spacing w:val="0"/>
          <w:sz w:val="27"/>
          <w:szCs w:val="27"/>
        </w:rPr>
      </w:pPr>
      <w:r>
        <w:rPr>
          <w:rFonts w:hint="eastAsia" w:ascii="宋体" w:hAnsi="宋体" w:eastAsia="宋体" w:cs="宋体"/>
          <w:i w:val="0"/>
          <w:caps w:val="0"/>
          <w:color w:val="414141"/>
          <w:spacing w:val="0"/>
          <w:sz w:val="21"/>
          <w:szCs w:val="21"/>
        </w:rPr>
        <w:t>联系人：王</w:t>
      </w:r>
      <w:r>
        <w:rPr>
          <w:rFonts w:hint="eastAsia" w:cs="宋体"/>
          <w:i w:val="0"/>
          <w:caps w:val="0"/>
          <w:color w:val="414141"/>
          <w:spacing w:val="0"/>
          <w:sz w:val="21"/>
          <w:szCs w:val="21"/>
          <w:lang w:eastAsia="zh-CN"/>
        </w:rPr>
        <w:t>老师</w:t>
      </w:r>
      <w:r>
        <w:rPr>
          <w:rFonts w:hint="eastAsia" w:ascii="宋体" w:hAnsi="宋体" w:eastAsia="宋体" w:cs="宋体"/>
          <w:i w:val="0"/>
          <w:caps w:val="0"/>
          <w:color w:val="414141"/>
          <w:spacing w:val="0"/>
          <w:sz w:val="21"/>
          <w:szCs w:val="21"/>
        </w:rPr>
        <w:t> </w:t>
      </w:r>
    </w:p>
    <w:p>
      <w:pPr>
        <w:pStyle w:val="2"/>
        <w:ind w:left="0" w:leftChars="0" w:firstLine="630" w:firstLineChars="300"/>
        <w:rPr>
          <w:rFonts w:hint="eastAsia"/>
        </w:rPr>
      </w:pPr>
      <w:r>
        <w:rPr>
          <w:rFonts w:hint="eastAsia" w:ascii="宋体" w:hAnsi="宋体" w:eastAsia="宋体" w:cs="宋体"/>
          <w:i w:val="0"/>
          <w:caps w:val="0"/>
          <w:color w:val="414141"/>
          <w:spacing w:val="0"/>
          <w:sz w:val="21"/>
          <w:szCs w:val="21"/>
        </w:rPr>
        <w:t>监督投诉电话：0574-55868392</w:t>
      </w:r>
    </w:p>
    <w:p>
      <w:pPr>
        <w:pStyle w:val="2"/>
      </w:pPr>
    </w:p>
    <w:p>
      <w:pPr>
        <w:widowControl/>
        <w:spacing w:line="440" w:lineRule="exact"/>
        <w:ind w:firstLine="630" w:firstLineChars="300"/>
        <w:jc w:val="left"/>
        <w:rPr>
          <w:rFonts w:ascii="宋体" w:hAnsi="宋体" w:cs="宋体"/>
        </w:rPr>
      </w:pPr>
    </w:p>
    <w:p>
      <w:pPr>
        <w:numPr>
          <w:ilvl w:val="0"/>
          <w:numId w:val="2"/>
        </w:numPr>
        <w:spacing w:line="500" w:lineRule="exact"/>
        <w:ind w:firstLine="600" w:firstLineChars="200"/>
        <w:jc w:val="left"/>
        <w:rPr>
          <w:rFonts w:ascii="宋体" w:hAnsi="宋体"/>
          <w:b/>
          <w:szCs w:val="21"/>
        </w:rPr>
      </w:pPr>
      <w:r>
        <w:rPr>
          <w:rFonts w:hint="eastAsia" w:hAnsi="宋体" w:cs="宋体"/>
          <w:sz w:val="30"/>
        </w:rPr>
        <w:br w:type="page"/>
      </w:r>
    </w:p>
    <w:p>
      <w:pPr>
        <w:pStyle w:val="12"/>
        <w:snapToGrid w:val="0"/>
        <w:spacing w:beforeLines="0" w:after="156"/>
        <w:jc w:val="center"/>
        <w:outlineLvl w:val="0"/>
        <w:rPr>
          <w:rFonts w:hAnsi="宋体" w:cs="宋体"/>
          <w:b/>
          <w:sz w:val="30"/>
          <w:szCs w:val="30"/>
        </w:rPr>
      </w:pPr>
      <w:r>
        <w:rPr>
          <w:rFonts w:hint="eastAsia" w:hAnsi="宋体" w:cs="宋体"/>
          <w:b/>
          <w:sz w:val="30"/>
          <w:szCs w:val="30"/>
        </w:rPr>
        <w:t>第</w:t>
      </w:r>
      <w:r>
        <w:rPr>
          <w:rFonts w:hint="eastAsia" w:hAnsi="宋体" w:cs="宋体"/>
          <w:b/>
          <w:sz w:val="30"/>
          <w:szCs w:val="30"/>
          <w:lang w:eastAsia="zh-CN"/>
        </w:rPr>
        <w:t>二</w:t>
      </w:r>
      <w:r>
        <w:rPr>
          <w:rFonts w:hint="eastAsia" w:hAnsi="宋体" w:cs="宋体"/>
          <w:b/>
          <w:sz w:val="30"/>
          <w:szCs w:val="30"/>
        </w:rPr>
        <w:t>章  投标人须知</w:t>
      </w:r>
    </w:p>
    <w:tbl>
      <w:tblPr>
        <w:tblStyle w:val="26"/>
        <w:tblW w:w="9072"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44"/>
        <w:gridCol w:w="832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tblHeader/>
          <w:jc w:val="center"/>
        </w:trPr>
        <w:tc>
          <w:tcPr>
            <w:tcW w:w="744" w:type="dxa"/>
            <w:tcBorders>
              <w:bottom w:val="single" w:color="auto" w:sz="4" w:space="0"/>
            </w:tcBorders>
            <w:noWrap w:val="0"/>
            <w:vAlign w:val="center"/>
          </w:tcPr>
          <w:p>
            <w:pPr>
              <w:spacing w:line="340" w:lineRule="exact"/>
              <w:ind w:left="-108" w:right="-113"/>
              <w:contextualSpacing/>
              <w:jc w:val="center"/>
              <w:rPr>
                <w:rFonts w:hint="eastAsia"/>
                <w:szCs w:val="24"/>
              </w:rPr>
            </w:pPr>
            <w:r>
              <w:rPr>
                <w:rFonts w:hint="eastAsia"/>
                <w:szCs w:val="24"/>
              </w:rPr>
              <w:t>条款号</w:t>
            </w:r>
          </w:p>
        </w:tc>
        <w:tc>
          <w:tcPr>
            <w:tcW w:w="8328" w:type="dxa"/>
            <w:tcBorders>
              <w:bottom w:val="single" w:color="auto" w:sz="4" w:space="0"/>
            </w:tcBorders>
            <w:noWrap w:val="0"/>
            <w:vAlign w:val="center"/>
          </w:tcPr>
          <w:p>
            <w:pPr>
              <w:spacing w:line="340" w:lineRule="exact"/>
              <w:contextualSpacing/>
              <w:jc w:val="center"/>
              <w:rPr>
                <w:rFonts w:hint="eastAsia"/>
                <w:szCs w:val="24"/>
              </w:rPr>
            </w:pPr>
            <w:r>
              <w:rPr>
                <w:rFonts w:hint="eastAsia"/>
                <w:szCs w:val="24"/>
              </w:rPr>
              <w:t>条款内容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noWrap w:val="0"/>
            <w:vAlign w:val="center"/>
          </w:tcPr>
          <w:p>
            <w:pPr>
              <w:spacing w:line="340" w:lineRule="exact"/>
              <w:contextualSpacing/>
              <w:jc w:val="center"/>
              <w:rPr>
                <w:rFonts w:hint="eastAsia"/>
                <w:szCs w:val="24"/>
              </w:rPr>
            </w:pPr>
            <w:r>
              <w:rPr>
                <w:rFonts w:hint="eastAsia"/>
                <w:szCs w:val="24"/>
              </w:rPr>
              <w:t>说明部分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744" w:type="dxa"/>
            <w:vMerge w:val="restart"/>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1</w:t>
            </w:r>
          </w:p>
        </w:tc>
        <w:tc>
          <w:tcPr>
            <w:tcW w:w="8328" w:type="dxa"/>
            <w:noWrap w:val="0"/>
            <w:vAlign w:val="center"/>
          </w:tcPr>
          <w:p>
            <w:pPr>
              <w:tabs>
                <w:tab w:val="left" w:pos="1580"/>
                <w:tab w:val="left" w:pos="3436"/>
                <w:tab w:val="left" w:pos="5512"/>
              </w:tabs>
              <w:spacing w:line="440" w:lineRule="exact"/>
              <w:ind w:left="21"/>
              <w:contextualSpacing/>
              <w:rPr>
                <w:rFonts w:hint="eastAsia"/>
                <w:szCs w:val="24"/>
              </w:rPr>
            </w:pPr>
            <w:r>
              <w:rPr>
                <w:rFonts w:hint="eastAsia"/>
                <w:szCs w:val="24"/>
              </w:rPr>
              <w:t>招标人：宁海宁东新城开发投资有限公司</w:t>
            </w:r>
          </w:p>
          <w:p>
            <w:pPr>
              <w:tabs>
                <w:tab w:val="left" w:pos="1580"/>
                <w:tab w:val="left" w:pos="3436"/>
                <w:tab w:val="left" w:pos="5512"/>
              </w:tabs>
              <w:spacing w:line="440" w:lineRule="exact"/>
              <w:ind w:left="21"/>
              <w:contextualSpacing/>
              <w:rPr>
                <w:rFonts w:hint="eastAsia"/>
                <w:szCs w:val="24"/>
              </w:rPr>
            </w:pPr>
            <w:r>
              <w:rPr>
                <w:szCs w:val="24"/>
              </w:rPr>
              <w:t xml:space="preserve">联系地址：宁海县力洋镇创业路39号宁东商务楼 </w:t>
            </w:r>
          </w:p>
          <w:p>
            <w:pPr>
              <w:widowControl/>
              <w:spacing w:line="440" w:lineRule="exact"/>
              <w:jc w:val="left"/>
              <w:rPr>
                <w:rFonts w:hint="eastAsia" w:eastAsia="宋体"/>
                <w:szCs w:val="24"/>
                <w:lang w:eastAsia="zh-CN"/>
              </w:rPr>
            </w:pPr>
            <w:r>
              <w:rPr>
                <w:rFonts w:hint="eastAsia"/>
                <w:szCs w:val="24"/>
              </w:rPr>
              <w:t>联系人：</w:t>
            </w:r>
            <w:r>
              <w:rPr>
                <w:rFonts w:hint="eastAsia"/>
                <w:szCs w:val="24"/>
                <w:lang w:eastAsia="zh-CN"/>
              </w:rPr>
              <w:t>周山军</w:t>
            </w:r>
            <w:r>
              <w:rPr>
                <w:rFonts w:hint="eastAsia"/>
                <w:szCs w:val="24"/>
                <w:lang w:val="en-US" w:eastAsia="zh-CN"/>
              </w:rPr>
              <w:t xml:space="preserve"> </w:t>
            </w:r>
            <w:r>
              <w:rPr>
                <w:rFonts w:hint="eastAsia"/>
                <w:szCs w:val="24"/>
              </w:rPr>
              <w:t xml:space="preserve">      </w:t>
            </w:r>
            <w:r>
              <w:rPr>
                <w:rFonts w:hint="eastAsia"/>
                <w:szCs w:val="24"/>
                <w:lang w:val="en-US" w:eastAsia="zh-CN"/>
              </w:rPr>
              <w:t xml:space="preserve"> </w:t>
            </w:r>
            <w:r>
              <w:rPr>
                <w:rFonts w:hint="eastAsia"/>
                <w:szCs w:val="24"/>
              </w:rPr>
              <w:t xml:space="preserve"> 联系电话：</w:t>
            </w:r>
            <w:r>
              <w:rPr>
                <w:rFonts w:hint="eastAsia" w:ascii="宋体" w:hAnsi="宋体" w:cs="宋体"/>
                <w:lang w:eastAsia="zh-CN"/>
              </w:rPr>
              <w:t>0574-83553002</w:t>
            </w:r>
            <w:r>
              <w:rPr>
                <w:rFonts w:hint="eastAsia" w:ascii="宋体" w:hAnsi="宋体" w:cs="宋体"/>
                <w:lang w:val="en-US" w:eastAsia="zh-CN"/>
              </w:rPr>
              <w:t xml:space="preserve"> </w:t>
            </w:r>
            <w:r>
              <w:rPr>
                <w:rFonts w:hint="eastAsia"/>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744" w:type="dxa"/>
            <w:vMerge w:val="continue"/>
            <w:noWrap w:val="0"/>
            <w:vAlign w:val="center"/>
          </w:tcPr>
          <w:p>
            <w:pPr>
              <w:autoSpaceDE w:val="0"/>
              <w:autoSpaceDN w:val="0"/>
              <w:snapToGrid w:val="0"/>
              <w:spacing w:line="440" w:lineRule="exact"/>
              <w:ind w:left="-95" w:right="-129"/>
              <w:contextualSpacing/>
              <w:jc w:val="center"/>
              <w:rPr>
                <w:rFonts w:hint="eastAsia"/>
                <w:szCs w:val="21"/>
              </w:rPr>
            </w:pPr>
          </w:p>
        </w:tc>
        <w:tc>
          <w:tcPr>
            <w:tcW w:w="8328" w:type="dxa"/>
            <w:noWrap w:val="0"/>
            <w:vAlign w:val="center"/>
          </w:tcPr>
          <w:p>
            <w:pPr>
              <w:tabs>
                <w:tab w:val="left" w:pos="1580"/>
                <w:tab w:val="left" w:pos="3436"/>
                <w:tab w:val="left" w:pos="5512"/>
              </w:tabs>
              <w:spacing w:line="440" w:lineRule="exact"/>
              <w:ind w:left="23"/>
              <w:contextualSpacing/>
              <w:rPr>
                <w:szCs w:val="24"/>
              </w:rPr>
            </w:pPr>
            <w:r>
              <w:rPr>
                <w:szCs w:val="24"/>
              </w:rPr>
              <w:t>代理机构：</w:t>
            </w:r>
            <w:r>
              <w:rPr>
                <w:rFonts w:hint="eastAsia" w:ascii="宋体" w:hAnsi="宋体" w:cs="宋体"/>
              </w:rPr>
              <w:t>宁波工建工程造价咨询有限公司</w:t>
            </w:r>
          </w:p>
          <w:p>
            <w:pPr>
              <w:tabs>
                <w:tab w:val="left" w:pos="1580"/>
                <w:tab w:val="left" w:pos="3436"/>
                <w:tab w:val="left" w:pos="5512"/>
              </w:tabs>
              <w:spacing w:line="440" w:lineRule="exact"/>
              <w:ind w:left="23"/>
              <w:contextualSpacing/>
              <w:rPr>
                <w:szCs w:val="24"/>
              </w:rPr>
            </w:pPr>
            <w:r>
              <w:rPr>
                <w:szCs w:val="24"/>
              </w:rPr>
              <w:t>联系地址：</w:t>
            </w:r>
            <w:r>
              <w:rPr>
                <w:rFonts w:hint="eastAsia" w:ascii="宋体" w:hAnsi="宋体" w:cs="宋体"/>
              </w:rPr>
              <w:t>宁海县桃源街道兴工三路69号二楼</w:t>
            </w:r>
          </w:p>
          <w:p>
            <w:pPr>
              <w:widowControl/>
              <w:spacing w:line="440" w:lineRule="exact"/>
              <w:jc w:val="left"/>
              <w:rPr>
                <w:rFonts w:hint="eastAsia"/>
                <w:szCs w:val="24"/>
              </w:rPr>
            </w:pPr>
            <w:r>
              <w:rPr>
                <w:rFonts w:hint="eastAsia"/>
                <w:szCs w:val="24"/>
              </w:rPr>
              <w:t>联系人：</w:t>
            </w:r>
            <w:r>
              <w:rPr>
                <w:rFonts w:hint="eastAsia" w:ascii="宋体" w:hAnsi="宋体" w:cs="Arial"/>
                <w:szCs w:val="21"/>
                <w:lang w:eastAsia="zh-CN"/>
              </w:rPr>
              <w:t>王洋</w:t>
            </w:r>
            <w:r>
              <w:rPr>
                <w:rFonts w:hint="eastAsia"/>
                <w:szCs w:val="24"/>
              </w:rPr>
              <w:tab/>
            </w:r>
            <w:r>
              <w:rPr>
                <w:rFonts w:hint="eastAsia"/>
                <w:szCs w:val="24"/>
              </w:rPr>
              <w:t xml:space="preserve">    电话/传真：</w:t>
            </w:r>
            <w:r>
              <w:rPr>
                <w:rFonts w:hint="eastAsia" w:ascii="宋体" w:hAnsi="宋体" w:cs="宋体"/>
              </w:rPr>
              <w:t>0574-65250961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744" w:type="dxa"/>
            <w:tcBorders>
              <w:top w:val="single" w:color="auto" w:sz="4" w:space="0"/>
              <w:bottom w:val="single" w:color="auto" w:sz="2" w:space="0"/>
            </w:tcBorders>
            <w:noWrap w:val="0"/>
            <w:vAlign w:val="center"/>
          </w:tcPr>
          <w:p>
            <w:pPr>
              <w:spacing w:line="440" w:lineRule="exact"/>
              <w:contextualSpacing/>
              <w:jc w:val="center"/>
              <w:rPr>
                <w:rFonts w:hint="eastAsia"/>
                <w:szCs w:val="24"/>
              </w:rPr>
            </w:pPr>
            <w:r>
              <w:rPr>
                <w:rFonts w:hint="eastAsia"/>
                <w:szCs w:val="21"/>
              </w:rPr>
              <w:t>2</w:t>
            </w:r>
          </w:p>
        </w:tc>
        <w:tc>
          <w:tcPr>
            <w:tcW w:w="8328" w:type="dxa"/>
            <w:tcBorders>
              <w:top w:val="single" w:color="auto" w:sz="4" w:space="0"/>
              <w:bottom w:val="single" w:color="auto" w:sz="2" w:space="0"/>
            </w:tcBorders>
            <w:noWrap w:val="0"/>
            <w:vAlign w:val="center"/>
          </w:tcPr>
          <w:p>
            <w:pPr>
              <w:spacing w:line="440" w:lineRule="exact"/>
              <w:contextualSpacing/>
            </w:pPr>
            <w:r>
              <w:rPr>
                <w:rFonts w:hint="eastAsia"/>
                <w:szCs w:val="24"/>
              </w:rPr>
              <w:t>经批准的本次招标方式：公开招标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744" w:type="dxa"/>
            <w:tcBorders>
              <w:top w:val="single" w:color="auto" w:sz="4" w:space="0"/>
              <w:bottom w:val="single" w:color="auto" w:sz="2" w:space="0"/>
            </w:tcBorders>
            <w:noWrap w:val="0"/>
            <w:vAlign w:val="center"/>
          </w:tcPr>
          <w:p>
            <w:pPr>
              <w:spacing w:line="440" w:lineRule="exact"/>
              <w:contextualSpacing/>
              <w:jc w:val="center"/>
              <w:rPr>
                <w:rFonts w:hint="eastAsia"/>
                <w:szCs w:val="21"/>
              </w:rPr>
            </w:pPr>
            <w:r>
              <w:rPr>
                <w:rFonts w:hint="eastAsia"/>
                <w:szCs w:val="24"/>
              </w:rPr>
              <w:t>▲</w:t>
            </w:r>
            <w:r>
              <w:rPr>
                <w:rFonts w:hint="eastAsia"/>
                <w:szCs w:val="21"/>
              </w:rPr>
              <w:t>3</w:t>
            </w:r>
          </w:p>
        </w:tc>
        <w:tc>
          <w:tcPr>
            <w:tcW w:w="8328" w:type="dxa"/>
            <w:tcBorders>
              <w:top w:val="single" w:color="auto" w:sz="4" w:space="0"/>
              <w:bottom w:val="single" w:color="auto" w:sz="2" w:space="0"/>
            </w:tcBorders>
            <w:noWrap w:val="0"/>
            <w:vAlign w:val="center"/>
          </w:tcPr>
          <w:p>
            <w:pPr>
              <w:spacing w:line="440" w:lineRule="exact"/>
              <w:contextualSpacing/>
              <w:rPr>
                <w:rFonts w:hint="eastAsia"/>
                <w:szCs w:val="24"/>
              </w:rPr>
            </w:pPr>
            <w:r>
              <w:rPr>
                <w:szCs w:val="24"/>
              </w:rPr>
              <w:t>招标内容：</w:t>
            </w:r>
            <w:r>
              <w:rPr>
                <w:rFonts w:hint="eastAsia"/>
                <w:szCs w:val="24"/>
              </w:rPr>
              <w:t>数量约</w:t>
            </w:r>
            <w:r>
              <w:rPr>
                <w:rFonts w:hint="eastAsia"/>
                <w:szCs w:val="24"/>
                <w:lang w:val="en-US" w:eastAsia="zh-CN"/>
              </w:rPr>
              <w:t>13017</w:t>
            </w:r>
            <w:r>
              <w:rPr>
                <w:rFonts w:hint="eastAsia"/>
                <w:szCs w:val="24"/>
              </w:rPr>
              <w:t>立方米，渣土</w:t>
            </w:r>
            <w:r>
              <w:rPr>
                <w:rFonts w:hint="eastAsia"/>
                <w:szCs w:val="24"/>
                <w:lang w:eastAsia="zh-CN"/>
              </w:rPr>
              <w:t>装车</w:t>
            </w:r>
            <w:r>
              <w:rPr>
                <w:rFonts w:hint="eastAsia"/>
                <w:szCs w:val="24"/>
              </w:rPr>
              <w:t>、外运</w:t>
            </w:r>
            <w:r>
              <w:rPr>
                <w:szCs w:val="24"/>
              </w:rPr>
              <w:t>及</w:t>
            </w:r>
            <w:r>
              <w:rPr>
                <w:rFonts w:hint="eastAsia"/>
                <w:szCs w:val="24"/>
              </w:rPr>
              <w:t>场地填筑，平均运输距离约为</w:t>
            </w:r>
            <w:r>
              <w:rPr>
                <w:rFonts w:hint="eastAsia"/>
                <w:szCs w:val="24"/>
                <w:lang w:val="en-US" w:eastAsia="zh-CN"/>
              </w:rPr>
              <w:t>20</w:t>
            </w:r>
            <w:r>
              <w:rPr>
                <w:rFonts w:hint="eastAsia"/>
                <w:szCs w:val="24"/>
              </w:rPr>
              <w:t>KM（渣土数量为暂估数量，</w:t>
            </w:r>
            <w:r>
              <w:rPr>
                <w:rFonts w:hint="eastAsia"/>
                <w:szCs w:val="24"/>
                <w:lang w:eastAsia="zh-CN"/>
              </w:rPr>
              <w:t>工程量按实结算，</w:t>
            </w:r>
            <w:r>
              <w:rPr>
                <w:rFonts w:hint="eastAsia" w:ascii="宋体" w:hAnsi="宋体"/>
                <w:color w:val="000000"/>
                <w:szCs w:val="21"/>
                <w:lang w:eastAsia="zh-CN"/>
              </w:rPr>
              <w:t>以第三方测量为准</w:t>
            </w:r>
            <w:r>
              <w:rPr>
                <w:rFonts w:hint="eastAsia"/>
                <w:szCs w:val="24"/>
              </w:rPr>
              <w:t>，无论增加或减少，中标人必须无条件接受）。</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noWrap w:val="0"/>
            <w:vAlign w:val="center"/>
          </w:tcPr>
          <w:p>
            <w:pPr>
              <w:spacing w:line="440" w:lineRule="exact"/>
              <w:contextualSpacing/>
              <w:jc w:val="center"/>
              <w:rPr>
                <w:rFonts w:hint="eastAsia"/>
                <w:szCs w:val="24"/>
              </w:rPr>
            </w:pPr>
            <w:r>
              <w:rPr>
                <w:rFonts w:hint="eastAsia"/>
                <w:szCs w:val="24"/>
              </w:rPr>
              <w:t>商务条款资料部分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744" w:type="dxa"/>
            <w:noWrap w:val="0"/>
            <w:vAlign w:val="center"/>
          </w:tcPr>
          <w:p>
            <w:pPr>
              <w:tabs>
                <w:tab w:val="left" w:pos="1580"/>
                <w:tab w:val="left" w:pos="3436"/>
                <w:tab w:val="left" w:pos="5512"/>
              </w:tabs>
              <w:spacing w:line="440" w:lineRule="exact"/>
              <w:ind w:left="21"/>
              <w:contextualSpacing/>
              <w:rPr>
                <w:rFonts w:hint="eastAsia"/>
                <w:szCs w:val="24"/>
              </w:rPr>
            </w:pPr>
            <w:r>
              <w:rPr>
                <w:rFonts w:hint="eastAsia"/>
                <w:szCs w:val="24"/>
              </w:rPr>
              <w:t>▲4</w:t>
            </w:r>
          </w:p>
        </w:tc>
        <w:tc>
          <w:tcPr>
            <w:tcW w:w="8328" w:type="dxa"/>
            <w:noWrap w:val="0"/>
            <w:vAlign w:val="center"/>
          </w:tcPr>
          <w:p>
            <w:pPr>
              <w:tabs>
                <w:tab w:val="left" w:pos="1580"/>
                <w:tab w:val="left" w:pos="3436"/>
                <w:tab w:val="left" w:pos="5512"/>
              </w:tabs>
              <w:spacing w:line="440" w:lineRule="exact"/>
              <w:ind w:left="21"/>
              <w:contextualSpacing/>
              <w:rPr>
                <w:rFonts w:hint="eastAsia"/>
                <w:szCs w:val="24"/>
              </w:rPr>
            </w:pPr>
            <w:r>
              <w:rPr>
                <w:rFonts w:hint="eastAsia"/>
                <w:szCs w:val="24"/>
              </w:rPr>
              <w:t>本次招标对合格的投标人的专门规定与审查方法：</w:t>
            </w:r>
          </w:p>
          <w:p>
            <w:pPr>
              <w:shd w:val="solid" w:color="FFFFFF" w:fill="auto"/>
              <w:autoSpaceDN w:val="0"/>
              <w:spacing w:line="440" w:lineRule="exact"/>
              <w:rPr>
                <w:rFonts w:hint="eastAsia" w:ascii="宋体" w:hAnsi="宋体"/>
                <w:color w:val="000000"/>
                <w:sz w:val="24"/>
              </w:rPr>
            </w:pPr>
            <w:r>
              <w:rPr>
                <w:rFonts w:hint="eastAsia"/>
                <w:szCs w:val="24"/>
                <w:lang w:val="en-US" w:eastAsia="zh-CN"/>
              </w:rPr>
              <w:t>1</w:t>
            </w:r>
            <w:r>
              <w:rPr>
                <w:rFonts w:hint="eastAsia"/>
                <w:szCs w:val="24"/>
              </w:rPr>
              <w:t>、取得《城市建筑垃圾经营服务企业资格许可证》；</w:t>
            </w:r>
          </w:p>
          <w:p>
            <w:pPr>
              <w:tabs>
                <w:tab w:val="left" w:pos="426"/>
              </w:tabs>
              <w:spacing w:line="440" w:lineRule="exact"/>
              <w:contextualSpacing/>
              <w:rPr>
                <w:rFonts w:hint="eastAsia"/>
                <w:szCs w:val="24"/>
              </w:rPr>
            </w:pPr>
            <w:r>
              <w:rPr>
                <w:rFonts w:hint="eastAsia"/>
                <w:szCs w:val="24"/>
                <w:lang w:val="en-US" w:eastAsia="zh-CN"/>
              </w:rPr>
              <w:t>2</w:t>
            </w:r>
            <w:r>
              <w:rPr>
                <w:rFonts w:hint="eastAsia"/>
                <w:szCs w:val="24"/>
              </w:rPr>
              <w:t>、本项目</w:t>
            </w:r>
            <w:r>
              <w:rPr>
                <w:rFonts w:hint="eastAsia"/>
                <w:szCs w:val="24"/>
                <w:u w:val="single"/>
              </w:rPr>
              <w:t>不接受</w:t>
            </w:r>
            <w:r>
              <w:rPr>
                <w:rFonts w:hint="eastAsia"/>
                <w:szCs w:val="24"/>
              </w:rPr>
              <w:t>联合体投标 。</w:t>
            </w:r>
          </w:p>
          <w:p>
            <w:pPr>
              <w:tabs>
                <w:tab w:val="left" w:pos="1580"/>
                <w:tab w:val="left" w:pos="3436"/>
                <w:tab w:val="left" w:pos="5512"/>
              </w:tabs>
              <w:spacing w:line="440" w:lineRule="exact"/>
              <w:contextualSpacing/>
              <w:rPr>
                <w:rFonts w:hint="eastAsia"/>
                <w:szCs w:val="24"/>
              </w:rPr>
            </w:pPr>
            <w:r>
              <w:rPr>
                <w:rFonts w:hint="eastAsia"/>
                <w:szCs w:val="24"/>
              </w:rPr>
              <w:t>资格审查：资格后审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744" w:type="dxa"/>
            <w:tcBorders>
              <w:bottom w:val="single" w:color="auto" w:sz="4" w:space="0"/>
            </w:tcBorders>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▲5</w:t>
            </w:r>
          </w:p>
        </w:tc>
        <w:tc>
          <w:tcPr>
            <w:tcW w:w="8328" w:type="dxa"/>
            <w:tcBorders>
              <w:bottom w:val="single" w:color="auto" w:sz="4" w:space="0"/>
            </w:tcBorders>
            <w:noWrap w:val="0"/>
            <w:vAlign w:val="center"/>
          </w:tcPr>
          <w:p>
            <w:pPr>
              <w:tabs>
                <w:tab w:val="left" w:pos="281"/>
              </w:tabs>
              <w:snapToGrid w:val="0"/>
              <w:spacing w:line="400" w:lineRule="exact"/>
              <w:rPr>
                <w:rFonts w:hint="eastAsia"/>
                <w:szCs w:val="24"/>
              </w:rPr>
            </w:pPr>
            <w:r>
              <w:rPr>
                <w:rFonts w:hint="eastAsia"/>
                <w:szCs w:val="24"/>
              </w:rPr>
              <w:t>（1）本工程招标工期为20日历天。各投标单位根据招标人要求，均不得改变工期，否则作无效标处理。</w:t>
            </w:r>
          </w:p>
          <w:p>
            <w:pPr>
              <w:spacing w:line="400" w:lineRule="atLeast"/>
              <w:rPr>
                <w:rFonts w:hint="eastAsia"/>
                <w:szCs w:val="24"/>
              </w:rPr>
            </w:pPr>
            <w:r>
              <w:rPr>
                <w:rFonts w:hint="eastAsia"/>
                <w:szCs w:val="24"/>
              </w:rPr>
              <w:t>（2）投标人必须将渣土填筑在招标人指定区域，若有私自倾倒行为，投标人将受到严厉处罚，按照查实倾倒土方数量500元/M3进行罚款。</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noWrap w:val="0"/>
            <w:vAlign w:val="center"/>
          </w:tcPr>
          <w:p>
            <w:pPr>
              <w:spacing w:line="440" w:lineRule="exact"/>
              <w:contextualSpacing/>
              <w:jc w:val="center"/>
              <w:rPr>
                <w:rFonts w:hint="eastAsia"/>
                <w:szCs w:val="24"/>
              </w:rPr>
            </w:pPr>
            <w:r>
              <w:rPr>
                <w:rFonts w:hint="eastAsia"/>
                <w:szCs w:val="24"/>
              </w:rPr>
              <w:t>投标书的编制和递交部分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96" w:hRule="atLeast"/>
          <w:jc w:val="center"/>
        </w:trPr>
        <w:tc>
          <w:tcPr>
            <w:tcW w:w="744" w:type="dxa"/>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▲6</w:t>
            </w:r>
          </w:p>
        </w:tc>
        <w:tc>
          <w:tcPr>
            <w:tcW w:w="8328" w:type="dxa"/>
            <w:noWrap w:val="0"/>
            <w:vAlign w:val="center"/>
          </w:tcPr>
          <w:p>
            <w:pPr>
              <w:tabs>
                <w:tab w:val="left" w:pos="2160"/>
              </w:tabs>
              <w:spacing w:line="440" w:lineRule="exact"/>
              <w:rPr>
                <w:szCs w:val="24"/>
              </w:rPr>
            </w:pPr>
            <w:r>
              <w:rPr>
                <w:rFonts w:hint="eastAsia"/>
                <w:szCs w:val="24"/>
              </w:rPr>
              <w:t>1、</w:t>
            </w:r>
            <w:r>
              <w:rPr>
                <w:szCs w:val="24"/>
              </w:rPr>
              <w:t>投标价格：</w:t>
            </w:r>
          </w:p>
          <w:p>
            <w:pPr>
              <w:tabs>
                <w:tab w:val="left" w:pos="2160"/>
              </w:tabs>
              <w:spacing w:line="440" w:lineRule="exact"/>
              <w:rPr>
                <w:rFonts w:hint="eastAsia"/>
                <w:szCs w:val="24"/>
              </w:rPr>
            </w:pPr>
            <w:r>
              <w:rPr>
                <w:rFonts w:hint="eastAsia"/>
                <w:szCs w:val="24"/>
              </w:rPr>
              <w:t>综合单价报价，综合单价包括：完成招标范围内容的所有费用，包括（但不限于）：渣土运输费、装卸费、设备费、场地平整、压实、沿途村庄运输道路的破损修复费用及中标方的保险费、规费、税（金）、利润、管理费等一切费用。</w:t>
            </w:r>
          </w:p>
          <w:p>
            <w:pPr>
              <w:tabs>
                <w:tab w:val="left" w:pos="2160"/>
              </w:tabs>
              <w:spacing w:line="440" w:lineRule="exact"/>
              <w:rPr>
                <w:rFonts w:hint="eastAsia"/>
                <w:szCs w:val="24"/>
              </w:rPr>
            </w:pPr>
            <w:r>
              <w:rPr>
                <w:rFonts w:hint="eastAsia"/>
                <w:b/>
                <w:szCs w:val="24"/>
              </w:rPr>
              <w:t>2、招标控制价：</w:t>
            </w:r>
            <w:r>
              <w:rPr>
                <w:rFonts w:hint="eastAsia"/>
                <w:szCs w:val="24"/>
              </w:rPr>
              <w:t>本项目最高限价为</w:t>
            </w:r>
            <w:r>
              <w:rPr>
                <w:rFonts w:hint="eastAsia" w:ascii="宋体" w:hAnsi="宋体" w:cs="宋体"/>
                <w:bCs/>
                <w:szCs w:val="21"/>
                <w:lang w:val="en-US" w:eastAsia="zh-CN"/>
              </w:rPr>
              <w:t>488138</w:t>
            </w:r>
            <w:r>
              <w:rPr>
                <w:rFonts w:hint="eastAsia"/>
                <w:szCs w:val="24"/>
              </w:rPr>
              <w:t>元（</w:t>
            </w:r>
            <w:r>
              <w:rPr>
                <w:rFonts w:hint="eastAsia"/>
                <w:szCs w:val="24"/>
                <w:lang w:val="en-US" w:eastAsia="zh-CN"/>
              </w:rPr>
              <w:t>37.5</w:t>
            </w:r>
            <w:r>
              <w:rPr>
                <w:rFonts w:hint="eastAsia"/>
                <w:szCs w:val="24"/>
              </w:rPr>
              <w:t>元/立方），超过此报价范围作无效标处理。投标总价精确到元，综合单价精确到小数点后三位。</w:t>
            </w:r>
          </w:p>
          <w:p>
            <w:pPr>
              <w:snapToGrid w:val="0"/>
              <w:spacing w:line="400" w:lineRule="exact"/>
              <w:rPr>
                <w:rFonts w:hint="eastAsia"/>
                <w:szCs w:val="24"/>
              </w:rPr>
            </w:pPr>
            <w:r>
              <w:rPr>
                <w:rFonts w:hint="eastAsia"/>
                <w:szCs w:val="24"/>
              </w:rPr>
              <w:t>3、中标人需自行考虑运输路线并测量运输距离，标后不得对运距提出索赔要求。</w:t>
            </w:r>
          </w:p>
          <w:p>
            <w:pPr>
              <w:tabs>
                <w:tab w:val="left" w:pos="210"/>
              </w:tabs>
              <w:snapToGrid w:val="0"/>
              <w:spacing w:line="400" w:lineRule="exact"/>
              <w:rPr>
                <w:rFonts w:hint="eastAsia"/>
                <w:szCs w:val="24"/>
              </w:rPr>
            </w:pPr>
            <w:r>
              <w:rPr>
                <w:rFonts w:hint="eastAsia"/>
                <w:szCs w:val="24"/>
              </w:rPr>
              <w:t>4、中标人需自行妥善处理好与相关管理部门的关系，自行处理好与运输途中各镇、乡、村等周边邻里关系，不得以外部因素干扰而影响工期或提出索赔要求。</w:t>
            </w:r>
          </w:p>
          <w:p>
            <w:pPr>
              <w:tabs>
                <w:tab w:val="left" w:pos="2160"/>
              </w:tabs>
              <w:spacing w:line="440" w:lineRule="exact"/>
              <w:rPr>
                <w:rFonts w:hint="eastAsia"/>
                <w:szCs w:val="24"/>
              </w:rPr>
            </w:pPr>
            <w:r>
              <w:rPr>
                <w:rFonts w:hint="eastAsia"/>
                <w:szCs w:val="24"/>
              </w:rPr>
              <w:t>5、渣土外运后，场地整理，与周边地块衔接顺畅，无突兀感；</w:t>
            </w:r>
            <w:r>
              <w:rPr>
                <w:rFonts w:hint="eastAsia"/>
                <w:szCs w:val="24"/>
                <w:lang w:eastAsia="zh-CN"/>
              </w:rPr>
              <w:t>园区</w:t>
            </w:r>
            <w:r>
              <w:rPr>
                <w:rFonts w:hint="eastAsia"/>
                <w:szCs w:val="24"/>
              </w:rPr>
              <w:t>回填区域，渣土填筑密实，场地平整，填筑区域标高控制在</w:t>
            </w:r>
            <w:r>
              <w:rPr>
                <w:rFonts w:hint="eastAsia"/>
                <w:szCs w:val="24"/>
                <w:u w:val="single"/>
              </w:rPr>
              <w:t>+</w:t>
            </w:r>
            <w:r>
              <w:rPr>
                <w:rFonts w:hint="eastAsia"/>
                <w:szCs w:val="24"/>
              </w:rPr>
              <w:t>100mm以内。</w:t>
            </w:r>
          </w:p>
          <w:p>
            <w:pPr>
              <w:tabs>
                <w:tab w:val="left" w:pos="2160"/>
              </w:tabs>
              <w:spacing w:line="440" w:lineRule="exact"/>
              <w:rPr>
                <w:rFonts w:hint="eastAsia"/>
                <w:szCs w:val="24"/>
              </w:rPr>
            </w:pPr>
            <w:r>
              <w:rPr>
                <w:rFonts w:hint="eastAsia"/>
                <w:szCs w:val="24"/>
              </w:rPr>
              <w:t>6、运输过程中严格遵守交通规则，不允许超载，保持运输过程中公路卫生整洁工作以及沿海南路道路交叉口处需要安排人员进行交通疏导，确保运输安全。</w:t>
            </w:r>
          </w:p>
          <w:p>
            <w:pPr>
              <w:tabs>
                <w:tab w:val="left" w:pos="2160"/>
              </w:tabs>
              <w:spacing w:line="440" w:lineRule="exact"/>
              <w:rPr>
                <w:rFonts w:hint="eastAsia"/>
                <w:szCs w:val="24"/>
              </w:rPr>
            </w:pPr>
            <w:r>
              <w:rPr>
                <w:rFonts w:hint="eastAsia"/>
                <w:szCs w:val="24"/>
              </w:rPr>
              <w:t>7、投标人应严格遵守</w:t>
            </w:r>
            <w:r>
              <w:rPr>
                <w:rFonts w:hint="eastAsia"/>
                <w:szCs w:val="24"/>
                <w:lang w:eastAsia="zh-CN"/>
              </w:rPr>
              <w:t>装车、</w:t>
            </w:r>
            <w:r>
              <w:rPr>
                <w:rFonts w:hint="eastAsia"/>
                <w:szCs w:val="24"/>
              </w:rPr>
              <w:t>运输、填筑等施工过程的安全操作规程，加强安全监管，确保安全生产，对己方的安全生产负全责。</w:t>
            </w:r>
          </w:p>
          <w:p>
            <w:pPr>
              <w:tabs>
                <w:tab w:val="left" w:pos="2160"/>
              </w:tabs>
              <w:spacing w:line="440" w:lineRule="exact"/>
              <w:rPr>
                <w:rFonts w:hint="eastAsia"/>
                <w:szCs w:val="24"/>
              </w:rPr>
            </w:pPr>
            <w:r>
              <w:rPr>
                <w:rFonts w:hint="eastAsia"/>
                <w:szCs w:val="24"/>
              </w:rPr>
              <w:t>8、投标人需综合考虑外部和内部因素，满足城管、环卫、交通、道路等相关主管部门要求，考虑天气，行车等不利影响。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18" w:hRule="atLeast"/>
          <w:jc w:val="center"/>
        </w:trPr>
        <w:tc>
          <w:tcPr>
            <w:tcW w:w="744" w:type="dxa"/>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▲7</w:t>
            </w:r>
          </w:p>
        </w:tc>
        <w:tc>
          <w:tcPr>
            <w:tcW w:w="8328" w:type="dxa"/>
            <w:noWrap w:val="0"/>
            <w:vAlign w:val="center"/>
          </w:tcPr>
          <w:p>
            <w:pPr>
              <w:autoSpaceDE w:val="0"/>
              <w:autoSpaceDN w:val="0"/>
              <w:snapToGrid w:val="0"/>
              <w:spacing w:line="440" w:lineRule="exact"/>
              <w:contextualSpacing/>
              <w:rPr>
                <w:rFonts w:hint="eastAsia"/>
                <w:szCs w:val="24"/>
              </w:rPr>
            </w:pPr>
            <w:r>
              <w:rPr>
                <w:rFonts w:hint="eastAsia"/>
                <w:szCs w:val="24"/>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5" w:hRule="atLeast"/>
          <w:jc w:val="center"/>
        </w:trPr>
        <w:tc>
          <w:tcPr>
            <w:tcW w:w="744" w:type="dxa"/>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▲8</w:t>
            </w:r>
          </w:p>
        </w:tc>
        <w:tc>
          <w:tcPr>
            <w:tcW w:w="8328" w:type="dxa"/>
            <w:noWrap w:val="0"/>
            <w:vAlign w:val="center"/>
          </w:tcPr>
          <w:p>
            <w:pPr>
              <w:tabs>
                <w:tab w:val="left" w:pos="2160"/>
              </w:tabs>
              <w:spacing w:line="440" w:lineRule="exact"/>
              <w:rPr>
                <w:rFonts w:hint="eastAsia"/>
                <w:szCs w:val="24"/>
              </w:rPr>
            </w:pPr>
            <w:r>
              <w:rPr>
                <w:rFonts w:hint="eastAsia"/>
                <w:szCs w:val="24"/>
              </w:rPr>
              <w:t>（一）投标保证金金额：人民币肆万元整（￥</w:t>
            </w:r>
            <w:r>
              <w:rPr>
                <w:rFonts w:hint="eastAsia"/>
                <w:szCs w:val="24"/>
                <w:lang w:val="en-US" w:eastAsia="zh-CN"/>
              </w:rPr>
              <w:t>9</w:t>
            </w:r>
            <w:r>
              <w:rPr>
                <w:rFonts w:hint="eastAsia"/>
                <w:szCs w:val="24"/>
              </w:rPr>
              <w:t>000.00）。</w:t>
            </w:r>
          </w:p>
          <w:p>
            <w:pPr>
              <w:tabs>
                <w:tab w:val="left" w:pos="2160"/>
              </w:tabs>
              <w:spacing w:line="440" w:lineRule="exact"/>
              <w:ind w:firstLine="420" w:firstLineChars="200"/>
              <w:rPr>
                <w:rFonts w:hint="eastAsia"/>
                <w:szCs w:val="24"/>
              </w:rPr>
            </w:pPr>
            <w:r>
              <w:rPr>
                <w:rFonts w:hint="eastAsia"/>
                <w:szCs w:val="24"/>
              </w:rPr>
              <w:t>保证金收妥抵用(即到帐)截止时间：2019年</w:t>
            </w:r>
            <w:r>
              <w:rPr>
                <w:rFonts w:hint="eastAsia"/>
                <w:szCs w:val="24"/>
                <w:lang w:val="en-US" w:eastAsia="zh-CN"/>
              </w:rPr>
              <w:t>09</w:t>
            </w:r>
            <w:r>
              <w:rPr>
                <w:rFonts w:hint="eastAsia"/>
                <w:szCs w:val="24"/>
              </w:rPr>
              <w:t>月</w:t>
            </w:r>
            <w:r>
              <w:rPr>
                <w:rFonts w:hint="eastAsia"/>
                <w:szCs w:val="24"/>
                <w:lang w:val="en-US" w:eastAsia="zh-CN"/>
              </w:rPr>
              <w:t>18</w:t>
            </w:r>
            <w:r>
              <w:rPr>
                <w:rFonts w:hint="eastAsia"/>
                <w:szCs w:val="24"/>
              </w:rPr>
              <w:t>日16:00</w:t>
            </w:r>
            <w:r>
              <w:rPr>
                <w:rFonts w:hint="eastAsia"/>
                <w:szCs w:val="24"/>
                <w:lang w:eastAsia="zh-CN"/>
              </w:rPr>
              <w:t>时</w:t>
            </w:r>
            <w:r>
              <w:rPr>
                <w:rFonts w:hint="eastAsia"/>
                <w:szCs w:val="24"/>
              </w:rPr>
              <w:t>，各单位以转账支票(必须实时清算)、银行汇票或电汇形式向宁波工建工程造价咨询有限公司提交；</w:t>
            </w:r>
          </w:p>
          <w:p>
            <w:pPr>
              <w:tabs>
                <w:tab w:val="left" w:pos="2160"/>
              </w:tabs>
              <w:spacing w:line="440" w:lineRule="exact"/>
              <w:ind w:firstLine="420" w:firstLineChars="200"/>
              <w:rPr>
                <w:rFonts w:hint="eastAsia"/>
                <w:szCs w:val="24"/>
              </w:rPr>
            </w:pPr>
            <w:r>
              <w:rPr>
                <w:rFonts w:hint="eastAsia"/>
                <w:szCs w:val="24"/>
              </w:rPr>
              <w:t>保证金交纳账户名：宁波工建工程造价咨询有限公司；</w:t>
            </w:r>
          </w:p>
          <w:p>
            <w:pPr>
              <w:tabs>
                <w:tab w:val="left" w:pos="2160"/>
              </w:tabs>
              <w:spacing w:line="440" w:lineRule="exact"/>
              <w:ind w:firstLine="420" w:firstLineChars="200"/>
              <w:rPr>
                <w:rFonts w:hint="eastAsia"/>
                <w:szCs w:val="24"/>
              </w:rPr>
            </w:pPr>
            <w:r>
              <w:rPr>
                <w:rFonts w:hint="eastAsia"/>
                <w:szCs w:val="24"/>
              </w:rPr>
              <w:t>开户银行：工行宁海县支行；</w:t>
            </w:r>
          </w:p>
          <w:p>
            <w:pPr>
              <w:tabs>
                <w:tab w:val="left" w:pos="2160"/>
              </w:tabs>
              <w:spacing w:line="440" w:lineRule="exact"/>
              <w:ind w:firstLine="420" w:firstLineChars="200"/>
              <w:rPr>
                <w:rFonts w:hint="eastAsia"/>
                <w:szCs w:val="24"/>
              </w:rPr>
            </w:pPr>
            <w:r>
              <w:rPr>
                <w:rFonts w:hint="eastAsia"/>
                <w:szCs w:val="24"/>
              </w:rPr>
              <w:t>帐号：3901330019200195597。</w:t>
            </w:r>
          </w:p>
          <w:p>
            <w:pPr>
              <w:tabs>
                <w:tab w:val="left" w:pos="2160"/>
              </w:tabs>
              <w:spacing w:line="440" w:lineRule="exact"/>
              <w:rPr>
                <w:rFonts w:hint="eastAsia"/>
                <w:szCs w:val="24"/>
              </w:rPr>
            </w:pPr>
            <w:r>
              <w:rPr>
                <w:rFonts w:hint="eastAsia"/>
                <w:szCs w:val="24"/>
              </w:rPr>
              <w:t>（二）投标保证金退还：未中标投标人的投标保证金在招标结果通知书发出（公示期结束后），凭收据原额退取。</w:t>
            </w:r>
          </w:p>
          <w:p>
            <w:pPr>
              <w:tabs>
                <w:tab w:val="left" w:pos="2160"/>
              </w:tabs>
              <w:spacing w:line="440" w:lineRule="exact"/>
              <w:rPr>
                <w:rFonts w:hint="eastAsia" w:ascii="宋体" w:hAnsi="宋体"/>
                <w:szCs w:val="21"/>
              </w:rPr>
            </w:pPr>
            <w:r>
              <w:rPr>
                <w:rFonts w:hint="eastAsia"/>
                <w:szCs w:val="24"/>
              </w:rPr>
              <w:t>中标人提交履约保证金和缴纳招标服务费后，凭收据原额退取，不计利息。</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jc w:val="center"/>
        </w:trPr>
        <w:tc>
          <w:tcPr>
            <w:tcW w:w="744" w:type="dxa"/>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▲9</w:t>
            </w:r>
          </w:p>
        </w:tc>
        <w:tc>
          <w:tcPr>
            <w:tcW w:w="8328" w:type="dxa"/>
            <w:noWrap w:val="0"/>
            <w:vAlign w:val="center"/>
          </w:tcPr>
          <w:p>
            <w:pPr>
              <w:autoSpaceDE w:val="0"/>
              <w:autoSpaceDN w:val="0"/>
              <w:snapToGrid w:val="0"/>
              <w:spacing w:line="440" w:lineRule="exact"/>
              <w:contextualSpacing/>
              <w:rPr>
                <w:rFonts w:hint="eastAsia"/>
                <w:szCs w:val="24"/>
              </w:rPr>
            </w:pPr>
            <w:r>
              <w:rPr>
                <w:rFonts w:hint="eastAsia"/>
                <w:szCs w:val="24"/>
              </w:rPr>
              <w:t>投标文件份数：</w:t>
            </w:r>
            <w:r>
              <w:rPr>
                <w:rFonts w:hint="eastAsia"/>
                <w:szCs w:val="24"/>
                <w:u w:val="none"/>
              </w:rPr>
              <w:t>正本1份，副本</w:t>
            </w:r>
            <w:r>
              <w:rPr>
                <w:rFonts w:hint="eastAsia"/>
                <w:szCs w:val="24"/>
                <w:u w:val="none"/>
                <w:lang w:val="en-US" w:eastAsia="zh-CN"/>
              </w:rPr>
              <w:t>2</w:t>
            </w:r>
            <w:r>
              <w:rPr>
                <w:rFonts w:hint="eastAsia"/>
                <w:szCs w:val="24"/>
                <w:u w:val="none"/>
              </w:rPr>
              <w:t>份；</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29" w:hRule="atLeast"/>
          <w:jc w:val="center"/>
        </w:trPr>
        <w:tc>
          <w:tcPr>
            <w:tcW w:w="744" w:type="dxa"/>
            <w:tcBorders>
              <w:bottom w:val="single" w:color="auto" w:sz="2" w:space="0"/>
            </w:tcBorders>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10</w:t>
            </w:r>
          </w:p>
        </w:tc>
        <w:tc>
          <w:tcPr>
            <w:tcW w:w="8328" w:type="dxa"/>
            <w:tcBorders>
              <w:bottom w:val="single" w:color="auto" w:sz="2" w:space="0"/>
            </w:tcBorders>
            <w:noWrap w:val="0"/>
            <w:vAlign w:val="center"/>
          </w:tcPr>
          <w:p>
            <w:pPr>
              <w:autoSpaceDE w:val="0"/>
              <w:autoSpaceDN w:val="0"/>
              <w:snapToGrid w:val="0"/>
              <w:spacing w:line="440" w:lineRule="exact"/>
              <w:contextualSpacing/>
              <w:rPr>
                <w:rFonts w:hint="eastAsia"/>
                <w:szCs w:val="24"/>
              </w:rPr>
            </w:pPr>
            <w:r>
              <w:rPr>
                <w:rFonts w:hint="eastAsia"/>
                <w:szCs w:val="24"/>
              </w:rPr>
              <w:t>投标文件提交时间及投标截至时间：201</w:t>
            </w:r>
            <w:r>
              <w:rPr>
                <w:rFonts w:hint="eastAsia"/>
                <w:szCs w:val="24"/>
                <w:lang w:val="en-US" w:eastAsia="zh-CN"/>
              </w:rPr>
              <w:t>9</w:t>
            </w:r>
            <w:r>
              <w:rPr>
                <w:rFonts w:hint="eastAsia"/>
                <w:szCs w:val="24"/>
              </w:rPr>
              <w:t>年</w:t>
            </w:r>
            <w:r>
              <w:rPr>
                <w:rFonts w:hint="eastAsia"/>
                <w:szCs w:val="24"/>
                <w:lang w:val="en-US" w:eastAsia="zh-CN"/>
              </w:rPr>
              <w:t>09</w:t>
            </w:r>
            <w:r>
              <w:rPr>
                <w:rFonts w:hint="eastAsia"/>
                <w:szCs w:val="24"/>
              </w:rPr>
              <w:t>月</w:t>
            </w:r>
            <w:r>
              <w:rPr>
                <w:rFonts w:hint="eastAsia"/>
                <w:szCs w:val="24"/>
                <w:lang w:val="en-US" w:eastAsia="zh-CN"/>
              </w:rPr>
              <w:t>20</w:t>
            </w:r>
            <w:r>
              <w:rPr>
                <w:rFonts w:hint="eastAsia"/>
                <w:szCs w:val="24"/>
              </w:rPr>
              <w:t>日</w:t>
            </w:r>
            <w:r>
              <w:rPr>
                <w:rFonts w:hint="eastAsia"/>
                <w:szCs w:val="24"/>
                <w:lang w:val="en-US" w:eastAsia="zh-CN"/>
              </w:rPr>
              <w:t>09</w:t>
            </w:r>
            <w:r>
              <w:rPr>
                <w:rFonts w:hint="eastAsia"/>
                <w:szCs w:val="24"/>
              </w:rPr>
              <w:t>时；</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96" w:hRule="atLeast"/>
          <w:jc w:val="center"/>
        </w:trPr>
        <w:tc>
          <w:tcPr>
            <w:tcW w:w="744" w:type="dxa"/>
            <w:tcBorders>
              <w:top w:val="single" w:color="auto" w:sz="2" w:space="0"/>
              <w:bottom w:val="single" w:color="auto" w:sz="2" w:space="0"/>
            </w:tcBorders>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11</w:t>
            </w:r>
          </w:p>
        </w:tc>
        <w:tc>
          <w:tcPr>
            <w:tcW w:w="8328" w:type="dxa"/>
            <w:tcBorders>
              <w:top w:val="single" w:color="auto" w:sz="2" w:space="0"/>
              <w:bottom w:val="single" w:color="auto" w:sz="2" w:space="0"/>
            </w:tcBorders>
            <w:noWrap w:val="0"/>
            <w:vAlign w:val="center"/>
          </w:tcPr>
          <w:p>
            <w:pPr>
              <w:autoSpaceDE w:val="0"/>
              <w:autoSpaceDN w:val="0"/>
              <w:snapToGrid w:val="0"/>
              <w:spacing w:line="440" w:lineRule="exact"/>
              <w:contextualSpacing/>
              <w:rPr>
                <w:rFonts w:hint="eastAsia"/>
                <w:szCs w:val="24"/>
              </w:rPr>
            </w:pPr>
            <w:r>
              <w:rPr>
                <w:rFonts w:hint="eastAsia"/>
                <w:szCs w:val="24"/>
              </w:rPr>
              <w:t>开标时间：201</w:t>
            </w:r>
            <w:r>
              <w:rPr>
                <w:rFonts w:hint="eastAsia"/>
                <w:szCs w:val="24"/>
                <w:lang w:val="en-US" w:eastAsia="zh-CN"/>
              </w:rPr>
              <w:t>9</w:t>
            </w:r>
            <w:r>
              <w:rPr>
                <w:rFonts w:hint="eastAsia"/>
                <w:szCs w:val="24"/>
              </w:rPr>
              <w:t>年</w:t>
            </w:r>
            <w:r>
              <w:rPr>
                <w:rFonts w:hint="eastAsia"/>
                <w:szCs w:val="24"/>
                <w:lang w:val="en-US" w:eastAsia="zh-CN"/>
              </w:rPr>
              <w:t>09</w:t>
            </w:r>
            <w:r>
              <w:rPr>
                <w:rFonts w:hint="eastAsia"/>
                <w:szCs w:val="24"/>
              </w:rPr>
              <w:t>月</w:t>
            </w:r>
            <w:r>
              <w:rPr>
                <w:rFonts w:hint="eastAsia"/>
                <w:szCs w:val="24"/>
                <w:lang w:val="en-US" w:eastAsia="zh-CN"/>
              </w:rPr>
              <w:t>20</w:t>
            </w:r>
            <w:r>
              <w:rPr>
                <w:rFonts w:hint="eastAsia"/>
                <w:szCs w:val="24"/>
              </w:rPr>
              <w:t>日</w:t>
            </w:r>
            <w:r>
              <w:rPr>
                <w:rFonts w:hint="eastAsia"/>
                <w:szCs w:val="24"/>
                <w:lang w:val="en-US" w:eastAsia="zh-CN"/>
              </w:rPr>
              <w:t>09</w:t>
            </w:r>
            <w:r>
              <w:rPr>
                <w:rFonts w:hint="eastAsia"/>
                <w:szCs w:val="24"/>
              </w:rPr>
              <w:t>时</w:t>
            </w:r>
            <w:bookmarkStart w:id="32" w:name="_GoBack"/>
            <w:bookmarkEnd w:id="32"/>
            <w:r>
              <w:rPr>
                <w:rFonts w:hint="eastAsia"/>
                <w:szCs w:val="24"/>
              </w:rPr>
              <w:t>(北京时间)</w:t>
            </w:r>
          </w:p>
          <w:p>
            <w:pPr>
              <w:tabs>
                <w:tab w:val="left" w:pos="0"/>
              </w:tabs>
              <w:autoSpaceDE w:val="0"/>
              <w:autoSpaceDN w:val="0"/>
              <w:snapToGrid w:val="0"/>
              <w:spacing w:line="440" w:lineRule="exact"/>
              <w:contextualSpacing/>
              <w:rPr>
                <w:rFonts w:hint="eastAsia"/>
                <w:szCs w:val="24"/>
              </w:rPr>
            </w:pPr>
            <w:r>
              <w:rPr>
                <w:rFonts w:hint="eastAsia"/>
                <w:szCs w:val="24"/>
              </w:rPr>
              <w:t>开标地点：宁海县公共资源交易中心（宁海县桃源街道金水东路5号五楼），具体开标室见当日公告栏，投标人可以派授权代表出席开标会议。</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830" w:hRule="atLeast"/>
          <w:jc w:val="center"/>
        </w:trPr>
        <w:tc>
          <w:tcPr>
            <w:tcW w:w="744" w:type="dxa"/>
            <w:tcBorders>
              <w:top w:val="single" w:color="auto" w:sz="2" w:space="0"/>
              <w:bottom w:val="single" w:color="auto" w:sz="4" w:space="0"/>
            </w:tcBorders>
            <w:noWrap w:val="0"/>
            <w:vAlign w:val="center"/>
          </w:tcPr>
          <w:p>
            <w:pPr>
              <w:autoSpaceDE w:val="0"/>
              <w:autoSpaceDN w:val="0"/>
              <w:snapToGrid w:val="0"/>
              <w:spacing w:line="440" w:lineRule="exact"/>
              <w:ind w:left="-95" w:right="-129"/>
              <w:contextualSpacing/>
              <w:jc w:val="center"/>
              <w:rPr>
                <w:rFonts w:hint="eastAsia" w:eastAsia="宋体"/>
                <w:szCs w:val="21"/>
                <w:lang w:eastAsia="zh-CN"/>
              </w:rPr>
            </w:pPr>
            <w:r>
              <w:rPr>
                <w:rFonts w:hint="eastAsia"/>
                <w:b/>
                <w:sz w:val="18"/>
                <w:szCs w:val="18"/>
              </w:rPr>
              <w:t>▲</w:t>
            </w:r>
            <w:r>
              <w:rPr>
                <w:rFonts w:hint="eastAsia"/>
                <w:szCs w:val="21"/>
              </w:rPr>
              <w:t>1</w:t>
            </w:r>
            <w:r>
              <w:rPr>
                <w:rFonts w:hint="eastAsia"/>
                <w:szCs w:val="21"/>
                <w:lang w:val="en-US" w:eastAsia="zh-CN"/>
              </w:rPr>
              <w:t>2</w:t>
            </w:r>
          </w:p>
        </w:tc>
        <w:tc>
          <w:tcPr>
            <w:tcW w:w="8328" w:type="dxa"/>
            <w:tcBorders>
              <w:top w:val="single" w:color="auto" w:sz="2" w:space="0"/>
              <w:bottom w:val="single" w:color="auto" w:sz="4" w:space="0"/>
            </w:tcBorders>
            <w:noWrap w:val="0"/>
            <w:vAlign w:val="center"/>
          </w:tcPr>
          <w:p>
            <w:pPr>
              <w:spacing w:line="400" w:lineRule="atLeast"/>
              <w:rPr>
                <w:rFonts w:hint="eastAsia"/>
                <w:szCs w:val="24"/>
              </w:rPr>
            </w:pPr>
            <w:r>
              <w:rPr>
                <w:rFonts w:hint="eastAsia"/>
                <w:szCs w:val="24"/>
              </w:rPr>
              <w:t>履约担保的金额或履约保函为合同总价格的10%；</w:t>
            </w:r>
          </w:p>
          <w:p>
            <w:pPr>
              <w:autoSpaceDE w:val="0"/>
              <w:autoSpaceDN w:val="0"/>
              <w:snapToGrid w:val="0"/>
              <w:spacing w:line="440" w:lineRule="exact"/>
              <w:contextualSpacing/>
              <w:rPr>
                <w:rFonts w:hint="eastAsia"/>
                <w:szCs w:val="24"/>
              </w:rPr>
            </w:pPr>
            <w:r>
              <w:rPr>
                <w:rFonts w:hint="eastAsia"/>
                <w:szCs w:val="24"/>
              </w:rPr>
              <w:t>收到中标通知书后30天内，在签订合同协议书之前提交履约担保。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80" w:hRule="atLeast"/>
          <w:jc w:val="center"/>
        </w:trPr>
        <w:tc>
          <w:tcPr>
            <w:tcW w:w="744" w:type="dxa"/>
            <w:tcBorders>
              <w:top w:val="single" w:color="auto" w:sz="2" w:space="0"/>
            </w:tcBorders>
            <w:noWrap w:val="0"/>
            <w:vAlign w:val="center"/>
          </w:tcPr>
          <w:p>
            <w:pPr>
              <w:autoSpaceDE w:val="0"/>
              <w:autoSpaceDN w:val="0"/>
              <w:snapToGrid w:val="0"/>
              <w:spacing w:line="440" w:lineRule="exact"/>
              <w:ind w:left="-95" w:right="-129"/>
              <w:contextualSpacing/>
              <w:jc w:val="center"/>
              <w:rPr>
                <w:rFonts w:hint="eastAsia"/>
                <w:szCs w:val="21"/>
              </w:rPr>
            </w:pPr>
            <w:r>
              <w:rPr>
                <w:rFonts w:hint="eastAsia"/>
                <w:szCs w:val="21"/>
              </w:rPr>
              <w:t>/</w:t>
            </w:r>
          </w:p>
        </w:tc>
        <w:tc>
          <w:tcPr>
            <w:tcW w:w="8328" w:type="dxa"/>
            <w:tcBorders>
              <w:top w:val="single" w:color="auto" w:sz="2" w:space="0"/>
            </w:tcBorders>
            <w:noWrap w:val="0"/>
            <w:vAlign w:val="center"/>
          </w:tcPr>
          <w:p>
            <w:pPr>
              <w:autoSpaceDE w:val="0"/>
              <w:autoSpaceDN w:val="0"/>
              <w:snapToGrid w:val="0"/>
              <w:spacing w:line="440" w:lineRule="exact"/>
              <w:contextualSpacing/>
              <w:rPr>
                <w:rFonts w:hint="eastAsia"/>
                <w:szCs w:val="24"/>
              </w:rPr>
            </w:pPr>
            <w:r>
              <w:rPr>
                <w:rFonts w:hint="eastAsia"/>
                <w:szCs w:val="24"/>
              </w:rPr>
              <w:t>其他：</w:t>
            </w:r>
            <w:r>
              <w:rPr>
                <w:rFonts w:hint="eastAsia"/>
              </w:rPr>
              <w:t>招标公告与中标公告发布网站：宁海县公共资源交易信息网（http//:www.nhztb.gov.cn）</w:t>
            </w:r>
          </w:p>
        </w:tc>
      </w:tr>
    </w:tbl>
    <w:p>
      <w:pPr>
        <w:pStyle w:val="12"/>
        <w:snapToGrid w:val="0"/>
        <w:spacing w:beforeLines="0" w:after="156" w:line="480" w:lineRule="exact"/>
        <w:rPr>
          <w:rFonts w:hAnsi="宋体" w:cs="宋体"/>
          <w:b/>
          <w:sz w:val="21"/>
          <w:szCs w:val="21"/>
        </w:rPr>
      </w:pPr>
      <w:r>
        <w:rPr>
          <w:rFonts w:hint="eastAsia" w:hAnsi="宋体" w:cs="宋体"/>
          <w:b/>
          <w:sz w:val="28"/>
          <w:szCs w:val="28"/>
        </w:rPr>
        <w:br w:type="page"/>
      </w:r>
      <w:r>
        <w:rPr>
          <w:rFonts w:hint="eastAsia" w:hAnsi="宋体" w:cs="宋体"/>
          <w:b/>
          <w:sz w:val="21"/>
          <w:szCs w:val="21"/>
        </w:rPr>
        <w:t>一 、总  则</w:t>
      </w:r>
    </w:p>
    <w:p>
      <w:pPr>
        <w:snapToGrid w:val="0"/>
        <w:spacing w:line="480" w:lineRule="exact"/>
        <w:ind w:firstLine="422" w:firstLineChars="200"/>
        <w:jc w:val="left"/>
        <w:outlineLvl w:val="1"/>
        <w:rPr>
          <w:rFonts w:ascii="宋体" w:hAnsi="宋体" w:cs="宋体"/>
          <w:b/>
          <w:szCs w:val="21"/>
        </w:rPr>
      </w:pPr>
      <w:bookmarkStart w:id="1" w:name="_Toc8089"/>
      <w:bookmarkStart w:id="2" w:name="_Toc1389"/>
      <w:r>
        <w:rPr>
          <w:rFonts w:hint="eastAsia" w:ascii="宋体" w:hAnsi="宋体" w:cs="宋体"/>
          <w:b/>
          <w:szCs w:val="21"/>
        </w:rPr>
        <w:t>（一） 适用范围</w:t>
      </w:r>
      <w:bookmarkEnd w:id="1"/>
    </w:p>
    <w:p>
      <w:pPr>
        <w:snapToGrid w:val="0"/>
        <w:spacing w:line="480" w:lineRule="exact"/>
        <w:ind w:firstLine="420" w:firstLineChars="200"/>
        <w:jc w:val="left"/>
        <w:rPr>
          <w:rFonts w:ascii="宋体" w:hAnsi="宋体" w:cs="宋体"/>
          <w:szCs w:val="21"/>
        </w:rPr>
      </w:pPr>
      <w:r>
        <w:rPr>
          <w:rFonts w:hint="eastAsia" w:ascii="宋体" w:hAnsi="宋体" w:cs="宋体"/>
          <w:szCs w:val="21"/>
        </w:rPr>
        <w:t>本招标文件适用于</w:t>
      </w:r>
      <w:r>
        <w:rPr>
          <w:rFonts w:hint="eastAsia" w:ascii="宋体" w:hAnsi="宋体" w:cs="宋体"/>
          <w:b/>
          <w:bCs/>
          <w:kern w:val="2"/>
          <w:sz w:val="21"/>
          <w:szCs w:val="21"/>
          <w:u w:val="single"/>
          <w:lang w:eastAsia="zh-CN"/>
        </w:rPr>
        <w:t>白峤岭石料运输填方项目</w:t>
      </w:r>
      <w:r>
        <w:rPr>
          <w:rFonts w:hint="eastAsia" w:ascii="宋体" w:hAnsi="宋体" w:cs="宋体"/>
          <w:szCs w:val="21"/>
        </w:rPr>
        <w:t>的招标、投标、评标、定标、验收、合同履约、付款等行为（法律、法规另有规定的，从其规定）。</w:t>
      </w:r>
    </w:p>
    <w:p>
      <w:pPr>
        <w:snapToGrid w:val="0"/>
        <w:spacing w:line="480" w:lineRule="exact"/>
        <w:ind w:firstLine="310" w:firstLineChars="147"/>
        <w:jc w:val="left"/>
        <w:outlineLvl w:val="1"/>
        <w:rPr>
          <w:rFonts w:ascii="宋体" w:hAnsi="宋体" w:cs="宋体"/>
          <w:b/>
          <w:szCs w:val="21"/>
        </w:rPr>
      </w:pPr>
      <w:bookmarkStart w:id="3" w:name="_Toc11628"/>
      <w:r>
        <w:rPr>
          <w:rFonts w:hint="eastAsia" w:ascii="宋体" w:hAnsi="宋体" w:cs="宋体"/>
          <w:b/>
          <w:szCs w:val="21"/>
        </w:rPr>
        <w:t>（二）定义</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1、招标采购单位系指组织本次招标的招标代理机构（“招标人”）和采购单位；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2、“投标人”系指向招标方提交投标文件的单位；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3、“服务”系指招标文件规定投标人须承担的安装、调试、技术协助、校准、培训、技术指导以及其他类似的义务；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4、“项目”系指投标人按招标文件规定向采购人提供的服务；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sz w:val="24"/>
        </w:rPr>
        <w:t>★</w:t>
      </w:r>
      <w:r>
        <w:rPr>
          <w:rFonts w:hint="eastAsia" w:ascii="宋体" w:hAnsi="宋体" w:cs="宋体"/>
          <w:szCs w:val="21"/>
        </w:rPr>
        <w:t>”系指实质性要求条款。</w:t>
      </w:r>
    </w:p>
    <w:p>
      <w:pPr>
        <w:snapToGrid w:val="0"/>
        <w:spacing w:line="480" w:lineRule="exact"/>
        <w:ind w:firstLine="413" w:firstLineChars="196"/>
        <w:jc w:val="left"/>
        <w:outlineLvl w:val="1"/>
        <w:rPr>
          <w:rFonts w:ascii="宋体" w:hAnsi="宋体" w:cs="宋体"/>
          <w:b/>
          <w:szCs w:val="21"/>
        </w:rPr>
      </w:pPr>
      <w:bookmarkStart w:id="4" w:name="_Toc29625"/>
      <w:r>
        <w:rPr>
          <w:rFonts w:hint="eastAsia" w:ascii="宋体" w:hAnsi="宋体" w:cs="宋体"/>
          <w:b/>
          <w:szCs w:val="21"/>
        </w:rPr>
        <w:t>（三）招标方式</w:t>
      </w:r>
      <w:bookmarkEnd w:id="4"/>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本次招标采用竞争性磋商方式进行。</w:t>
      </w:r>
    </w:p>
    <w:p>
      <w:pPr>
        <w:snapToGrid w:val="0"/>
        <w:spacing w:line="480" w:lineRule="exact"/>
        <w:ind w:firstLine="413" w:firstLineChars="196"/>
        <w:jc w:val="left"/>
        <w:outlineLvl w:val="1"/>
        <w:rPr>
          <w:rFonts w:ascii="宋体" w:hAnsi="宋体" w:cs="宋体"/>
          <w:b/>
          <w:szCs w:val="21"/>
        </w:rPr>
      </w:pPr>
      <w:bookmarkStart w:id="5" w:name="_Toc13620"/>
      <w:r>
        <w:rPr>
          <w:rFonts w:hint="eastAsia" w:ascii="宋体" w:hAnsi="宋体" w:cs="宋体"/>
          <w:b/>
          <w:szCs w:val="21"/>
        </w:rPr>
        <w:t>（四）投标委托</w:t>
      </w:r>
      <w:bookmarkEnd w:id="5"/>
    </w:p>
    <w:p>
      <w:pPr>
        <w:pStyle w:val="10"/>
        <w:snapToGrid w:val="0"/>
        <w:spacing w:line="480" w:lineRule="exact"/>
        <w:ind w:firstLine="404" w:firstLineChars="200"/>
        <w:jc w:val="left"/>
        <w:rPr>
          <w:rFonts w:hAnsi="宋体" w:cs="宋体"/>
          <w:sz w:val="21"/>
          <w:szCs w:val="21"/>
        </w:rPr>
      </w:pPr>
      <w:r>
        <w:rPr>
          <w:rFonts w:hint="eastAsia" w:hAnsi="宋体" w:cs="宋体"/>
          <w:sz w:val="21"/>
          <w:szCs w:val="21"/>
        </w:rPr>
        <w:t>投标人代表须携带有效身份证件。如投标人代表不是法定代表人或法定负责人，须有法定代表人或法定负责人出具的授权委托书（正本用原件，副本用复印件，格式见第五章）。</w:t>
      </w:r>
    </w:p>
    <w:p>
      <w:pPr>
        <w:snapToGrid w:val="0"/>
        <w:spacing w:line="480" w:lineRule="exact"/>
        <w:ind w:firstLine="470" w:firstLineChars="196"/>
        <w:jc w:val="left"/>
        <w:outlineLvl w:val="1"/>
        <w:rPr>
          <w:rFonts w:ascii="宋体" w:hAnsi="宋体" w:cs="宋体"/>
          <w:b/>
          <w:szCs w:val="21"/>
        </w:rPr>
      </w:pPr>
      <w:bookmarkStart w:id="6" w:name="_Toc18576"/>
      <w:r>
        <w:rPr>
          <w:rFonts w:hint="eastAsia" w:ascii="宋体" w:hAnsi="宋体" w:cs="宋体"/>
          <w:sz w:val="24"/>
        </w:rPr>
        <w:t>★</w:t>
      </w:r>
      <w:r>
        <w:rPr>
          <w:rFonts w:hint="eastAsia" w:ascii="宋体" w:hAnsi="宋体" w:cs="宋体"/>
          <w:b/>
          <w:szCs w:val="21"/>
        </w:rPr>
        <w:t>（五）投标费用</w:t>
      </w:r>
      <w:bookmarkEnd w:id="6"/>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不论投标结果如何，投标人均应自行承担所有与投标有关的全部费用（招标文件有相关规定除外）；</w:t>
      </w:r>
    </w:p>
    <w:p>
      <w:pPr>
        <w:spacing w:line="480" w:lineRule="exact"/>
        <w:ind w:firstLine="210" w:firstLineChars="100"/>
        <w:rPr>
          <w:rFonts w:ascii="宋体" w:hAnsi="宋体" w:cs="宋体"/>
          <w:szCs w:val="21"/>
        </w:rPr>
      </w:pPr>
      <w:r>
        <w:rPr>
          <w:rFonts w:hint="eastAsia" w:ascii="宋体" w:hAnsi="宋体" w:cs="宋体"/>
          <w:szCs w:val="21"/>
        </w:rPr>
        <w:t xml:space="preserve">  投标人在报名的同时，应向本项目采购机构提交500元的资料费；未按上述要求提交资料费的投标人，其投标文件招标人不予受理；</w:t>
      </w:r>
    </w:p>
    <w:p>
      <w:pPr>
        <w:spacing w:line="480" w:lineRule="exact"/>
        <w:ind w:firstLine="210" w:firstLineChars="100"/>
        <w:rPr>
          <w:rFonts w:ascii="宋体" w:hAnsi="宋体" w:cs="宋体"/>
          <w:szCs w:val="21"/>
        </w:rPr>
      </w:pPr>
      <w:r>
        <w:rPr>
          <w:rFonts w:hint="eastAsia" w:ascii="宋体" w:hAnsi="宋体" w:cs="宋体"/>
          <w:szCs w:val="21"/>
        </w:rPr>
        <w:t xml:space="preserve"> </w:t>
      </w:r>
      <w:r>
        <w:rPr>
          <w:rFonts w:hint="eastAsia" w:ascii="宋体" w:cs="宋体"/>
          <w:szCs w:val="21"/>
        </w:rPr>
        <w:t>中标人与业主签订经济合同后，宁波工建工程造价咨询有限公司（本项目采购代理机构）向中标人收取中标服务费陆千元。</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（六）联合体投标</w:t>
      </w:r>
    </w:p>
    <w:p>
      <w:pPr>
        <w:snapToGrid w:val="0"/>
        <w:spacing w:line="480" w:lineRule="exact"/>
        <w:ind w:firstLine="630" w:firstLineChars="3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2、本项目不可以分包。</w:t>
      </w:r>
    </w:p>
    <w:p>
      <w:pPr>
        <w:snapToGrid w:val="0"/>
        <w:spacing w:line="480" w:lineRule="exact"/>
        <w:ind w:firstLine="413" w:firstLineChars="196"/>
        <w:jc w:val="left"/>
        <w:outlineLvl w:val="1"/>
        <w:rPr>
          <w:rFonts w:ascii="宋体" w:hAnsi="宋体" w:cs="宋体"/>
          <w:b/>
          <w:szCs w:val="21"/>
        </w:rPr>
      </w:pPr>
      <w:bookmarkStart w:id="7" w:name="_Toc2114"/>
      <w:r>
        <w:rPr>
          <w:rFonts w:hint="eastAsia" w:ascii="宋体" w:hAnsi="宋体" w:cs="宋体"/>
          <w:b/>
          <w:szCs w:val="21"/>
        </w:rPr>
        <w:t>（八）特别说明</w:t>
      </w:r>
      <w:bookmarkEnd w:id="7"/>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1、</w:t>
      </w:r>
      <w:r>
        <w:rPr>
          <w:rFonts w:hint="eastAsia" w:hAnsi="宋体" w:cs="宋体"/>
          <w:szCs w:val="21"/>
        </w:rPr>
        <w:t>投标人应仔细阅读招标文件的所有内容，按照招标文件的要求提交投标文件，并对所提供的全部资料的真实性承担法律责任；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2、</w:t>
      </w:r>
      <w:r>
        <w:rPr>
          <w:rFonts w:hint="eastAsia" w:hAnsi="宋体" w:cs="宋体"/>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3、</w:t>
      </w:r>
      <w:r>
        <w:rPr>
          <w:rFonts w:hint="eastAsia" w:hAnsi="宋体" w:cs="宋体"/>
          <w:szCs w:val="21"/>
        </w:rPr>
        <w:t>投标人投标所使用的资格、信誉、荣誉、业绩与企业认证必须为本法人所拥有。投标人投标所使用的采购项目实施人员必须为本法人员工（或必须为本法人或控股公司正式员工）；</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4、</w:t>
      </w:r>
      <w:r>
        <w:rPr>
          <w:rFonts w:hint="eastAsia" w:hAnsi="宋体" w:cs="宋体"/>
          <w:szCs w:val="21"/>
        </w:rPr>
        <w:t>单位负责人为同一人或者存在直接控股、管理关系的不同投标人，不得参加同一合同项下的政府采购活动；</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5、</w:t>
      </w:r>
      <w:r>
        <w:rPr>
          <w:rFonts w:hint="eastAsia" w:hAnsi="宋体" w:cs="宋体"/>
          <w:szCs w:val="21"/>
        </w:rPr>
        <w:t>除单一来源采购项目外，为采购项目提供整体设计、规范编制或者项目管理、监理、检测等服务的投标人，不得再参加该采购项目的其他采购活动。</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（九）关于分公司投标</w:t>
      </w:r>
    </w:p>
    <w:p>
      <w:pPr>
        <w:widowControl/>
        <w:spacing w:line="480" w:lineRule="exact"/>
        <w:ind w:firstLine="420" w:firstLineChars="200"/>
        <w:jc w:val="left"/>
        <w:rPr>
          <w:rFonts w:hAnsi="宋体" w:cs="宋体"/>
          <w:szCs w:val="21"/>
        </w:rPr>
      </w:pPr>
      <w:r>
        <w:rPr>
          <w:rFonts w:hint="eastAsia"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（十）关于知识产权</w:t>
      </w:r>
    </w:p>
    <w:p>
      <w:pPr>
        <w:widowControl/>
        <w:spacing w:line="480" w:lineRule="exact"/>
        <w:ind w:firstLine="420" w:firstLineChars="200"/>
        <w:jc w:val="left"/>
        <w:rPr>
          <w:rFonts w:hAnsi="宋体" w:cs="宋体"/>
          <w:szCs w:val="21"/>
        </w:rPr>
      </w:pPr>
      <w:r>
        <w:rPr>
          <w:rFonts w:hint="eastAsia" w:ascii="宋体" w:hAnsi="宋体" w:cs="宋体"/>
          <w:kern w:val="0"/>
          <w:szCs w:val="21"/>
        </w:rPr>
        <w:t>1、</w:t>
      </w:r>
      <w:r>
        <w:rPr>
          <w:rFonts w:hint="eastAsia" w:hAnsi="宋体" w:cs="宋体"/>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480" w:lineRule="exact"/>
        <w:ind w:firstLine="420" w:firstLineChars="200"/>
        <w:jc w:val="left"/>
        <w:rPr>
          <w:rFonts w:hAnsi="宋体" w:cs="宋体"/>
          <w:szCs w:val="21"/>
        </w:rPr>
      </w:pPr>
      <w:r>
        <w:rPr>
          <w:rFonts w:hint="eastAsia" w:ascii="宋体" w:hAnsi="宋体" w:cs="宋体"/>
          <w:kern w:val="0"/>
          <w:szCs w:val="21"/>
        </w:rPr>
        <w:t>2、</w:t>
      </w:r>
      <w:r>
        <w:rPr>
          <w:rFonts w:hint="eastAsia" w:hAnsi="宋体" w:cs="宋体"/>
          <w:szCs w:val="21"/>
        </w:rPr>
        <w:t>投标报价应包含所有应向所有权人支付的专利权、商标权或其它知识产权的一切相关费用；</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系统软件、通用软件必须是具有在中国境内的合法使用权或版权的正版软件，涉及到第三方提出侵权或知识产权的起诉及支付版税等费用由投标人承担所有责任及费用。</w:t>
      </w:r>
    </w:p>
    <w:p>
      <w:pPr>
        <w:pStyle w:val="12"/>
        <w:snapToGrid w:val="0"/>
        <w:spacing w:beforeLines="0" w:after="156" w:line="480" w:lineRule="exact"/>
        <w:ind w:left="2" w:leftChars="1" w:firstLine="422" w:firstLineChars="200"/>
        <w:rPr>
          <w:rFonts w:hAnsi="宋体" w:cs="宋体"/>
          <w:b/>
          <w:bCs/>
          <w:sz w:val="21"/>
          <w:szCs w:val="21"/>
        </w:rPr>
      </w:pPr>
      <w:r>
        <w:rPr>
          <w:rFonts w:hint="eastAsia" w:hAnsi="宋体" w:cs="宋体"/>
          <w:b/>
          <w:bCs/>
          <w:sz w:val="21"/>
          <w:szCs w:val="21"/>
        </w:rPr>
        <w:t>（十一）质疑和投诉</w:t>
      </w:r>
      <w:bookmarkStart w:id="8" w:name="_Toc6223"/>
    </w:p>
    <w:p>
      <w:pPr>
        <w:pStyle w:val="12"/>
        <w:snapToGrid w:val="0"/>
        <w:spacing w:beforeLines="0" w:after="156" w:line="480" w:lineRule="exact"/>
        <w:ind w:left="2" w:leftChars="1" w:firstLine="420" w:firstLineChars="200"/>
        <w:rPr>
          <w:rFonts w:hAnsi="宋体" w:cs="宋体"/>
          <w:szCs w:val="21"/>
        </w:rPr>
      </w:pPr>
      <w:r>
        <w:rPr>
          <w:rFonts w:hint="eastAsia" w:hAnsi="宋体" w:cs="宋体"/>
          <w:kern w:val="0"/>
          <w:sz w:val="21"/>
          <w:szCs w:val="21"/>
        </w:rPr>
        <w:t>1、</w:t>
      </w:r>
      <w:r>
        <w:rPr>
          <w:rFonts w:hint="eastAsia" w:ascii="Calibri" w:hAnsi="宋体" w:cs="宋体"/>
          <w:sz w:val="21"/>
          <w:szCs w:val="21"/>
        </w:rPr>
        <w:t>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p>
    <w:p>
      <w:pPr>
        <w:widowControl/>
        <w:spacing w:line="480" w:lineRule="exact"/>
        <w:ind w:firstLine="420" w:firstLineChars="200"/>
        <w:jc w:val="left"/>
        <w:rPr>
          <w:rFonts w:hAnsi="宋体" w:cs="宋体"/>
          <w:szCs w:val="21"/>
        </w:rPr>
      </w:pPr>
      <w:r>
        <w:rPr>
          <w:rFonts w:hint="eastAsia" w:ascii="宋体" w:hAnsi="宋体" w:cs="宋体"/>
          <w:kern w:val="0"/>
          <w:szCs w:val="21"/>
        </w:rPr>
        <w:t>2、</w:t>
      </w:r>
      <w:r>
        <w:rPr>
          <w:rFonts w:hint="eastAsia" w:hAnsi="宋体" w:cs="宋体"/>
          <w:szCs w:val="21"/>
        </w:rPr>
        <w:t>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投标人提出质疑应当提交质疑函和必要的证明材料，质疑函应当面以书面形式提出，质疑函格式和内容须符合财政部《质疑函范本》要求，投标人可到中国政府采购网自行下载财政部《质疑函范本》；</w:t>
      </w:r>
    </w:p>
    <w:p>
      <w:pPr>
        <w:widowControl/>
        <w:spacing w:line="480" w:lineRule="exact"/>
        <w:ind w:firstLine="420" w:firstLineChars="200"/>
        <w:jc w:val="left"/>
        <w:rPr>
          <w:rFonts w:hAnsi="宋体" w:cs="宋体"/>
          <w:szCs w:val="21"/>
        </w:rPr>
      </w:pPr>
      <w:r>
        <w:rPr>
          <w:rFonts w:hint="eastAsia" w:ascii="宋体" w:hAnsi="宋体" w:cs="宋体"/>
          <w:kern w:val="0"/>
          <w:szCs w:val="21"/>
        </w:rPr>
        <w:t>4、</w:t>
      </w:r>
      <w:r>
        <w:rPr>
          <w:rFonts w:hint="eastAsia" w:hAnsi="宋体" w:cs="宋体"/>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widowControl/>
        <w:spacing w:line="480" w:lineRule="exact"/>
        <w:ind w:firstLine="420" w:firstLineChars="200"/>
        <w:jc w:val="left"/>
        <w:rPr>
          <w:rFonts w:hAnsi="宋体" w:cs="宋体"/>
          <w:szCs w:val="21"/>
        </w:rPr>
      </w:pPr>
      <w:r>
        <w:rPr>
          <w:rFonts w:hint="eastAsia" w:ascii="宋体" w:hAnsi="宋体" w:cs="宋体"/>
          <w:kern w:val="0"/>
          <w:szCs w:val="21"/>
        </w:rPr>
        <w:t>5、</w:t>
      </w:r>
      <w:r>
        <w:rPr>
          <w:rFonts w:hint="eastAsia" w:hAnsi="宋体" w:cs="宋体"/>
          <w:szCs w:val="21"/>
        </w:rPr>
        <w:t>投标人对采购人或采购代理机构的质疑答复不满意或者采购人或采购代理机构未在规定时间内作出答复的，可以在答复期满后十五个工作日内向同级采购监管部门投诉。</w:t>
      </w:r>
    </w:p>
    <w:p>
      <w:pPr>
        <w:pStyle w:val="12"/>
        <w:snapToGrid w:val="0"/>
        <w:spacing w:beforeLines="0" w:after="156" w:line="480" w:lineRule="exact"/>
        <w:ind w:firstLine="413" w:firstLineChars="196"/>
        <w:outlineLvl w:val="0"/>
        <w:rPr>
          <w:rFonts w:hAnsi="宋体" w:cs="宋体"/>
          <w:b/>
          <w:sz w:val="21"/>
          <w:szCs w:val="21"/>
        </w:rPr>
      </w:pPr>
      <w:r>
        <w:rPr>
          <w:rFonts w:hint="eastAsia" w:hAnsi="宋体" w:cs="宋体"/>
          <w:b/>
          <w:sz w:val="21"/>
          <w:szCs w:val="21"/>
        </w:rPr>
        <w:t>二  招标文件</w:t>
      </w:r>
      <w:bookmarkEnd w:id="8"/>
    </w:p>
    <w:p>
      <w:pPr>
        <w:snapToGrid w:val="0"/>
        <w:spacing w:line="480" w:lineRule="exact"/>
        <w:ind w:firstLine="413" w:firstLineChars="196"/>
        <w:jc w:val="left"/>
        <w:rPr>
          <w:rFonts w:ascii="宋体" w:hAnsi="宋体" w:cs="宋体"/>
          <w:b/>
          <w:szCs w:val="21"/>
        </w:rPr>
      </w:pPr>
      <w:r>
        <w:rPr>
          <w:rFonts w:hint="eastAsia" w:ascii="宋体" w:hAnsi="宋体" w:cs="宋体"/>
          <w:b/>
          <w:szCs w:val="21"/>
        </w:rPr>
        <w:t>（一）招标文件的构成</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本招标文件由以下部分组成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1、竞争性磋商公告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2、招标需求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3、投标人须知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7、本项目招标文件的澄清、答复、修改、补充的内容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（二）投标人的风险</w:t>
      </w:r>
    </w:p>
    <w:p>
      <w:pPr>
        <w:pStyle w:val="20"/>
        <w:spacing w:line="480" w:lineRule="exact"/>
        <w:ind w:firstLine="420"/>
        <w:rPr>
          <w:rFonts w:ascii="宋体" w:eastAsia="宋体" w:cs="宋体"/>
          <w:color w:val="auto"/>
          <w:sz w:val="21"/>
          <w:szCs w:val="21"/>
        </w:rPr>
      </w:pPr>
      <w:r>
        <w:rPr>
          <w:rFonts w:hint="eastAsia" w:asci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20"/>
        <w:spacing w:line="480" w:lineRule="exact"/>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pStyle w:val="20"/>
        <w:spacing w:line="480" w:lineRule="exact"/>
        <w:ind w:firstLine="420"/>
        <w:rPr>
          <w:rFonts w:ascii="宋体" w:eastAsia="宋体" w:cs="宋体"/>
          <w:color w:val="auto"/>
          <w:sz w:val="21"/>
          <w:szCs w:val="21"/>
        </w:rPr>
      </w:pPr>
      <w:r>
        <w:rPr>
          <w:rFonts w:hint="eastAsia" w:ascii="宋体" w:eastAsia="宋体" w:cs="宋体"/>
          <w:color w:val="auto"/>
          <w:sz w:val="21"/>
          <w:szCs w:val="21"/>
        </w:rPr>
        <w:t>1、采购代理机构对已发出的招标文件进行必要澄清、答复、修改或补充的，应当在招标文件要求提交投标文件截止时间十五日前，在指定的政府采购信息发布媒体上发布更正公告，并以书面形式通知所有招标文件收受人；</w:t>
      </w:r>
    </w:p>
    <w:p>
      <w:pPr>
        <w:pStyle w:val="20"/>
        <w:spacing w:line="480" w:lineRule="exact"/>
        <w:ind w:firstLine="420"/>
        <w:rPr>
          <w:rFonts w:ascii="宋体" w:eastAsia="宋体" w:cs="宋体"/>
          <w:color w:val="auto"/>
          <w:sz w:val="21"/>
          <w:szCs w:val="21"/>
        </w:rPr>
      </w:pPr>
      <w:r>
        <w:rPr>
          <w:rFonts w:hint="eastAsia" w:ascii="宋体" w:eastAsia="宋体" w:cs="宋体"/>
          <w:color w:val="auto"/>
          <w:sz w:val="21"/>
          <w:szCs w:val="21"/>
        </w:rPr>
        <w:t>2、采购代理机构必须以书面形式答复投标人要求澄清的问题，并将不包含问题来源的答复书面通知所有购买招标文件的投标人；除书面答复以外的其他澄清方式及澄清内容均无效；</w:t>
      </w:r>
    </w:p>
    <w:p>
      <w:pPr>
        <w:pStyle w:val="20"/>
        <w:spacing w:line="480" w:lineRule="exact"/>
        <w:ind w:firstLine="420"/>
        <w:rPr>
          <w:rFonts w:ascii="宋体" w:eastAsia="宋体" w:cs="宋体"/>
          <w:color w:val="auto"/>
          <w:sz w:val="21"/>
          <w:szCs w:val="21"/>
        </w:rPr>
      </w:pPr>
      <w:r>
        <w:rPr>
          <w:rFonts w:hint="eastAsia" w:ascii="宋体" w:eastAsia="宋体" w:cs="宋体"/>
          <w:color w:val="auto"/>
          <w:sz w:val="21"/>
          <w:szCs w:val="21"/>
        </w:rPr>
        <w:t>3、招标文件澄清、答复、修改、补充的内容为招标文件的组成部分。当招标文件与招标文件的答复、澄清、修改、补充通知就同一内容的表述不一致时，以最后发出的书面文件为准；</w:t>
      </w:r>
    </w:p>
    <w:p>
      <w:pPr>
        <w:pStyle w:val="20"/>
        <w:spacing w:line="480" w:lineRule="exact"/>
        <w:ind w:firstLine="420"/>
        <w:rPr>
          <w:rFonts w:ascii="宋体" w:eastAsia="宋体" w:cs="宋体"/>
          <w:color w:val="auto"/>
          <w:sz w:val="21"/>
          <w:szCs w:val="21"/>
        </w:rPr>
      </w:pPr>
      <w:r>
        <w:rPr>
          <w:rFonts w:hint="eastAsia" w:ascii="宋体" w:eastAsia="宋体" w:cs="宋体"/>
          <w:color w:val="auto"/>
          <w:sz w:val="21"/>
          <w:szCs w:val="21"/>
        </w:rPr>
        <w:t>4、招标文件的澄清、答复、修改或补充都应该通过本代理机构以法定形式发布，采购人非通过本机构，不得擅自澄清、答复、修改或补充招标文件；</w:t>
      </w:r>
    </w:p>
    <w:p>
      <w:pPr>
        <w:pStyle w:val="20"/>
        <w:spacing w:line="480" w:lineRule="exact"/>
        <w:ind w:firstLine="420"/>
        <w:rPr>
          <w:rFonts w:ascii="宋体" w:eastAsia="宋体" w:cs="宋体"/>
          <w:color w:val="auto"/>
          <w:sz w:val="21"/>
          <w:szCs w:val="21"/>
        </w:rPr>
      </w:pPr>
      <w:r>
        <w:rPr>
          <w:rFonts w:hint="eastAsia" w:ascii="宋体" w:eastAsia="宋体" w:cs="宋体"/>
          <w:color w:val="auto"/>
          <w:sz w:val="21"/>
          <w:szCs w:val="21"/>
        </w:rPr>
        <w:t>5、延长投标截止时间和开标时间，至少应当在招标文件要求提交投标文件的截止时间三日前书面通知所有招标文件收受人。</w:t>
      </w:r>
    </w:p>
    <w:p>
      <w:pPr>
        <w:pStyle w:val="12"/>
        <w:snapToGrid w:val="0"/>
        <w:spacing w:beforeLines="0" w:after="156" w:line="480" w:lineRule="exact"/>
        <w:ind w:firstLine="413" w:firstLineChars="196"/>
        <w:outlineLvl w:val="1"/>
        <w:rPr>
          <w:rFonts w:hAnsi="宋体" w:cs="宋体"/>
          <w:b/>
          <w:sz w:val="21"/>
          <w:szCs w:val="21"/>
        </w:rPr>
      </w:pPr>
      <w:r>
        <w:rPr>
          <w:rFonts w:hint="eastAsia" w:hAnsi="宋体" w:cs="宋体"/>
          <w:b/>
          <w:sz w:val="21"/>
          <w:szCs w:val="21"/>
        </w:rPr>
        <w:t>三、投标文件的编制</w:t>
      </w:r>
      <w:bookmarkEnd w:id="2"/>
    </w:p>
    <w:p>
      <w:pPr>
        <w:snapToGrid w:val="0"/>
        <w:spacing w:line="480" w:lineRule="exact"/>
        <w:ind w:firstLine="413" w:firstLineChars="196"/>
        <w:jc w:val="left"/>
        <w:outlineLvl w:val="0"/>
        <w:rPr>
          <w:rFonts w:ascii="宋体" w:hAnsi="宋体" w:cs="宋体"/>
          <w:b/>
          <w:szCs w:val="21"/>
        </w:rPr>
      </w:pPr>
      <w:bookmarkStart w:id="9" w:name="_Toc1582"/>
      <w:r>
        <w:rPr>
          <w:rFonts w:hint="eastAsia" w:ascii="宋体" w:hAnsi="宋体" w:cs="宋体"/>
          <w:b/>
          <w:szCs w:val="21"/>
        </w:rPr>
        <w:t>（一）投标文件的组成</w:t>
      </w:r>
      <w:bookmarkEnd w:id="9"/>
    </w:p>
    <w:p>
      <w:pPr>
        <w:spacing w:line="400" w:lineRule="exact"/>
        <w:ind w:firstLine="420" w:firstLineChars="200"/>
        <w:rPr>
          <w:rFonts w:hAnsi="宋体" w:cs="宋体"/>
        </w:rPr>
      </w:pPr>
      <w:bookmarkStart w:id="10" w:name="_Toc3020"/>
      <w:r>
        <w:rPr>
          <w:rFonts w:hint="eastAsia" w:hAnsi="宋体" w:cs="宋体"/>
        </w:rPr>
        <w:t>响应文件由技术商务文件及报价文件两部分组成。</w:t>
      </w:r>
    </w:p>
    <w:p>
      <w:pPr>
        <w:spacing w:line="400" w:lineRule="exact"/>
        <w:ind w:firstLine="422" w:firstLineChars="200"/>
        <w:rPr>
          <w:rFonts w:hAnsi="宋体" w:cs="宋体"/>
        </w:rPr>
      </w:pPr>
      <w:r>
        <w:rPr>
          <w:rFonts w:hint="eastAsia" w:hAnsi="宋体" w:cs="宋体"/>
          <w:b/>
          <w:bCs/>
        </w:rPr>
        <w:t>1.技术商务文件的内容组成</w:t>
      </w:r>
    </w:p>
    <w:p>
      <w:pPr>
        <w:spacing w:line="400" w:lineRule="exact"/>
        <w:ind w:firstLine="420" w:firstLineChars="200"/>
        <w:rPr>
          <w:rFonts w:hAnsi="宋体" w:cs="宋体"/>
        </w:rPr>
      </w:pPr>
      <w:r>
        <w:rPr>
          <w:rFonts w:hint="eastAsia" w:hAnsi="宋体" w:cs="宋体"/>
        </w:rPr>
        <w:t>对照技术商务评分表的要求提供以下资料：</w:t>
      </w:r>
    </w:p>
    <w:p>
      <w:pPr>
        <w:spacing w:line="400" w:lineRule="exact"/>
        <w:ind w:firstLine="420" w:firstLineChars="200"/>
        <w:rPr>
          <w:rFonts w:hAnsi="宋体" w:cs="宋体"/>
        </w:rPr>
      </w:pPr>
      <w:r>
        <w:rPr>
          <w:rFonts w:hint="eastAsia" w:ascii="宋体" w:hAnsi="宋体" w:cs="仿宋_GB2312"/>
          <w:sz w:val="21"/>
          <w:szCs w:val="21"/>
          <w:lang w:eastAsia="zh-CN"/>
        </w:rPr>
        <w:t>（</w:t>
      </w:r>
      <w:r>
        <w:rPr>
          <w:rFonts w:hint="eastAsia" w:ascii="宋体" w:hAnsi="宋体" w:cs="仿宋_GB2312"/>
          <w:sz w:val="21"/>
          <w:szCs w:val="21"/>
          <w:lang w:val="en-US" w:eastAsia="zh-CN"/>
        </w:rPr>
        <w:t>1</w:t>
      </w:r>
      <w:r>
        <w:rPr>
          <w:rFonts w:hint="eastAsia" w:ascii="宋体" w:hAnsi="宋体" w:cs="仿宋_GB2312"/>
          <w:sz w:val="21"/>
          <w:szCs w:val="21"/>
          <w:lang w:eastAsia="zh-CN"/>
        </w:rPr>
        <w:t>）</w:t>
      </w:r>
      <w:r>
        <w:rPr>
          <w:rFonts w:hint="eastAsia" w:hAnsi="宋体" w:cs="宋体"/>
        </w:rPr>
        <w:t>资格证明文件：</w:t>
      </w:r>
    </w:p>
    <w:p>
      <w:pPr>
        <w:spacing w:line="400" w:lineRule="exact"/>
        <w:ind w:firstLine="420" w:firstLineChars="200"/>
        <w:rPr>
          <w:rFonts w:hAnsi="宋体" w:cs="宋体"/>
        </w:rPr>
      </w:pPr>
      <w:r>
        <w:rPr>
          <w:rFonts w:hint="eastAsia" w:hAnsi="宋体" w:cs="宋体"/>
        </w:rPr>
        <w:fldChar w:fldCharType="begin"/>
      </w:r>
      <w:r>
        <w:rPr>
          <w:rFonts w:hint="eastAsia" w:hAnsi="宋体" w:cs="宋体"/>
        </w:rPr>
        <w:instrText xml:space="preserve"> = 1 \* GB3 \* MERGEFORMAT </w:instrText>
      </w:r>
      <w:r>
        <w:rPr>
          <w:rFonts w:hint="eastAsia" w:hAnsi="宋体" w:cs="宋体"/>
        </w:rPr>
        <w:fldChar w:fldCharType="separate"/>
      </w:r>
      <w:r>
        <w:rPr>
          <w:rFonts w:hint="eastAsia" w:hAnsi="宋体" w:cs="宋体"/>
        </w:rPr>
        <w:t>①</w:t>
      </w:r>
      <w:r>
        <w:rPr>
          <w:rFonts w:hint="eastAsia" w:hAnsi="宋体" w:cs="宋体"/>
        </w:rPr>
        <w:fldChar w:fldCharType="end"/>
      </w:r>
      <w:r>
        <w:rPr>
          <w:rFonts w:hint="eastAsia" w:hAnsi="宋体" w:cs="宋体"/>
        </w:rPr>
        <w:t>符合《中华人民共和国政府采购法》第二十二条规定的供应商承诺书；（格式见附件一）</w:t>
      </w:r>
    </w:p>
    <w:p>
      <w:pPr>
        <w:spacing w:line="400" w:lineRule="exact"/>
        <w:ind w:firstLine="420" w:firstLineChars="200"/>
        <w:rPr>
          <w:rFonts w:hAnsi="宋体" w:cs="宋体"/>
        </w:rPr>
      </w:pPr>
      <w:r>
        <w:rPr>
          <w:rFonts w:hint="eastAsia" w:hAnsi="宋体" w:cs="宋体"/>
        </w:rPr>
        <w:fldChar w:fldCharType="begin"/>
      </w:r>
      <w:r>
        <w:rPr>
          <w:rFonts w:hint="eastAsia" w:hAnsi="宋体" w:cs="宋体"/>
        </w:rPr>
        <w:instrText xml:space="preserve"> = 2 \* GB3 \* MERGEFORMAT </w:instrText>
      </w:r>
      <w:r>
        <w:rPr>
          <w:rFonts w:hint="eastAsia" w:hAnsi="宋体" w:cs="宋体"/>
        </w:rPr>
        <w:fldChar w:fldCharType="separate"/>
      </w:r>
      <w:r>
        <w:rPr>
          <w:rFonts w:hint="eastAsia" w:hAnsi="宋体" w:cs="宋体"/>
        </w:rPr>
        <w:t>②</w:t>
      </w:r>
      <w:r>
        <w:rPr>
          <w:rFonts w:hint="eastAsia" w:hAnsi="宋体" w:cs="宋体"/>
        </w:rPr>
        <w:fldChar w:fldCharType="end"/>
      </w:r>
      <w:r>
        <w:rPr>
          <w:rFonts w:hint="eastAsia" w:hAnsi="宋体" w:cs="宋体"/>
        </w:rPr>
        <w:t>营业执照副本复印件、组织机构代码证复印件；（如果已经换取证照合一的，可仅提供合一后的营业执照副本）</w:t>
      </w:r>
    </w:p>
    <w:p>
      <w:pPr>
        <w:spacing w:line="400" w:lineRule="exact"/>
        <w:ind w:firstLine="420" w:firstLineChars="200"/>
        <w:rPr>
          <w:rFonts w:hAnsi="宋体" w:cs="宋体"/>
        </w:rPr>
      </w:pPr>
      <w:r>
        <w:rPr>
          <w:rFonts w:hint="eastAsia" w:hAnsi="宋体" w:cs="宋体"/>
        </w:rPr>
        <w:fldChar w:fldCharType="begin"/>
      </w:r>
      <w:r>
        <w:rPr>
          <w:rFonts w:hint="eastAsia" w:hAnsi="宋体" w:cs="宋体"/>
        </w:rPr>
        <w:instrText xml:space="preserve"> = 3 \* GB3 \* MERGEFORMAT </w:instrText>
      </w:r>
      <w:r>
        <w:rPr>
          <w:rFonts w:hint="eastAsia" w:hAnsi="宋体" w:cs="宋体"/>
        </w:rPr>
        <w:fldChar w:fldCharType="separate"/>
      </w:r>
      <w:r>
        <w:rPr>
          <w:rFonts w:hint="eastAsia" w:hAnsi="宋体" w:cs="宋体"/>
        </w:rPr>
        <w:t>③</w:t>
      </w:r>
      <w:r>
        <w:rPr>
          <w:rFonts w:hint="eastAsia" w:hAnsi="宋体" w:cs="宋体"/>
        </w:rPr>
        <w:fldChar w:fldCharType="end"/>
      </w:r>
      <w:r>
        <w:rPr>
          <w:rFonts w:hint="eastAsia" w:hAnsi="宋体" w:cs="宋体"/>
        </w:rPr>
        <w:t>资质证明复印件；</w:t>
      </w:r>
    </w:p>
    <w:p>
      <w:pPr>
        <w:spacing w:line="400" w:lineRule="exact"/>
        <w:ind w:firstLine="420" w:firstLineChars="200"/>
        <w:rPr>
          <w:rFonts w:hAnsi="宋体" w:cs="宋体"/>
        </w:rPr>
      </w:pPr>
      <w:r>
        <w:rPr>
          <w:rFonts w:hint="eastAsia" w:hAnsi="宋体" w:cs="宋体"/>
        </w:rPr>
        <w:fldChar w:fldCharType="begin"/>
      </w:r>
      <w:r>
        <w:rPr>
          <w:rFonts w:hint="eastAsia" w:hAnsi="宋体" w:cs="宋体"/>
        </w:rPr>
        <w:instrText xml:space="preserve"> = 4 \* GB3 \* MERGEFORMAT </w:instrText>
      </w:r>
      <w:r>
        <w:rPr>
          <w:rFonts w:hint="eastAsia" w:hAnsi="宋体" w:cs="宋体"/>
        </w:rPr>
        <w:fldChar w:fldCharType="separate"/>
      </w:r>
      <w:r>
        <w:rPr>
          <w:rFonts w:hint="eastAsia" w:hAnsi="宋体" w:cs="宋体"/>
        </w:rPr>
        <w:t>④</w:t>
      </w:r>
      <w:r>
        <w:rPr>
          <w:rFonts w:hint="eastAsia" w:hAnsi="宋体" w:cs="宋体"/>
        </w:rPr>
        <w:fldChar w:fldCharType="end"/>
      </w:r>
      <w:r>
        <w:rPr>
          <w:rFonts w:hint="eastAsia" w:hAnsi="宋体" w:cs="宋体"/>
        </w:rPr>
        <w:t>法定代表人/负责人身份证明书、法定代表人/负责人授权书原件；（若响应人代表系法定代表人/负责人，磋商响应文件又未提供本授权书，在磋商时应该提供书面声明并提供本人身份证供核对）（格式见附件）</w:t>
      </w:r>
    </w:p>
    <w:p>
      <w:pPr>
        <w:adjustRightInd w:val="0"/>
        <w:spacing w:line="360" w:lineRule="auto"/>
        <w:ind w:firstLine="420" w:firstLineChars="200"/>
        <w:jc w:val="left"/>
        <w:rPr>
          <w:rFonts w:hint="eastAsia" w:ascii="宋体" w:hAnsi="宋体" w:cs="仿宋_GB2312"/>
          <w:sz w:val="21"/>
          <w:szCs w:val="21"/>
        </w:rPr>
      </w:pPr>
      <w:r>
        <w:rPr>
          <w:rFonts w:hint="eastAsia" w:ascii="宋体" w:hAnsi="宋体" w:cs="仿宋_GB2312"/>
          <w:sz w:val="21"/>
          <w:szCs w:val="21"/>
          <w:lang w:eastAsia="zh-CN"/>
        </w:rPr>
        <w:t>（</w:t>
      </w:r>
      <w:r>
        <w:rPr>
          <w:rFonts w:hint="eastAsia" w:ascii="宋体" w:hAnsi="宋体" w:cs="仿宋_GB2312"/>
          <w:sz w:val="21"/>
          <w:szCs w:val="21"/>
          <w:lang w:val="en-US" w:eastAsia="zh-CN"/>
        </w:rPr>
        <w:t>2</w:t>
      </w:r>
      <w:r>
        <w:rPr>
          <w:rFonts w:hint="eastAsia" w:ascii="宋体" w:hAnsi="宋体" w:cs="仿宋_GB2312"/>
          <w:sz w:val="21"/>
          <w:szCs w:val="21"/>
          <w:lang w:eastAsia="zh-CN"/>
        </w:rPr>
        <w:t>）</w:t>
      </w:r>
      <w:r>
        <w:rPr>
          <w:rFonts w:hint="eastAsia" w:ascii="宋体" w:hAnsi="宋体" w:cs="仿宋_GB2312"/>
          <w:sz w:val="21"/>
          <w:szCs w:val="21"/>
        </w:rPr>
        <w:t>打分表中要求的内容；</w:t>
      </w:r>
    </w:p>
    <w:p>
      <w:pPr>
        <w:adjustRightInd w:val="0"/>
        <w:spacing w:line="360" w:lineRule="auto"/>
        <w:ind w:firstLine="420" w:firstLineChars="200"/>
        <w:jc w:val="left"/>
        <w:rPr>
          <w:rFonts w:hint="eastAsia" w:ascii="宋体" w:hAnsi="宋体" w:cs="仿宋_GB2312"/>
          <w:sz w:val="21"/>
          <w:szCs w:val="21"/>
        </w:rPr>
      </w:pPr>
      <w:r>
        <w:rPr>
          <w:rFonts w:hint="eastAsia" w:ascii="宋体" w:hAnsi="宋体" w:cs="仿宋_GB2312"/>
          <w:sz w:val="21"/>
          <w:szCs w:val="21"/>
          <w:lang w:eastAsia="zh-CN"/>
        </w:rPr>
        <w:t>（</w:t>
      </w:r>
      <w:r>
        <w:rPr>
          <w:rFonts w:hint="eastAsia" w:ascii="宋体" w:hAnsi="宋体" w:cs="仿宋_GB2312"/>
          <w:sz w:val="21"/>
          <w:szCs w:val="21"/>
          <w:lang w:val="en-US" w:eastAsia="zh-CN"/>
        </w:rPr>
        <w:t>3</w:t>
      </w:r>
      <w:r>
        <w:rPr>
          <w:rFonts w:hint="eastAsia" w:ascii="宋体" w:hAnsi="宋体" w:cs="仿宋_GB2312"/>
          <w:sz w:val="21"/>
          <w:szCs w:val="21"/>
          <w:lang w:eastAsia="zh-CN"/>
        </w:rPr>
        <w:t>）</w:t>
      </w:r>
      <w:r>
        <w:rPr>
          <w:rFonts w:hint="eastAsia" w:ascii="宋体" w:hAnsi="宋体" w:cs="仿宋_GB2312"/>
          <w:sz w:val="21"/>
          <w:szCs w:val="21"/>
        </w:rPr>
        <w:t>投标方认为需要的其他文件资料：</w:t>
      </w:r>
    </w:p>
    <w:p>
      <w:pPr>
        <w:adjustRightInd w:val="0"/>
        <w:spacing w:line="360" w:lineRule="auto"/>
        <w:ind w:firstLine="840" w:firstLineChars="400"/>
        <w:jc w:val="left"/>
        <w:rPr>
          <w:rFonts w:hint="eastAsia" w:ascii="宋体" w:hAnsi="宋体" w:cs="仿宋_GB2312"/>
          <w:sz w:val="21"/>
          <w:szCs w:val="21"/>
        </w:rPr>
      </w:pPr>
      <w:r>
        <w:rPr>
          <w:rFonts w:hint="eastAsia" w:ascii="宋体" w:hAnsi="宋体" w:cs="仿宋_GB2312"/>
          <w:sz w:val="21"/>
          <w:szCs w:val="21"/>
        </w:rPr>
        <w:t>装载车辆如为自有车辆，请提供车辆行驶证复印件；如为租赁车辆，请提供租赁合同和车辆行驶证复印件。</w:t>
      </w:r>
    </w:p>
    <w:p>
      <w:pPr>
        <w:adjustRightInd w:val="0"/>
        <w:spacing w:line="360" w:lineRule="auto"/>
        <w:ind w:firstLine="420" w:firstLineChars="200"/>
        <w:jc w:val="left"/>
        <w:rPr>
          <w:rFonts w:hint="eastAsia" w:ascii="宋体" w:hAnsi="宋体" w:cs="仿宋_GB2312"/>
          <w:sz w:val="21"/>
          <w:szCs w:val="21"/>
        </w:rPr>
      </w:pPr>
      <w:r>
        <w:rPr>
          <w:rFonts w:hint="eastAsia" w:ascii="宋体" w:hAnsi="宋体" w:cs="仿宋_GB2312"/>
          <w:sz w:val="21"/>
          <w:szCs w:val="21"/>
        </w:rPr>
        <w:t>装载车辆另须提供年检合格证明及车辆第三者责任保险不低于50万元的保险证明复印件。</w:t>
      </w:r>
    </w:p>
    <w:p>
      <w:pPr>
        <w:snapToGrid w:val="0"/>
        <w:spacing w:line="400" w:lineRule="exact"/>
        <w:ind w:firstLine="420" w:firstLineChars="200"/>
        <w:rPr>
          <w:rFonts w:hAnsi="宋体" w:cs="宋体"/>
        </w:rPr>
      </w:pPr>
      <w:r>
        <w:rPr>
          <w:rFonts w:hint="eastAsia" w:ascii="宋体" w:hAnsi="宋体" w:cs="仿宋_GB2312"/>
          <w:sz w:val="21"/>
          <w:szCs w:val="21"/>
          <w:lang w:eastAsia="zh-CN"/>
        </w:rPr>
        <w:t>（</w:t>
      </w:r>
      <w:r>
        <w:rPr>
          <w:rFonts w:hint="eastAsia" w:ascii="宋体" w:hAnsi="宋体" w:cs="仿宋_GB2312"/>
          <w:sz w:val="21"/>
          <w:szCs w:val="21"/>
          <w:lang w:val="en-US" w:eastAsia="zh-CN"/>
        </w:rPr>
        <w:t>4</w:t>
      </w:r>
      <w:r>
        <w:rPr>
          <w:rFonts w:hint="eastAsia" w:ascii="宋体" w:hAnsi="宋体" w:cs="仿宋_GB2312"/>
          <w:sz w:val="21"/>
          <w:szCs w:val="21"/>
          <w:lang w:eastAsia="zh-CN"/>
        </w:rPr>
        <w:t>）</w:t>
      </w:r>
      <w:r>
        <w:rPr>
          <w:rFonts w:hint="eastAsia" w:hAnsi="宋体" w:cs="宋体"/>
        </w:rPr>
        <w:t>上述几项中未列明而磋商文件要求提供的其他资料；</w:t>
      </w:r>
    </w:p>
    <w:p>
      <w:pPr>
        <w:spacing w:line="400" w:lineRule="exact"/>
        <w:ind w:firstLine="420" w:firstLineChars="200"/>
        <w:rPr>
          <w:rFonts w:hAnsi="宋体" w:cs="宋体"/>
        </w:rPr>
      </w:pPr>
      <w:r>
        <w:rPr>
          <w:rFonts w:hint="eastAsia" w:ascii="宋体" w:hAnsi="宋体" w:cs="仿宋_GB2312"/>
          <w:sz w:val="21"/>
          <w:szCs w:val="21"/>
          <w:lang w:eastAsia="zh-CN"/>
        </w:rPr>
        <w:t>（</w:t>
      </w:r>
      <w:r>
        <w:rPr>
          <w:rFonts w:hint="eastAsia" w:ascii="宋体" w:hAnsi="宋体" w:cs="仿宋_GB2312"/>
          <w:sz w:val="21"/>
          <w:szCs w:val="21"/>
          <w:lang w:val="en-US" w:eastAsia="zh-CN"/>
        </w:rPr>
        <w:t>5</w:t>
      </w:r>
      <w:r>
        <w:rPr>
          <w:rFonts w:hint="eastAsia" w:ascii="宋体" w:hAnsi="宋体" w:cs="仿宋_GB2312"/>
          <w:sz w:val="21"/>
          <w:szCs w:val="21"/>
          <w:lang w:eastAsia="zh-CN"/>
        </w:rPr>
        <w:t>）</w:t>
      </w:r>
      <w:r>
        <w:rPr>
          <w:rFonts w:hint="eastAsia" w:hAnsi="宋体" w:cs="宋体"/>
        </w:rPr>
        <w:t>响应人认为需提供的其他资料。</w:t>
      </w:r>
    </w:p>
    <w:p>
      <w:pPr>
        <w:snapToGrid w:val="0"/>
        <w:spacing w:line="400" w:lineRule="exact"/>
        <w:ind w:firstLine="413" w:firstLineChars="196"/>
        <w:jc w:val="left"/>
        <w:rPr>
          <w:rFonts w:hAnsi="宋体" w:cs="宋体"/>
          <w:b/>
        </w:rPr>
      </w:pPr>
      <w:r>
        <w:rPr>
          <w:rFonts w:hint="eastAsia" w:hAnsi="宋体" w:cs="宋体"/>
          <w:b/>
        </w:rPr>
        <w:t>8.2 报价文件的内容组成：</w:t>
      </w:r>
    </w:p>
    <w:p>
      <w:pPr>
        <w:spacing w:line="400" w:lineRule="exact"/>
        <w:ind w:firstLine="359" w:firstLineChars="171"/>
        <w:rPr>
          <w:rFonts w:hAnsi="宋体" w:cs="宋体"/>
        </w:rPr>
      </w:pPr>
      <w:r>
        <w:rPr>
          <w:rFonts w:hint="eastAsia" w:ascii="宋体" w:hAnsi="宋体" w:cs="仿宋_GB2312"/>
          <w:sz w:val="21"/>
          <w:szCs w:val="21"/>
          <w:lang w:val="en-US" w:eastAsia="zh-CN"/>
        </w:rPr>
        <w:t>（1）</w:t>
      </w:r>
      <w:r>
        <w:rPr>
          <w:rFonts w:hint="eastAsia" w:hAnsi="宋体" w:cs="宋体"/>
        </w:rPr>
        <w:t>报价一览表（格式见附件）；</w:t>
      </w:r>
    </w:p>
    <w:p>
      <w:pPr>
        <w:spacing w:line="400" w:lineRule="exact"/>
        <w:ind w:firstLine="359" w:firstLineChars="171"/>
        <w:rPr>
          <w:rFonts w:hAnsi="宋体" w:cs="宋体"/>
        </w:rPr>
      </w:pPr>
      <w:r>
        <w:rPr>
          <w:rFonts w:hint="eastAsia" w:ascii="宋体" w:hAnsi="宋体" w:cs="仿宋_GB2312"/>
          <w:sz w:val="21"/>
          <w:szCs w:val="21"/>
          <w:lang w:val="en-US" w:eastAsia="zh-CN"/>
        </w:rPr>
        <w:t>（2）</w:t>
      </w:r>
      <w:r>
        <w:rPr>
          <w:rFonts w:hint="eastAsia" w:hAnsi="宋体" w:cs="宋体"/>
        </w:rPr>
        <w:t>投标函（格式见附件）；</w:t>
      </w:r>
    </w:p>
    <w:p>
      <w:pPr>
        <w:spacing w:line="400" w:lineRule="exact"/>
        <w:ind w:firstLine="359" w:firstLineChars="171"/>
        <w:rPr>
          <w:rFonts w:hAnsi="宋体" w:cs="宋体"/>
        </w:rPr>
      </w:pPr>
      <w:r>
        <w:rPr>
          <w:rFonts w:hint="eastAsia" w:ascii="宋体" w:hAnsi="宋体" w:cs="仿宋_GB2312"/>
          <w:sz w:val="21"/>
          <w:szCs w:val="21"/>
          <w:lang w:val="en-US" w:eastAsia="zh-CN"/>
        </w:rPr>
        <w:t>（3）</w:t>
      </w:r>
      <w:r>
        <w:rPr>
          <w:rFonts w:hint="eastAsia" w:hAnsi="宋体" w:cs="宋体"/>
        </w:rPr>
        <w:t>响应人针对报价需要说明的其他文件和资料（格式自拟）。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以上要求中如有原件备查或以原件为准的，请提交原件（单独包装并注明投标人名称）与投标同时递交，评审结束后退还给投标人。</w:t>
      </w:r>
    </w:p>
    <w:p>
      <w:pPr>
        <w:snapToGrid w:val="0"/>
        <w:spacing w:line="480" w:lineRule="exact"/>
        <w:ind w:firstLine="470" w:firstLineChars="196"/>
        <w:jc w:val="left"/>
        <w:outlineLvl w:val="0"/>
        <w:rPr>
          <w:rFonts w:ascii="宋体" w:hAnsi="宋体" w:cs="宋体"/>
          <w:szCs w:val="21"/>
        </w:rPr>
      </w:pPr>
      <w:r>
        <w:rPr>
          <w:rFonts w:hint="eastAsia" w:ascii="宋体" w:hAnsi="宋体" w:cs="宋体"/>
          <w:sz w:val="24"/>
        </w:rPr>
        <w:t>★</w:t>
      </w:r>
      <w:r>
        <w:rPr>
          <w:rFonts w:hint="eastAsia" w:ascii="宋体" w:hAnsi="宋体" w:cs="宋体"/>
          <w:b/>
          <w:szCs w:val="21"/>
        </w:rPr>
        <w:t>注：法定代表人授权书必须由法定代表人签名并加盖单位公章；投标函、报价一览表必须由法定代表人或授权代表签名并加盖单位公章；其中商务技术文件内容中不得出现与价格有关的描述，否则将做无效标处理。</w:t>
      </w:r>
    </w:p>
    <w:bookmarkEnd w:id="10"/>
    <w:p>
      <w:pPr>
        <w:snapToGrid w:val="0"/>
        <w:spacing w:line="480" w:lineRule="exact"/>
        <w:ind w:firstLine="413" w:firstLineChars="196"/>
        <w:jc w:val="left"/>
        <w:outlineLvl w:val="0"/>
        <w:rPr>
          <w:rFonts w:ascii="宋体" w:hAnsi="宋体" w:cs="宋体"/>
          <w:b/>
          <w:szCs w:val="21"/>
        </w:rPr>
      </w:pPr>
      <w:r>
        <w:rPr>
          <w:rFonts w:hint="eastAsia" w:ascii="宋体" w:hAnsi="宋体" w:cs="宋体"/>
          <w:b/>
          <w:szCs w:val="21"/>
        </w:rPr>
        <w:t>（二）投标文件的语言及计量</w:t>
      </w:r>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rFonts w:ascii="宋体" w:hAnsi="宋体" w:cs="宋体"/>
          <w:b/>
          <w:szCs w:val="21"/>
        </w:rPr>
      </w:pPr>
      <w:r>
        <w:rPr>
          <w:rFonts w:hint="eastAsia" w:ascii="宋体" w:hAnsi="宋体" w:cs="宋体"/>
          <w:sz w:val="24"/>
        </w:rPr>
        <w:t>★</w:t>
      </w: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bookmarkStart w:id="11" w:name="_Toc702"/>
    </w:p>
    <w:bookmarkEnd w:id="11"/>
    <w:p>
      <w:pPr>
        <w:numPr>
          <w:ilvl w:val="0"/>
          <w:numId w:val="3"/>
        </w:numPr>
        <w:tabs>
          <w:tab w:val="left" w:pos="525"/>
        </w:tabs>
        <w:snapToGrid w:val="0"/>
        <w:spacing w:line="480" w:lineRule="exact"/>
        <w:ind w:firstLine="422" w:firstLineChars="200"/>
        <w:jc w:val="left"/>
        <w:rPr>
          <w:rFonts w:ascii="宋体" w:hAnsi="宋体" w:cs="宋体"/>
          <w:b/>
          <w:bCs/>
          <w:szCs w:val="21"/>
        </w:rPr>
      </w:pPr>
      <w:r>
        <w:rPr>
          <w:rFonts w:hint="eastAsia" w:ascii="宋体" w:hAnsi="宋体" w:cs="宋体"/>
          <w:b/>
          <w:bCs/>
          <w:szCs w:val="21"/>
        </w:rPr>
        <w:t>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1、投标报价应按采购文件中相关附表格式填写；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★2、投标报价是履行合同的最终价格，具体详见第三章 投标人须知《前附表》；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★3、投标文件只允许有一个报价，有选择的或有条件的报价将不予接受。</w:t>
      </w:r>
    </w:p>
    <w:p>
      <w:pPr>
        <w:tabs>
          <w:tab w:val="left" w:pos="525"/>
        </w:tabs>
        <w:snapToGrid w:val="0"/>
        <w:spacing w:line="480" w:lineRule="exact"/>
        <w:ind w:firstLine="422" w:firstLineChars="200"/>
        <w:jc w:val="left"/>
        <w:rPr>
          <w:rFonts w:ascii="宋体" w:hAnsi="宋体" w:cs="宋体"/>
          <w:b/>
          <w:szCs w:val="21"/>
        </w:rPr>
      </w:pPr>
      <w:r>
        <w:rPr>
          <w:rFonts w:hint="eastAsia" w:ascii="宋体" w:hAnsi="宋体" w:cs="宋体"/>
          <w:b/>
          <w:bCs/>
          <w:szCs w:val="21"/>
        </w:rPr>
        <w:t>（四）</w:t>
      </w:r>
      <w:r>
        <w:rPr>
          <w:rFonts w:hint="eastAsia" w:ascii="宋体" w:hAnsi="宋体" w:cs="宋体"/>
          <w:b/>
          <w:szCs w:val="21"/>
        </w:rPr>
        <w:t>投标文件的有效期</w:t>
      </w:r>
    </w:p>
    <w:p>
      <w:pPr>
        <w:tabs>
          <w:tab w:val="left" w:pos="525"/>
        </w:tabs>
        <w:snapToGrid w:val="0"/>
        <w:spacing w:line="480" w:lineRule="exact"/>
        <w:ind w:firstLine="480" w:firstLineChars="200"/>
        <w:jc w:val="left"/>
        <w:rPr>
          <w:rFonts w:ascii="宋体" w:hAnsi="宋体" w:cs="宋体"/>
          <w:kern w:val="0"/>
          <w:szCs w:val="21"/>
        </w:rPr>
      </w:pPr>
      <w:r>
        <w:rPr>
          <w:rFonts w:hint="eastAsia" w:ascii="宋体" w:hAnsi="宋体" w:cs="宋体"/>
          <w:sz w:val="24"/>
        </w:rPr>
        <w:t>★</w:t>
      </w:r>
      <w:r>
        <w:rPr>
          <w:rFonts w:hint="eastAsia" w:ascii="宋体" w:hAnsi="宋体" w:cs="宋体"/>
          <w:kern w:val="0"/>
          <w:szCs w:val="21"/>
        </w:rPr>
        <w:t>1、自投标截止日起</w:t>
      </w:r>
      <w:r>
        <w:rPr>
          <w:rFonts w:hint="eastAsia"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2、在特殊情况下，招标人可与投标人协商延长投标书的有效期，这种要求和答复均以书面形式进行；</w:t>
      </w:r>
    </w:p>
    <w:p>
      <w:pPr>
        <w:snapToGrid w:val="0"/>
        <w:spacing w:line="480" w:lineRule="exact"/>
        <w:ind w:firstLine="420" w:firstLineChars="200"/>
        <w:jc w:val="left"/>
        <w:outlineLvl w:val="0"/>
        <w:rPr>
          <w:rFonts w:ascii="宋体" w:hAnsi="宋体" w:cs="宋体"/>
          <w:b/>
          <w:szCs w:val="21"/>
        </w:rPr>
      </w:pPr>
      <w:bookmarkStart w:id="12" w:name="_Toc26675"/>
      <w:r>
        <w:rPr>
          <w:rFonts w:hint="eastAsia" w:ascii="宋体" w:hAnsi="宋体" w:cs="宋体"/>
          <w:szCs w:val="21"/>
        </w:rPr>
        <w:t>3、投标人可拒绝接受延期要求而不会导致投标保证金被没收。同意延长有效期的投标人需要相应延长投标保证金的有效期，但不能修改投标文件</w:t>
      </w:r>
      <w:bookmarkEnd w:id="12"/>
      <w:r>
        <w:rPr>
          <w:rFonts w:hint="eastAsia" w:ascii="宋体" w:hAnsi="宋体" w:cs="宋体"/>
          <w:szCs w:val="21"/>
        </w:rPr>
        <w:t>；</w:t>
      </w:r>
    </w:p>
    <w:p>
      <w:pPr>
        <w:snapToGrid w:val="0"/>
        <w:spacing w:line="480" w:lineRule="exact"/>
        <w:ind w:firstLine="420" w:firstLineChars="200"/>
        <w:jc w:val="left"/>
        <w:outlineLvl w:val="0"/>
        <w:rPr>
          <w:rFonts w:ascii="宋体" w:hAnsi="宋体" w:cs="宋体"/>
          <w:b/>
          <w:szCs w:val="21"/>
        </w:rPr>
      </w:pPr>
      <w:bookmarkStart w:id="13" w:name="_Toc29670"/>
      <w:r>
        <w:rPr>
          <w:rFonts w:hint="eastAsia" w:ascii="宋体" w:hAnsi="宋体" w:cs="宋体"/>
          <w:szCs w:val="21"/>
        </w:rPr>
        <w:t>4、中标人的投标文件自开标之日起至合同履行完毕止均应保持有效。</w:t>
      </w:r>
      <w:bookmarkEnd w:id="13"/>
    </w:p>
    <w:p>
      <w:pPr>
        <w:snapToGrid w:val="0"/>
        <w:spacing w:line="480" w:lineRule="exact"/>
        <w:ind w:firstLine="413" w:firstLineChars="196"/>
        <w:jc w:val="left"/>
        <w:outlineLvl w:val="0"/>
        <w:rPr>
          <w:rFonts w:ascii="宋体" w:hAnsi="宋体" w:cs="宋体"/>
          <w:b/>
          <w:szCs w:val="21"/>
        </w:rPr>
      </w:pPr>
      <w:bookmarkStart w:id="14" w:name="_Toc3014"/>
      <w:r>
        <w:rPr>
          <w:rFonts w:hint="eastAsia" w:ascii="宋体" w:hAnsi="宋体" w:cs="宋体"/>
          <w:b/>
          <w:szCs w:val="21"/>
        </w:rPr>
        <w:t>（五）投标保证金</w:t>
      </w:r>
      <w:bookmarkEnd w:id="14"/>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1、投标人须按规定提交投标保证金。否则，其投标将被拒绝；</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2、保证金形式：转账支票（必须实时清算）、银行汇票或电汇；</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3、投标人在投标截止时间前撤回已提交的投标文件的，采购人或者采购代理机构应当自收到投标人书面撤回通知之日起5个工作日内，退还已收取的投标保证金，但因投标人自身原因导致无法及时退还的除外；</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4、采购人或者采购代理机构应当自中标通知书发出之日起5个工作日内退还未中标人的投标保证金，自采购合同签订之日起5个工作日内退还中标人的投标保证金或者转为中标人的履约保证金；</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5、</w:t>
      </w:r>
      <w:r>
        <w:rPr>
          <w:rFonts w:hint="eastAsia"/>
        </w:rPr>
        <w:t>除采购文件规定不予退还保证金的情形外，未中标的投标人，凭保证金收据和开户银行账号办理退款手续，在中标通知书发出后五个工作日内退还；中标投标人支付中标服务费后，凭合同、保证金收据和开户银行账号办理退款手续，自政府采购合同签订之日起5个工作日内退还。投标保证金以网银形式退还公司账户（不计息）。</w:t>
      </w:r>
    </w:p>
    <w:p>
      <w:pPr>
        <w:snapToGrid w:val="0"/>
        <w:spacing w:line="480" w:lineRule="exact"/>
        <w:ind w:firstLine="413" w:firstLineChars="196"/>
        <w:jc w:val="left"/>
        <w:rPr>
          <w:rFonts w:ascii="宋体" w:hAnsi="宋体" w:cs="宋体"/>
          <w:b/>
          <w:bCs/>
          <w:szCs w:val="21"/>
        </w:rPr>
      </w:pPr>
      <w:r>
        <w:rPr>
          <w:rFonts w:hint="eastAsia" w:ascii="宋体" w:hAnsi="宋体" w:cs="宋体"/>
          <w:b/>
          <w:bCs/>
          <w:szCs w:val="21"/>
        </w:rPr>
        <w:t>6、投标人有下列情形之一的，投标保证金将不予退还：</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（1）</w:t>
      </w:r>
      <w:r>
        <w:rPr>
          <w:rFonts w:hint="eastAsia" w:ascii="宋体" w:hAnsi="宋体" w:cs="宋体"/>
          <w:szCs w:val="21"/>
        </w:rPr>
        <w:t>投标人在投标有效期内撤回投标文件的；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（2）</w:t>
      </w:r>
      <w:r>
        <w:rPr>
          <w:rFonts w:hint="eastAsia" w:ascii="宋体" w:hAnsi="宋体" w:cs="宋体"/>
          <w:szCs w:val="21"/>
        </w:rPr>
        <w:t>投标人在投标过程中弄虚作假，提供虚假材料的；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（3）</w:t>
      </w:r>
      <w:r>
        <w:rPr>
          <w:rFonts w:hint="eastAsia" w:ascii="宋体" w:hAnsi="宋体" w:cs="宋体"/>
          <w:szCs w:val="21"/>
        </w:rPr>
        <w:t>中标人无正当理由不与采购人签订合同的；</w:t>
      </w:r>
    </w:p>
    <w:p>
      <w:pPr>
        <w:snapToGrid w:val="0"/>
        <w:spacing w:line="480" w:lineRule="exact"/>
        <w:ind w:firstLine="413" w:firstLineChars="196"/>
        <w:rPr>
          <w:rFonts w:ascii="宋体" w:hAnsi="宋体" w:cs="宋体"/>
          <w:bCs/>
          <w:szCs w:val="21"/>
        </w:rPr>
      </w:pPr>
      <w:r>
        <w:rPr>
          <w:rFonts w:hint="eastAsia" w:ascii="宋体" w:hAnsi="宋体" w:cs="宋体"/>
          <w:b/>
          <w:szCs w:val="21"/>
        </w:rPr>
        <w:t>（4）</w:t>
      </w:r>
      <w:r>
        <w:rPr>
          <w:rFonts w:hint="eastAsia" w:ascii="宋体" w:hAnsi="宋体" w:cs="宋体"/>
          <w:bCs/>
          <w:szCs w:val="21"/>
        </w:rPr>
        <w:t>将中标项目转让给他人或者在投标文件中未说明且未经招标采购单位同意，将中标项目分包给他人的；</w:t>
      </w:r>
    </w:p>
    <w:p>
      <w:pPr>
        <w:snapToGrid w:val="0"/>
        <w:spacing w:line="480" w:lineRule="exact"/>
        <w:ind w:firstLine="413" w:firstLineChars="196"/>
        <w:rPr>
          <w:rFonts w:ascii="宋体" w:hAnsi="宋体" w:cs="宋体"/>
          <w:szCs w:val="21"/>
        </w:rPr>
      </w:pPr>
      <w:r>
        <w:rPr>
          <w:rFonts w:hint="eastAsia" w:ascii="宋体" w:hAnsi="宋体" w:cs="宋体"/>
          <w:b/>
          <w:szCs w:val="21"/>
        </w:rPr>
        <w:t>（5）</w:t>
      </w:r>
      <w:r>
        <w:rPr>
          <w:rFonts w:hint="eastAsia" w:ascii="宋体" w:hAnsi="宋体" w:cs="宋体"/>
          <w:szCs w:val="21"/>
        </w:rPr>
        <w:t>拒绝履行合同义务的；</w:t>
      </w:r>
    </w:p>
    <w:p>
      <w:pPr>
        <w:snapToGrid w:val="0"/>
        <w:spacing w:line="480" w:lineRule="exact"/>
        <w:ind w:firstLine="413" w:firstLineChars="196"/>
        <w:rPr>
          <w:rFonts w:ascii="宋体" w:hAnsi="宋体" w:cs="宋体"/>
          <w:szCs w:val="21"/>
        </w:rPr>
      </w:pPr>
      <w:r>
        <w:rPr>
          <w:rFonts w:hint="eastAsia" w:ascii="宋体" w:hAnsi="宋体" w:cs="宋体"/>
          <w:b/>
          <w:szCs w:val="21"/>
        </w:rPr>
        <w:t>（6）</w:t>
      </w:r>
      <w:r>
        <w:rPr>
          <w:rFonts w:hint="eastAsia" w:ascii="宋体" w:hAnsi="宋体" w:cs="宋体"/>
          <w:szCs w:val="21"/>
        </w:rPr>
        <w:t>其他严重扰乱招投标程序的。</w:t>
      </w:r>
    </w:p>
    <w:p>
      <w:pPr>
        <w:snapToGrid w:val="0"/>
        <w:spacing w:line="480" w:lineRule="exact"/>
        <w:ind w:firstLine="413" w:firstLineChars="196"/>
        <w:jc w:val="left"/>
        <w:outlineLvl w:val="0"/>
        <w:rPr>
          <w:rFonts w:ascii="宋体" w:hAnsi="宋体" w:cs="宋体"/>
          <w:b/>
          <w:szCs w:val="21"/>
        </w:rPr>
      </w:pPr>
      <w:bookmarkStart w:id="15" w:name="_Toc1449"/>
      <w:r>
        <w:rPr>
          <w:rFonts w:hint="eastAsia" w:ascii="宋体" w:hAnsi="宋体" w:cs="宋体"/>
          <w:b/>
          <w:szCs w:val="21"/>
        </w:rPr>
        <w:t>（六）投标文件的签署和份数</w:t>
      </w:r>
      <w:bookmarkEnd w:id="15"/>
    </w:p>
    <w:p>
      <w:pPr>
        <w:snapToGrid w:val="0"/>
        <w:spacing w:line="480" w:lineRule="exact"/>
        <w:ind w:firstLine="411" w:firstLineChars="196"/>
        <w:rPr>
          <w:rFonts w:ascii="宋体" w:hAnsi="宋体" w:cs="宋体"/>
          <w:bCs/>
          <w:szCs w:val="21"/>
        </w:rPr>
      </w:pPr>
      <w:r>
        <w:rPr>
          <w:rFonts w:hint="eastAsia" w:ascii="宋体" w:hAnsi="宋体" w:cs="宋体"/>
          <w:bCs/>
          <w:szCs w:val="21"/>
        </w:rPr>
        <w:t>1、投标人应按本采购文件规定的格式和顺序编制、装订投标文件，投标文件要求有目录并标注页码，投标文件内容不完整、编排混乱导致投标文件被误读、漏读或者查找不到相关内容的，是投标人的责任；</w:t>
      </w:r>
    </w:p>
    <w:p>
      <w:pPr>
        <w:snapToGrid w:val="0"/>
        <w:spacing w:line="480" w:lineRule="exact"/>
        <w:ind w:firstLine="411" w:firstLineChars="196"/>
        <w:rPr>
          <w:rFonts w:ascii="宋体" w:hAnsi="宋体" w:cs="宋体"/>
          <w:b/>
          <w:szCs w:val="21"/>
        </w:rPr>
      </w:pPr>
      <w:r>
        <w:rPr>
          <w:rFonts w:hint="eastAsia" w:ascii="宋体" w:hAnsi="宋体" w:cs="宋体"/>
          <w:bCs/>
          <w:szCs w:val="21"/>
        </w:rPr>
        <w:t>2、投标文件要求正本1份，副本2份，装订成册，投标文件的封面应注明“正本”、“副本”字样。</w:t>
      </w:r>
      <w:r>
        <w:rPr>
          <w:rFonts w:hint="eastAsia" w:ascii="宋体" w:hAnsi="宋体" w:cs="宋体"/>
          <w:b/>
          <w:szCs w:val="21"/>
        </w:rPr>
        <w:t>活页装订的投标文件将被拒绝；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投标报价文件及技术商务文件应分别装订、密封、包装，未按规定装订、密封、包装的投标文件将被拒绝；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3、投标文件的正本需打印或用不褪色的墨水填写，投标文件正本除本《投标人须知》中规定的可提供复印件外均须提供原件。副本为正本的复印件。投标文件正、副本内容不一致的，以正本为准；</w:t>
      </w:r>
    </w:p>
    <w:p>
      <w:pPr>
        <w:snapToGrid w:val="0"/>
        <w:spacing w:line="480" w:lineRule="exact"/>
        <w:ind w:firstLine="411" w:firstLineChars="196"/>
        <w:rPr>
          <w:rFonts w:ascii="宋体" w:hAnsi="宋体" w:cs="宋体"/>
          <w:bCs/>
          <w:szCs w:val="21"/>
        </w:rPr>
      </w:pPr>
      <w:r>
        <w:rPr>
          <w:rFonts w:hint="eastAsia" w:ascii="宋体" w:hAnsi="宋体" w:cs="宋体"/>
          <w:bCs/>
          <w:szCs w:val="21"/>
        </w:rPr>
        <w:t>4、投标文件须由投标人在规定位置盖章并由法定代表人或法定代表人的授权委托人签署，投标人应写全称；</w:t>
      </w:r>
    </w:p>
    <w:p>
      <w:pPr>
        <w:snapToGrid w:val="0"/>
        <w:spacing w:line="480" w:lineRule="exact"/>
        <w:ind w:firstLine="411" w:firstLineChars="196"/>
        <w:rPr>
          <w:rFonts w:ascii="宋体" w:hAnsi="宋体" w:cs="宋体"/>
          <w:bCs/>
          <w:szCs w:val="21"/>
        </w:rPr>
      </w:pPr>
      <w:r>
        <w:rPr>
          <w:rFonts w:hint="eastAsia" w:ascii="宋体" w:hAnsi="宋体" w:cs="宋体"/>
          <w:bCs/>
          <w:szCs w:val="21"/>
        </w:rPr>
        <w:t>5、投标文件不得涂改，若有修改错漏处，须加盖单位公章或者法定代表人或授权委托人签字或盖章。投标文件因字迹潦草或表达不清所引起的后果由投标人负责。</w:t>
      </w:r>
    </w:p>
    <w:p>
      <w:pPr>
        <w:snapToGrid w:val="0"/>
        <w:spacing w:line="480" w:lineRule="exact"/>
        <w:ind w:firstLine="310" w:firstLineChars="147"/>
        <w:jc w:val="left"/>
        <w:rPr>
          <w:rFonts w:ascii="宋体" w:hAnsi="宋体" w:cs="宋体"/>
          <w:b/>
          <w:szCs w:val="21"/>
        </w:rPr>
      </w:pPr>
      <w:r>
        <w:rPr>
          <w:rFonts w:hint="eastAsia" w:ascii="宋体" w:hAnsi="宋体" w:cs="宋体"/>
          <w:b/>
          <w:szCs w:val="21"/>
        </w:rPr>
        <w:t>（七）投标文件的包装、递交、修改和撤回</w:t>
      </w:r>
    </w:p>
    <w:p>
      <w:pPr>
        <w:snapToGrid w:val="0"/>
        <w:spacing w:line="480" w:lineRule="exact"/>
        <w:ind w:firstLine="411" w:firstLineChars="196"/>
        <w:rPr>
          <w:rFonts w:ascii="宋体" w:hAnsi="宋体" w:cs="宋体"/>
          <w:bCs/>
          <w:szCs w:val="21"/>
        </w:rPr>
      </w:pPr>
      <w:bookmarkStart w:id="16" w:name="_Toc15401"/>
      <w:r>
        <w:rPr>
          <w:rFonts w:hint="eastAsia" w:ascii="宋体" w:hAnsi="宋体" w:cs="宋体"/>
          <w:bCs/>
          <w:szCs w:val="21"/>
        </w:rPr>
        <w:t>1、投标文件由报价文件、技术商务文件组成，投标文件须装订成册（技术商务文件和报价文件可一起装订）</w:t>
      </w:r>
      <w:r>
        <w:rPr>
          <w:rFonts w:hint="eastAsia" w:ascii="宋体" w:hAnsi="宋体" w:cs="宋体"/>
          <w:szCs w:val="21"/>
        </w:rPr>
        <w:t>。</w:t>
      </w:r>
      <w:r>
        <w:rPr>
          <w:rFonts w:hint="eastAsia" w:ascii="宋体" w:hAnsi="宋体" w:cs="宋体"/>
          <w:bCs/>
          <w:szCs w:val="21"/>
        </w:rPr>
        <w:t>投标文件的包装封面上应注明投标人名称、投标人地址、投标文件名称、项目名称、项目编号，并加盖投标人公章；</w:t>
      </w:r>
    </w:p>
    <w:p>
      <w:pPr>
        <w:snapToGrid w:val="0"/>
        <w:spacing w:line="480" w:lineRule="exact"/>
        <w:ind w:firstLine="411" w:firstLineChars="196"/>
        <w:rPr>
          <w:rFonts w:ascii="宋体" w:hAnsi="宋体" w:cs="宋体"/>
          <w:bCs/>
          <w:szCs w:val="21"/>
        </w:rPr>
      </w:pPr>
      <w:r>
        <w:rPr>
          <w:rFonts w:hint="eastAsia" w:ascii="宋体" w:hAnsi="宋体" w:cs="宋体"/>
          <w:bCs/>
          <w:szCs w:val="21"/>
        </w:rPr>
        <w:t>2、未按规定密封或标记的投标文件将被拒绝，由此造成投标文件被误投或提前拆封的风险由投标人承担；</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人在投标截止时间前，可以对所递交的投标文件进行补充、修改或者撤回，并书面通知采购人或者采购代理机构。补充、修改的内容应当按照采购文件要求签署、盖章、密封后，作为投标文件的组成部分。</w:t>
      </w:r>
    </w:p>
    <w:bookmarkEnd w:id="16"/>
    <w:p>
      <w:pPr>
        <w:pStyle w:val="10"/>
        <w:snapToGrid w:val="0"/>
        <w:spacing w:line="360" w:lineRule="auto"/>
        <w:ind w:firstLine="398" w:firstLineChars="196"/>
        <w:outlineLvl w:val="1"/>
        <w:rPr>
          <w:rFonts w:asciiTheme="minorEastAsia" w:hAnsiTheme="minorEastAsia" w:eastAsiaTheme="minorEastAsia" w:cstheme="minorEastAsia"/>
          <w:b/>
          <w:sz w:val="21"/>
          <w:szCs w:val="21"/>
        </w:rPr>
      </w:pPr>
      <w:bookmarkStart w:id="17" w:name="_Toc12832"/>
    </w:p>
    <w:p>
      <w:pPr>
        <w:pStyle w:val="10"/>
        <w:snapToGrid w:val="0"/>
        <w:spacing w:line="360" w:lineRule="auto"/>
        <w:ind w:firstLine="406" w:firstLineChars="200"/>
        <w:outlineLvl w:val="1"/>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四、开标</w:t>
      </w:r>
      <w:bookmarkEnd w:id="17"/>
    </w:p>
    <w:p>
      <w:pPr>
        <w:pStyle w:val="12"/>
        <w:snapToGrid w:val="0"/>
        <w:spacing w:before="156" w:afterLines="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（一）开标准备</w:t>
      </w:r>
    </w:p>
    <w:p>
      <w:pPr>
        <w:pStyle w:val="12"/>
        <w:snapToGrid w:val="0"/>
        <w:spacing w:beforeLines="0" w:afterLines="0"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12"/>
        <w:snapToGrid w:val="0"/>
        <w:spacing w:before="156" w:after="156"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 开标程序：</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1、开标会由采购代理机构主持，主持人宣布开标会议开始；</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2、主持人介绍参加开标会的人员名单；</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3、主持人宣布评标期间的有关事项，告知应当回避的情形,提请有关人员回避；</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4、投标人或其当场推荐的代表检查投标文件密封的完整性并签字确认；</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5、按各投标人提交投标文件时间的先后顺序打开投标文件外包装，清点投标文件正本、副本数量；</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6、资格审查、符合性检查、技术、资信售后服务及其他分评分结束后，由主持人公布无效投标的投标人名单、投标无效的原因；</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7、由各投标人进行二次报价后，宣布其他有效投标的评分结果，由主持人宣读再次报价一览表中的投标人名称及在其投标文件中承诺的投标报价等投标内容，以及采购代理机构认为有必要宣读的其他内容；</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8、采购代理机构做开标记录, 同时由记录人、监督人当场签字确认；</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9、评审结束后，主持人公布中标候选投标人名单，及采购人最终确定中标或成交投标人名单的时间和公告方式等；</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10、开标会议结束。</w:t>
      </w:r>
    </w:p>
    <w:p>
      <w:pPr>
        <w:pStyle w:val="12"/>
        <w:snapToGrid w:val="0"/>
        <w:spacing w:before="156" w:after="156" w:line="360" w:lineRule="auto"/>
        <w:ind w:left="772" w:leftChars="267" w:hanging="211" w:hangingChars="100"/>
        <w:outlineLvl w:val="1"/>
        <w:rPr>
          <w:rFonts w:asciiTheme="minorEastAsia" w:hAnsiTheme="minorEastAsia" w:eastAsiaTheme="minorEastAsia" w:cstheme="minorEastAsia"/>
          <w:b/>
          <w:sz w:val="21"/>
          <w:szCs w:val="21"/>
        </w:rPr>
      </w:pPr>
      <w:bookmarkStart w:id="18" w:name="_Toc22883"/>
      <w:r>
        <w:rPr>
          <w:rFonts w:hint="eastAsia" w:asciiTheme="minorEastAsia" w:hAnsiTheme="minorEastAsia" w:eastAsiaTheme="minorEastAsia" w:cstheme="minorEastAsia"/>
          <w:b/>
          <w:sz w:val="21"/>
          <w:szCs w:val="21"/>
        </w:rPr>
        <w:t>五、评标</w:t>
      </w:r>
      <w:bookmarkEnd w:id="18"/>
    </w:p>
    <w:p>
      <w:pPr>
        <w:pStyle w:val="12"/>
        <w:snapToGrid w:val="0"/>
        <w:spacing w:before="156" w:after="156"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（一）组建评标委员会</w:t>
      </w:r>
    </w:p>
    <w:p>
      <w:pPr>
        <w:pStyle w:val="12"/>
        <w:snapToGrid w:val="0"/>
        <w:spacing w:before="156" w:after="156"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本项目评标委员会按照相关法律规定组成。</w:t>
      </w:r>
    </w:p>
    <w:p>
      <w:pPr>
        <w:pStyle w:val="12"/>
        <w:snapToGrid w:val="0"/>
        <w:spacing w:before="156" w:after="156"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（二）评标的方式</w:t>
      </w:r>
    </w:p>
    <w:p>
      <w:pPr>
        <w:pStyle w:val="12"/>
        <w:snapToGrid w:val="0"/>
        <w:spacing w:before="156" w:after="156" w:line="360" w:lineRule="auto"/>
        <w:ind w:left="689" w:leftChars="228"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本项目评标的依据为《中华人民共和国政府采购法》相关规定及文件。</w:t>
      </w:r>
    </w:p>
    <w:p>
      <w:pPr>
        <w:pStyle w:val="12"/>
        <w:snapToGrid w:val="0"/>
        <w:spacing w:before="156" w:after="156"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w:t>
      </w:r>
      <w:r>
        <w:rPr>
          <w:rFonts w:hint="eastAsia" w:asciiTheme="minorEastAsia" w:hAnsiTheme="minorEastAsia" w:eastAsiaTheme="minorEastAsia" w:cstheme="minorEastAsia"/>
          <w:b/>
          <w:bCs/>
          <w:sz w:val="21"/>
          <w:szCs w:val="21"/>
        </w:rPr>
        <w:t>评标程序</w:t>
      </w:r>
    </w:p>
    <w:p>
      <w:pPr>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
          <w:szCs w:val="21"/>
        </w:rPr>
        <w:t>资格条件审查</w:t>
      </w:r>
    </w:p>
    <w:p>
      <w:pPr>
        <w:spacing w:line="360" w:lineRule="auto"/>
        <w:ind w:firstLine="522" w:firstLineChars="24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由采购人或代理机构对投标人的资格进行审查。</w:t>
      </w:r>
    </w:p>
    <w:tbl>
      <w:tblPr>
        <w:tblStyle w:val="26"/>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审查类别</w:t>
            </w:r>
          </w:p>
        </w:tc>
        <w:tc>
          <w:tcPr>
            <w:tcW w:w="677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restar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资格条件审查</w:t>
            </w:r>
          </w:p>
        </w:tc>
        <w:tc>
          <w:tcPr>
            <w:tcW w:w="6772"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6772"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6772"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6772"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w:t>
            </w:r>
            <w:r>
              <w:rPr>
                <w:rFonts w:hint="eastAsia" w:hAnsi="宋体" w:cs="宋体"/>
                <w:color w:val="000000"/>
              </w:rPr>
              <w:t>必须具</w:t>
            </w:r>
            <w:r>
              <w:rPr>
                <w:rFonts w:hint="eastAsia" w:hAnsi="宋体" w:cs="宋体"/>
                <w:color w:val="000000"/>
                <w:lang w:eastAsia="zh-CN"/>
              </w:rPr>
              <w:t>有</w:t>
            </w:r>
            <w:r>
              <w:rPr>
                <w:rFonts w:hint="eastAsia"/>
                <w:szCs w:val="24"/>
              </w:rPr>
              <w:t>《城市建筑垃圾经营服务企业资格许可证》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6772"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（五）采购文件要求的其他资格条件（如有）</w:t>
            </w:r>
          </w:p>
        </w:tc>
      </w:tr>
    </w:tbl>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2.符合性审查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评标委员会应当对符合资格的投标人的投标文件进行符合性审查，以确定其是否满足采购文件的实质性要求。</w:t>
      </w:r>
    </w:p>
    <w:tbl>
      <w:tblPr>
        <w:tblStyle w:val="26"/>
        <w:tblW w:w="83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审查类别</w:t>
            </w:r>
          </w:p>
        </w:tc>
        <w:tc>
          <w:tcPr>
            <w:tcW w:w="6776"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532"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w:t>
            </w:r>
          </w:p>
        </w:tc>
        <w:tc>
          <w:tcPr>
            <w:tcW w:w="6776" w:type="dxa"/>
            <w:vAlign w:val="center"/>
          </w:tcPr>
          <w:p>
            <w:pPr>
              <w:tabs>
                <w:tab w:val="left" w:pos="612"/>
              </w:tabs>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6776" w:type="dxa"/>
            <w:vAlign w:val="center"/>
          </w:tcPr>
          <w:p>
            <w:pPr>
              <w:tabs>
                <w:tab w:val="left" w:pos="612"/>
              </w:tabs>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投标人按采购文件要求缴纳投标保证金的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6776" w:type="dxa"/>
            <w:vAlign w:val="center"/>
          </w:tcPr>
          <w:p>
            <w:pPr>
              <w:tabs>
                <w:tab w:val="left" w:pos="612"/>
              </w:tabs>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按照采购文件规定要求签署、盖章且投标文件有法定代表人</w:t>
            </w:r>
            <w:r>
              <w:rPr>
                <w:rFonts w:hint="eastAsia" w:asciiTheme="minorEastAsia" w:hAnsiTheme="minorEastAsia" w:eastAsiaTheme="minorEastAsia" w:cstheme="minorEastAsia"/>
                <w:szCs w:val="21"/>
                <w:lang w:eastAsia="zh-TW"/>
              </w:rPr>
              <w:t>签署本人姓名（或印盖本人姓名章）</w:t>
            </w:r>
            <w:r>
              <w:rPr>
                <w:rFonts w:hint="eastAsia" w:asciiTheme="minorEastAsia" w:hAnsiTheme="minorEastAsia" w:eastAsiaTheme="minorEastAsia" w:cstheme="minorEastAsia"/>
                <w:szCs w:val="21"/>
              </w:rPr>
              <w:t>，或</w:t>
            </w:r>
            <w:r>
              <w:rPr>
                <w:rFonts w:hint="eastAsia" w:asciiTheme="minorEastAsia" w:hAnsiTheme="minorEastAsia" w:eastAsiaTheme="minorEastAsia" w:cstheme="minorEastAsia"/>
                <w:szCs w:val="21"/>
                <w:lang w:eastAsia="zh-TW"/>
              </w:rPr>
              <w:t>签署</w:t>
            </w:r>
            <w:r>
              <w:rPr>
                <w:rFonts w:hint="eastAsia" w:asciiTheme="minorEastAsia" w:hAnsiTheme="minorEastAsia" w:eastAsiaTheme="minorEastAsia" w:cstheme="minorEastAsia"/>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6776" w:type="dxa"/>
            <w:vAlign w:val="center"/>
          </w:tcPr>
          <w:p>
            <w:pPr>
              <w:tabs>
                <w:tab w:val="left" w:pos="612"/>
              </w:tabs>
              <w:spacing w:beforeLines="50" w:afterLines="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投标文件完全满足采购文件的实质性条款（即标注</w:t>
            </w:r>
            <w:r>
              <w:rPr>
                <w:rFonts w:hint="eastAsia" w:ascii="宋体" w:hAnsi="宋体" w:cs="宋体"/>
                <w:sz w:val="24"/>
              </w:rPr>
              <w:t>★</w:t>
            </w:r>
            <w:r>
              <w:rPr>
                <w:rFonts w:hint="eastAsia" w:asciiTheme="minorEastAsia" w:hAnsiTheme="minorEastAsia" w:eastAsiaTheme="minorEastAsia" w:cstheme="minorEastAsia"/>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6776" w:type="dxa"/>
            <w:vAlign w:val="center"/>
          </w:tcPr>
          <w:p>
            <w:pPr>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6776" w:type="dxa"/>
            <w:vAlign w:val="center"/>
          </w:tcPr>
          <w:p>
            <w:pPr>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6776" w:type="dxa"/>
            <w:vAlign w:val="center"/>
          </w:tcPr>
          <w:p>
            <w:pPr>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按照采购文件要求提供其他证明材料（如有）</w:t>
            </w:r>
          </w:p>
        </w:tc>
      </w:tr>
    </w:tbl>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3.详细评审</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评标委员会对资格审查、符合性审查合格的投标文件，依照本办法对投标文件作进一步评审、比较。评标委员会成员经过阅标、审标和询标，对各投标人进行打分；</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评委打分参照本部分《</w:t>
      </w:r>
      <w:r>
        <w:rPr>
          <w:rFonts w:hint="eastAsia" w:asciiTheme="minorEastAsia" w:hAnsiTheme="minorEastAsia" w:eastAsiaTheme="minorEastAsia" w:cstheme="minorEastAsia"/>
          <w:kern w:val="0"/>
          <w:szCs w:val="21"/>
          <w:lang w:eastAsia="zh-CN"/>
        </w:rPr>
        <w:t>白峤岭石料运输填方项目</w:t>
      </w:r>
      <w:r>
        <w:rPr>
          <w:rFonts w:hint="eastAsia" w:asciiTheme="minorEastAsia" w:hAnsiTheme="minorEastAsia" w:eastAsiaTheme="minorEastAsia" w:cstheme="minorEastAsia"/>
          <w:kern w:val="0"/>
          <w:szCs w:val="21"/>
        </w:rPr>
        <w:t>评分表》。由各评标委员会成员根据投标人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snapToGrid w:val="0"/>
        <w:spacing w:beforeLines="50" w:line="360" w:lineRule="auto"/>
        <w:ind w:firstLine="413" w:firstLineChars="196"/>
        <w:outlineLvl w:val="2"/>
        <w:rPr>
          <w:rFonts w:asciiTheme="minorEastAsia" w:hAnsiTheme="minorEastAsia" w:eastAsiaTheme="minorEastAsia" w:cstheme="minorEastAsia"/>
          <w:b/>
          <w:szCs w:val="21"/>
        </w:rPr>
      </w:pPr>
      <w:bookmarkStart w:id="19" w:name="_Toc13921"/>
      <w:r>
        <w:rPr>
          <w:rFonts w:hint="eastAsia" w:asciiTheme="minorEastAsia" w:hAnsiTheme="minorEastAsia" w:eastAsiaTheme="minorEastAsia" w:cstheme="minorEastAsia"/>
          <w:b/>
          <w:szCs w:val="21"/>
        </w:rPr>
        <w:t>4.投标无效的情形</w:t>
      </w:r>
      <w:bookmarkEnd w:id="19"/>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0"/>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在资格审查中，如发现下列情形之一的，投标文件将被视为无效：</w:t>
      </w:r>
    </w:p>
    <w:p>
      <w:pPr>
        <w:numPr>
          <w:ilvl w:val="0"/>
          <w:numId w:val="4"/>
        </w:num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资格证明文件不全的，或者不符合采购文件标明的资格要求的；</w:t>
      </w:r>
    </w:p>
    <w:p>
      <w:pPr>
        <w:pStyle w:val="10"/>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在符合性审查和商务评审时，如发现下列情形之一的，投标文件将被视为无效：</w:t>
      </w:r>
    </w:p>
    <w:p>
      <w:p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（1）超出经营范围投标的；</w:t>
      </w:r>
    </w:p>
    <w:p>
      <w:pPr>
        <w:snapToGrid w:val="0"/>
        <w:spacing w:line="360" w:lineRule="auto"/>
        <w:ind w:firstLine="411" w:firstLineChars="196"/>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（2）投标文件无法定代表人签字,或未</w:t>
      </w:r>
      <w:r>
        <w:rPr>
          <w:rFonts w:hint="eastAsia" w:asciiTheme="minorEastAsia" w:hAnsiTheme="minorEastAsia" w:eastAsiaTheme="minorEastAsia" w:cstheme="minorEastAsia"/>
          <w:bCs/>
          <w:kern w:val="0"/>
          <w:szCs w:val="21"/>
        </w:rPr>
        <w:t>提供法定代表人授权委托书、投标声明书或者填写项目不齐全的；</w:t>
      </w:r>
    </w:p>
    <w:p>
      <w:p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（3）投标代表人未能出具身份证明或与法定代表人授权委托人身份不符的； </w:t>
      </w:r>
    </w:p>
    <w:p>
      <w:pPr>
        <w:pStyle w:val="10"/>
        <w:snapToGrid w:val="0"/>
        <w:spacing w:line="360" w:lineRule="auto"/>
        <w:ind w:firstLine="395" w:firstLineChars="196"/>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sz w:val="21"/>
          <w:szCs w:val="21"/>
        </w:rPr>
        <w:t>4）</w:t>
      </w:r>
      <w:r>
        <w:rPr>
          <w:rFonts w:hint="eastAsia" w:asciiTheme="minorEastAsia" w:hAnsiTheme="minorEastAsia" w:eastAsiaTheme="minorEastAsia" w:cstheme="minorEastAsia"/>
          <w:sz w:val="21"/>
          <w:szCs w:val="21"/>
        </w:rPr>
        <w:t>投标文件格式不规范、项目不齐全或者内容虚假的；</w:t>
      </w:r>
    </w:p>
    <w:p>
      <w:pPr>
        <w:pStyle w:val="10"/>
        <w:snapToGrid w:val="0"/>
        <w:spacing w:line="360" w:lineRule="auto"/>
        <w:ind w:firstLine="395" w:firstLineChars="196"/>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（5）投标文件的实质性内容未使用中文表述、意思表述不明确、前后矛盾或者使用计量单位不符合采购文件要求的（经评标委员会认定并允许其当场更正的笔误除外）；</w:t>
      </w:r>
    </w:p>
    <w:p>
      <w:pPr>
        <w:pStyle w:val="10"/>
        <w:snapToGrid w:val="0"/>
        <w:spacing w:line="360" w:lineRule="auto"/>
        <w:ind w:firstLine="398" w:firstLineChars="196"/>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napToGrid w:val="0"/>
          <w:sz w:val="21"/>
          <w:szCs w:val="21"/>
        </w:rPr>
        <w:t>6）投标有效期、交货时间、质保期等商务条款不能满足采购文件要求的；</w:t>
      </w:r>
    </w:p>
    <w:p>
      <w:pPr>
        <w:pStyle w:val="10"/>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（7）未实质性响应采购文件要求或者投标文件有招标方不能接受的附加条件的；</w:t>
      </w:r>
    </w:p>
    <w:p>
      <w:pPr>
        <w:pStyle w:val="10"/>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（8）未按规定交纳投标保证金的；</w:t>
      </w:r>
    </w:p>
    <w:p>
      <w:pPr>
        <w:pStyle w:val="10"/>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（9）未按规定签章的；</w:t>
      </w:r>
    </w:p>
    <w:p>
      <w:pPr>
        <w:pStyle w:val="10"/>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（10）投标文件的关键内容字迹模糊、无法辨认的,或者投标文件中经修正的内容字迹模糊难以辩认或者修改处未按规定签名盖章。</w:t>
      </w:r>
    </w:p>
    <w:p>
      <w:pPr>
        <w:pStyle w:val="10"/>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在技术评审时，如发现下列情形之一的，投标文件将被视为无效：</w:t>
      </w:r>
    </w:p>
    <w:p>
      <w:pPr>
        <w:pStyle w:val="10"/>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（1）未提供或未如实提供投标货物或服务的技术参数，或者投标文件标明的响应或偏离与事实不符或虚假投标的；</w:t>
      </w:r>
    </w:p>
    <w:p>
      <w:pPr>
        <w:pStyle w:val="10"/>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napToGrid w:val="0"/>
          <w:sz w:val="21"/>
          <w:szCs w:val="21"/>
        </w:rPr>
        <w:t>明显不符合采购文件要求的规格型号、质量标准，或者与</w:t>
      </w:r>
      <w:r>
        <w:rPr>
          <w:rFonts w:hint="eastAsia" w:asciiTheme="minorEastAsia" w:hAnsiTheme="minorEastAsia" w:eastAsiaTheme="minorEastAsia" w:cstheme="minorEastAsia"/>
          <w:sz w:val="21"/>
          <w:szCs w:val="21"/>
        </w:rPr>
        <w:t>采购文件中标“</w:t>
      </w:r>
      <w:r>
        <w:rPr>
          <w:rFonts w:hint="eastAsia" w:hAnsi="宋体" w:cs="宋体"/>
          <w:sz w:val="24"/>
        </w:rPr>
        <w:t>★</w:t>
      </w:r>
      <w:r>
        <w:rPr>
          <w:rFonts w:hint="eastAsia" w:asciiTheme="minorEastAsia" w:hAnsiTheme="minorEastAsia" w:eastAsiaTheme="minorEastAsia" w:cstheme="minorEastAsia"/>
          <w:sz w:val="21"/>
          <w:szCs w:val="21"/>
        </w:rPr>
        <w:t>”的技术指标、主要功能项目发生实质性偏离的；</w:t>
      </w:r>
    </w:p>
    <w:p>
      <w:pPr>
        <w:pStyle w:val="10"/>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（3）投标技术方案不明确，存在一个或一个以上备选（替代）投标方案的；</w:t>
      </w:r>
    </w:p>
    <w:p>
      <w:pPr>
        <w:pStyle w:val="10"/>
        <w:snapToGrid w:val="0"/>
        <w:spacing w:line="360" w:lineRule="auto"/>
        <w:ind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（4）与其他参加本次投标投标人的投标文件（技术文件）的文字表述内容相同连续20行以上或者差错相同2处以上的。</w:t>
      </w:r>
    </w:p>
    <w:p>
      <w:pPr>
        <w:pStyle w:val="10"/>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在报价评审时，如发现下列情形之一的，投标文件将被视为无效：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（1）未采用人民币报价或者未按照采购文件标明的币种报价的；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（2）报价超出最高限价，或者超出采购预算金额(自主创新产品除外)，采购人不能支付的；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（3）投标报价具有选择性；</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（4）投标报价中出现重大缺项、漏项；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（5）评标委员会认为投标人的报价明显低于其他通过符合性审查投标人的报价，有可能影响产品质量或者不能诚信履约的，且不能在评标现场合理时间内提供相关证明材料说明其报价的合理性的。</w:t>
      </w:r>
    </w:p>
    <w:p>
      <w:pPr>
        <w:pStyle w:val="10"/>
        <w:snapToGrid w:val="0"/>
        <w:spacing w:line="360" w:lineRule="auto"/>
        <w:ind w:left="420"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法律、法规和采购文件规定的其他无效情形。</w:t>
      </w:r>
    </w:p>
    <w:p>
      <w:pPr>
        <w:snapToGrid w:val="0"/>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（四）澄清问题的形式</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对于投标文件中含义不明确、同类问题表述不一致或者有明显文字和计算错误的内容，</w:t>
      </w:r>
      <w:r>
        <w:rPr>
          <w:rFonts w:hint="eastAsia" w:asciiTheme="minorEastAsia" w:hAnsiTheme="minorEastAsia" w:eastAsiaTheme="minorEastAsia" w:cstheme="minorEastAsia"/>
          <w:b/>
          <w:bCs/>
          <w:szCs w:val="21"/>
        </w:rPr>
        <w:t>评标委员会应当以书面形式要求投标人作出必要的澄清、说明或者补正。</w:t>
      </w:r>
      <w:r>
        <w:rPr>
          <w:rFonts w:hint="eastAsia" w:asciiTheme="minorEastAsia" w:hAnsiTheme="minorEastAsia" w:eastAsiaTheme="minorEastAsia" w:cstheme="minorEastAsia"/>
          <w:szCs w:val="21"/>
        </w:rPr>
        <w:t>投标人的澄清、说明或者补正应当采用书面形式，并加盖公章，或者由法定代表人或其授权的代表签字。</w:t>
      </w:r>
      <w:r>
        <w:rPr>
          <w:rFonts w:hint="eastAsia" w:asciiTheme="minorEastAsia" w:hAnsiTheme="minorEastAsia" w:eastAsiaTheme="minorEastAsia" w:cstheme="minorEastAsia"/>
          <w:b/>
          <w:bCs/>
          <w:szCs w:val="21"/>
        </w:rPr>
        <w:t>投标人的澄清、说明或者补正不得超出投标文件的范围或者改变投标文件的实质性内容。</w:t>
      </w:r>
    </w:p>
    <w:p>
      <w:pPr>
        <w:pStyle w:val="12"/>
        <w:snapToGrid w:val="0"/>
        <w:spacing w:before="156" w:after="156"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（五）</w:t>
      </w:r>
      <w:r>
        <w:rPr>
          <w:rFonts w:hint="eastAsia" w:asciiTheme="minorEastAsia" w:hAnsiTheme="minorEastAsia" w:eastAsiaTheme="minorEastAsia" w:cstheme="minorEastAsia"/>
          <w:b/>
          <w:sz w:val="21"/>
          <w:szCs w:val="21"/>
        </w:rPr>
        <w:t>错误修正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投标文件报价出现前后不一致的，除采购文件另有规定外，按照下列规定修正：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1、投标文件中开标一览表（报价表）内容与投标文件中相应内容不一致的，以开标一览表（报价表）为准；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2、大写金额和小写金额不一致的，以大写金额为准；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3、单价金额小数点或者百分比有明显错位的，以开标一览表的总价为准，并修改单价；</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4、总价金额与按单价汇总金额不一致的，以单价金额计算结果为准。</w:t>
      </w:r>
    </w:p>
    <w:p>
      <w:pPr>
        <w:snapToGri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同时出现两种以上不一致的，按照前款规定的顺序修正。修正后的报价经投标人确认后产生约束力，投标人不确认的，其投标无效。</w:t>
      </w:r>
    </w:p>
    <w:p>
      <w:pPr>
        <w:pStyle w:val="12"/>
        <w:tabs>
          <w:tab w:val="left" w:pos="630"/>
        </w:tabs>
        <w:snapToGrid w:val="0"/>
        <w:spacing w:before="156" w:after="156"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（六）评标原则和评标办法</w:t>
      </w:r>
    </w:p>
    <w:p>
      <w:pPr>
        <w:pStyle w:val="12"/>
        <w:snapToGrid w:val="0"/>
        <w:spacing w:before="156" w:after="156"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before="156" w:after="156"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2、评标办法。本项目评标办法是</w:t>
      </w:r>
      <w:r>
        <w:rPr>
          <w:rFonts w:hint="eastAsia" w:asciiTheme="minorEastAsia" w:hAnsiTheme="minorEastAsia" w:eastAsiaTheme="minorEastAsia" w:cstheme="minorEastAsia"/>
          <w:sz w:val="21"/>
          <w:szCs w:val="21"/>
          <w:u w:val="single"/>
        </w:rPr>
        <w:t xml:space="preserve"> 综合评分法 </w:t>
      </w:r>
      <w:r>
        <w:rPr>
          <w:rFonts w:hint="eastAsia" w:asciiTheme="minorEastAsia" w:hAnsiTheme="minorEastAsia" w:eastAsiaTheme="minorEastAsia" w:cstheme="minorEastAsia"/>
          <w:sz w:val="21"/>
          <w:szCs w:val="21"/>
        </w:rPr>
        <w:t>，具体评标内容及评分标准等详见《第四章：评标办法及评分标准》。</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lang w:val="zh-CN"/>
        </w:rPr>
        <w:t>决标阶段：评标委员会</w:t>
      </w:r>
      <w:r>
        <w:rPr>
          <w:rFonts w:hint="eastAsia" w:asciiTheme="minorEastAsia" w:hAnsiTheme="minorEastAsia" w:eastAsiaTheme="minorEastAsia" w:cstheme="minorEastAsia"/>
          <w:b/>
          <w:bCs/>
          <w:szCs w:val="21"/>
        </w:rPr>
        <w:t>将要求符合招标需求、质量的供应商进行二轮报价，第二次报价不得高于第一次报价。</w:t>
      </w:r>
    </w:p>
    <w:p>
      <w:pPr>
        <w:pStyle w:val="12"/>
        <w:tabs>
          <w:tab w:val="left" w:pos="630"/>
        </w:tabs>
        <w:snapToGrid w:val="0"/>
        <w:spacing w:before="156" w:after="156"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（七）评审专家有下列情形之一的，受到邀请应主动提出回避，采购当事人也可以要求该评审专家回避：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1、本人、配偶或直系亲属3年内曾在参加该采购项目的投标人中任职（包括一般工作）或担任顾问，或与参加该采购项目的投标人发生过法律纠纷；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2、任职单位与采购人或参加该采购项目投标人存在行政隶属关系；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3、曾经参加过该采购项目的进口产品或采购文件、采购需求、采购方式的论证和咨询服务工作；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4、是参加该采购项目投标人的上级主管部门、控股或参股单位的工作人员，或与该投标人存在其他经济利益关系；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5、评审委员会成员之间具有配偶、近亲属关系；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6、同一单位的评审专家在同一项目评审委员会成员中超过一名；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7、法律、法规、规章规定应当回避以及其他可能影响公正评审的。</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（八）评标委员会判断投标文件的有效性、合格性和响应情况，仅依据投标人所递交一切文件的真实表述，不受与本项目无直接关联的外部信息、传言而影响自身的专业判断。</w:t>
      </w:r>
    </w:p>
    <w:p>
      <w:pPr>
        <w:pStyle w:val="12"/>
        <w:tabs>
          <w:tab w:val="left" w:pos="630"/>
        </w:tabs>
        <w:snapToGrid w:val="0"/>
        <w:spacing w:before="156" w:after="156"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2"/>
        <w:tabs>
          <w:tab w:val="left" w:pos="630"/>
        </w:tabs>
        <w:snapToGrid w:val="0"/>
        <w:spacing w:before="156" w:after="156"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（十）评标过程的监控</w:t>
      </w:r>
    </w:p>
    <w:p>
      <w:pPr>
        <w:pStyle w:val="12"/>
        <w:snapToGrid w:val="0"/>
        <w:spacing w:before="156" w:after="156"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1、本项目投标人在评标过程中所进行的试图影响评标结果的不公正活动，可能导致其投标被拒绝；</w:t>
      </w:r>
    </w:p>
    <w:p>
      <w:pPr>
        <w:pStyle w:val="12"/>
        <w:snapToGrid w:val="0"/>
        <w:spacing w:before="156" w:after="156" w:line="360" w:lineRule="auto"/>
        <w:ind w:firstLine="42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2、开标后到中标通知书发出之前，所有涉及评标委员会名单以及对投标文件的澄清、评价、比较等情况，评标委员会成员、采购人和采购代理机构的有关人员均不得向投标人或其他无关人员透露。</w:t>
      </w:r>
      <w:bookmarkStart w:id="20" w:name="_Toc16897"/>
      <w:bookmarkStart w:id="21" w:name="_Toc317685590"/>
    </w:p>
    <w:p>
      <w:pPr>
        <w:pStyle w:val="12"/>
        <w:snapToGrid w:val="0"/>
        <w:spacing w:before="156" w:after="156" w:line="360" w:lineRule="auto"/>
        <w:ind w:left="772" w:leftChars="267" w:hanging="211" w:hangingChars="100"/>
        <w:outlineLvl w:val="1"/>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六、采购方式变更</w:t>
      </w:r>
      <w:bookmarkEnd w:id="20"/>
      <w:bookmarkEnd w:id="21"/>
    </w:p>
    <w:p>
      <w:pPr>
        <w:pStyle w:val="23"/>
        <w:widowControl w:val="0"/>
        <w:snapToGrid w:val="0"/>
        <w:spacing w:beforeLines="50" w:beforeAutospacing="0" w:afterLines="50" w:afterAutospacing="0" w:line="360" w:lineRule="auto"/>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1、政府采购的国内招标，采购响应截至时间至或评审期间，出现参与采购响应或者对采购文件作出实质性响应的投标人不足3家的情况，则请示主管部门后再定。</w:t>
      </w:r>
    </w:p>
    <w:p>
      <w:pPr>
        <w:pStyle w:val="12"/>
        <w:snapToGrid w:val="0"/>
        <w:spacing w:before="156" w:after="156" w:line="360" w:lineRule="auto"/>
        <w:ind w:firstLine="422" w:firstLineChars="200"/>
        <w:outlineLvl w:val="1"/>
        <w:rPr>
          <w:rFonts w:asciiTheme="minorEastAsia" w:hAnsiTheme="minorEastAsia" w:eastAsiaTheme="minorEastAsia" w:cstheme="minorEastAsia"/>
          <w:b/>
          <w:sz w:val="21"/>
          <w:szCs w:val="21"/>
        </w:rPr>
      </w:pPr>
      <w:bookmarkStart w:id="22" w:name="_Toc9029"/>
      <w:r>
        <w:rPr>
          <w:rFonts w:hint="eastAsia" w:asciiTheme="minorEastAsia" w:hAnsiTheme="minorEastAsia" w:eastAsiaTheme="minorEastAsia" w:cstheme="minorEastAsia"/>
          <w:b/>
          <w:sz w:val="21"/>
          <w:szCs w:val="21"/>
        </w:rPr>
        <w:t>七、定标</w:t>
      </w:r>
      <w:bookmarkEnd w:id="22"/>
    </w:p>
    <w:p>
      <w:pPr>
        <w:pStyle w:val="12"/>
        <w:snapToGrid w:val="0"/>
        <w:spacing w:beforeLines="0" w:afterLines="0" w:line="360" w:lineRule="auto"/>
        <w:ind w:firstLine="413" w:firstLineChars="196"/>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（一）确定中标投标人。本项目由采购人（或采购人事先授权评标委员会）确定中标投标人。</w:t>
      </w:r>
    </w:p>
    <w:p>
      <w:pPr>
        <w:pStyle w:val="12"/>
        <w:snapToGrid w:val="0"/>
        <w:spacing w:before="156" w:after="156"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1、采购代理机构应当在评标结束后2个工作日内将评标报告送采购人；</w:t>
      </w:r>
    </w:p>
    <w:p>
      <w:pPr>
        <w:pStyle w:val="12"/>
        <w:snapToGrid w:val="0"/>
        <w:spacing w:before="156" w:after="156"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pStyle w:val="12"/>
        <w:snapToGrid w:val="0"/>
        <w:spacing w:before="156" w:after="156"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3、采购人依法确定中标人后2个工作日内，采购代理机构以书面形式发出《中标通知书》,并同时在相关网站上发布中标公告。不在中标名单之列者即为落标人，采购代理机构不再以其它方式另行通知；</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各参加政府采购活动的投标人认为该中标结果和采购过程等使自己的权益受到损害的，可以自本公告期限届满之日（自本公告发布之日起至第2日24时止）起7个工作日内，以书面形式向采购人提出质疑。质疑投标人对采购人、采购代理机构的答复不满意或者采购人、采购代理机构未在规定的时间内作出答复的，可以再答复期满后十五个工作日内向同级政府采购监督管理部门投诉；</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5、若中标投标人放弃中标，或因不可抗力提出不能履行合同，或不按采购文件规定提交履约保证金，或其它原因被依法撤销中标资格，则采购人重新组织招标。</w:t>
      </w:r>
    </w:p>
    <w:p>
      <w:pPr>
        <w:pStyle w:val="12"/>
        <w:snapToGrid w:val="0"/>
        <w:spacing w:before="156" w:after="156" w:line="360" w:lineRule="auto"/>
        <w:ind w:left="772" w:leftChars="267" w:hanging="211" w:hangingChars="100"/>
        <w:outlineLvl w:val="1"/>
        <w:rPr>
          <w:rFonts w:asciiTheme="minorEastAsia" w:hAnsiTheme="minorEastAsia" w:eastAsiaTheme="minorEastAsia" w:cstheme="minorEastAsia"/>
          <w:b/>
          <w:sz w:val="21"/>
          <w:szCs w:val="21"/>
        </w:rPr>
      </w:pPr>
      <w:bookmarkStart w:id="23" w:name="_Toc17747"/>
      <w:r>
        <w:rPr>
          <w:rFonts w:hint="eastAsia" w:asciiTheme="minorEastAsia" w:hAnsiTheme="minorEastAsia" w:eastAsiaTheme="minorEastAsia" w:cstheme="minorEastAsia"/>
          <w:b/>
          <w:sz w:val="21"/>
          <w:szCs w:val="21"/>
        </w:rPr>
        <w:t>八、合同授予</w:t>
      </w:r>
      <w:bookmarkEnd w:id="23"/>
    </w:p>
    <w:p>
      <w:pPr>
        <w:snapToGrid w:val="0"/>
        <w:spacing w:line="360" w:lineRule="auto"/>
        <w:ind w:firstLine="413" w:firstLineChars="19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（一）签订合同</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1、采购人与中标投标人应当在《中标通知书》发出之日起</w:t>
      </w:r>
      <w:r>
        <w:rPr>
          <w:rFonts w:hint="eastAsia" w:asciiTheme="minorEastAsia" w:hAnsiTheme="minorEastAsia" w:eastAsiaTheme="minorEastAsia" w:cstheme="minorEastAsia"/>
          <w:b/>
          <w:szCs w:val="21"/>
          <w:u w:val="single"/>
        </w:rPr>
        <w:t>30</w:t>
      </w:r>
      <w:r>
        <w:rPr>
          <w:rFonts w:hint="eastAsia" w:asciiTheme="minorEastAsia" w:hAnsiTheme="minorEastAsia" w:eastAsiaTheme="minorEastAsia" w:cstheme="minorEastAsia"/>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2、中标投标人拖延、拒签合同的，将被扣罚投标保证金并取消中标资格。</w:t>
      </w:r>
    </w:p>
    <w:p>
      <w:pPr>
        <w:pStyle w:val="12"/>
        <w:snapToGrid w:val="0"/>
        <w:spacing w:before="156" w:after="156"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（二）履约保证金及质量保金</w:t>
      </w:r>
    </w:p>
    <w:p>
      <w:pPr>
        <w:pStyle w:val="12"/>
        <w:snapToGrid w:val="0"/>
        <w:spacing w:before="156" w:after="156"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1、签订合同前，中标投标人应按采购文件确定的履约保证金金额，向采购人交纳履约保证金，否则将没收中标投标人的全部投标保证金；</w:t>
      </w:r>
    </w:p>
    <w:p>
      <w:pPr>
        <w:pStyle w:val="12"/>
        <w:snapToGrid w:val="0"/>
        <w:spacing w:before="156" w:after="156"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2、签订合同后，如中标投标人不按双方合同约定履约，则没收其全部履约保证金，履约保证金不足以赔偿损失的，按实际损失赔偿。</w:t>
      </w:r>
    </w:p>
    <w:p>
      <w:pPr>
        <w:pStyle w:val="12"/>
        <w:snapToGrid w:val="0"/>
        <w:spacing w:before="156" w:after="156" w:line="360" w:lineRule="auto"/>
        <w:ind w:firstLine="422" w:firstLineChars="200"/>
        <w:outlineLvl w:val="1"/>
        <w:rPr>
          <w:rFonts w:asciiTheme="minorEastAsia" w:hAnsiTheme="minorEastAsia" w:eastAsiaTheme="minorEastAsia" w:cstheme="minorEastAsia"/>
          <w:b/>
          <w:sz w:val="21"/>
          <w:szCs w:val="21"/>
        </w:rPr>
      </w:pPr>
      <w:bookmarkStart w:id="24" w:name="_Toc8588"/>
      <w:bookmarkStart w:id="25" w:name="_Toc2054"/>
      <w:r>
        <w:rPr>
          <w:rFonts w:hint="eastAsia" w:asciiTheme="minorEastAsia" w:hAnsiTheme="minorEastAsia" w:eastAsiaTheme="minorEastAsia" w:cstheme="minorEastAsia"/>
          <w:b/>
          <w:sz w:val="21"/>
          <w:szCs w:val="21"/>
        </w:rPr>
        <w:t>九、履约验收</w:t>
      </w:r>
      <w:bookmarkEnd w:id="24"/>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采购人负责对中标投标人的履约行为进行验收。</w:t>
      </w: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p>
      <w:pPr>
        <w:pStyle w:val="12"/>
        <w:snapToGrid w:val="0"/>
        <w:spacing w:before="156" w:after="156" w:line="360" w:lineRule="auto"/>
        <w:ind w:firstLine="420" w:firstLineChars="200"/>
        <w:outlineLvl w:val="1"/>
        <w:rPr>
          <w:rFonts w:asciiTheme="minorEastAsia" w:hAnsiTheme="minorEastAsia" w:eastAsiaTheme="minorEastAsia" w:cstheme="minorEastAsia"/>
          <w:sz w:val="21"/>
          <w:szCs w:val="21"/>
        </w:rPr>
      </w:pPr>
    </w:p>
    <w:bookmarkEnd w:id="25"/>
    <w:p>
      <w:pPr>
        <w:pStyle w:val="12"/>
        <w:snapToGrid w:val="0"/>
        <w:spacing w:beforeLines="0" w:after="156"/>
        <w:jc w:val="center"/>
        <w:outlineLvl w:val="0"/>
        <w:rPr>
          <w:rFonts w:hAnsi="宋体" w:cs="宋体"/>
          <w:b/>
          <w:sz w:val="30"/>
          <w:szCs w:val="30"/>
        </w:rPr>
      </w:pPr>
      <w:bookmarkStart w:id="26" w:name="_Toc275"/>
      <w:r>
        <w:rPr>
          <w:rFonts w:hint="eastAsia" w:hAnsi="宋体" w:cs="宋体"/>
          <w:b/>
          <w:sz w:val="30"/>
          <w:szCs w:val="30"/>
        </w:rPr>
        <w:t>第</w:t>
      </w:r>
      <w:r>
        <w:rPr>
          <w:rFonts w:hint="eastAsia" w:hAnsi="宋体" w:cs="宋体"/>
          <w:b/>
          <w:sz w:val="30"/>
          <w:szCs w:val="30"/>
          <w:lang w:eastAsia="zh-CN"/>
        </w:rPr>
        <w:t>三</w:t>
      </w:r>
      <w:r>
        <w:rPr>
          <w:rFonts w:hint="eastAsia" w:hAnsi="宋体" w:cs="宋体"/>
          <w:b/>
          <w:sz w:val="30"/>
          <w:szCs w:val="30"/>
        </w:rPr>
        <w:t>章  评标办法及评分标准</w:t>
      </w:r>
      <w:bookmarkEnd w:id="26"/>
    </w:p>
    <w:p>
      <w:pPr>
        <w:snapToGrid w:val="0"/>
        <w:spacing w:line="480" w:lineRule="exact"/>
        <w:ind w:firstLine="422" w:firstLineChars="200"/>
        <w:rPr>
          <w:rFonts w:ascii="宋体" w:hAnsi="宋体" w:cs="宋体"/>
          <w:b/>
          <w:szCs w:val="21"/>
        </w:rPr>
      </w:pPr>
      <w:r>
        <w:rPr>
          <w:rFonts w:hint="eastAsia" w:ascii="宋体" w:hAnsi="宋体" w:cs="宋体"/>
          <w:b/>
          <w:szCs w:val="21"/>
        </w:rPr>
        <w:t>本办法严格遵照《中华人民共和国招投标法》等相关规定，结合项目所在地政府有关政府采购规定和项目的实际情况制定。</w:t>
      </w:r>
    </w:p>
    <w:p>
      <w:pPr>
        <w:snapToGrid w:val="0"/>
        <w:spacing w:line="480" w:lineRule="exact"/>
        <w:ind w:firstLine="422" w:firstLineChars="200"/>
        <w:rPr>
          <w:rFonts w:ascii="宋体" w:hAnsi="宋体" w:cs="宋体"/>
          <w:b/>
          <w:szCs w:val="21"/>
        </w:rPr>
      </w:pPr>
      <w:r>
        <w:rPr>
          <w:rFonts w:hint="eastAsia" w:ascii="宋体" w:hAnsi="宋体" w:cs="宋体"/>
          <w:b/>
          <w:szCs w:val="21"/>
        </w:rPr>
        <w:t>一. 总则</w:t>
      </w:r>
    </w:p>
    <w:p>
      <w:pPr>
        <w:snapToGrid w:val="0"/>
        <w:spacing w:line="480" w:lineRule="exact"/>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napToGrid w:val="0"/>
        <w:spacing w:line="480" w:lineRule="exact"/>
        <w:ind w:firstLine="422" w:firstLineChars="200"/>
        <w:rPr>
          <w:rFonts w:ascii="宋体" w:hAnsi="宋体" w:cs="宋体"/>
          <w:b/>
          <w:szCs w:val="21"/>
        </w:rPr>
      </w:pPr>
      <w:r>
        <w:rPr>
          <w:rFonts w:hint="eastAsia" w:ascii="宋体" w:hAnsi="宋体" w:cs="宋体"/>
          <w:b/>
          <w:szCs w:val="21"/>
        </w:rPr>
        <w:t>二. 评标组织</w:t>
      </w:r>
    </w:p>
    <w:p>
      <w:pPr>
        <w:snapToGrid w:val="0"/>
        <w:spacing w:line="480" w:lineRule="exact"/>
        <w:ind w:firstLine="420" w:firstLineChars="200"/>
        <w:rPr>
          <w:rFonts w:ascii="宋体" w:hAnsi="宋体" w:cs="宋体"/>
          <w:szCs w:val="21"/>
        </w:rPr>
      </w:pPr>
      <w:r>
        <w:rPr>
          <w:rFonts w:hint="eastAsia" w:ascii="宋体" w:hAnsi="宋体" w:cs="宋体"/>
          <w:szCs w:val="21"/>
        </w:rPr>
        <w:t>评标委员会：依法组建评标委员会。评标委员会由采购人、技术、经济方面专家等有关人员组成。</w:t>
      </w:r>
    </w:p>
    <w:p>
      <w:pPr>
        <w:snapToGrid w:val="0"/>
        <w:spacing w:line="480" w:lineRule="exact"/>
        <w:ind w:firstLine="422" w:firstLineChars="200"/>
        <w:rPr>
          <w:rFonts w:ascii="宋体" w:hAnsi="宋体" w:cs="宋体"/>
          <w:b/>
          <w:szCs w:val="21"/>
        </w:rPr>
      </w:pPr>
      <w:r>
        <w:rPr>
          <w:rFonts w:hint="eastAsia" w:ascii="宋体" w:hAnsi="宋体" w:cs="宋体"/>
          <w:b/>
          <w:szCs w:val="21"/>
        </w:rPr>
        <w:t>三、评标程序</w:t>
      </w:r>
    </w:p>
    <w:p>
      <w:pPr>
        <w:snapToGrid w:val="0"/>
        <w:spacing w:line="480" w:lineRule="exact"/>
        <w:ind w:firstLine="420" w:firstLineChars="200"/>
        <w:rPr>
          <w:rFonts w:ascii="宋体" w:hAnsi="宋体" w:cs="宋体"/>
          <w:szCs w:val="21"/>
        </w:rPr>
      </w:pPr>
      <w:r>
        <w:rPr>
          <w:rFonts w:hint="eastAsia" w:ascii="宋体" w:hAnsi="宋体" w:cs="宋体"/>
          <w:szCs w:val="21"/>
        </w:rPr>
        <w:t>采购机构按《招标文件》规定的时间、地点组织进行开标。投标人的法定代表人或全权代表应携带本人身份证出席开标会议，开标会议由采购招标代理机构组织，按《招标文件》的规定对投标人的基本情况进行审核。</w:t>
      </w:r>
    </w:p>
    <w:p>
      <w:pPr>
        <w:snapToGrid w:val="0"/>
        <w:spacing w:line="480" w:lineRule="exact"/>
        <w:ind w:firstLine="420" w:firstLineChars="200"/>
        <w:rPr>
          <w:rFonts w:ascii="宋体" w:hAnsi="宋体" w:cs="宋体"/>
          <w:szCs w:val="21"/>
        </w:rPr>
      </w:pPr>
      <w:r>
        <w:rPr>
          <w:rFonts w:hint="eastAsia" w:ascii="宋体" w:hAnsi="宋体" w:cs="宋体"/>
          <w:szCs w:val="21"/>
        </w:rPr>
        <w:t>本次竞争性磋商开技术商务标，由唱标人公布投标人名称、投标价格、服务期限等以及采购机构认为合适的其他内容，并由记录人做开标记录。开标大会结束后，评标委员会根据《招标文件》规定对投标人的投标文件进行评审。对投标人表述不清的内容，评标委员会将向投标人进行询标，请其澄清其表述不清的内容。最终评标委员会对各投标人进行打分，并进行汇总。</w:t>
      </w:r>
    </w:p>
    <w:p>
      <w:pPr>
        <w:snapToGrid w:val="0"/>
        <w:spacing w:line="480" w:lineRule="exact"/>
        <w:ind w:firstLine="420" w:firstLineChars="200"/>
        <w:rPr>
          <w:rFonts w:ascii="宋体" w:hAnsi="宋体" w:cs="宋体"/>
          <w:szCs w:val="21"/>
        </w:rPr>
      </w:pPr>
      <w:r>
        <w:rPr>
          <w:rFonts w:hint="eastAsia" w:ascii="宋体" w:hAnsi="宋体" w:cs="宋体"/>
          <w:szCs w:val="21"/>
        </w:rPr>
        <w:t>按照评标办法，评标委员会推荐中标候选人，最后在招标公告发布的网站上公布评标结果。</w:t>
      </w:r>
    </w:p>
    <w:p>
      <w:pPr>
        <w:snapToGrid w:val="0"/>
        <w:spacing w:line="480" w:lineRule="exact"/>
        <w:ind w:firstLine="422" w:firstLineChars="200"/>
        <w:rPr>
          <w:rFonts w:ascii="宋体" w:hAnsi="宋体" w:cs="宋体"/>
          <w:b/>
          <w:szCs w:val="21"/>
        </w:rPr>
      </w:pPr>
      <w:r>
        <w:rPr>
          <w:rFonts w:hint="eastAsia" w:ascii="宋体" w:hAnsi="宋体" w:cs="宋体"/>
          <w:b/>
          <w:szCs w:val="21"/>
        </w:rPr>
        <w:t>四.评标过程</w:t>
      </w:r>
    </w:p>
    <w:p>
      <w:pPr>
        <w:snapToGrid w:val="0"/>
        <w:spacing w:line="480" w:lineRule="exact"/>
        <w:ind w:firstLine="420" w:firstLineChars="200"/>
        <w:rPr>
          <w:rFonts w:ascii="宋体" w:hAnsi="宋体" w:cs="宋体"/>
          <w:szCs w:val="21"/>
        </w:rPr>
      </w:pPr>
      <w:r>
        <w:rPr>
          <w:rFonts w:hint="eastAsia" w:ascii="宋体" w:hAnsi="宋体" w:cs="宋体"/>
          <w:szCs w:val="21"/>
        </w:rPr>
        <w:t>1、初步审查</w:t>
      </w:r>
    </w:p>
    <w:p>
      <w:pPr>
        <w:snapToGrid w:val="0"/>
        <w:spacing w:line="480" w:lineRule="exact"/>
        <w:ind w:firstLine="420" w:firstLineChars="200"/>
        <w:rPr>
          <w:rFonts w:ascii="宋体" w:hAnsi="宋体" w:cs="宋体"/>
          <w:szCs w:val="21"/>
        </w:rPr>
      </w:pPr>
      <w:r>
        <w:rPr>
          <w:rFonts w:hint="eastAsia" w:ascii="宋体" w:hAnsi="宋体" w:cs="宋体"/>
          <w:szCs w:val="21"/>
        </w:rPr>
        <w:t>初审分为资格性检查和符合性检查。</w:t>
      </w:r>
    </w:p>
    <w:p>
      <w:pPr>
        <w:snapToGrid w:val="0"/>
        <w:spacing w:line="480" w:lineRule="exact"/>
        <w:ind w:firstLine="420" w:firstLineChars="200"/>
        <w:rPr>
          <w:rFonts w:ascii="宋体" w:hAnsi="宋体" w:cs="宋体"/>
          <w:szCs w:val="21"/>
        </w:rPr>
      </w:pPr>
      <w:r>
        <w:rPr>
          <w:rFonts w:hint="eastAsia" w:ascii="宋体" w:hAnsi="宋体" w:cs="宋体"/>
          <w:szCs w:val="21"/>
        </w:rPr>
        <w:t>资格性检查。依据法律法规和招标文件的规定，对投标文件中的资格证明、投标保证金等进行审查，以确定投标供应商是否具备投标资格。</w:t>
      </w:r>
    </w:p>
    <w:p>
      <w:pPr>
        <w:snapToGrid w:val="0"/>
        <w:spacing w:line="480" w:lineRule="exact"/>
        <w:ind w:firstLine="420" w:firstLineChars="200"/>
        <w:rPr>
          <w:rFonts w:ascii="宋体" w:hAnsi="宋体" w:cs="宋体"/>
          <w:szCs w:val="21"/>
        </w:rPr>
      </w:pPr>
      <w:r>
        <w:rPr>
          <w:rFonts w:hint="eastAsia" w:ascii="宋体" w:hAnsi="宋体" w:cs="宋体"/>
          <w:szCs w:val="21"/>
        </w:rPr>
        <w:t>符合性检查。依据招标文件的规定，从投标文件的有效性、完整性和对招标文件的响应程度进行审查，以确定是否对招标文件的实质性要求作出响应。</w:t>
      </w:r>
    </w:p>
    <w:p>
      <w:pPr>
        <w:snapToGrid w:val="0"/>
        <w:spacing w:line="480" w:lineRule="exact"/>
        <w:ind w:firstLine="420" w:firstLineChars="200"/>
        <w:rPr>
          <w:rFonts w:ascii="宋体" w:hAnsi="宋体" w:cs="宋体"/>
          <w:szCs w:val="21"/>
        </w:rPr>
      </w:pPr>
      <w:r>
        <w:rPr>
          <w:rFonts w:hint="eastAsia" w:ascii="宋体" w:hAnsi="宋体" w:cs="宋体"/>
          <w:szCs w:val="21"/>
        </w:rPr>
        <w:t>2、澄清问题</w:t>
      </w:r>
    </w:p>
    <w:p>
      <w:pPr>
        <w:snapToGrid w:val="0"/>
        <w:spacing w:line="480" w:lineRule="exact"/>
        <w:ind w:firstLine="420" w:firstLineChars="200"/>
        <w:rPr>
          <w:rFonts w:ascii="宋体" w:hAnsi="宋体" w:cs="宋体"/>
          <w:szCs w:val="21"/>
        </w:rPr>
      </w:pPr>
      <w:r>
        <w:rPr>
          <w:rFonts w:hint="eastAsia" w:ascii="宋体" w:hAnsi="宋体" w:cs="宋体"/>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snapToGrid w:val="0"/>
        <w:spacing w:line="480" w:lineRule="exact"/>
        <w:ind w:firstLine="420" w:firstLineChars="200"/>
        <w:rPr>
          <w:rFonts w:ascii="宋体" w:hAnsi="宋体" w:cs="宋体"/>
          <w:szCs w:val="21"/>
        </w:rPr>
      </w:pPr>
      <w:r>
        <w:rPr>
          <w:rFonts w:hint="eastAsia" w:ascii="宋体" w:hAnsi="宋体" w:cs="宋体"/>
          <w:szCs w:val="21"/>
        </w:rPr>
        <w:t>3、详细评审</w:t>
      </w:r>
    </w:p>
    <w:p>
      <w:pPr>
        <w:snapToGrid w:val="0"/>
        <w:spacing w:line="480" w:lineRule="exact"/>
        <w:ind w:firstLine="420" w:firstLineChars="200"/>
        <w:rPr>
          <w:rFonts w:ascii="宋体" w:hAnsi="宋体" w:cs="宋体"/>
          <w:szCs w:val="21"/>
        </w:rPr>
      </w:pPr>
      <w:r>
        <w:rPr>
          <w:rFonts w:hint="eastAsia" w:ascii="宋体" w:hAnsi="宋体" w:cs="宋体"/>
          <w:szCs w:val="21"/>
        </w:rPr>
        <w:t>评标委员会对初步评审合格的投标文件，依照本办法对技术、商务内容作进一步评审、比较。评标委员会成员经过阅标、审标和询标，对各投标人进行综合打分。</w:t>
      </w:r>
    </w:p>
    <w:p>
      <w:pPr>
        <w:snapToGrid w:val="0"/>
        <w:spacing w:line="480" w:lineRule="exact"/>
        <w:ind w:firstLine="420" w:firstLineChars="200"/>
        <w:rPr>
          <w:rFonts w:ascii="宋体" w:hAnsi="宋体" w:cs="宋体"/>
          <w:szCs w:val="21"/>
        </w:rPr>
      </w:pPr>
      <w:r>
        <w:rPr>
          <w:rFonts w:hint="eastAsia" w:ascii="宋体" w:hAnsi="宋体" w:cs="宋体"/>
          <w:szCs w:val="21"/>
        </w:rPr>
        <w:t>评委打分参照本部分附表：评分标准表。其中商务、技术部分由各评标委员会成员打分，根据投标人的投标文件及相关澄清文件，进行独立打分。评委打分采用记名方式。汇总各评委的评分，取算术平均分（小数点后保留一位小数）。</w:t>
      </w:r>
    </w:p>
    <w:p>
      <w:pPr>
        <w:snapToGrid w:val="0"/>
        <w:spacing w:line="480" w:lineRule="exact"/>
        <w:ind w:firstLine="420" w:firstLineChars="200"/>
        <w:rPr>
          <w:rFonts w:ascii="宋体" w:hAnsi="宋体" w:cs="宋体"/>
          <w:szCs w:val="21"/>
        </w:rPr>
      </w:pPr>
      <w:r>
        <w:rPr>
          <w:rFonts w:hint="eastAsia" w:ascii="宋体" w:hAnsi="宋体" w:cs="宋体"/>
          <w:szCs w:val="21"/>
        </w:rPr>
        <w:t>4、中标原则</w:t>
      </w:r>
    </w:p>
    <w:p>
      <w:pPr>
        <w:snapToGrid w:val="0"/>
        <w:spacing w:line="480" w:lineRule="exact"/>
        <w:ind w:firstLine="420" w:firstLineChars="200"/>
        <w:rPr>
          <w:rFonts w:ascii="宋体" w:hAnsi="宋体" w:cs="宋体"/>
          <w:szCs w:val="21"/>
        </w:rPr>
      </w:pPr>
      <w:r>
        <w:rPr>
          <w:rFonts w:hint="eastAsia" w:ascii="宋体" w:hAnsi="宋体" w:cs="宋体"/>
          <w:szCs w:val="21"/>
        </w:rPr>
        <w:t>评标小组在审标、询标的基础上根据事先制定的评标办法对各投标人的投标文件进行评定，推荐综合得分第一的投标人为中标候选人。</w:t>
      </w:r>
    </w:p>
    <w:p>
      <w:pPr>
        <w:snapToGrid w:val="0"/>
        <w:spacing w:line="480" w:lineRule="exact"/>
        <w:ind w:firstLine="420" w:firstLineChars="200"/>
        <w:rPr>
          <w:rFonts w:ascii="宋体" w:hAnsi="宋体" w:cs="宋体"/>
          <w:szCs w:val="21"/>
        </w:rPr>
      </w:pPr>
      <w:r>
        <w:rPr>
          <w:rFonts w:hint="eastAsia" w:ascii="宋体" w:hAnsi="宋体" w:cs="宋体"/>
          <w:szCs w:val="21"/>
        </w:rPr>
        <w:t>5、中标结果</w:t>
      </w:r>
    </w:p>
    <w:p>
      <w:pPr>
        <w:snapToGrid w:val="0"/>
        <w:spacing w:line="480" w:lineRule="exact"/>
        <w:ind w:firstLine="420" w:firstLineChars="200"/>
        <w:rPr>
          <w:rFonts w:ascii="宋体" w:hAnsi="宋体" w:cs="宋体"/>
          <w:szCs w:val="21"/>
        </w:rPr>
      </w:pPr>
      <w:r>
        <w:rPr>
          <w:rFonts w:hint="eastAsia" w:ascii="宋体" w:hAnsi="宋体" w:cs="宋体"/>
          <w:szCs w:val="21"/>
        </w:rPr>
        <w:t>采购机构将中标结果在招标公告发布的网站上公示，根据公示和决标结果，向中标人发出中标通知书。</w:t>
      </w:r>
    </w:p>
    <w:p>
      <w:pPr>
        <w:snapToGrid w:val="0"/>
        <w:spacing w:line="480" w:lineRule="exact"/>
        <w:ind w:firstLine="422" w:firstLineChars="200"/>
        <w:rPr>
          <w:rFonts w:ascii="宋体" w:hAnsi="宋体" w:cs="宋体"/>
          <w:b/>
          <w:szCs w:val="21"/>
        </w:rPr>
      </w:pPr>
    </w:p>
    <w:p>
      <w:pPr>
        <w:pStyle w:val="2"/>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 w:val="28"/>
          <w:szCs w:val="30"/>
          <w:lang w:val="zh-CN"/>
        </w:rPr>
      </w:pPr>
    </w:p>
    <w:p>
      <w:pPr>
        <w:snapToGrid w:val="0"/>
        <w:spacing w:line="480" w:lineRule="exact"/>
        <w:rPr>
          <w:rFonts w:ascii="宋体" w:hAnsi="宋体" w:cs="宋体"/>
          <w:b/>
          <w:sz w:val="28"/>
          <w:szCs w:val="30"/>
          <w:lang w:val="zh-CN"/>
        </w:rPr>
      </w:pPr>
    </w:p>
    <w:p>
      <w:pPr>
        <w:snapToGrid w:val="0"/>
        <w:spacing w:line="480" w:lineRule="exact"/>
        <w:rPr>
          <w:rFonts w:ascii="宋体" w:hAnsi="宋体" w:cs="宋体"/>
          <w:b/>
          <w:sz w:val="28"/>
          <w:szCs w:val="30"/>
          <w:lang w:val="zh-CN"/>
        </w:rPr>
      </w:pPr>
    </w:p>
    <w:p>
      <w:pPr>
        <w:snapToGrid w:val="0"/>
        <w:spacing w:line="480" w:lineRule="exact"/>
        <w:rPr>
          <w:rFonts w:ascii="宋体" w:hAnsi="宋体" w:cs="宋体"/>
          <w:b/>
          <w:sz w:val="28"/>
          <w:szCs w:val="30"/>
          <w:lang w:val="zh-CN"/>
        </w:rPr>
      </w:pPr>
    </w:p>
    <w:p>
      <w:pPr>
        <w:snapToGrid w:val="0"/>
        <w:spacing w:line="480" w:lineRule="exact"/>
        <w:rPr>
          <w:rFonts w:ascii="宋体" w:hAnsi="宋体" w:cs="宋体"/>
          <w:b/>
          <w:sz w:val="28"/>
          <w:szCs w:val="30"/>
          <w:lang w:val="zh-CN"/>
        </w:rPr>
      </w:pPr>
    </w:p>
    <w:p>
      <w:pPr>
        <w:snapToGrid w:val="0"/>
        <w:spacing w:line="480" w:lineRule="exact"/>
        <w:rPr>
          <w:rFonts w:ascii="宋体" w:hAnsi="宋体" w:cs="宋体"/>
          <w:b/>
          <w:sz w:val="28"/>
          <w:szCs w:val="30"/>
          <w:lang w:val="zh-CN"/>
        </w:rPr>
      </w:pPr>
    </w:p>
    <w:p>
      <w:pPr>
        <w:snapToGrid w:val="0"/>
        <w:spacing w:line="480" w:lineRule="exact"/>
        <w:rPr>
          <w:rFonts w:ascii="宋体" w:hAnsi="宋体" w:cs="宋体"/>
          <w:b/>
          <w:sz w:val="28"/>
          <w:szCs w:val="30"/>
          <w:lang w:val="zh-CN"/>
        </w:rPr>
      </w:pPr>
    </w:p>
    <w:p>
      <w:pPr>
        <w:snapToGrid w:val="0"/>
        <w:spacing w:line="480" w:lineRule="exact"/>
        <w:jc w:val="center"/>
        <w:rPr>
          <w:rFonts w:ascii="宋体" w:hAnsi="宋体" w:cs="宋体"/>
          <w:b/>
          <w:sz w:val="24"/>
        </w:rPr>
      </w:pPr>
      <w:r>
        <w:rPr>
          <w:rFonts w:hint="eastAsia" w:ascii="宋体" w:hAnsi="宋体" w:cs="宋体"/>
          <w:b/>
          <w:sz w:val="24"/>
          <w:lang w:eastAsia="zh-CN"/>
        </w:rPr>
        <w:t>白峤岭石料运输填方项目</w:t>
      </w:r>
      <w:r>
        <w:rPr>
          <w:rFonts w:hint="eastAsia" w:ascii="宋体" w:hAnsi="宋体" w:cs="宋体"/>
          <w:b/>
          <w:sz w:val="24"/>
        </w:rPr>
        <w:t>评分表</w:t>
      </w:r>
    </w:p>
    <w:tbl>
      <w:tblPr>
        <w:tblStyle w:val="26"/>
        <w:tblW w:w="8239" w:type="dxa"/>
        <w:jc w:val="center"/>
        <w:tblInd w:w="-203" w:type="dxa"/>
        <w:tblLayout w:type="fixed"/>
        <w:tblCellMar>
          <w:top w:w="0" w:type="dxa"/>
          <w:left w:w="108" w:type="dxa"/>
          <w:bottom w:w="0" w:type="dxa"/>
          <w:right w:w="108" w:type="dxa"/>
        </w:tblCellMar>
      </w:tblPr>
      <w:tblGrid>
        <w:gridCol w:w="1262"/>
        <w:gridCol w:w="558"/>
        <w:gridCol w:w="5623"/>
        <w:gridCol w:w="796"/>
      </w:tblGrid>
      <w:tr>
        <w:tblPrEx>
          <w:tblLayout w:type="fixed"/>
          <w:tblCellMar>
            <w:top w:w="0" w:type="dxa"/>
            <w:left w:w="108" w:type="dxa"/>
            <w:bottom w:w="0" w:type="dxa"/>
            <w:right w:w="108" w:type="dxa"/>
          </w:tblCellMar>
        </w:tblPrEx>
        <w:trPr>
          <w:trHeight w:val="674" w:hRule="atLeast"/>
          <w:jc w:val="center"/>
        </w:trPr>
        <w:tc>
          <w:tcPr>
            <w:tcW w:w="8239" w:type="dxa"/>
            <w:gridSpan w:val="4"/>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spacing w:line="360" w:lineRule="auto"/>
              <w:jc w:val="right"/>
              <w:rPr>
                <w:rFonts w:hint="eastAsia" w:ascii="宋体" w:hAnsi="宋体" w:cs="仿宋_GB2312"/>
                <w:b/>
                <w:sz w:val="21"/>
                <w:szCs w:val="21"/>
              </w:rPr>
            </w:pPr>
          </w:p>
          <w:p>
            <w:pPr>
              <w:snapToGrid w:val="0"/>
              <w:spacing w:line="360" w:lineRule="auto"/>
              <w:rPr>
                <w:rFonts w:hint="eastAsia" w:ascii="宋体" w:hAnsi="宋体" w:cs="仿宋_GB2312"/>
                <w:b/>
                <w:sz w:val="21"/>
                <w:szCs w:val="21"/>
              </w:rPr>
            </w:pPr>
            <w:r>
              <w:rPr>
                <w:rFonts w:hint="eastAsia" w:ascii="宋体" w:hAnsi="宋体" w:cs="仿宋_GB2312"/>
                <w:b/>
                <w:sz w:val="21"/>
                <w:szCs w:val="21"/>
              </w:rPr>
              <w:t>评分内容及分值设定</w:t>
            </w:r>
          </w:p>
        </w:tc>
      </w:tr>
      <w:tr>
        <w:tblPrEx>
          <w:tblLayout w:type="fixed"/>
          <w:tblCellMar>
            <w:top w:w="0" w:type="dxa"/>
            <w:left w:w="108" w:type="dxa"/>
            <w:bottom w:w="0" w:type="dxa"/>
            <w:right w:w="108" w:type="dxa"/>
          </w:tblCellMar>
        </w:tblPrEx>
        <w:trPr>
          <w:trHeight w:val="495" w:hRule="atLeast"/>
          <w:jc w:val="center"/>
        </w:trPr>
        <w:tc>
          <w:tcPr>
            <w:tcW w:w="744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b/>
                <w:sz w:val="21"/>
                <w:szCs w:val="21"/>
              </w:rPr>
            </w:pPr>
            <w:r>
              <w:rPr>
                <w:rFonts w:hint="eastAsia" w:ascii="宋体" w:hAnsi="宋体" w:cs="仿宋_GB2312"/>
                <w:b/>
                <w:sz w:val="21"/>
                <w:szCs w:val="21"/>
              </w:rPr>
              <w:t>评分内容</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b/>
                <w:sz w:val="21"/>
                <w:szCs w:val="21"/>
              </w:rPr>
            </w:pPr>
            <w:r>
              <w:rPr>
                <w:rFonts w:hint="eastAsia" w:ascii="宋体" w:hAnsi="宋体" w:cs="仿宋_GB2312"/>
                <w:b/>
                <w:sz w:val="21"/>
                <w:szCs w:val="21"/>
              </w:rPr>
              <w:t>分值</w:t>
            </w:r>
          </w:p>
        </w:tc>
      </w:tr>
      <w:tr>
        <w:tblPrEx>
          <w:tblLayout w:type="fixed"/>
          <w:tblCellMar>
            <w:top w:w="0" w:type="dxa"/>
            <w:left w:w="108" w:type="dxa"/>
            <w:bottom w:w="0" w:type="dxa"/>
            <w:right w:w="108" w:type="dxa"/>
          </w:tblCellMar>
        </w:tblPrEx>
        <w:trPr>
          <w:jc w:val="center"/>
        </w:trPr>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仿宋_GB2312"/>
                <w:color w:val="000000"/>
                <w:sz w:val="21"/>
                <w:szCs w:val="21"/>
                <w:lang w:val="en-US" w:eastAsia="zh-CN"/>
              </w:rPr>
            </w:pPr>
            <w:r>
              <w:rPr>
                <w:rFonts w:hint="eastAsia" w:ascii="宋体" w:hAnsi="宋体" w:cs="仿宋_GB2312"/>
                <w:b/>
                <w:color w:val="000000"/>
                <w:sz w:val="21"/>
                <w:szCs w:val="21"/>
              </w:rPr>
              <w:t>报价</w:t>
            </w:r>
            <w:r>
              <w:rPr>
                <w:rFonts w:hint="eastAsia" w:ascii="宋体" w:hAnsi="宋体" w:cs="仿宋_GB2312"/>
                <w:b/>
                <w:color w:val="000000"/>
                <w:sz w:val="21"/>
                <w:szCs w:val="21"/>
                <w:lang w:val="en-US" w:eastAsia="zh-CN"/>
              </w:rPr>
              <w:t>80分</w:t>
            </w:r>
          </w:p>
        </w:tc>
        <w:tc>
          <w:tcPr>
            <w:tcW w:w="6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仿宋_GB2312"/>
                <w:bCs/>
                <w:sz w:val="21"/>
                <w:szCs w:val="21"/>
              </w:rPr>
            </w:pPr>
            <w:r>
              <w:rPr>
                <w:rFonts w:hint="eastAsia" w:ascii="宋体" w:hAnsi="宋体" w:cs="仿宋_GB2312"/>
                <w:bCs/>
                <w:sz w:val="21"/>
                <w:szCs w:val="21"/>
              </w:rPr>
              <w:t>满足招标文件要求且投标单价最低的为评标基准单价，等于基准单价的得分为满分</w:t>
            </w:r>
            <w:r>
              <w:rPr>
                <w:rFonts w:hint="eastAsia" w:ascii="宋体" w:hAnsi="宋体" w:cs="仿宋_GB2312"/>
                <w:bCs/>
                <w:sz w:val="21"/>
                <w:szCs w:val="21"/>
                <w:lang w:val="en-US" w:eastAsia="zh-CN"/>
              </w:rPr>
              <w:t>80</w:t>
            </w:r>
            <w:r>
              <w:rPr>
                <w:rFonts w:hint="eastAsia" w:ascii="宋体" w:hAnsi="宋体" w:cs="仿宋_GB2312"/>
                <w:bCs/>
                <w:sz w:val="21"/>
                <w:szCs w:val="21"/>
              </w:rPr>
              <w:t>分。其他投标方的报价分按照下式计算：</w:t>
            </w:r>
          </w:p>
          <w:p>
            <w:pPr>
              <w:spacing w:line="360" w:lineRule="auto"/>
              <w:rPr>
                <w:rFonts w:hint="eastAsia" w:ascii="宋体" w:hAnsi="宋体" w:cs="仿宋_GB2312"/>
                <w:color w:val="000000"/>
                <w:sz w:val="21"/>
                <w:szCs w:val="21"/>
              </w:rPr>
            </w:pPr>
            <w:r>
              <w:rPr>
                <w:rFonts w:hint="eastAsia" w:ascii="宋体" w:hAnsi="宋体" w:cs="仿宋_GB2312"/>
                <w:bCs/>
                <w:sz w:val="21"/>
                <w:szCs w:val="21"/>
              </w:rPr>
              <w:t>报价得分＝基准单价</w:t>
            </w:r>
            <w:r>
              <w:rPr>
                <w:rFonts w:hint="eastAsia" w:ascii="宋体" w:hAnsi="宋体" w:cs="仿宋_GB2312"/>
                <w:bCs/>
                <w:sz w:val="21"/>
                <w:szCs w:val="21"/>
                <w:lang w:val="en-US" w:eastAsia="zh-CN"/>
              </w:rPr>
              <w:t>/</w:t>
            </w:r>
            <w:r>
              <w:rPr>
                <w:rFonts w:hint="eastAsia" w:ascii="宋体" w:hAnsi="宋体" w:cs="仿宋_GB2312"/>
                <w:bCs/>
                <w:sz w:val="21"/>
                <w:szCs w:val="21"/>
              </w:rPr>
              <w:t>投标单价×</w:t>
            </w:r>
            <w:r>
              <w:rPr>
                <w:rFonts w:hint="eastAsia" w:ascii="宋体" w:hAnsi="宋体" w:cs="仿宋_GB2312"/>
                <w:bCs/>
                <w:sz w:val="21"/>
                <w:szCs w:val="21"/>
                <w:lang w:val="en-US" w:eastAsia="zh-CN"/>
              </w:rPr>
              <w:t>8</w:t>
            </w:r>
            <w:r>
              <w:rPr>
                <w:rFonts w:hint="eastAsia" w:ascii="宋体" w:hAnsi="宋体" w:cs="仿宋_GB2312"/>
                <w:bCs/>
                <w:sz w:val="21"/>
                <w:szCs w:val="21"/>
              </w:rPr>
              <w:t>0。</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仿宋_GB2312"/>
                <w:color w:val="000000"/>
                <w:sz w:val="21"/>
                <w:szCs w:val="21"/>
                <w:lang w:val="en-US"/>
              </w:rPr>
            </w:pPr>
            <w:r>
              <w:rPr>
                <w:rFonts w:hint="eastAsia" w:ascii="宋体" w:hAnsi="宋体" w:cs="仿宋_GB2312"/>
                <w:color w:val="000000"/>
                <w:sz w:val="21"/>
                <w:szCs w:val="21"/>
                <w:lang w:val="en-US" w:eastAsia="zh-CN"/>
              </w:rPr>
              <w:t>80</w:t>
            </w:r>
          </w:p>
        </w:tc>
      </w:tr>
      <w:tr>
        <w:tblPrEx>
          <w:tblLayout w:type="fixed"/>
          <w:tblCellMar>
            <w:top w:w="0" w:type="dxa"/>
            <w:left w:w="108" w:type="dxa"/>
            <w:bottom w:w="0" w:type="dxa"/>
            <w:right w:w="108" w:type="dxa"/>
          </w:tblCellMar>
        </w:tblPrEx>
        <w:trPr>
          <w:jc w:val="center"/>
        </w:trPr>
        <w:tc>
          <w:tcPr>
            <w:tcW w:w="1262" w:type="dxa"/>
            <w:vMerge w:val="restart"/>
            <w:tcBorders>
              <w:left w:val="single" w:color="auto" w:sz="4" w:space="0"/>
              <w:right w:val="single" w:color="auto" w:sz="4" w:space="0"/>
            </w:tcBorders>
            <w:noWrap w:val="0"/>
            <w:vAlign w:val="center"/>
          </w:tcPr>
          <w:p>
            <w:pPr>
              <w:spacing w:line="360" w:lineRule="auto"/>
              <w:jc w:val="center"/>
              <w:rPr>
                <w:rFonts w:hint="default" w:ascii="宋体" w:hAnsi="宋体" w:eastAsia="宋体" w:cs="仿宋_GB2312"/>
                <w:sz w:val="21"/>
                <w:szCs w:val="21"/>
                <w:lang w:val="en-US" w:eastAsia="zh-CN"/>
              </w:rPr>
            </w:pPr>
            <w:r>
              <w:rPr>
                <w:rFonts w:hint="eastAsia" w:ascii="宋体" w:hAnsi="宋体" w:cs="仿宋_GB2312"/>
                <w:sz w:val="21"/>
                <w:szCs w:val="21"/>
                <w:lang w:eastAsia="zh-CN"/>
              </w:rPr>
              <w:t>技术商务</w:t>
            </w:r>
            <w:r>
              <w:rPr>
                <w:rFonts w:hint="eastAsia" w:ascii="宋体" w:hAnsi="宋体" w:cs="仿宋_GB2312"/>
                <w:sz w:val="21"/>
                <w:szCs w:val="21"/>
                <w:lang w:val="en-US" w:eastAsia="zh-CN"/>
              </w:rPr>
              <w:t>20分</w:t>
            </w:r>
          </w:p>
        </w:tc>
        <w:tc>
          <w:tcPr>
            <w:tcW w:w="55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仿宋_GB2312"/>
                <w:sz w:val="21"/>
                <w:szCs w:val="21"/>
              </w:rPr>
            </w:pPr>
            <w:r>
              <w:rPr>
                <w:rFonts w:hint="eastAsia" w:ascii="宋体" w:hAnsi="宋体" w:cs="仿宋_GB2312"/>
                <w:sz w:val="21"/>
                <w:szCs w:val="21"/>
              </w:rPr>
              <w:t>服务技术方案</w:t>
            </w:r>
          </w:p>
        </w:tc>
        <w:tc>
          <w:tcPr>
            <w:tcW w:w="56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 w:val="21"/>
                <w:szCs w:val="21"/>
              </w:rPr>
            </w:pPr>
            <w:r>
              <w:rPr>
                <w:rFonts w:hint="eastAsia" w:ascii="宋体" w:hAnsi="宋体" w:cs="仿宋_GB2312"/>
                <w:sz w:val="21"/>
                <w:szCs w:val="21"/>
              </w:rPr>
              <w:t>投标方内部管理制度、总体服务方案、人员管理方案、优化服务方案，评委根据投标方提供的方案进行评定，优得</w:t>
            </w:r>
            <w:r>
              <w:rPr>
                <w:rFonts w:hint="eastAsia" w:ascii="宋体" w:hAnsi="宋体" w:cs="仿宋_GB2312"/>
                <w:sz w:val="21"/>
                <w:szCs w:val="21"/>
                <w:lang w:val="en-US" w:eastAsia="zh-CN"/>
              </w:rPr>
              <w:t>4</w:t>
            </w:r>
            <w:r>
              <w:rPr>
                <w:rFonts w:hint="eastAsia" w:ascii="宋体" w:hAnsi="宋体" w:cs="仿宋_GB2312"/>
                <w:sz w:val="21"/>
                <w:szCs w:val="21"/>
              </w:rPr>
              <w:t>-</w:t>
            </w:r>
            <w:r>
              <w:rPr>
                <w:rFonts w:hint="eastAsia" w:ascii="宋体" w:hAnsi="宋体" w:cs="仿宋_GB2312"/>
                <w:sz w:val="21"/>
                <w:szCs w:val="21"/>
                <w:lang w:val="en-US" w:eastAsia="zh-CN"/>
              </w:rPr>
              <w:t>5</w:t>
            </w:r>
            <w:r>
              <w:rPr>
                <w:rFonts w:hint="eastAsia" w:ascii="宋体" w:hAnsi="宋体" w:cs="仿宋_GB2312"/>
                <w:sz w:val="21"/>
                <w:szCs w:val="21"/>
              </w:rPr>
              <w:t>分，良得</w:t>
            </w:r>
            <w:r>
              <w:rPr>
                <w:rFonts w:hint="eastAsia" w:ascii="宋体" w:hAnsi="宋体" w:cs="仿宋_GB2312"/>
                <w:sz w:val="21"/>
                <w:szCs w:val="21"/>
                <w:lang w:val="en-US" w:eastAsia="zh-CN"/>
              </w:rPr>
              <w:t>2</w:t>
            </w:r>
            <w:r>
              <w:rPr>
                <w:rFonts w:hint="eastAsia" w:ascii="宋体" w:hAnsi="宋体" w:cs="仿宋_GB2312"/>
                <w:sz w:val="21"/>
                <w:szCs w:val="21"/>
              </w:rPr>
              <w:t>-</w:t>
            </w:r>
            <w:r>
              <w:rPr>
                <w:rFonts w:hint="eastAsia" w:ascii="宋体" w:hAnsi="宋体" w:cs="仿宋_GB2312"/>
                <w:sz w:val="21"/>
                <w:szCs w:val="21"/>
                <w:lang w:val="en-US" w:eastAsia="zh-CN"/>
              </w:rPr>
              <w:t>3.9</w:t>
            </w:r>
            <w:r>
              <w:rPr>
                <w:rFonts w:hint="eastAsia" w:ascii="宋体" w:hAnsi="宋体" w:cs="仿宋_GB2312"/>
                <w:sz w:val="21"/>
                <w:szCs w:val="21"/>
              </w:rPr>
              <w:t>分，一般得</w:t>
            </w:r>
            <w:r>
              <w:rPr>
                <w:rFonts w:hint="eastAsia" w:ascii="宋体" w:hAnsi="宋体" w:cs="仿宋_GB2312"/>
                <w:sz w:val="21"/>
                <w:szCs w:val="21"/>
                <w:lang w:val="en-US" w:eastAsia="zh-CN"/>
              </w:rPr>
              <w:t>1.9</w:t>
            </w:r>
            <w:r>
              <w:rPr>
                <w:rFonts w:hint="eastAsia" w:ascii="宋体" w:hAnsi="宋体" w:cs="仿宋_GB2312"/>
                <w:sz w:val="21"/>
                <w:szCs w:val="21"/>
              </w:rPr>
              <w:t>分及以下。</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仿宋_GB2312"/>
                <w:sz w:val="21"/>
                <w:szCs w:val="21"/>
                <w:lang w:val="en-US" w:eastAsia="zh-CN"/>
              </w:rPr>
            </w:pPr>
            <w:r>
              <w:rPr>
                <w:rFonts w:hint="eastAsia" w:ascii="宋体" w:hAnsi="宋体" w:cs="仿宋_GB2312"/>
                <w:sz w:val="21"/>
                <w:szCs w:val="21"/>
                <w:lang w:val="en-US" w:eastAsia="zh-CN"/>
              </w:rPr>
              <w:t>5</w:t>
            </w:r>
          </w:p>
        </w:tc>
      </w:tr>
      <w:tr>
        <w:tblPrEx>
          <w:tblLayout w:type="fixed"/>
          <w:tblCellMar>
            <w:top w:w="0" w:type="dxa"/>
            <w:left w:w="108" w:type="dxa"/>
            <w:bottom w:w="0" w:type="dxa"/>
            <w:right w:w="108" w:type="dxa"/>
          </w:tblCellMar>
        </w:tblPrEx>
        <w:trPr>
          <w:jc w:val="center"/>
        </w:trPr>
        <w:tc>
          <w:tcPr>
            <w:tcW w:w="126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仿宋_GB2312"/>
                <w:sz w:val="21"/>
                <w:szCs w:val="21"/>
              </w:rPr>
            </w:pPr>
          </w:p>
        </w:tc>
        <w:tc>
          <w:tcPr>
            <w:tcW w:w="558"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仿宋_GB2312"/>
                <w:sz w:val="21"/>
                <w:szCs w:val="21"/>
              </w:rPr>
            </w:pPr>
          </w:p>
        </w:tc>
        <w:tc>
          <w:tcPr>
            <w:tcW w:w="56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 w:val="21"/>
                <w:szCs w:val="21"/>
              </w:rPr>
            </w:pPr>
            <w:r>
              <w:rPr>
                <w:rFonts w:hint="eastAsia" w:ascii="宋体" w:hAnsi="宋体" w:cs="仿宋_GB2312"/>
                <w:sz w:val="21"/>
                <w:szCs w:val="21"/>
              </w:rPr>
              <w:t>车辆装运方案：评委根据投标方提供的方案进行评定，优得</w:t>
            </w:r>
            <w:r>
              <w:rPr>
                <w:rFonts w:hint="eastAsia" w:ascii="宋体" w:hAnsi="宋体" w:cs="仿宋_GB2312"/>
                <w:sz w:val="21"/>
                <w:szCs w:val="21"/>
                <w:lang w:val="en-US" w:eastAsia="zh-CN"/>
              </w:rPr>
              <w:t>4</w:t>
            </w:r>
            <w:r>
              <w:rPr>
                <w:rFonts w:hint="eastAsia" w:ascii="宋体" w:hAnsi="宋体" w:cs="仿宋_GB2312"/>
                <w:sz w:val="21"/>
                <w:szCs w:val="21"/>
              </w:rPr>
              <w:t>-</w:t>
            </w:r>
            <w:r>
              <w:rPr>
                <w:rFonts w:hint="eastAsia" w:ascii="宋体" w:hAnsi="宋体" w:cs="仿宋_GB2312"/>
                <w:sz w:val="21"/>
                <w:szCs w:val="21"/>
                <w:lang w:val="en-US" w:eastAsia="zh-CN"/>
              </w:rPr>
              <w:t>5</w:t>
            </w:r>
            <w:r>
              <w:rPr>
                <w:rFonts w:hint="eastAsia" w:ascii="宋体" w:hAnsi="宋体" w:cs="仿宋_GB2312"/>
                <w:sz w:val="21"/>
                <w:szCs w:val="21"/>
              </w:rPr>
              <w:t>分，良得</w:t>
            </w:r>
            <w:r>
              <w:rPr>
                <w:rFonts w:hint="eastAsia" w:ascii="宋体" w:hAnsi="宋体" w:cs="仿宋_GB2312"/>
                <w:sz w:val="21"/>
                <w:szCs w:val="21"/>
                <w:lang w:val="en-US" w:eastAsia="zh-CN"/>
              </w:rPr>
              <w:t>2</w:t>
            </w:r>
            <w:r>
              <w:rPr>
                <w:rFonts w:hint="eastAsia" w:ascii="宋体" w:hAnsi="宋体" w:cs="仿宋_GB2312"/>
                <w:sz w:val="21"/>
                <w:szCs w:val="21"/>
              </w:rPr>
              <w:t>-</w:t>
            </w:r>
            <w:r>
              <w:rPr>
                <w:rFonts w:hint="eastAsia" w:ascii="宋体" w:hAnsi="宋体" w:cs="仿宋_GB2312"/>
                <w:sz w:val="21"/>
                <w:szCs w:val="21"/>
                <w:lang w:val="en-US" w:eastAsia="zh-CN"/>
              </w:rPr>
              <w:t>3.9</w:t>
            </w:r>
            <w:r>
              <w:rPr>
                <w:rFonts w:hint="eastAsia" w:ascii="宋体" w:hAnsi="宋体" w:cs="仿宋_GB2312"/>
                <w:sz w:val="21"/>
                <w:szCs w:val="21"/>
              </w:rPr>
              <w:t>分，一般得</w:t>
            </w:r>
            <w:r>
              <w:rPr>
                <w:rFonts w:hint="eastAsia" w:ascii="宋体" w:hAnsi="宋体" w:cs="仿宋_GB2312"/>
                <w:sz w:val="21"/>
                <w:szCs w:val="21"/>
                <w:lang w:val="en-US" w:eastAsia="zh-CN"/>
              </w:rPr>
              <w:t>1.9</w:t>
            </w:r>
            <w:r>
              <w:rPr>
                <w:rFonts w:hint="eastAsia" w:ascii="宋体" w:hAnsi="宋体" w:cs="仿宋_GB2312"/>
                <w:sz w:val="21"/>
                <w:szCs w:val="21"/>
              </w:rPr>
              <w:t>分及以下。</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仿宋_GB2312"/>
                <w:sz w:val="21"/>
                <w:szCs w:val="21"/>
                <w:lang w:eastAsia="zh-CN"/>
              </w:rPr>
            </w:pPr>
            <w:r>
              <w:rPr>
                <w:rFonts w:hint="eastAsia" w:ascii="宋体" w:hAnsi="宋体" w:cs="仿宋_GB2312"/>
                <w:sz w:val="21"/>
                <w:szCs w:val="21"/>
                <w:lang w:val="en-US" w:eastAsia="zh-CN"/>
              </w:rPr>
              <w:t>5</w:t>
            </w:r>
          </w:p>
        </w:tc>
      </w:tr>
      <w:tr>
        <w:tblPrEx>
          <w:tblLayout w:type="fixed"/>
          <w:tblCellMar>
            <w:top w:w="0" w:type="dxa"/>
            <w:left w:w="108" w:type="dxa"/>
            <w:bottom w:w="0" w:type="dxa"/>
            <w:right w:w="108" w:type="dxa"/>
          </w:tblCellMar>
        </w:tblPrEx>
        <w:trPr>
          <w:jc w:val="center"/>
        </w:trPr>
        <w:tc>
          <w:tcPr>
            <w:tcW w:w="126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仿宋_GB2312"/>
                <w:sz w:val="21"/>
                <w:szCs w:val="21"/>
              </w:rPr>
            </w:pPr>
          </w:p>
        </w:tc>
        <w:tc>
          <w:tcPr>
            <w:tcW w:w="558" w:type="dxa"/>
            <w:vMerge w:val="continue"/>
            <w:tcBorders>
              <w:left w:val="single" w:color="auto" w:sz="4" w:space="0"/>
              <w:right w:val="single" w:color="auto" w:sz="4" w:space="0"/>
            </w:tcBorders>
            <w:noWrap w:val="0"/>
            <w:vAlign w:val="center"/>
          </w:tcPr>
          <w:p>
            <w:pPr>
              <w:spacing w:line="360" w:lineRule="auto"/>
              <w:rPr>
                <w:rFonts w:hint="eastAsia" w:ascii="宋体" w:hAnsi="宋体" w:cs="仿宋_GB2312"/>
                <w:sz w:val="21"/>
                <w:szCs w:val="21"/>
              </w:rPr>
            </w:pPr>
          </w:p>
        </w:tc>
        <w:tc>
          <w:tcPr>
            <w:tcW w:w="562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仿宋_GB2312"/>
                <w:sz w:val="21"/>
                <w:szCs w:val="21"/>
              </w:rPr>
            </w:pPr>
            <w:r>
              <w:rPr>
                <w:rFonts w:hint="eastAsia" w:ascii="宋体" w:hAnsi="宋体" w:cs="仿宋_GB2312"/>
                <w:sz w:val="21"/>
                <w:szCs w:val="21"/>
              </w:rPr>
              <w:t>安全管理制度及目标：评委根据投标方提供的方案进行评定，优得</w:t>
            </w:r>
            <w:r>
              <w:rPr>
                <w:rFonts w:hint="eastAsia" w:ascii="宋体" w:hAnsi="宋体" w:cs="仿宋_GB2312"/>
                <w:sz w:val="21"/>
                <w:szCs w:val="21"/>
                <w:lang w:val="en-US" w:eastAsia="zh-CN"/>
              </w:rPr>
              <w:t>3</w:t>
            </w:r>
            <w:r>
              <w:rPr>
                <w:rFonts w:hint="eastAsia" w:ascii="宋体" w:hAnsi="宋体" w:cs="仿宋_GB2312"/>
                <w:sz w:val="21"/>
                <w:szCs w:val="21"/>
              </w:rPr>
              <w:t>-</w:t>
            </w:r>
            <w:r>
              <w:rPr>
                <w:rFonts w:hint="eastAsia" w:ascii="宋体" w:hAnsi="宋体" w:cs="仿宋_GB2312"/>
                <w:sz w:val="21"/>
                <w:szCs w:val="21"/>
                <w:lang w:val="en-US" w:eastAsia="zh-CN"/>
              </w:rPr>
              <w:t>4</w:t>
            </w:r>
            <w:r>
              <w:rPr>
                <w:rFonts w:hint="eastAsia" w:ascii="宋体" w:hAnsi="宋体" w:cs="仿宋_GB2312"/>
                <w:sz w:val="21"/>
                <w:szCs w:val="21"/>
              </w:rPr>
              <w:t>分，良得</w:t>
            </w:r>
            <w:r>
              <w:rPr>
                <w:rFonts w:hint="eastAsia" w:ascii="宋体" w:hAnsi="宋体" w:cs="仿宋_GB2312"/>
                <w:sz w:val="21"/>
                <w:szCs w:val="21"/>
                <w:lang w:val="en-US" w:eastAsia="zh-CN"/>
              </w:rPr>
              <w:t>1</w:t>
            </w:r>
            <w:r>
              <w:rPr>
                <w:rFonts w:hint="eastAsia" w:ascii="宋体" w:hAnsi="宋体" w:cs="仿宋_GB2312"/>
                <w:sz w:val="21"/>
                <w:szCs w:val="21"/>
              </w:rPr>
              <w:t>-</w:t>
            </w:r>
            <w:r>
              <w:rPr>
                <w:rFonts w:hint="eastAsia" w:ascii="宋体" w:hAnsi="宋体" w:cs="仿宋_GB2312"/>
                <w:sz w:val="21"/>
                <w:szCs w:val="21"/>
                <w:lang w:val="en-US" w:eastAsia="zh-CN"/>
              </w:rPr>
              <w:t>2.9</w:t>
            </w:r>
            <w:r>
              <w:rPr>
                <w:rFonts w:hint="eastAsia" w:ascii="宋体" w:hAnsi="宋体" w:cs="仿宋_GB2312"/>
                <w:sz w:val="21"/>
                <w:szCs w:val="21"/>
              </w:rPr>
              <w:t>分，一般得</w:t>
            </w:r>
            <w:r>
              <w:rPr>
                <w:rFonts w:hint="eastAsia" w:ascii="宋体" w:hAnsi="宋体" w:cs="仿宋_GB2312"/>
                <w:sz w:val="21"/>
                <w:szCs w:val="21"/>
                <w:lang w:val="en-US" w:eastAsia="zh-CN"/>
              </w:rPr>
              <w:t>1</w:t>
            </w:r>
            <w:r>
              <w:rPr>
                <w:rFonts w:hint="eastAsia" w:ascii="宋体" w:hAnsi="宋体" w:cs="仿宋_GB2312"/>
                <w:sz w:val="21"/>
                <w:szCs w:val="21"/>
              </w:rPr>
              <w:t>分及以下。</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仿宋_GB2312"/>
                <w:sz w:val="21"/>
                <w:szCs w:val="21"/>
                <w:lang w:eastAsia="zh-CN"/>
              </w:rPr>
            </w:pPr>
            <w:r>
              <w:rPr>
                <w:rFonts w:hint="eastAsia" w:ascii="宋体" w:hAnsi="宋体" w:cs="仿宋_GB2312"/>
                <w:sz w:val="21"/>
                <w:szCs w:val="21"/>
                <w:lang w:val="en-US" w:eastAsia="zh-CN"/>
              </w:rPr>
              <w:t>4</w:t>
            </w:r>
          </w:p>
        </w:tc>
      </w:tr>
      <w:tr>
        <w:tblPrEx>
          <w:tblLayout w:type="fixed"/>
          <w:tblCellMar>
            <w:top w:w="0" w:type="dxa"/>
            <w:left w:w="108" w:type="dxa"/>
            <w:bottom w:w="0" w:type="dxa"/>
            <w:right w:w="108" w:type="dxa"/>
          </w:tblCellMar>
        </w:tblPrEx>
        <w:trPr>
          <w:jc w:val="center"/>
        </w:trPr>
        <w:tc>
          <w:tcPr>
            <w:tcW w:w="126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仿宋_GB2312"/>
                <w:sz w:val="21"/>
                <w:szCs w:val="21"/>
              </w:rPr>
            </w:pPr>
          </w:p>
        </w:tc>
        <w:tc>
          <w:tcPr>
            <w:tcW w:w="558" w:type="dxa"/>
            <w:vMerge w:val="continue"/>
            <w:tcBorders>
              <w:left w:val="single" w:color="auto" w:sz="4" w:space="0"/>
              <w:right w:val="single" w:color="auto" w:sz="4" w:space="0"/>
            </w:tcBorders>
            <w:noWrap w:val="0"/>
            <w:vAlign w:val="center"/>
          </w:tcPr>
          <w:p>
            <w:pPr>
              <w:spacing w:line="360" w:lineRule="auto"/>
              <w:rPr>
                <w:rFonts w:hint="eastAsia" w:ascii="宋体" w:hAnsi="宋体" w:cs="仿宋_GB2312"/>
                <w:sz w:val="21"/>
                <w:szCs w:val="21"/>
              </w:rPr>
            </w:pPr>
          </w:p>
        </w:tc>
        <w:tc>
          <w:tcPr>
            <w:tcW w:w="562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仿宋_GB2312"/>
                <w:sz w:val="21"/>
                <w:szCs w:val="21"/>
              </w:rPr>
            </w:pPr>
            <w:r>
              <w:rPr>
                <w:rFonts w:hint="eastAsia" w:ascii="宋体" w:hAnsi="宋体" w:cs="仿宋_GB2312"/>
                <w:sz w:val="21"/>
                <w:szCs w:val="21"/>
              </w:rPr>
              <w:t>本地化服务方案：评委根据投标方提供的方案进行评定，优得</w:t>
            </w:r>
            <w:r>
              <w:rPr>
                <w:rFonts w:hint="eastAsia" w:ascii="宋体" w:hAnsi="宋体" w:cs="仿宋_GB2312"/>
                <w:sz w:val="21"/>
                <w:szCs w:val="21"/>
                <w:lang w:val="en-US" w:eastAsia="zh-CN"/>
              </w:rPr>
              <w:t>2</w:t>
            </w:r>
            <w:r>
              <w:rPr>
                <w:rFonts w:hint="eastAsia" w:ascii="宋体" w:hAnsi="宋体" w:cs="仿宋_GB2312"/>
                <w:sz w:val="21"/>
                <w:szCs w:val="21"/>
              </w:rPr>
              <w:t>-</w:t>
            </w:r>
            <w:r>
              <w:rPr>
                <w:rFonts w:hint="eastAsia" w:ascii="宋体" w:hAnsi="宋体" w:cs="仿宋_GB2312"/>
                <w:sz w:val="21"/>
                <w:szCs w:val="21"/>
                <w:lang w:val="en-US" w:eastAsia="zh-CN"/>
              </w:rPr>
              <w:t>3</w:t>
            </w:r>
            <w:r>
              <w:rPr>
                <w:rFonts w:hint="eastAsia" w:ascii="宋体" w:hAnsi="宋体" w:cs="仿宋_GB2312"/>
                <w:sz w:val="21"/>
                <w:szCs w:val="21"/>
              </w:rPr>
              <w:t>分，良得</w:t>
            </w:r>
            <w:r>
              <w:rPr>
                <w:rFonts w:hint="eastAsia" w:ascii="宋体" w:hAnsi="宋体" w:cs="仿宋_GB2312"/>
                <w:sz w:val="21"/>
                <w:szCs w:val="21"/>
                <w:lang w:val="en-US" w:eastAsia="zh-CN"/>
              </w:rPr>
              <w:t>1</w:t>
            </w:r>
            <w:r>
              <w:rPr>
                <w:rFonts w:hint="eastAsia" w:ascii="宋体" w:hAnsi="宋体" w:cs="仿宋_GB2312"/>
                <w:sz w:val="21"/>
                <w:szCs w:val="21"/>
              </w:rPr>
              <w:t>-</w:t>
            </w:r>
            <w:r>
              <w:rPr>
                <w:rFonts w:hint="eastAsia" w:ascii="宋体" w:hAnsi="宋体" w:cs="仿宋_GB2312"/>
                <w:sz w:val="21"/>
                <w:szCs w:val="21"/>
                <w:lang w:val="en-US" w:eastAsia="zh-CN"/>
              </w:rPr>
              <w:t>1.9</w:t>
            </w:r>
            <w:r>
              <w:rPr>
                <w:rFonts w:hint="eastAsia" w:ascii="宋体" w:hAnsi="宋体" w:cs="仿宋_GB2312"/>
                <w:sz w:val="21"/>
                <w:szCs w:val="21"/>
              </w:rPr>
              <w:t>分，一般得</w:t>
            </w:r>
            <w:r>
              <w:rPr>
                <w:rFonts w:hint="eastAsia" w:ascii="宋体" w:hAnsi="宋体" w:cs="仿宋_GB2312"/>
                <w:sz w:val="21"/>
                <w:szCs w:val="21"/>
                <w:lang w:val="en-US" w:eastAsia="zh-CN"/>
              </w:rPr>
              <w:t>1</w:t>
            </w:r>
            <w:r>
              <w:rPr>
                <w:rFonts w:hint="eastAsia" w:ascii="宋体" w:hAnsi="宋体" w:cs="仿宋_GB2312"/>
                <w:sz w:val="21"/>
                <w:szCs w:val="21"/>
              </w:rPr>
              <w:t>分及以下。</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仿宋_GB2312"/>
                <w:sz w:val="21"/>
                <w:szCs w:val="21"/>
                <w:lang w:val="en-US" w:eastAsia="zh-CN"/>
              </w:rPr>
            </w:pPr>
            <w:r>
              <w:rPr>
                <w:rFonts w:hint="eastAsia" w:ascii="宋体" w:hAnsi="宋体" w:cs="仿宋_GB2312"/>
                <w:sz w:val="21"/>
                <w:szCs w:val="21"/>
                <w:lang w:val="en-US" w:eastAsia="zh-CN"/>
              </w:rPr>
              <w:t>3</w:t>
            </w:r>
          </w:p>
        </w:tc>
      </w:tr>
      <w:tr>
        <w:tblPrEx>
          <w:tblLayout w:type="fixed"/>
          <w:tblCellMar>
            <w:top w:w="0" w:type="dxa"/>
            <w:left w:w="108" w:type="dxa"/>
            <w:bottom w:w="0" w:type="dxa"/>
            <w:right w:w="108" w:type="dxa"/>
          </w:tblCellMar>
        </w:tblPrEx>
        <w:trPr>
          <w:jc w:val="center"/>
        </w:trPr>
        <w:tc>
          <w:tcPr>
            <w:tcW w:w="126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仿宋_GB2312"/>
                <w:sz w:val="21"/>
                <w:szCs w:val="21"/>
              </w:rPr>
            </w:pPr>
          </w:p>
        </w:tc>
        <w:tc>
          <w:tcPr>
            <w:tcW w:w="558" w:type="dxa"/>
            <w:vMerge w:val="continue"/>
            <w:tcBorders>
              <w:left w:val="single" w:color="auto" w:sz="4" w:space="0"/>
              <w:right w:val="single" w:color="auto" w:sz="4" w:space="0"/>
            </w:tcBorders>
            <w:noWrap w:val="0"/>
            <w:vAlign w:val="center"/>
          </w:tcPr>
          <w:p>
            <w:pPr>
              <w:spacing w:line="360" w:lineRule="auto"/>
              <w:rPr>
                <w:rFonts w:hint="eastAsia" w:ascii="宋体" w:hAnsi="宋体" w:cs="仿宋_GB2312"/>
                <w:sz w:val="21"/>
                <w:szCs w:val="21"/>
              </w:rPr>
            </w:pPr>
          </w:p>
        </w:tc>
        <w:tc>
          <w:tcPr>
            <w:tcW w:w="562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仿宋_GB2312"/>
                <w:sz w:val="21"/>
                <w:szCs w:val="21"/>
              </w:rPr>
            </w:pPr>
            <w:r>
              <w:rPr>
                <w:rFonts w:hint="eastAsia" w:ascii="宋体" w:hAnsi="宋体" w:cs="仿宋_GB2312"/>
                <w:sz w:val="21"/>
                <w:szCs w:val="21"/>
              </w:rPr>
              <w:t>突发状况应急方案：评委根据投标方提供的方案进行评定，优得</w:t>
            </w:r>
            <w:r>
              <w:rPr>
                <w:rFonts w:hint="eastAsia" w:ascii="宋体" w:hAnsi="宋体" w:cs="仿宋_GB2312"/>
                <w:sz w:val="21"/>
                <w:szCs w:val="21"/>
                <w:lang w:val="en-US" w:eastAsia="zh-CN"/>
              </w:rPr>
              <w:t>2</w:t>
            </w:r>
            <w:r>
              <w:rPr>
                <w:rFonts w:hint="eastAsia" w:ascii="宋体" w:hAnsi="宋体" w:cs="仿宋_GB2312"/>
                <w:sz w:val="21"/>
                <w:szCs w:val="21"/>
              </w:rPr>
              <w:t>-</w:t>
            </w:r>
            <w:r>
              <w:rPr>
                <w:rFonts w:hint="eastAsia" w:ascii="宋体" w:hAnsi="宋体" w:cs="仿宋_GB2312"/>
                <w:sz w:val="21"/>
                <w:szCs w:val="21"/>
                <w:lang w:val="en-US" w:eastAsia="zh-CN"/>
              </w:rPr>
              <w:t>3</w:t>
            </w:r>
            <w:r>
              <w:rPr>
                <w:rFonts w:hint="eastAsia" w:ascii="宋体" w:hAnsi="宋体" w:cs="仿宋_GB2312"/>
                <w:sz w:val="21"/>
                <w:szCs w:val="21"/>
              </w:rPr>
              <w:t>分，良得</w:t>
            </w:r>
            <w:r>
              <w:rPr>
                <w:rFonts w:hint="eastAsia" w:ascii="宋体" w:hAnsi="宋体" w:cs="仿宋_GB2312"/>
                <w:sz w:val="21"/>
                <w:szCs w:val="21"/>
                <w:lang w:val="en-US" w:eastAsia="zh-CN"/>
              </w:rPr>
              <w:t>1</w:t>
            </w:r>
            <w:r>
              <w:rPr>
                <w:rFonts w:hint="eastAsia" w:ascii="宋体" w:hAnsi="宋体" w:cs="仿宋_GB2312"/>
                <w:sz w:val="21"/>
                <w:szCs w:val="21"/>
              </w:rPr>
              <w:t>-</w:t>
            </w:r>
            <w:r>
              <w:rPr>
                <w:rFonts w:hint="eastAsia" w:ascii="宋体" w:hAnsi="宋体" w:cs="仿宋_GB2312"/>
                <w:sz w:val="21"/>
                <w:szCs w:val="21"/>
                <w:lang w:val="en-US" w:eastAsia="zh-CN"/>
              </w:rPr>
              <w:t>1.9</w:t>
            </w:r>
            <w:r>
              <w:rPr>
                <w:rFonts w:hint="eastAsia" w:ascii="宋体" w:hAnsi="宋体" w:cs="仿宋_GB2312"/>
                <w:sz w:val="21"/>
                <w:szCs w:val="21"/>
              </w:rPr>
              <w:t>分，一般得</w:t>
            </w:r>
            <w:r>
              <w:rPr>
                <w:rFonts w:hint="eastAsia" w:ascii="宋体" w:hAnsi="宋体" w:cs="仿宋_GB2312"/>
                <w:sz w:val="21"/>
                <w:szCs w:val="21"/>
                <w:lang w:val="en-US" w:eastAsia="zh-CN"/>
              </w:rPr>
              <w:t>1</w:t>
            </w:r>
            <w:r>
              <w:rPr>
                <w:rFonts w:hint="eastAsia" w:ascii="宋体" w:hAnsi="宋体" w:cs="仿宋_GB2312"/>
                <w:sz w:val="21"/>
                <w:szCs w:val="21"/>
              </w:rPr>
              <w:t>分及以下。</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仿宋_GB2312"/>
                <w:sz w:val="21"/>
                <w:szCs w:val="21"/>
                <w:lang w:eastAsia="zh-CN"/>
              </w:rPr>
            </w:pPr>
            <w:r>
              <w:rPr>
                <w:rFonts w:hint="eastAsia" w:ascii="宋体" w:hAnsi="宋体" w:cs="仿宋_GB2312"/>
                <w:sz w:val="21"/>
                <w:szCs w:val="21"/>
                <w:lang w:val="en-US" w:eastAsia="zh-CN"/>
              </w:rPr>
              <w:t>3</w:t>
            </w:r>
          </w:p>
        </w:tc>
      </w:tr>
      <w:tr>
        <w:tblPrEx>
          <w:tblLayout w:type="fixed"/>
          <w:tblCellMar>
            <w:top w:w="0" w:type="dxa"/>
            <w:left w:w="108" w:type="dxa"/>
            <w:bottom w:w="0" w:type="dxa"/>
            <w:right w:w="108" w:type="dxa"/>
          </w:tblCellMar>
        </w:tblPrEx>
        <w:trPr>
          <w:trHeight w:val="736" w:hRule="atLeast"/>
          <w:jc w:val="center"/>
        </w:trPr>
        <w:tc>
          <w:tcPr>
            <w:tcW w:w="744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kern w:val="0"/>
                <w:sz w:val="21"/>
                <w:szCs w:val="21"/>
              </w:rPr>
            </w:pPr>
            <w:r>
              <w:rPr>
                <w:rFonts w:hint="eastAsia" w:ascii="宋体" w:hAnsi="宋体" w:cs="仿宋_GB2312"/>
                <w:kern w:val="0"/>
                <w:sz w:val="21"/>
                <w:szCs w:val="21"/>
              </w:rPr>
              <w:t>总得分</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1" w:right="-45"/>
              <w:jc w:val="center"/>
              <w:rPr>
                <w:rFonts w:hint="eastAsia" w:ascii="宋体" w:hAnsi="宋体" w:cs="仿宋_GB2312"/>
                <w:bCs/>
                <w:sz w:val="21"/>
                <w:szCs w:val="21"/>
              </w:rPr>
            </w:pPr>
            <w:r>
              <w:rPr>
                <w:rFonts w:hint="eastAsia" w:ascii="宋体" w:hAnsi="宋体" w:cs="仿宋_GB2312"/>
                <w:bCs/>
                <w:sz w:val="21"/>
                <w:szCs w:val="21"/>
              </w:rPr>
              <w:t>100</w:t>
            </w:r>
          </w:p>
        </w:tc>
      </w:tr>
    </w:tbl>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p>
    <w:p>
      <w:pPr>
        <w:pStyle w:val="12"/>
        <w:snapToGrid w:val="0"/>
        <w:spacing w:beforeLines="0" w:after="156"/>
        <w:jc w:val="center"/>
        <w:outlineLvl w:val="0"/>
        <w:rPr>
          <w:rFonts w:hAnsi="宋体" w:cs="宋体"/>
          <w:b/>
          <w:sz w:val="30"/>
          <w:szCs w:val="30"/>
        </w:rPr>
      </w:pPr>
      <w:r>
        <w:rPr>
          <w:rFonts w:hint="eastAsia" w:hAnsi="宋体" w:cs="宋体"/>
          <w:b/>
          <w:sz w:val="30"/>
          <w:szCs w:val="30"/>
        </w:rPr>
        <w:t>第</w:t>
      </w:r>
      <w:r>
        <w:rPr>
          <w:rFonts w:hint="eastAsia" w:hAnsi="宋体" w:cs="宋体"/>
          <w:b/>
          <w:sz w:val="30"/>
          <w:szCs w:val="30"/>
          <w:lang w:eastAsia="zh-CN"/>
        </w:rPr>
        <w:t>四</w:t>
      </w:r>
      <w:r>
        <w:rPr>
          <w:rFonts w:hint="eastAsia" w:hAnsi="宋体" w:cs="宋体"/>
          <w:b/>
          <w:sz w:val="30"/>
          <w:szCs w:val="30"/>
        </w:rPr>
        <w:t>章　投标文件格式</w:t>
      </w:r>
    </w:p>
    <w:p>
      <w:pPr>
        <w:snapToGrid w:val="0"/>
        <w:spacing w:line="400" w:lineRule="exact"/>
        <w:outlineLvl w:val="1"/>
        <w:rPr>
          <w:rFonts w:ascii="宋体" w:hAnsi="宋体" w:cs="宋体"/>
          <w:b/>
          <w:bCs/>
          <w:szCs w:val="21"/>
        </w:rPr>
      </w:pPr>
      <w:bookmarkStart w:id="27" w:name="_Toc22236"/>
    </w:p>
    <w:bookmarkEnd w:id="27"/>
    <w:p>
      <w:pPr>
        <w:snapToGrid w:val="0"/>
        <w:spacing w:line="400" w:lineRule="exact"/>
        <w:ind w:firstLine="420" w:firstLineChars="200"/>
        <w:rPr>
          <w:rFonts w:hAnsi="宋体" w:cs="宋体"/>
          <w:bCs/>
        </w:rPr>
      </w:pPr>
      <w:bookmarkStart w:id="28" w:name="_Toc31992"/>
      <w:r>
        <w:rPr>
          <w:rFonts w:hint="eastAsia" w:hAnsi="宋体" w:cs="宋体"/>
          <w:bCs/>
        </w:rPr>
        <w:t>1.响应文件的外包装封面格式（不可缺）：</w:t>
      </w:r>
    </w:p>
    <w:p>
      <w:pPr>
        <w:snapToGrid w:val="0"/>
        <w:spacing w:line="400" w:lineRule="exact"/>
        <w:ind w:firstLine="420" w:firstLineChars="200"/>
        <w:rPr>
          <w:rFonts w:hAnsi="宋体" w:cs="宋体"/>
          <w:bCs/>
        </w:rPr>
      </w:pPr>
    </w:p>
    <w:p>
      <w:pPr>
        <w:snapToGrid w:val="0"/>
        <w:spacing w:line="400" w:lineRule="exact"/>
        <w:ind w:firstLine="420" w:firstLineChars="200"/>
        <w:jc w:val="center"/>
        <w:rPr>
          <w:rFonts w:hAnsi="宋体" w:cs="宋体"/>
          <w:bCs/>
        </w:rPr>
      </w:pPr>
      <w:r>
        <w:rPr>
          <w:rFonts w:hint="eastAsia" w:hAnsi="宋体" w:cs="宋体"/>
          <w:bCs/>
        </w:rPr>
        <w:t>响应文件</w:t>
      </w:r>
    </w:p>
    <w:p>
      <w:pPr>
        <w:snapToGrid w:val="0"/>
        <w:spacing w:line="400" w:lineRule="exact"/>
        <w:ind w:firstLine="420" w:firstLineChars="200"/>
        <w:rPr>
          <w:rFonts w:hAnsi="宋体" w:cs="宋体"/>
          <w:bCs/>
        </w:rPr>
      </w:pPr>
    </w:p>
    <w:p>
      <w:pPr>
        <w:snapToGrid w:val="0"/>
        <w:spacing w:line="400" w:lineRule="exact"/>
        <w:ind w:firstLine="420" w:firstLineChars="200"/>
        <w:rPr>
          <w:rFonts w:hAnsi="宋体" w:cs="宋体"/>
          <w:bCs/>
        </w:rPr>
      </w:pPr>
      <w:r>
        <w:rPr>
          <w:rFonts w:hint="eastAsia" w:hAnsi="宋体" w:cs="宋体"/>
          <w:bCs/>
        </w:rPr>
        <w:t>项目名称：</w:t>
      </w:r>
    </w:p>
    <w:p>
      <w:pPr>
        <w:snapToGrid w:val="0"/>
        <w:spacing w:line="400" w:lineRule="exact"/>
        <w:ind w:firstLine="420" w:firstLineChars="200"/>
        <w:rPr>
          <w:rFonts w:hAnsi="宋体" w:cs="宋体"/>
          <w:bCs/>
        </w:rPr>
      </w:pPr>
      <w:r>
        <w:rPr>
          <w:rFonts w:hint="eastAsia" w:hAnsi="宋体" w:cs="宋体"/>
          <w:bCs/>
        </w:rPr>
        <w:t>项目编号：</w:t>
      </w:r>
    </w:p>
    <w:p>
      <w:pPr>
        <w:snapToGrid w:val="0"/>
        <w:spacing w:line="400" w:lineRule="exact"/>
        <w:ind w:firstLine="420" w:firstLineChars="200"/>
        <w:rPr>
          <w:rFonts w:ascii="宋体" w:hAnsi="宋体" w:cs="宋体"/>
          <w:bCs/>
          <w:szCs w:val="21"/>
        </w:rPr>
      </w:pPr>
      <w:r>
        <w:rPr>
          <w:rFonts w:hint="eastAsia" w:ascii="宋体" w:hAnsi="宋体" w:cs="宋体"/>
          <w:bCs/>
          <w:szCs w:val="21"/>
        </w:rPr>
        <w:t>响应人名称：</w:t>
      </w:r>
    </w:p>
    <w:p>
      <w:pPr>
        <w:snapToGrid w:val="0"/>
        <w:spacing w:line="400" w:lineRule="exact"/>
        <w:ind w:firstLine="420" w:firstLineChars="200"/>
        <w:jc w:val="center"/>
        <w:rPr>
          <w:rFonts w:hAnsi="宋体" w:cs="宋体"/>
        </w:rPr>
      </w:pPr>
    </w:p>
    <w:p>
      <w:pPr>
        <w:snapToGrid w:val="0"/>
        <w:spacing w:line="400" w:lineRule="exact"/>
        <w:ind w:firstLine="420" w:firstLineChars="200"/>
        <w:jc w:val="center"/>
        <w:rPr>
          <w:rFonts w:hAnsi="宋体" w:cs="宋体"/>
        </w:rPr>
      </w:pPr>
    </w:p>
    <w:p>
      <w:pPr>
        <w:snapToGrid w:val="0"/>
        <w:spacing w:line="400" w:lineRule="exact"/>
        <w:ind w:firstLine="420" w:firstLineChars="200"/>
        <w:jc w:val="center"/>
        <w:rPr>
          <w:rFonts w:hAnsi="宋体" w:cs="宋体"/>
        </w:rPr>
      </w:pPr>
      <w:r>
        <w:rPr>
          <w:rFonts w:hint="eastAsia" w:hAnsi="宋体" w:cs="宋体"/>
        </w:rPr>
        <w:t xml:space="preserve">                   </w:t>
      </w:r>
    </w:p>
    <w:p>
      <w:pPr>
        <w:snapToGrid w:val="0"/>
        <w:spacing w:line="400" w:lineRule="exact"/>
        <w:ind w:firstLine="420" w:firstLineChars="200"/>
        <w:rPr>
          <w:rFonts w:hAnsi="宋体" w:cs="宋体"/>
        </w:rPr>
      </w:pPr>
    </w:p>
    <w:p>
      <w:pPr>
        <w:snapToGrid w:val="0"/>
        <w:spacing w:line="400" w:lineRule="exact"/>
        <w:ind w:firstLine="420" w:firstLineChars="200"/>
        <w:rPr>
          <w:rFonts w:hAnsi="宋体" w:cs="宋体"/>
        </w:rPr>
      </w:pPr>
    </w:p>
    <w:p>
      <w:pPr>
        <w:snapToGrid w:val="0"/>
        <w:spacing w:line="400" w:lineRule="exact"/>
        <w:ind w:firstLine="420" w:firstLineChars="200"/>
        <w:rPr>
          <w:rFonts w:hAnsi="宋体" w:cs="宋体"/>
        </w:rPr>
      </w:pPr>
    </w:p>
    <w:p>
      <w:pPr>
        <w:snapToGrid w:val="0"/>
        <w:spacing w:line="400" w:lineRule="exact"/>
        <w:ind w:firstLine="420" w:firstLineChars="200"/>
        <w:rPr>
          <w:rFonts w:hAnsi="宋体" w:cs="宋体"/>
        </w:rPr>
      </w:pPr>
      <w:r>
        <w:rPr>
          <w:rFonts w:hint="eastAsia" w:hAnsi="宋体" w:cs="宋体"/>
        </w:rPr>
        <w:t>2.</w:t>
      </w:r>
      <w:r>
        <w:rPr>
          <w:rFonts w:hint="eastAsia" w:hAnsi="宋体" w:cs="宋体"/>
          <w:bCs/>
        </w:rPr>
        <w:t>响应</w:t>
      </w:r>
      <w:r>
        <w:rPr>
          <w:rFonts w:hint="eastAsia" w:hAnsi="宋体" w:cs="宋体"/>
        </w:rPr>
        <w:t xml:space="preserve">文件封面格式： </w:t>
      </w:r>
    </w:p>
    <w:p>
      <w:pPr>
        <w:snapToGrid w:val="0"/>
        <w:spacing w:line="400" w:lineRule="exact"/>
        <w:ind w:firstLine="420" w:firstLineChars="200"/>
        <w:rPr>
          <w:rFonts w:hAnsi="宋体" w:cs="宋体"/>
        </w:rPr>
      </w:pPr>
      <w:r>
        <w:rPr>
          <w:rFonts w:hint="eastAsia" w:hAnsi="宋体" w:cs="宋体"/>
        </w:rPr>
        <w:t xml:space="preserve">                                                   </w:t>
      </w:r>
    </w:p>
    <w:p>
      <w:pPr>
        <w:snapToGrid w:val="0"/>
        <w:spacing w:line="400" w:lineRule="exact"/>
        <w:ind w:firstLine="420" w:firstLineChars="200"/>
        <w:jc w:val="center"/>
        <w:rPr>
          <w:rFonts w:hAnsi="宋体" w:cs="宋体"/>
          <w:bCs/>
        </w:rPr>
      </w:pPr>
      <w:r>
        <w:rPr>
          <w:rFonts w:hint="eastAsia" w:hAnsi="宋体" w:cs="宋体"/>
        </w:rPr>
        <w:t xml:space="preserve">                                                              </w:t>
      </w:r>
      <w:r>
        <w:rPr>
          <w:rFonts w:hint="eastAsia" w:hAnsi="宋体" w:cs="宋体"/>
          <w:bCs/>
        </w:rPr>
        <w:t>正本/或副本</w:t>
      </w:r>
    </w:p>
    <w:p>
      <w:pPr>
        <w:snapToGrid w:val="0"/>
        <w:spacing w:line="400" w:lineRule="exact"/>
        <w:ind w:firstLine="420" w:firstLineChars="200"/>
        <w:rPr>
          <w:rFonts w:hAnsi="宋体" w:cs="宋体"/>
          <w:bCs/>
        </w:rPr>
      </w:pPr>
    </w:p>
    <w:p>
      <w:pPr>
        <w:snapToGrid w:val="0"/>
        <w:spacing w:line="400" w:lineRule="exact"/>
        <w:ind w:firstLine="420" w:firstLineChars="200"/>
        <w:jc w:val="center"/>
        <w:rPr>
          <w:rFonts w:hAnsi="宋体" w:cs="宋体"/>
          <w:bCs/>
        </w:rPr>
      </w:pPr>
      <w:r>
        <w:rPr>
          <w:rFonts w:hint="eastAsia" w:hAnsi="宋体" w:cs="宋体"/>
          <w:bCs/>
        </w:rPr>
        <w:t>响应文件</w:t>
      </w:r>
    </w:p>
    <w:p>
      <w:pPr>
        <w:snapToGrid w:val="0"/>
        <w:spacing w:line="400" w:lineRule="exact"/>
        <w:ind w:firstLine="420" w:firstLineChars="200"/>
        <w:rPr>
          <w:rFonts w:hAnsi="宋体" w:cs="宋体"/>
          <w:bCs/>
        </w:rPr>
      </w:pPr>
    </w:p>
    <w:p>
      <w:pPr>
        <w:snapToGrid w:val="0"/>
        <w:spacing w:line="400" w:lineRule="exact"/>
        <w:ind w:firstLine="420" w:firstLineChars="200"/>
        <w:rPr>
          <w:rFonts w:hAnsi="宋体" w:cs="宋体"/>
          <w:bCs/>
        </w:rPr>
      </w:pPr>
      <w:r>
        <w:rPr>
          <w:rFonts w:hint="eastAsia" w:hAnsi="宋体" w:cs="宋体"/>
          <w:bCs/>
        </w:rPr>
        <w:t>项目名称：</w:t>
      </w:r>
    </w:p>
    <w:p>
      <w:pPr>
        <w:snapToGrid w:val="0"/>
        <w:spacing w:line="400" w:lineRule="exact"/>
        <w:ind w:firstLine="420" w:firstLineChars="200"/>
        <w:rPr>
          <w:rFonts w:hAnsi="宋体" w:cs="宋体"/>
          <w:bCs/>
        </w:rPr>
      </w:pPr>
      <w:r>
        <w:rPr>
          <w:rFonts w:hint="eastAsia" w:hAnsi="宋体" w:cs="宋体"/>
          <w:bCs/>
        </w:rPr>
        <w:t>项目编号：</w:t>
      </w:r>
    </w:p>
    <w:p>
      <w:pPr>
        <w:snapToGrid w:val="0"/>
        <w:spacing w:line="400" w:lineRule="exact"/>
        <w:ind w:firstLine="420" w:firstLineChars="200"/>
        <w:rPr>
          <w:rFonts w:hAnsi="宋体" w:cs="宋体"/>
          <w:bCs/>
        </w:rPr>
      </w:pPr>
      <w:r>
        <w:rPr>
          <w:rFonts w:hint="eastAsia" w:hAnsi="宋体" w:cs="宋体"/>
          <w:bCs/>
        </w:rPr>
        <w:t>响应人名称：</w:t>
      </w:r>
    </w:p>
    <w:p>
      <w:pPr>
        <w:snapToGrid w:val="0"/>
        <w:spacing w:line="400" w:lineRule="exact"/>
        <w:ind w:firstLine="420" w:firstLineChars="200"/>
        <w:rPr>
          <w:rFonts w:hAnsi="宋体" w:cs="宋体"/>
        </w:rPr>
      </w:pPr>
    </w:p>
    <w:p>
      <w:pPr>
        <w:snapToGrid w:val="0"/>
        <w:spacing w:line="400" w:lineRule="exact"/>
        <w:ind w:firstLine="420" w:firstLineChars="200"/>
        <w:rPr>
          <w:rFonts w:hAnsi="宋体" w:cs="宋体"/>
        </w:rPr>
      </w:pPr>
    </w:p>
    <w:p>
      <w:pPr>
        <w:snapToGrid w:val="0"/>
        <w:spacing w:line="400" w:lineRule="exact"/>
        <w:ind w:firstLine="420" w:firstLineChars="200"/>
        <w:rPr>
          <w:rFonts w:hAnsi="宋体" w:cs="宋体"/>
        </w:rPr>
      </w:pPr>
    </w:p>
    <w:p>
      <w:pPr>
        <w:snapToGrid w:val="0"/>
        <w:spacing w:line="400" w:lineRule="exact"/>
        <w:ind w:firstLine="480" w:firstLineChars="200"/>
        <w:rPr>
          <w:rFonts w:hAnsi="宋体" w:cs="宋体"/>
          <w:sz w:val="24"/>
          <w:szCs w:val="20"/>
        </w:rPr>
      </w:pPr>
    </w:p>
    <w:p>
      <w:pPr>
        <w:snapToGrid w:val="0"/>
        <w:spacing w:line="400" w:lineRule="exact"/>
        <w:rPr>
          <w:rFonts w:hAnsi="宋体" w:cs="宋体"/>
          <w:sz w:val="24"/>
          <w:szCs w:val="20"/>
        </w:rPr>
      </w:pPr>
    </w:p>
    <w:p>
      <w:pPr>
        <w:snapToGrid w:val="0"/>
        <w:spacing w:line="400" w:lineRule="exact"/>
        <w:rPr>
          <w:rFonts w:hAnsi="宋体" w:cs="宋体"/>
          <w:sz w:val="24"/>
          <w:szCs w:val="20"/>
        </w:rPr>
      </w:pPr>
    </w:p>
    <w:p>
      <w:pPr>
        <w:snapToGrid w:val="0"/>
        <w:spacing w:line="400" w:lineRule="exact"/>
        <w:rPr>
          <w:rFonts w:hAnsi="宋体" w:cs="宋体"/>
          <w:sz w:val="24"/>
          <w:szCs w:val="20"/>
        </w:rPr>
      </w:pPr>
    </w:p>
    <w:p>
      <w:pPr>
        <w:snapToGrid w:val="0"/>
        <w:spacing w:line="400" w:lineRule="exact"/>
        <w:rPr>
          <w:rFonts w:hAnsi="宋体" w:cs="宋体"/>
          <w:sz w:val="24"/>
          <w:szCs w:val="20"/>
        </w:rPr>
      </w:pPr>
    </w:p>
    <w:p>
      <w:pPr>
        <w:snapToGrid w:val="0"/>
        <w:spacing w:line="400" w:lineRule="exact"/>
        <w:rPr>
          <w:rFonts w:hAnsi="宋体" w:cs="宋体"/>
          <w:sz w:val="24"/>
          <w:szCs w:val="20"/>
        </w:rPr>
      </w:pPr>
    </w:p>
    <w:p>
      <w:pPr>
        <w:snapToGrid w:val="0"/>
        <w:spacing w:line="400" w:lineRule="exact"/>
        <w:rPr>
          <w:rFonts w:hAnsi="宋体" w:cs="宋体"/>
          <w:sz w:val="24"/>
          <w:szCs w:val="20"/>
        </w:rPr>
      </w:pPr>
    </w:p>
    <w:p>
      <w:pPr>
        <w:snapToGrid w:val="0"/>
        <w:spacing w:line="400" w:lineRule="exact"/>
        <w:rPr>
          <w:rFonts w:hAnsi="宋体" w:cs="宋体"/>
        </w:rPr>
      </w:pPr>
      <w:r>
        <w:rPr>
          <w:rFonts w:hint="eastAsia" w:hAnsi="宋体" w:cs="宋体"/>
          <w:bCs/>
        </w:rPr>
        <w:t>3.</w:t>
      </w:r>
      <w:r>
        <w:rPr>
          <w:rFonts w:hint="eastAsia" w:hAnsi="宋体" w:cs="宋体"/>
        </w:rPr>
        <w:t>评分索引表</w:t>
      </w:r>
    </w:p>
    <w:p>
      <w:pPr>
        <w:spacing w:line="400" w:lineRule="exact"/>
        <w:ind w:firstLine="210" w:firstLineChars="100"/>
        <w:rPr>
          <w:rFonts w:hAnsi="宋体" w:cs="宋体"/>
        </w:rPr>
      </w:pPr>
      <w:r>
        <w:rPr>
          <w:rFonts w:hint="eastAsia" w:hAnsi="宋体" w:cs="宋体"/>
        </w:rPr>
        <w:t>具体内容参见招标文件的评分内容和标准，格式如下：</w:t>
      </w:r>
    </w:p>
    <w:tbl>
      <w:tblPr>
        <w:tblStyle w:val="26"/>
        <w:tblW w:w="8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394"/>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r>
              <w:rPr>
                <w:rFonts w:hint="eastAsia" w:hAnsi="宋体" w:cs="宋体"/>
              </w:rPr>
              <w:t>考核项目</w:t>
            </w:r>
          </w:p>
        </w:tc>
        <w:tc>
          <w:tcPr>
            <w:tcW w:w="5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r>
              <w:rPr>
                <w:rFonts w:hint="eastAsia" w:hAnsi="宋体" w:cs="宋体"/>
              </w:rPr>
              <w:t>评分标准</w:t>
            </w:r>
          </w:p>
        </w:tc>
        <w:tc>
          <w:tcPr>
            <w:tcW w:w="12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r>
              <w:rPr>
                <w:rFonts w:hint="eastAsia" w:hAnsi="宋体" w:cs="宋体"/>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c>
          <w:tcPr>
            <w:tcW w:w="5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c>
          <w:tcPr>
            <w:tcW w:w="12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eastAsia="Times New Roman"/>
                <w:sz w:val="20"/>
                <w:szCs w:val="20"/>
              </w:rPr>
            </w:pPr>
          </w:p>
        </w:tc>
        <w:tc>
          <w:tcPr>
            <w:tcW w:w="5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c>
          <w:tcPr>
            <w:tcW w:w="12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eastAsia="Times New Roman"/>
                <w:sz w:val="20"/>
                <w:szCs w:val="20"/>
              </w:rPr>
            </w:pPr>
          </w:p>
        </w:tc>
        <w:tc>
          <w:tcPr>
            <w:tcW w:w="5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c>
          <w:tcPr>
            <w:tcW w:w="12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eastAsia="Times New Roman"/>
                <w:sz w:val="20"/>
                <w:szCs w:val="20"/>
              </w:rPr>
            </w:pPr>
          </w:p>
        </w:tc>
        <w:tc>
          <w:tcPr>
            <w:tcW w:w="5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c>
          <w:tcPr>
            <w:tcW w:w="12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rPr>
            </w:pPr>
          </w:p>
        </w:tc>
      </w:tr>
    </w:tbl>
    <w:p>
      <w:pPr>
        <w:spacing w:line="400" w:lineRule="exact"/>
        <w:ind w:firstLine="422" w:firstLineChars="200"/>
        <w:rPr>
          <w:rFonts w:hAnsi="宋体" w:cs="宋体"/>
          <w:b/>
        </w:rPr>
      </w:pPr>
      <w:r>
        <w:rPr>
          <w:rFonts w:hint="eastAsia" w:hAnsi="宋体" w:cs="宋体"/>
          <w:b/>
        </w:rPr>
        <w:t>注：请各供应商将本表放在响应文件目录前</w:t>
      </w:r>
      <w:r>
        <w:rPr>
          <w:rFonts w:hint="eastAsia" w:hAnsi="宋体" w:cs="宋体"/>
        </w:rPr>
        <w:t>（如评分内容和标准中涉及样品分和演示分之类由投标人自行决定是否填写对应页码）</w:t>
      </w:r>
    </w:p>
    <w:p>
      <w:pPr>
        <w:widowControl/>
        <w:snapToGrid w:val="0"/>
        <w:spacing w:line="400" w:lineRule="exact"/>
        <w:ind w:firstLine="422" w:firstLineChars="200"/>
        <w:rPr>
          <w:rFonts w:hAnsi="宋体" w:cs="宋体"/>
          <w:b/>
          <w:lang w:val="zh-CN"/>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p>
    <w:p>
      <w:pPr>
        <w:snapToGrid w:val="0"/>
        <w:spacing w:line="400" w:lineRule="exact"/>
        <w:rPr>
          <w:rFonts w:hAnsi="宋体" w:cs="宋体"/>
          <w:spacing w:val="-4"/>
        </w:rPr>
      </w:pPr>
      <w:r>
        <w:rPr>
          <w:rFonts w:hint="eastAsia" w:hAnsi="宋体" w:cs="宋体"/>
          <w:spacing w:val="-4"/>
        </w:rPr>
        <w:t>附件一</w:t>
      </w:r>
    </w:p>
    <w:p>
      <w:pPr>
        <w:snapToGrid w:val="0"/>
        <w:spacing w:line="400" w:lineRule="exact"/>
        <w:rPr>
          <w:rFonts w:hAnsi="宋体" w:cs="宋体"/>
          <w:b/>
          <w:spacing w:val="-4"/>
          <w:sz w:val="18"/>
          <w:szCs w:val="20"/>
        </w:rPr>
      </w:pPr>
    </w:p>
    <w:p>
      <w:pPr>
        <w:spacing w:line="400" w:lineRule="exact"/>
        <w:ind w:firstLine="480" w:firstLineChars="200"/>
        <w:rPr>
          <w:rFonts w:hAnsi="宋体" w:cs="宋体"/>
          <w:b/>
          <w:bCs/>
        </w:rPr>
      </w:pPr>
      <w:r>
        <w:rPr>
          <w:rFonts w:hint="eastAsia" w:hAnsi="宋体" w:cs="宋体"/>
          <w:sz w:val="24"/>
          <w:szCs w:val="20"/>
        </w:rPr>
        <w:t xml:space="preserve">   </w:t>
      </w:r>
      <w:r>
        <w:rPr>
          <w:rFonts w:hint="eastAsia" w:hAnsi="宋体" w:cs="宋体"/>
          <w:b/>
          <w:bCs/>
          <w:sz w:val="24"/>
          <w:szCs w:val="20"/>
        </w:rPr>
        <w:t xml:space="preserve">   </w:t>
      </w:r>
      <w:r>
        <w:rPr>
          <w:rFonts w:hint="eastAsia" w:hAnsi="宋体" w:cs="宋体"/>
          <w:b/>
          <w:bCs/>
        </w:rPr>
        <w:t>符合《中华人民共和国政府采购法》第二十二条规定的供应商承诺书</w:t>
      </w:r>
    </w:p>
    <w:p>
      <w:pPr>
        <w:spacing w:line="400" w:lineRule="exact"/>
        <w:ind w:firstLine="420" w:firstLineChars="200"/>
        <w:rPr>
          <w:rFonts w:hAnsi="宋体" w:cs="宋体"/>
        </w:rPr>
      </w:pPr>
    </w:p>
    <w:p>
      <w:pPr>
        <w:spacing w:line="400" w:lineRule="exact"/>
        <w:ind w:firstLine="420" w:firstLineChars="200"/>
        <w:rPr>
          <w:rFonts w:hAnsi="宋体" w:cs="宋体"/>
        </w:rPr>
      </w:pPr>
      <w:r>
        <w:rPr>
          <w:rFonts w:hint="eastAsia" w:hAnsi="宋体" w:cs="宋体"/>
        </w:rPr>
        <w:t>我公司（单位）符合《中华人民共和国政府采购法》第二十二条规定的供应商资格条件：</w:t>
      </w:r>
    </w:p>
    <w:p>
      <w:pPr>
        <w:spacing w:line="400" w:lineRule="exact"/>
        <w:ind w:firstLine="420" w:firstLineChars="200"/>
        <w:rPr>
          <w:rFonts w:hAnsi="宋体" w:cs="宋体"/>
        </w:rPr>
      </w:pPr>
      <w:r>
        <w:rPr>
          <w:rFonts w:hint="eastAsia" w:hAnsi="宋体" w:cs="宋体"/>
        </w:rPr>
        <w:t>1.具有独立承担民事责任的能力；</w:t>
      </w:r>
    </w:p>
    <w:p>
      <w:pPr>
        <w:spacing w:line="400" w:lineRule="exact"/>
        <w:ind w:firstLine="420" w:firstLineChars="200"/>
        <w:rPr>
          <w:rFonts w:hAnsi="宋体" w:cs="宋体"/>
        </w:rPr>
      </w:pPr>
      <w:r>
        <w:rPr>
          <w:rFonts w:hint="eastAsia" w:hAnsi="宋体" w:cs="宋体"/>
        </w:rPr>
        <w:t>2.具有良好的商业信誉和健全的财务会计制度；</w:t>
      </w:r>
    </w:p>
    <w:p>
      <w:pPr>
        <w:spacing w:line="400" w:lineRule="exact"/>
        <w:ind w:firstLine="420" w:firstLineChars="200"/>
        <w:rPr>
          <w:rFonts w:hAnsi="宋体" w:cs="宋体"/>
        </w:rPr>
      </w:pPr>
      <w:r>
        <w:rPr>
          <w:rFonts w:hint="eastAsia" w:hAnsi="宋体" w:cs="宋体"/>
        </w:rPr>
        <w:t>3.具有履行合同所必需的设备和专业技术能力；</w:t>
      </w:r>
    </w:p>
    <w:p>
      <w:pPr>
        <w:spacing w:line="400" w:lineRule="exact"/>
        <w:ind w:firstLine="420" w:firstLineChars="200"/>
        <w:rPr>
          <w:rFonts w:hAnsi="宋体" w:cs="宋体"/>
        </w:rPr>
      </w:pPr>
      <w:r>
        <w:rPr>
          <w:rFonts w:hint="eastAsia" w:hAnsi="宋体" w:cs="宋体"/>
        </w:rPr>
        <w:t>4.有依法缴纳税收和社会保障资金的良好记录；</w:t>
      </w:r>
    </w:p>
    <w:p>
      <w:pPr>
        <w:spacing w:line="400" w:lineRule="exact"/>
        <w:ind w:firstLine="420" w:firstLineChars="200"/>
        <w:rPr>
          <w:rFonts w:hAnsi="宋体" w:cs="宋体"/>
        </w:rPr>
      </w:pPr>
      <w:r>
        <w:rPr>
          <w:rFonts w:hint="eastAsia" w:hAnsi="宋体" w:cs="宋体"/>
        </w:rPr>
        <w:t>5.参加政府采购活动前三年内，在经营活动中没有重大违法记录；</w:t>
      </w:r>
    </w:p>
    <w:p>
      <w:pPr>
        <w:spacing w:line="400" w:lineRule="exact"/>
        <w:ind w:firstLine="420" w:firstLineChars="200"/>
        <w:rPr>
          <w:rFonts w:hAnsi="宋体" w:cs="宋体"/>
        </w:rPr>
      </w:pPr>
      <w:r>
        <w:rPr>
          <w:rFonts w:hint="eastAsia" w:hAnsi="宋体" w:cs="宋体"/>
        </w:rPr>
        <w:t>6.法律、行政法规规定的其他条件。</w:t>
      </w:r>
    </w:p>
    <w:p>
      <w:pPr>
        <w:spacing w:line="400" w:lineRule="exact"/>
        <w:ind w:firstLine="420" w:firstLineChars="200"/>
        <w:rPr>
          <w:rFonts w:hAnsi="宋体" w:cs="宋体"/>
        </w:rPr>
      </w:pPr>
      <w:r>
        <w:rPr>
          <w:rFonts w:hint="eastAsia" w:hAnsi="宋体" w:cs="宋体"/>
        </w:rPr>
        <w:t>特此承诺！</w:t>
      </w:r>
    </w:p>
    <w:p>
      <w:pPr>
        <w:spacing w:line="400" w:lineRule="exact"/>
        <w:ind w:firstLine="420" w:firstLineChars="200"/>
        <w:rPr>
          <w:rFonts w:hAnsi="宋体" w:cs="宋体"/>
        </w:rPr>
      </w:pPr>
    </w:p>
    <w:p>
      <w:pPr>
        <w:spacing w:line="400" w:lineRule="exact"/>
        <w:ind w:firstLine="420" w:firstLineChars="200"/>
        <w:rPr>
          <w:rFonts w:hAnsi="宋体" w:cs="宋体"/>
        </w:rPr>
      </w:pPr>
    </w:p>
    <w:p>
      <w:pPr>
        <w:spacing w:line="400" w:lineRule="exact"/>
        <w:ind w:firstLine="420" w:firstLineChars="200"/>
        <w:rPr>
          <w:rFonts w:hAnsi="宋体" w:cs="宋体"/>
        </w:rPr>
      </w:pPr>
    </w:p>
    <w:p>
      <w:pPr>
        <w:spacing w:line="400" w:lineRule="exact"/>
        <w:ind w:firstLine="4830" w:firstLineChars="2300"/>
        <w:rPr>
          <w:rFonts w:hAnsi="宋体" w:cs="宋体"/>
        </w:rPr>
      </w:pPr>
      <w:r>
        <w:rPr>
          <w:rFonts w:hint="eastAsia" w:hAnsi="宋体" w:cs="宋体"/>
        </w:rPr>
        <w:t xml:space="preserve">供应商（盖章）：        </w:t>
      </w:r>
    </w:p>
    <w:p>
      <w:pPr>
        <w:spacing w:line="400" w:lineRule="exact"/>
        <w:ind w:firstLine="1575" w:firstLineChars="750"/>
        <w:rPr>
          <w:rFonts w:hAnsi="宋体" w:cs="宋体"/>
        </w:rPr>
      </w:pPr>
      <w:r>
        <w:rPr>
          <w:rFonts w:hint="eastAsia" w:hAnsi="宋体" w:cs="宋体"/>
        </w:rPr>
        <w:t xml:space="preserve">供应商的法定代表人/负责人或其授权代表(签字)：        </w:t>
      </w:r>
    </w:p>
    <w:p>
      <w:pPr>
        <w:spacing w:line="400" w:lineRule="exact"/>
        <w:ind w:firstLine="420" w:firstLineChars="200"/>
        <w:rPr>
          <w:rFonts w:hAnsi="宋体" w:cs="宋体"/>
        </w:rPr>
      </w:pPr>
      <w:r>
        <w:rPr>
          <w:rFonts w:hint="eastAsia" w:hAnsi="宋体" w:cs="宋体"/>
        </w:rPr>
        <w:t xml:space="preserve">                                                 日  期：  </w:t>
      </w:r>
    </w:p>
    <w:p>
      <w:pPr>
        <w:spacing w:line="400" w:lineRule="exact"/>
        <w:ind w:firstLine="420" w:firstLineChars="200"/>
        <w:rPr>
          <w:rFonts w:hAnsi="宋体" w:cs="宋体"/>
        </w:rPr>
      </w:pPr>
    </w:p>
    <w:p>
      <w:pPr>
        <w:widowControl/>
        <w:ind w:left="420" w:right="159"/>
        <w:rPr>
          <w:rFonts w:hAnsi="宋体" w:cs="宋体"/>
        </w:rPr>
      </w:pPr>
    </w:p>
    <w:p>
      <w:pPr>
        <w:widowControl/>
        <w:ind w:left="420" w:right="159"/>
        <w:rPr>
          <w:rFonts w:hAnsi="宋体" w:cs="宋体"/>
        </w:rPr>
      </w:pPr>
    </w:p>
    <w:p>
      <w:pPr>
        <w:widowControl/>
        <w:ind w:left="420" w:right="159"/>
        <w:rPr>
          <w:rFonts w:hAnsi="宋体" w:cs="宋体"/>
        </w:rPr>
      </w:pPr>
    </w:p>
    <w:p>
      <w:pPr>
        <w:widowControl/>
        <w:ind w:right="159" w:firstLine="420" w:firstLineChars="200"/>
        <w:rPr>
          <w:rFonts w:hAnsi="宋体" w:cs="宋体"/>
        </w:rPr>
      </w:pPr>
    </w:p>
    <w:p>
      <w:pPr>
        <w:widowControl/>
        <w:ind w:right="159" w:firstLine="420" w:firstLineChars="200"/>
        <w:rPr>
          <w:rFonts w:hAnsi="宋体" w:cs="宋体"/>
        </w:rPr>
      </w:pPr>
    </w:p>
    <w:p>
      <w:pPr>
        <w:widowControl/>
        <w:ind w:right="159" w:firstLine="420" w:firstLineChars="200"/>
        <w:rPr>
          <w:rFonts w:hAnsi="宋体" w:cs="宋体"/>
        </w:rPr>
      </w:pPr>
    </w:p>
    <w:p>
      <w:pPr>
        <w:widowControl/>
        <w:ind w:right="159" w:firstLine="420" w:firstLineChars="200"/>
        <w:rPr>
          <w:rFonts w:hAnsi="宋体" w:cs="宋体"/>
        </w:rPr>
      </w:pPr>
    </w:p>
    <w:p>
      <w:pPr>
        <w:widowControl/>
        <w:ind w:right="159" w:firstLine="420" w:firstLineChars="200"/>
        <w:rPr>
          <w:rFonts w:hAnsi="宋体" w:cs="宋体"/>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p>
    <w:p>
      <w:pPr>
        <w:snapToGrid w:val="0"/>
        <w:spacing w:line="400" w:lineRule="exact"/>
        <w:jc w:val="left"/>
        <w:rPr>
          <w:rFonts w:hAnsi="宋体" w:cs="宋体"/>
          <w:spacing w:val="-4"/>
        </w:rPr>
      </w:pPr>
      <w:r>
        <w:rPr>
          <w:rFonts w:hint="eastAsia" w:hAnsi="宋体" w:cs="宋体"/>
          <w:spacing w:val="-4"/>
        </w:rPr>
        <w:t>附件二</w:t>
      </w:r>
    </w:p>
    <w:p>
      <w:pPr>
        <w:pStyle w:val="23"/>
        <w:spacing w:after="120" w:line="400" w:lineRule="exact"/>
        <w:ind w:left="420" w:leftChars="200"/>
        <w:jc w:val="center"/>
        <w:rPr>
          <w:b/>
          <w:bCs/>
          <w:szCs w:val="21"/>
          <w:lang w:val="zh-CN"/>
        </w:rPr>
      </w:pPr>
      <w:r>
        <w:rPr>
          <w:rFonts w:hint="eastAsia"/>
          <w:b/>
          <w:bCs/>
          <w:kern w:val="2"/>
          <w:sz w:val="21"/>
          <w:szCs w:val="21"/>
        </w:rPr>
        <w:t>（二-1）</w:t>
      </w:r>
      <w:r>
        <w:rPr>
          <w:rFonts w:hint="eastAsia"/>
          <w:b/>
          <w:bCs/>
          <w:kern w:val="2"/>
          <w:sz w:val="21"/>
          <w:szCs w:val="21"/>
          <w:lang w:val="zh-CN"/>
        </w:rPr>
        <w:t>法定代表人/负责人身份证明书</w:t>
      </w:r>
    </w:p>
    <w:p>
      <w:pPr>
        <w:spacing w:line="400" w:lineRule="exact"/>
        <w:jc w:val="center"/>
        <w:rPr>
          <w:rFonts w:hAnsi="宋体" w:cs="宋体"/>
        </w:rPr>
      </w:pPr>
    </w:p>
    <w:p>
      <w:pPr>
        <w:spacing w:line="400" w:lineRule="exact"/>
        <w:ind w:firstLine="420" w:firstLineChars="200"/>
        <w:rPr>
          <w:rFonts w:hAnsi="宋体" w:cs="宋体"/>
          <w:u w:val="single"/>
        </w:rPr>
      </w:pPr>
      <w:r>
        <w:rPr>
          <w:rFonts w:hint="eastAsia" w:hAnsi="宋体" w:cs="宋体"/>
        </w:rPr>
        <w:t>单位名称：</w:t>
      </w:r>
      <w:r>
        <w:rPr>
          <w:rFonts w:hint="eastAsia" w:hAnsi="宋体" w:cs="宋体"/>
          <w:u w:val="single"/>
        </w:rPr>
        <w:t xml:space="preserve">                                                              </w:t>
      </w:r>
    </w:p>
    <w:p>
      <w:pPr>
        <w:spacing w:line="400" w:lineRule="exact"/>
        <w:ind w:firstLine="420" w:firstLineChars="200"/>
        <w:rPr>
          <w:rFonts w:hAnsi="宋体" w:cs="宋体"/>
          <w:u w:val="single"/>
        </w:rPr>
      </w:pPr>
      <w:r>
        <w:rPr>
          <w:rFonts w:hint="eastAsia" w:hAnsi="宋体" w:cs="宋体"/>
        </w:rPr>
        <w:t>单位性质：</w:t>
      </w:r>
      <w:r>
        <w:rPr>
          <w:rFonts w:hint="eastAsia" w:hAnsi="宋体" w:cs="宋体"/>
          <w:u w:val="single"/>
        </w:rPr>
        <w:t xml:space="preserve">                                                              </w:t>
      </w:r>
    </w:p>
    <w:p>
      <w:pPr>
        <w:spacing w:line="400" w:lineRule="exact"/>
        <w:ind w:firstLine="420" w:firstLineChars="200"/>
        <w:rPr>
          <w:rFonts w:hAnsi="宋体" w:cs="宋体"/>
          <w:u w:val="single"/>
        </w:rPr>
      </w:pPr>
      <w:r>
        <w:rPr>
          <w:rFonts w:hint="eastAsia" w:hAnsi="宋体" w:cs="宋体"/>
        </w:rPr>
        <w:t>地    址：</w:t>
      </w:r>
      <w:r>
        <w:rPr>
          <w:rFonts w:hint="eastAsia" w:hAnsi="宋体" w:cs="宋体"/>
          <w:u w:val="single"/>
        </w:rPr>
        <w:t xml:space="preserve">                                                              </w:t>
      </w:r>
    </w:p>
    <w:p>
      <w:pPr>
        <w:spacing w:line="400" w:lineRule="exact"/>
        <w:ind w:firstLine="420" w:firstLineChars="200"/>
        <w:rPr>
          <w:rFonts w:hAnsi="宋体" w:cs="宋体"/>
        </w:rPr>
      </w:pPr>
      <w:r>
        <w:rPr>
          <w:rFonts w:hint="eastAsia" w:hAnsi="宋体" w:cs="宋体"/>
        </w:rPr>
        <w:t>成立时间：</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pacing w:line="400" w:lineRule="exact"/>
        <w:ind w:firstLine="420" w:firstLineChars="200"/>
        <w:rPr>
          <w:rFonts w:hAnsi="宋体" w:cs="宋体"/>
          <w:u w:val="single"/>
        </w:rPr>
      </w:pPr>
      <w:r>
        <w:rPr>
          <w:rFonts w:hint="eastAsia" w:hAnsi="宋体" w:cs="宋体"/>
        </w:rPr>
        <w:t>经营期限：</w:t>
      </w:r>
      <w:r>
        <w:rPr>
          <w:rFonts w:hint="eastAsia" w:hAnsi="宋体" w:cs="宋体"/>
          <w:u w:val="single"/>
        </w:rPr>
        <w:t xml:space="preserve">                                                             </w:t>
      </w:r>
    </w:p>
    <w:p>
      <w:pPr>
        <w:spacing w:line="400" w:lineRule="exact"/>
        <w:ind w:firstLine="420" w:firstLineChars="200"/>
        <w:rPr>
          <w:rFonts w:hAnsi="宋体" w:cs="宋体"/>
          <w:u w:val="single"/>
        </w:rPr>
      </w:pPr>
      <w:r>
        <w:rPr>
          <w:rFonts w:hint="eastAsia" w:hAnsi="宋体" w:cs="宋体"/>
        </w:rPr>
        <w:t>姓    名：</w:t>
      </w:r>
      <w:r>
        <w:rPr>
          <w:rFonts w:hint="eastAsia" w:hAnsi="宋体" w:cs="宋体"/>
          <w:u w:val="single"/>
        </w:rPr>
        <w:t xml:space="preserve">            </w:t>
      </w:r>
      <w:r>
        <w:rPr>
          <w:rFonts w:hint="eastAsia" w:hAnsi="宋体" w:cs="宋体"/>
        </w:rPr>
        <w:t xml:space="preserve">  性别：</w:t>
      </w:r>
      <w:r>
        <w:rPr>
          <w:rFonts w:hint="eastAsia" w:hAnsi="宋体" w:cs="宋体"/>
          <w:u w:val="single"/>
        </w:rPr>
        <w:t xml:space="preserve">         </w:t>
      </w:r>
      <w:r>
        <w:rPr>
          <w:rFonts w:hint="eastAsia" w:hAnsi="宋体" w:cs="宋体"/>
        </w:rPr>
        <w:t xml:space="preserve"> 年龄：</w:t>
      </w:r>
      <w:r>
        <w:rPr>
          <w:rFonts w:hint="eastAsia" w:hAnsi="宋体" w:cs="宋体"/>
          <w:u w:val="single"/>
        </w:rPr>
        <w:t xml:space="preserve">          </w:t>
      </w:r>
      <w:r>
        <w:rPr>
          <w:rFonts w:hint="eastAsia" w:hAnsi="宋体" w:cs="宋体"/>
        </w:rPr>
        <w:t xml:space="preserve"> 职务：</w:t>
      </w:r>
      <w:r>
        <w:rPr>
          <w:rFonts w:hint="eastAsia" w:hAnsi="宋体" w:cs="宋体"/>
          <w:u w:val="single"/>
        </w:rPr>
        <w:t xml:space="preserve">         </w:t>
      </w:r>
    </w:p>
    <w:p>
      <w:pPr>
        <w:spacing w:line="400" w:lineRule="exact"/>
        <w:ind w:firstLine="420" w:firstLineChars="200"/>
        <w:rPr>
          <w:rFonts w:hAnsi="宋体" w:cs="宋体"/>
        </w:rPr>
      </w:pPr>
      <w:r>
        <w:rPr>
          <w:rFonts w:hint="eastAsia" w:hAnsi="宋体" w:cs="宋体"/>
        </w:rPr>
        <w:t xml:space="preserve">系 </w:t>
      </w:r>
      <w:r>
        <w:rPr>
          <w:rFonts w:hint="eastAsia" w:hAnsi="宋体" w:cs="宋体"/>
          <w:u w:val="single"/>
        </w:rPr>
        <w:t xml:space="preserve">           (供应商名称)                         </w:t>
      </w:r>
      <w:r>
        <w:rPr>
          <w:rFonts w:hint="eastAsia" w:hAnsi="宋体" w:cs="宋体"/>
        </w:rPr>
        <w:t>的法定代表人/负责人。</w:t>
      </w:r>
    </w:p>
    <w:p>
      <w:pPr>
        <w:spacing w:line="400" w:lineRule="exact"/>
        <w:ind w:firstLine="420" w:firstLineChars="200"/>
        <w:rPr>
          <w:rFonts w:hAnsi="宋体" w:cs="宋体"/>
        </w:rPr>
      </w:pPr>
    </w:p>
    <w:p>
      <w:pPr>
        <w:spacing w:line="400" w:lineRule="exact"/>
        <w:ind w:firstLine="420" w:firstLineChars="200"/>
        <w:rPr>
          <w:rFonts w:hAnsi="宋体" w:cs="宋体"/>
        </w:rPr>
      </w:pPr>
      <w:r>
        <w:rPr>
          <w:rFonts w:hint="eastAsia" w:hAnsi="宋体" w:cs="宋体"/>
        </w:rPr>
        <w:t>特此证明。</w:t>
      </w:r>
    </w:p>
    <w:p>
      <w:pPr>
        <w:spacing w:line="400" w:lineRule="exact"/>
        <w:rPr>
          <w:rFonts w:hAnsi="宋体" w:cs="宋体"/>
        </w:rPr>
      </w:pPr>
      <w:r>
        <w:rPr>
          <w:rFonts w:hint="eastAsia" w:hAnsi="宋体" w:cs="宋体"/>
        </w:rPr>
        <w:t xml:space="preserve">                            </w:t>
      </w:r>
    </w:p>
    <w:p>
      <w:pPr>
        <w:spacing w:line="400" w:lineRule="exact"/>
        <w:rPr>
          <w:rFonts w:hAnsi="宋体" w:cs="宋体"/>
        </w:rPr>
      </w:pPr>
    </w:p>
    <w:p>
      <w:pPr>
        <w:spacing w:line="400" w:lineRule="exact"/>
        <w:ind w:firstLine="2940" w:firstLineChars="1400"/>
        <w:rPr>
          <w:rFonts w:hAnsi="宋体" w:cs="宋体"/>
          <w:u w:val="single"/>
        </w:rPr>
      </w:pPr>
      <w:r>
        <w:rPr>
          <w:rFonts w:hint="eastAsia" w:hAnsi="宋体" w:cs="宋体"/>
        </w:rPr>
        <w:t xml:space="preserve">  供应商：</w:t>
      </w:r>
      <w:r>
        <w:rPr>
          <w:rFonts w:hint="eastAsia" w:hAnsi="宋体" w:cs="宋体"/>
          <w:u w:val="single"/>
        </w:rPr>
        <w:t xml:space="preserve">                     (盖章)      </w:t>
      </w:r>
    </w:p>
    <w:p>
      <w:pPr>
        <w:snapToGrid w:val="0"/>
        <w:spacing w:line="400" w:lineRule="exact"/>
        <w:jc w:val="left"/>
        <w:rPr>
          <w:rFonts w:hAnsi="宋体" w:cs="宋体"/>
        </w:rPr>
      </w:pPr>
      <w:r>
        <w:rPr>
          <w:rFonts w:hint="eastAsia" w:hAnsi="宋体" w:cs="宋体"/>
        </w:rPr>
        <w:t xml:space="preserve">                              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napToGrid w:val="0"/>
        <w:spacing w:beforeLines="50" w:after="50"/>
        <w:jc w:val="left"/>
        <w:rPr>
          <w:rFonts w:hAnsi="宋体" w:cs="宋体"/>
        </w:rPr>
      </w:pPr>
    </w:p>
    <w:p>
      <w:pPr>
        <w:snapToGrid w:val="0"/>
        <w:spacing w:beforeLines="50" w:after="50"/>
        <w:jc w:val="left"/>
        <w:rPr>
          <w:rFonts w:hAnsi="宋体" w:cs="宋体"/>
        </w:rPr>
      </w:pPr>
    </w:p>
    <w:p>
      <w:pPr>
        <w:snapToGrid w:val="0"/>
        <w:spacing w:beforeLines="50" w:after="50"/>
        <w:jc w:val="left"/>
        <w:rPr>
          <w:rFonts w:hAnsi="宋体" w:cs="宋体"/>
        </w:rPr>
      </w:pPr>
    </w:p>
    <w:p>
      <w:pPr>
        <w:snapToGrid w:val="0"/>
        <w:spacing w:beforeLines="50" w:after="50"/>
        <w:jc w:val="left"/>
        <w:rPr>
          <w:rFonts w:hAnsi="宋体" w:cs="宋体"/>
        </w:rPr>
      </w:pPr>
      <w:r>
        <w:rPr>
          <w:rFonts w:hint="eastAsia" w:hAnsi="宋体" w:cs="宋体"/>
          <w:b/>
          <w:lang w:val="zh-CN"/>
        </w:rPr>
        <w:t>法定代表人/负责人身份证复印件</w:t>
      </w:r>
    </w:p>
    <w:p>
      <w:pPr>
        <w:snapToGrid w:val="0"/>
        <w:spacing w:beforeLines="50" w:after="50"/>
        <w:jc w:val="left"/>
        <w:rPr>
          <w:rFonts w:hAnsi="宋体" w:cs="宋体"/>
        </w:rPr>
      </w:pPr>
    </w:p>
    <w:tbl>
      <w:tblPr>
        <w:tblStyle w:val="26"/>
        <w:tblpPr w:leftFromText="180" w:rightFromText="180" w:vertAnchor="text" w:tblpY="1"/>
        <w:tblOverlap w:val="never"/>
        <w:tblW w:w="3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39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00" w:lineRule="exact"/>
              <w:jc w:val="center"/>
              <w:rPr>
                <w:rFonts w:hAnsi="宋体" w:cs="宋体"/>
              </w:rPr>
            </w:pPr>
            <w:r>
              <w:rPr>
                <w:rFonts w:hint="eastAsia" w:hAnsi="宋体" w:cs="宋体"/>
                <w:lang w:val="zh-CN"/>
              </w:rPr>
              <w:t>复印件正面粘贴处</w:t>
            </w:r>
          </w:p>
        </w:tc>
      </w:tr>
    </w:tbl>
    <w:p>
      <w:pPr>
        <w:rPr>
          <w:vanish/>
        </w:rPr>
      </w:pPr>
    </w:p>
    <w:tbl>
      <w:tblPr>
        <w:tblStyle w:val="26"/>
        <w:tblpPr w:leftFromText="180" w:rightFromText="180" w:vertAnchor="text" w:horzAnchor="margin" w:tblpXSpec="right" w:tblpY="28"/>
        <w:tblOverlap w:val="never"/>
        <w:tblW w:w="3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39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Ansi="宋体" w:cs="宋体"/>
              </w:rPr>
            </w:pPr>
            <w:r>
              <w:rPr>
                <w:rFonts w:hint="eastAsia" w:hAnsi="宋体" w:cs="宋体"/>
                <w:lang w:val="zh-CN"/>
              </w:rPr>
              <w:t>复印件反面粘贴处</w:t>
            </w:r>
          </w:p>
        </w:tc>
      </w:tr>
    </w:tbl>
    <w:p>
      <w:pPr>
        <w:snapToGrid w:val="0"/>
        <w:spacing w:beforeLines="50" w:after="50"/>
        <w:jc w:val="left"/>
        <w:rPr>
          <w:rFonts w:hAnsi="宋体" w:cs="宋体"/>
        </w:rPr>
      </w:pPr>
      <w:r>
        <w:rPr>
          <w:rFonts w:hint="eastAsia" w:hAnsi="宋体" w:cs="宋体"/>
          <w:szCs w:val="20"/>
        </w:rPr>
        <w:t xml:space="preserve">  </w:t>
      </w:r>
    </w:p>
    <w:p>
      <w:pPr>
        <w:snapToGrid w:val="0"/>
        <w:spacing w:beforeLines="50" w:after="50"/>
        <w:jc w:val="left"/>
        <w:rPr>
          <w:rFonts w:hAnsi="宋体" w:cs="宋体"/>
        </w:rPr>
      </w:pPr>
    </w:p>
    <w:p>
      <w:pPr>
        <w:snapToGrid w:val="0"/>
        <w:spacing w:beforeLines="50" w:after="50"/>
        <w:jc w:val="left"/>
        <w:rPr>
          <w:rFonts w:hAnsi="宋体" w:cs="宋体"/>
        </w:rPr>
      </w:pPr>
    </w:p>
    <w:p>
      <w:pPr>
        <w:snapToGrid w:val="0"/>
        <w:spacing w:beforeLines="50" w:after="50"/>
        <w:jc w:val="left"/>
        <w:rPr>
          <w:rFonts w:hAnsi="宋体" w:cs="宋体"/>
        </w:rPr>
      </w:pPr>
    </w:p>
    <w:p>
      <w:pPr>
        <w:snapToGrid w:val="0"/>
        <w:spacing w:line="400" w:lineRule="exact"/>
        <w:rPr>
          <w:rFonts w:hAnsi="宋体" w:cs="宋体"/>
          <w:spacing w:val="-4"/>
        </w:rPr>
      </w:pPr>
    </w:p>
    <w:p>
      <w:pPr>
        <w:snapToGrid w:val="0"/>
        <w:spacing w:line="400" w:lineRule="exact"/>
        <w:jc w:val="center"/>
        <w:rPr>
          <w:rFonts w:hAnsi="宋体" w:cs="宋体"/>
          <w:spacing w:val="-4"/>
        </w:rPr>
      </w:pPr>
    </w:p>
    <w:p>
      <w:pPr>
        <w:snapToGrid w:val="0"/>
        <w:spacing w:line="400" w:lineRule="exact"/>
        <w:jc w:val="center"/>
        <w:rPr>
          <w:rFonts w:hAnsi="宋体" w:cs="宋体"/>
          <w:b/>
          <w:bCs/>
        </w:rPr>
      </w:pPr>
      <w:r>
        <w:rPr>
          <w:rFonts w:hint="eastAsia" w:hAnsi="宋体" w:cs="宋体"/>
          <w:b/>
          <w:bCs/>
          <w:spacing w:val="-4"/>
        </w:rPr>
        <w:t xml:space="preserve">（二-2） </w:t>
      </w:r>
      <w:r>
        <w:rPr>
          <w:rFonts w:hint="eastAsia" w:hAnsi="宋体" w:cs="宋体"/>
          <w:b/>
          <w:bCs/>
        </w:rPr>
        <w:t>法定代表人/负责人授权书</w:t>
      </w:r>
    </w:p>
    <w:p>
      <w:pPr>
        <w:snapToGrid w:val="0"/>
        <w:spacing w:line="400" w:lineRule="exact"/>
        <w:jc w:val="center"/>
        <w:rPr>
          <w:rFonts w:hAnsi="宋体" w:cs="宋体"/>
          <w:spacing w:val="-4"/>
        </w:rPr>
      </w:pPr>
    </w:p>
    <w:p>
      <w:pPr>
        <w:snapToGrid w:val="0"/>
        <w:spacing w:line="400" w:lineRule="exact"/>
        <w:jc w:val="left"/>
        <w:rPr>
          <w:rFonts w:hAnsi="宋体" w:cs="宋体"/>
          <w:bCs/>
        </w:rPr>
      </w:pPr>
      <w:r>
        <w:rPr>
          <w:rFonts w:hint="eastAsia" w:hAnsi="宋体" w:cs="宋体"/>
          <w:bCs/>
        </w:rPr>
        <w:t>致：</w:t>
      </w:r>
      <w:r>
        <w:rPr>
          <w:rFonts w:hint="eastAsia" w:hAnsi="宋体" w:cs="宋体"/>
          <w:bCs/>
          <w:u w:val="single"/>
        </w:rPr>
        <w:t xml:space="preserve">             </w:t>
      </w:r>
      <w:r>
        <w:rPr>
          <w:rFonts w:hint="eastAsia" w:hAnsi="宋体" w:cs="宋体"/>
        </w:rPr>
        <w:t>（采购代理机构、采购单位名称）：</w:t>
      </w:r>
    </w:p>
    <w:p>
      <w:pPr>
        <w:snapToGrid w:val="0"/>
        <w:spacing w:line="400" w:lineRule="exact"/>
        <w:ind w:firstLine="420" w:firstLineChars="200"/>
        <w:jc w:val="left"/>
        <w:rPr>
          <w:rFonts w:hAnsi="宋体" w:cs="宋体"/>
        </w:rPr>
      </w:pPr>
      <w:r>
        <w:rPr>
          <w:rFonts w:hint="eastAsia" w:hAnsi="宋体" w:cs="宋体"/>
        </w:rPr>
        <w:t xml:space="preserve">我 </w:t>
      </w:r>
      <w:r>
        <w:rPr>
          <w:rFonts w:hint="eastAsia" w:hAnsi="宋体" w:cs="宋体"/>
          <w:u w:val="single"/>
        </w:rPr>
        <w:t xml:space="preserve">            </w:t>
      </w:r>
      <w:r>
        <w:rPr>
          <w:rFonts w:hint="eastAsia" w:hAnsi="宋体" w:cs="宋体"/>
        </w:rPr>
        <w:t xml:space="preserve">（姓名）系 </w:t>
      </w:r>
      <w:r>
        <w:rPr>
          <w:rFonts w:hint="eastAsia" w:hAnsi="宋体" w:cs="宋体"/>
          <w:u w:val="single"/>
        </w:rPr>
        <w:t xml:space="preserve">            </w:t>
      </w:r>
      <w:r>
        <w:rPr>
          <w:rFonts w:hint="eastAsia" w:hAnsi="宋体" w:cs="宋体"/>
        </w:rPr>
        <w:t xml:space="preserve">（供应商名称）的法定代表人/负责人，现授权委托本单位在职职工 </w:t>
      </w:r>
      <w:r>
        <w:rPr>
          <w:rFonts w:hint="eastAsia" w:hAnsi="宋体" w:cs="宋体"/>
          <w:u w:val="single"/>
        </w:rPr>
        <w:t xml:space="preserve">              </w:t>
      </w:r>
      <w:r>
        <w:rPr>
          <w:rFonts w:hint="eastAsia" w:hAnsi="宋体" w:cs="宋体"/>
        </w:rPr>
        <w:t>（姓名）以我方的名义参加</w:t>
      </w:r>
      <w:r>
        <w:rPr>
          <w:rFonts w:hint="eastAsia" w:hAnsi="宋体" w:cs="宋体"/>
          <w:u w:val="single"/>
        </w:rPr>
        <w:t xml:space="preserve">                   </w:t>
      </w:r>
      <w:r>
        <w:rPr>
          <w:rFonts w:hint="eastAsia" w:hAnsi="宋体" w:cs="宋体"/>
        </w:rPr>
        <w:t>项目的招标活动，并代表我方全权办理针对上述项目的投标、评标、签约等具体事务和签署相关文件。</w:t>
      </w:r>
    </w:p>
    <w:p>
      <w:pPr>
        <w:snapToGrid w:val="0"/>
        <w:spacing w:line="400" w:lineRule="exact"/>
        <w:ind w:firstLine="420" w:firstLineChars="200"/>
        <w:jc w:val="left"/>
        <w:rPr>
          <w:rFonts w:hAnsi="宋体" w:cs="宋体"/>
        </w:rPr>
      </w:pPr>
      <w:r>
        <w:rPr>
          <w:rFonts w:hint="eastAsia" w:hAnsi="宋体" w:cs="宋体"/>
        </w:rPr>
        <w:t>我方对授权代表的签名事项负全部责任。</w:t>
      </w:r>
    </w:p>
    <w:p>
      <w:pPr>
        <w:snapToGrid w:val="0"/>
        <w:spacing w:line="400" w:lineRule="exact"/>
        <w:ind w:firstLine="420" w:firstLineChars="200"/>
        <w:jc w:val="left"/>
        <w:rPr>
          <w:rFonts w:hAnsi="宋体" w:cs="宋体"/>
        </w:rPr>
      </w:pPr>
      <w:r>
        <w:rPr>
          <w:rFonts w:hint="eastAsia" w:hAnsi="宋体" w:cs="宋体"/>
        </w:rPr>
        <w:t>在撤销授权的书面通知以前，本授权书一直有效。授权代表在授权书有效期内签署的所有文件不因授权的撤销而失效。</w:t>
      </w:r>
    </w:p>
    <w:p>
      <w:pPr>
        <w:snapToGrid w:val="0"/>
        <w:spacing w:line="400" w:lineRule="exact"/>
        <w:ind w:firstLine="420" w:firstLineChars="200"/>
        <w:jc w:val="left"/>
        <w:rPr>
          <w:rFonts w:hAnsi="宋体" w:cs="宋体"/>
        </w:rPr>
      </w:pPr>
      <w:r>
        <w:rPr>
          <w:rFonts w:hint="eastAsia" w:hAnsi="宋体" w:cs="宋体"/>
        </w:rPr>
        <w:t>授权代表无转委托权，特此委托。</w:t>
      </w:r>
    </w:p>
    <w:p>
      <w:pPr>
        <w:snapToGrid w:val="0"/>
        <w:spacing w:line="400" w:lineRule="exact"/>
        <w:ind w:firstLine="420" w:firstLineChars="200"/>
        <w:jc w:val="left"/>
        <w:rPr>
          <w:rFonts w:hAnsi="宋体" w:cs="宋体"/>
        </w:rPr>
      </w:pPr>
    </w:p>
    <w:p>
      <w:pPr>
        <w:snapToGrid w:val="0"/>
        <w:spacing w:line="400" w:lineRule="exact"/>
        <w:ind w:firstLine="420" w:firstLineChars="200"/>
        <w:jc w:val="left"/>
        <w:rPr>
          <w:rFonts w:hAnsi="宋体" w:cs="宋体"/>
        </w:rPr>
      </w:pPr>
    </w:p>
    <w:p>
      <w:pPr>
        <w:snapToGrid w:val="0"/>
        <w:spacing w:line="400" w:lineRule="exact"/>
        <w:ind w:firstLine="420" w:firstLineChars="200"/>
        <w:jc w:val="left"/>
        <w:rPr>
          <w:rFonts w:hAnsi="宋体" w:cs="宋体"/>
          <w:u w:val="single"/>
        </w:rPr>
      </w:pPr>
      <w:r>
        <w:rPr>
          <w:rFonts w:hint="eastAsia" w:hAnsi="宋体" w:cs="宋体"/>
        </w:rPr>
        <w:t>授权代表签字：</w:t>
      </w:r>
      <w:r>
        <w:rPr>
          <w:rFonts w:hint="eastAsia" w:hAnsi="宋体" w:cs="宋体"/>
          <w:u w:val="single"/>
        </w:rPr>
        <w:t xml:space="preserve">          </w:t>
      </w:r>
      <w:r>
        <w:rPr>
          <w:rFonts w:hint="eastAsia" w:hAnsi="宋体" w:cs="宋体"/>
        </w:rPr>
        <w:t xml:space="preserve">                 法定代表人/负责人签字：</w:t>
      </w:r>
      <w:r>
        <w:rPr>
          <w:rFonts w:hint="eastAsia" w:hAnsi="宋体" w:cs="宋体"/>
          <w:u w:val="single"/>
        </w:rPr>
        <w:t xml:space="preserve">          </w:t>
      </w:r>
    </w:p>
    <w:p>
      <w:pPr>
        <w:snapToGrid w:val="0"/>
        <w:spacing w:line="400" w:lineRule="exact"/>
        <w:ind w:firstLine="420" w:firstLineChars="200"/>
        <w:jc w:val="left"/>
        <w:rPr>
          <w:rFonts w:hAnsi="宋体" w:cs="宋体"/>
        </w:rPr>
      </w:pPr>
      <w:r>
        <w:rPr>
          <w:rFonts w:hint="eastAsia" w:hAnsi="宋体" w:cs="宋体"/>
        </w:rPr>
        <w:t>职务：</w:t>
      </w:r>
      <w:r>
        <w:rPr>
          <w:rFonts w:hint="eastAsia" w:hAnsi="宋体" w:cs="宋体"/>
          <w:u w:val="single"/>
        </w:rPr>
        <w:t xml:space="preserve">           </w:t>
      </w:r>
      <w:r>
        <w:rPr>
          <w:rFonts w:hint="eastAsia" w:hAnsi="宋体" w:cs="宋体"/>
        </w:rPr>
        <w:t xml:space="preserve">                          职务：</w:t>
      </w:r>
      <w:r>
        <w:rPr>
          <w:rFonts w:hint="eastAsia" w:hAnsi="宋体" w:cs="宋体"/>
          <w:u w:val="single"/>
        </w:rPr>
        <w:t xml:space="preserve">           </w:t>
      </w:r>
    </w:p>
    <w:p>
      <w:pPr>
        <w:snapToGrid w:val="0"/>
        <w:spacing w:line="400" w:lineRule="exact"/>
        <w:ind w:firstLine="420" w:firstLineChars="200"/>
        <w:jc w:val="left"/>
        <w:rPr>
          <w:rFonts w:hAnsi="宋体" w:cs="宋体"/>
        </w:rPr>
      </w:pPr>
      <w:r>
        <w:rPr>
          <w:rFonts w:hint="eastAsia" w:hAnsi="宋体" w:cs="宋体"/>
        </w:rPr>
        <w:t>授权代表身份证号码：</w:t>
      </w:r>
      <w:r>
        <w:rPr>
          <w:rFonts w:hint="eastAsia" w:hAnsi="宋体" w:cs="宋体"/>
          <w:u w:val="single"/>
        </w:rPr>
        <w:t xml:space="preserve">                             </w:t>
      </w:r>
      <w:r>
        <w:rPr>
          <w:rFonts w:hint="eastAsia" w:hAnsi="宋体" w:cs="宋体"/>
        </w:rPr>
        <w:t xml:space="preserve"> </w:t>
      </w:r>
    </w:p>
    <w:p>
      <w:pPr>
        <w:snapToGrid w:val="0"/>
        <w:spacing w:line="400" w:lineRule="exact"/>
        <w:ind w:firstLine="420" w:firstLineChars="200"/>
        <w:jc w:val="left"/>
        <w:rPr>
          <w:rFonts w:hAnsi="宋体" w:cs="宋体"/>
        </w:rPr>
      </w:pPr>
      <w:r>
        <w:rPr>
          <w:rFonts w:hint="eastAsia" w:hAnsi="宋体" w:cs="宋体"/>
        </w:rPr>
        <w:t xml:space="preserve">                                   </w:t>
      </w:r>
    </w:p>
    <w:p>
      <w:pPr>
        <w:snapToGrid w:val="0"/>
        <w:spacing w:line="400" w:lineRule="exact"/>
        <w:ind w:firstLine="420" w:firstLineChars="200"/>
        <w:jc w:val="left"/>
        <w:rPr>
          <w:rFonts w:hAnsi="宋体" w:cs="宋体"/>
        </w:rPr>
      </w:pPr>
    </w:p>
    <w:p>
      <w:pPr>
        <w:snapToGrid w:val="0"/>
        <w:spacing w:line="400" w:lineRule="exact"/>
        <w:ind w:firstLine="4410" w:firstLineChars="2100"/>
        <w:jc w:val="left"/>
        <w:rPr>
          <w:rFonts w:hAnsi="宋体" w:cs="宋体"/>
        </w:rPr>
      </w:pPr>
      <w:r>
        <w:rPr>
          <w:rFonts w:hint="eastAsia" w:hAnsi="宋体" w:cs="宋体"/>
        </w:rPr>
        <w:t xml:space="preserve">  供应商公章：</w:t>
      </w:r>
    </w:p>
    <w:p>
      <w:pPr>
        <w:snapToGrid w:val="0"/>
        <w:spacing w:line="400" w:lineRule="exact"/>
        <w:ind w:firstLine="420" w:firstLineChars="200"/>
        <w:jc w:val="left"/>
        <w:rPr>
          <w:rFonts w:hAnsi="宋体" w:cs="宋体"/>
        </w:rPr>
      </w:pPr>
      <w:r>
        <w:rPr>
          <w:rFonts w:hint="eastAsia" w:hAnsi="宋体" w:cs="宋体"/>
        </w:rPr>
        <w:t xml:space="preserve">                                        年    月    日</w:t>
      </w:r>
    </w:p>
    <w:p>
      <w:pPr>
        <w:snapToGrid w:val="0"/>
        <w:spacing w:beforeLines="50" w:after="50"/>
        <w:jc w:val="left"/>
        <w:rPr>
          <w:rFonts w:hAnsi="宋体" w:cs="宋体"/>
          <w:b/>
        </w:rPr>
      </w:pPr>
    </w:p>
    <w:p>
      <w:pPr>
        <w:snapToGrid w:val="0"/>
        <w:spacing w:beforeLines="50" w:after="50"/>
        <w:jc w:val="left"/>
        <w:rPr>
          <w:rFonts w:hAnsi="宋体" w:cs="宋体"/>
        </w:rPr>
      </w:pPr>
      <w:r>
        <w:rPr>
          <w:rFonts w:hint="eastAsia" w:hAnsi="宋体" w:cs="宋体"/>
          <w:b/>
        </w:rPr>
        <w:t>授权代表身份证</w:t>
      </w:r>
      <w:r>
        <w:rPr>
          <w:rFonts w:hint="eastAsia" w:hAnsi="宋体" w:cs="宋体"/>
          <w:b/>
          <w:lang w:val="zh-CN"/>
        </w:rPr>
        <w:t>复印件</w:t>
      </w:r>
    </w:p>
    <w:p>
      <w:pPr>
        <w:snapToGrid w:val="0"/>
        <w:spacing w:beforeLines="50" w:after="50"/>
        <w:jc w:val="left"/>
        <w:rPr>
          <w:rFonts w:hAnsi="宋体" w:cs="宋体"/>
        </w:rPr>
      </w:pPr>
      <w:bookmarkStart w:id="29" w:name="_Toc372547187"/>
    </w:p>
    <w:tbl>
      <w:tblPr>
        <w:tblStyle w:val="26"/>
        <w:tblpPr w:leftFromText="180" w:rightFromText="180" w:vertAnchor="text" w:tblpY="1"/>
        <w:tblOverlap w:val="never"/>
        <w:tblW w:w="3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39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00" w:lineRule="exact"/>
              <w:jc w:val="center"/>
              <w:rPr>
                <w:rFonts w:hAnsi="宋体" w:cs="宋体"/>
              </w:rPr>
            </w:pPr>
            <w:r>
              <w:rPr>
                <w:rFonts w:hint="eastAsia" w:hAnsi="宋体" w:cs="宋体"/>
                <w:lang w:val="zh-CN"/>
              </w:rPr>
              <w:t>复印件正面粘贴处</w:t>
            </w:r>
          </w:p>
        </w:tc>
      </w:tr>
    </w:tbl>
    <w:p>
      <w:pPr>
        <w:rPr>
          <w:vanish/>
        </w:rPr>
      </w:pPr>
    </w:p>
    <w:tbl>
      <w:tblPr>
        <w:tblStyle w:val="26"/>
        <w:tblpPr w:leftFromText="180" w:rightFromText="180" w:vertAnchor="text" w:horzAnchor="margin" w:tblpXSpec="right" w:tblpY="28"/>
        <w:tblOverlap w:val="never"/>
        <w:tblW w:w="3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39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Ansi="宋体" w:cs="宋体"/>
              </w:rPr>
            </w:pPr>
            <w:r>
              <w:rPr>
                <w:rFonts w:hint="eastAsia" w:hAnsi="宋体" w:cs="宋体"/>
                <w:lang w:val="zh-CN"/>
              </w:rPr>
              <w:t>复印件反面粘贴处</w:t>
            </w:r>
          </w:p>
        </w:tc>
      </w:tr>
    </w:tbl>
    <w:p>
      <w:pPr>
        <w:snapToGrid w:val="0"/>
        <w:spacing w:beforeLines="50" w:after="50"/>
        <w:jc w:val="left"/>
        <w:rPr>
          <w:rFonts w:hAnsi="宋体" w:cs="宋体"/>
        </w:rPr>
      </w:pPr>
      <w:r>
        <w:rPr>
          <w:rFonts w:hint="eastAsia" w:hAnsi="宋体" w:cs="宋体"/>
          <w:szCs w:val="20"/>
        </w:rPr>
        <w:t xml:space="preserve">  </w:t>
      </w:r>
    </w:p>
    <w:p>
      <w:pPr>
        <w:snapToGrid w:val="0"/>
        <w:spacing w:beforeLines="50" w:after="50"/>
        <w:jc w:val="left"/>
        <w:rPr>
          <w:rFonts w:hAnsi="宋体" w:cs="宋体"/>
        </w:rPr>
      </w:pPr>
    </w:p>
    <w:p>
      <w:pPr>
        <w:snapToGrid w:val="0"/>
        <w:spacing w:beforeLines="50" w:after="50"/>
        <w:jc w:val="left"/>
        <w:rPr>
          <w:rFonts w:hAnsi="宋体" w:cs="宋体"/>
        </w:rPr>
      </w:pPr>
    </w:p>
    <w:p>
      <w:pPr>
        <w:snapToGrid w:val="0"/>
        <w:spacing w:beforeLines="50" w:after="50"/>
        <w:jc w:val="left"/>
        <w:rPr>
          <w:rFonts w:hAnsi="宋体" w:cs="宋体"/>
        </w:rPr>
      </w:pPr>
    </w:p>
    <w:p>
      <w:pPr>
        <w:snapToGrid w:val="0"/>
        <w:spacing w:beforeLines="50" w:after="50"/>
        <w:jc w:val="left"/>
        <w:rPr>
          <w:rFonts w:hAnsi="宋体" w:cs="宋体"/>
        </w:rPr>
      </w:pPr>
    </w:p>
    <w:bookmarkEnd w:id="29"/>
    <w:p>
      <w:pPr>
        <w:snapToGrid w:val="0"/>
        <w:spacing w:line="400" w:lineRule="exact"/>
        <w:jc w:val="left"/>
        <w:rPr>
          <w:rFonts w:hint="eastAsia" w:hAnsi="宋体" w:eastAsia="宋体" w:cs="宋体"/>
          <w:lang w:eastAsia="zh-CN"/>
        </w:rPr>
      </w:pPr>
      <w:r>
        <w:rPr>
          <w:rFonts w:hint="eastAsia" w:hAnsi="宋体" w:cs="宋体"/>
        </w:rPr>
        <w:t>附件</w:t>
      </w:r>
      <w:r>
        <w:rPr>
          <w:rFonts w:hint="eastAsia" w:hAnsi="宋体" w:cs="宋体"/>
          <w:lang w:eastAsia="zh-CN"/>
        </w:rPr>
        <w:t>三</w:t>
      </w:r>
    </w:p>
    <w:p>
      <w:pPr>
        <w:snapToGrid w:val="0"/>
        <w:spacing w:line="400" w:lineRule="exact"/>
        <w:jc w:val="center"/>
        <w:rPr>
          <w:rFonts w:hAnsi="宋体" w:cs="宋体"/>
          <w:b/>
          <w:bCs/>
        </w:rPr>
      </w:pPr>
      <w:r>
        <w:rPr>
          <w:rFonts w:hint="eastAsia" w:hAnsi="宋体" w:cs="宋体"/>
          <w:b/>
          <w:bCs/>
        </w:rPr>
        <w:t>报价一览表</w:t>
      </w:r>
    </w:p>
    <w:p>
      <w:pPr>
        <w:tabs>
          <w:tab w:val="left" w:pos="1418"/>
        </w:tabs>
        <w:snapToGrid w:val="0"/>
        <w:spacing w:line="400" w:lineRule="exact"/>
        <w:jc w:val="center"/>
        <w:rPr>
          <w:rFonts w:hAnsi="宋体" w:cs="宋体"/>
        </w:rPr>
      </w:pPr>
    </w:p>
    <w:p>
      <w:pPr>
        <w:tabs>
          <w:tab w:val="left" w:pos="1418"/>
        </w:tabs>
        <w:snapToGrid w:val="0"/>
        <w:spacing w:line="400" w:lineRule="exact"/>
        <w:ind w:firstLine="420" w:firstLineChars="200"/>
        <w:rPr>
          <w:rFonts w:hAnsi="宋体" w:cs="宋体"/>
        </w:rPr>
      </w:pPr>
      <w:r>
        <w:rPr>
          <w:rFonts w:hint="eastAsia" w:hAnsi="宋体" w:cs="宋体"/>
          <w:szCs w:val="20"/>
        </w:rPr>
        <w:t xml:space="preserve">项目名称：                               项目编号：                 </w:t>
      </w:r>
    </w:p>
    <w:tbl>
      <w:tblPr>
        <w:tblStyle w:val="26"/>
        <w:tblW w:w="8424" w:type="dxa"/>
        <w:jc w:val="center"/>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40"/>
        <w:gridCol w:w="1635"/>
        <w:gridCol w:w="1560"/>
        <w:gridCol w:w="15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39"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序号</w:t>
            </w:r>
          </w:p>
        </w:tc>
        <w:tc>
          <w:tcPr>
            <w:tcW w:w="2040"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工作事项或内容</w:t>
            </w:r>
          </w:p>
        </w:tc>
        <w:tc>
          <w:tcPr>
            <w:tcW w:w="1635" w:type="dxa"/>
            <w:vAlign w:val="center"/>
          </w:tcPr>
          <w:p>
            <w:pPr>
              <w:tabs>
                <w:tab w:val="left" w:pos="363"/>
              </w:tabs>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工程量</w:t>
            </w:r>
          </w:p>
        </w:tc>
        <w:tc>
          <w:tcPr>
            <w:tcW w:w="1560" w:type="dxa"/>
            <w:vAlign w:val="center"/>
          </w:tcPr>
          <w:p>
            <w:pPr>
              <w:tabs>
                <w:tab w:val="left" w:pos="363"/>
              </w:tabs>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单价</w:t>
            </w:r>
          </w:p>
          <w:p>
            <w:pPr>
              <w:tabs>
                <w:tab w:val="left" w:pos="363"/>
              </w:tabs>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（立方米）</w:t>
            </w:r>
          </w:p>
        </w:tc>
        <w:tc>
          <w:tcPr>
            <w:tcW w:w="1575" w:type="dxa"/>
            <w:vAlign w:val="center"/>
          </w:tcPr>
          <w:p>
            <w:pPr>
              <w:tabs>
                <w:tab w:val="left" w:pos="363"/>
              </w:tabs>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投标价合计</w:t>
            </w:r>
          </w:p>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（人民币</w:t>
            </w:r>
            <w:r>
              <w:rPr>
                <w:rFonts w:hint="eastAsia" w:ascii="宋体" w:hAnsi="宋体" w:cs="宋体"/>
                <w:szCs w:val="21"/>
                <w:lang w:val="en-US" w:eastAsia="zh-CN"/>
              </w:rPr>
              <w:t>/</w:t>
            </w:r>
            <w:r>
              <w:rPr>
                <w:rFonts w:hint="eastAsia" w:ascii="宋体" w:hAnsi="宋体" w:cs="宋体"/>
                <w:szCs w:val="21"/>
                <w:lang w:val="zh-CN"/>
              </w:rPr>
              <w:t>元）</w:t>
            </w:r>
          </w:p>
        </w:tc>
        <w:tc>
          <w:tcPr>
            <w:tcW w:w="975"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8" w:hRule="atLeast"/>
          <w:jc w:val="center"/>
        </w:trPr>
        <w:tc>
          <w:tcPr>
            <w:tcW w:w="639" w:type="dxa"/>
            <w:vAlign w:val="center"/>
          </w:tcPr>
          <w:p>
            <w:pPr>
              <w:snapToGrid w:val="0"/>
              <w:spacing w:line="400" w:lineRule="exact"/>
              <w:jc w:val="center"/>
              <w:rPr>
                <w:rFonts w:ascii="宋体" w:hAnsi="宋体" w:cs="宋体"/>
                <w:szCs w:val="21"/>
                <w:u w:val="single"/>
              </w:rPr>
            </w:pPr>
            <w:r>
              <w:rPr>
                <w:rFonts w:hint="eastAsia" w:ascii="宋体" w:hAnsi="宋体" w:cs="宋体"/>
                <w:szCs w:val="21"/>
              </w:rPr>
              <w:t>1</w:t>
            </w:r>
          </w:p>
        </w:tc>
        <w:tc>
          <w:tcPr>
            <w:tcW w:w="2040" w:type="dxa"/>
            <w:vAlign w:val="center"/>
          </w:tcPr>
          <w:p>
            <w:pPr>
              <w:snapToGrid w:val="0"/>
              <w:spacing w:line="400" w:lineRule="exact"/>
              <w:jc w:val="left"/>
              <w:rPr>
                <w:rFonts w:hint="eastAsia" w:ascii="宋体" w:hAnsi="宋体" w:eastAsia="宋体" w:cs="宋体"/>
                <w:szCs w:val="21"/>
                <w:lang w:val="en-US" w:eastAsia="zh-CN"/>
              </w:rPr>
            </w:pPr>
          </w:p>
        </w:tc>
        <w:tc>
          <w:tcPr>
            <w:tcW w:w="1635" w:type="dxa"/>
            <w:vAlign w:val="center"/>
          </w:tcPr>
          <w:p>
            <w:pPr>
              <w:snapToGrid w:val="0"/>
              <w:spacing w:line="400" w:lineRule="exact"/>
              <w:jc w:val="center"/>
              <w:rPr>
                <w:rFonts w:hint="default" w:ascii="宋体" w:hAnsi="宋体" w:eastAsia="宋体" w:cs="宋体"/>
                <w:szCs w:val="21"/>
                <w:u w:val="single"/>
                <w:lang w:val="en-US" w:eastAsia="zh-CN"/>
              </w:rPr>
            </w:pPr>
            <w:r>
              <w:rPr>
                <w:rFonts w:hint="eastAsia" w:ascii="宋体" w:hAnsi="宋体" w:cs="宋体"/>
                <w:szCs w:val="21"/>
                <w:u w:val="none"/>
                <w:lang w:val="en-US" w:eastAsia="zh-CN"/>
              </w:rPr>
              <w:t>13017</w:t>
            </w:r>
          </w:p>
        </w:tc>
        <w:tc>
          <w:tcPr>
            <w:tcW w:w="1560" w:type="dxa"/>
            <w:vAlign w:val="center"/>
          </w:tcPr>
          <w:p>
            <w:pPr>
              <w:snapToGrid w:val="0"/>
              <w:spacing w:line="400" w:lineRule="exact"/>
              <w:rPr>
                <w:rFonts w:ascii="宋体" w:hAnsi="宋体" w:cs="宋体"/>
                <w:szCs w:val="21"/>
                <w:u w:val="single"/>
                <w:lang w:val="zh-CN"/>
              </w:rPr>
            </w:pPr>
          </w:p>
        </w:tc>
        <w:tc>
          <w:tcPr>
            <w:tcW w:w="1575" w:type="dxa"/>
            <w:vAlign w:val="center"/>
          </w:tcPr>
          <w:p>
            <w:pPr>
              <w:snapToGrid w:val="0"/>
              <w:spacing w:line="400" w:lineRule="exact"/>
              <w:rPr>
                <w:rFonts w:ascii="宋体" w:hAnsi="宋体" w:cs="宋体"/>
                <w:szCs w:val="21"/>
                <w:u w:val="single"/>
                <w:lang w:val="zh-CN"/>
              </w:rPr>
            </w:pPr>
          </w:p>
        </w:tc>
        <w:tc>
          <w:tcPr>
            <w:tcW w:w="9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2679" w:type="dxa"/>
            <w:gridSpan w:val="2"/>
            <w:vAlign w:val="center"/>
          </w:tcPr>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投标总价（大写）：</w:t>
            </w:r>
          </w:p>
        </w:tc>
        <w:tc>
          <w:tcPr>
            <w:tcW w:w="5745" w:type="dxa"/>
            <w:gridSpan w:val="4"/>
            <w:vAlign w:val="center"/>
          </w:tcPr>
          <w:p>
            <w:pPr>
              <w:snapToGrid w:val="0"/>
              <w:spacing w:line="400" w:lineRule="exact"/>
              <w:ind w:firstLine="420" w:firstLineChars="200"/>
              <w:rPr>
                <w:rFonts w:hint="eastAsia" w:ascii="宋体" w:hAnsi="宋体" w:cs="宋体"/>
                <w:szCs w:val="21"/>
                <w:u w:val="single"/>
                <w:lang w:val="en-US" w:eastAsia="zh-CN"/>
              </w:rPr>
            </w:pPr>
            <w:r>
              <w:rPr>
                <w:rFonts w:hint="eastAsia" w:ascii="宋体" w:hAnsi="宋体" w:cs="宋体"/>
                <w:szCs w:val="21"/>
                <w:u w:val="single"/>
                <w:lang w:val="en-US" w:eastAsia="zh-CN"/>
              </w:rPr>
              <w:t xml:space="preserve">           </w:t>
            </w:r>
            <w:r>
              <w:rPr>
                <w:rFonts w:hint="eastAsia" w:ascii="宋体" w:hAnsi="宋体" w:cs="宋体"/>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2679" w:type="dxa"/>
            <w:gridSpan w:val="2"/>
            <w:vAlign w:val="center"/>
          </w:tcPr>
          <w:p>
            <w:pPr>
              <w:snapToGrid w:val="0"/>
              <w:spacing w:line="400" w:lineRule="exact"/>
              <w:rPr>
                <w:rFonts w:ascii="宋体" w:hAnsi="宋体" w:cs="宋体"/>
                <w:szCs w:val="21"/>
                <w:u w:val="single"/>
                <w:lang w:val="zh-CN"/>
              </w:rPr>
            </w:pPr>
          </w:p>
          <w:p>
            <w:pPr>
              <w:snapToGrid w:val="0"/>
              <w:spacing w:line="400" w:lineRule="exact"/>
              <w:jc w:val="center"/>
              <w:rPr>
                <w:rFonts w:hint="eastAsia" w:ascii="宋体" w:hAnsi="宋体" w:cs="宋体"/>
                <w:szCs w:val="21"/>
                <w:lang w:val="zh-CN"/>
              </w:rPr>
            </w:pPr>
            <w:r>
              <w:rPr>
                <w:rFonts w:hint="eastAsia" w:ascii="宋体" w:hAnsi="宋体" w:cs="宋体"/>
                <w:szCs w:val="21"/>
                <w:lang w:val="zh-CN"/>
              </w:rPr>
              <w:t>投标</w:t>
            </w:r>
          </w:p>
          <w:p>
            <w:pPr>
              <w:snapToGrid w:val="0"/>
              <w:spacing w:line="400" w:lineRule="exact"/>
              <w:jc w:val="center"/>
              <w:rPr>
                <w:rFonts w:ascii="宋体" w:hAnsi="宋体" w:cs="宋体"/>
                <w:szCs w:val="21"/>
                <w:lang w:val="zh-CN"/>
              </w:rPr>
            </w:pPr>
            <w:r>
              <w:rPr>
                <w:rFonts w:hint="eastAsia" w:ascii="宋体" w:hAnsi="宋体" w:cs="宋体"/>
                <w:szCs w:val="21"/>
                <w:lang w:val="zh-CN"/>
              </w:rPr>
              <w:t>声明</w:t>
            </w:r>
          </w:p>
          <w:p>
            <w:pPr>
              <w:snapToGrid w:val="0"/>
              <w:spacing w:line="400" w:lineRule="exact"/>
              <w:rPr>
                <w:rFonts w:ascii="宋体" w:hAnsi="宋体" w:cs="宋体"/>
                <w:szCs w:val="21"/>
                <w:u w:val="single"/>
                <w:lang w:val="zh-CN"/>
              </w:rPr>
            </w:pPr>
          </w:p>
        </w:tc>
        <w:tc>
          <w:tcPr>
            <w:tcW w:w="5745" w:type="dxa"/>
            <w:gridSpan w:val="4"/>
            <w:vAlign w:val="top"/>
          </w:tcPr>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tc>
      </w:tr>
    </w:tbl>
    <w:p>
      <w:pPr>
        <w:pStyle w:val="23"/>
        <w:spacing w:after="120" w:line="400" w:lineRule="exact"/>
        <w:rPr>
          <w:szCs w:val="21"/>
        </w:rPr>
      </w:pPr>
      <w:r>
        <w:rPr>
          <w:rFonts w:hint="eastAsia"/>
          <w:kern w:val="2"/>
          <w:sz w:val="21"/>
          <w:szCs w:val="21"/>
        </w:rPr>
        <w:t>响 应 人（盖章）：</w:t>
      </w:r>
    </w:p>
    <w:p>
      <w:pPr>
        <w:pStyle w:val="23"/>
        <w:spacing w:after="120" w:line="400" w:lineRule="exact"/>
        <w:rPr>
          <w:szCs w:val="21"/>
        </w:rPr>
      </w:pPr>
      <w:r>
        <w:rPr>
          <w:rFonts w:hint="eastAsia"/>
          <w:kern w:val="2"/>
          <w:sz w:val="21"/>
          <w:szCs w:val="21"/>
        </w:rPr>
        <w:t>法定代表人/负责人或授权代表（签字）：</w:t>
      </w:r>
    </w:p>
    <w:p>
      <w:pPr>
        <w:spacing w:line="400" w:lineRule="exact"/>
        <w:rPr>
          <w:rFonts w:hAnsi="宋体" w:cs="宋体"/>
        </w:rPr>
      </w:pPr>
      <w:r>
        <w:rPr>
          <w:rFonts w:hint="eastAsia" w:hAnsi="宋体" w:cs="宋体"/>
        </w:rPr>
        <w:t>日期：</w:t>
      </w:r>
    </w:p>
    <w:p>
      <w:pPr>
        <w:pStyle w:val="23"/>
        <w:snapToGrid w:val="0"/>
        <w:rPr>
          <w:szCs w:val="21"/>
        </w:rPr>
      </w:pPr>
    </w:p>
    <w:p>
      <w:pPr>
        <w:snapToGrid w:val="0"/>
        <w:spacing w:line="400" w:lineRule="exact"/>
        <w:jc w:val="left"/>
        <w:rPr>
          <w:rFonts w:hAnsi="宋体" w:cs="宋体"/>
        </w:rPr>
      </w:pPr>
    </w:p>
    <w:p>
      <w:pPr>
        <w:snapToGrid w:val="0"/>
        <w:spacing w:line="400" w:lineRule="exact"/>
        <w:jc w:val="left"/>
        <w:rPr>
          <w:rFonts w:hAnsi="宋体" w:cs="宋体"/>
        </w:rPr>
      </w:pPr>
    </w:p>
    <w:p>
      <w:pPr>
        <w:snapToGrid w:val="0"/>
        <w:spacing w:line="400" w:lineRule="exact"/>
        <w:jc w:val="left"/>
        <w:rPr>
          <w:rFonts w:hint="eastAsia" w:hAnsi="宋体" w:cs="宋体"/>
        </w:rPr>
      </w:pPr>
    </w:p>
    <w:p>
      <w:pPr>
        <w:snapToGrid w:val="0"/>
        <w:spacing w:line="400" w:lineRule="exact"/>
        <w:jc w:val="left"/>
        <w:rPr>
          <w:rFonts w:hint="eastAsia" w:hAnsi="宋体" w:cs="宋体"/>
        </w:rPr>
      </w:pPr>
    </w:p>
    <w:p>
      <w:pPr>
        <w:snapToGrid w:val="0"/>
        <w:spacing w:line="400" w:lineRule="exact"/>
        <w:jc w:val="left"/>
        <w:rPr>
          <w:rFonts w:hint="eastAsia" w:hAnsi="宋体" w:cs="宋体"/>
        </w:rPr>
      </w:pPr>
    </w:p>
    <w:p>
      <w:pPr>
        <w:snapToGrid w:val="0"/>
        <w:spacing w:line="400" w:lineRule="exact"/>
        <w:jc w:val="left"/>
        <w:rPr>
          <w:rFonts w:hint="eastAsia" w:hAnsi="宋体" w:cs="宋体"/>
        </w:rPr>
      </w:pPr>
    </w:p>
    <w:p>
      <w:pPr>
        <w:snapToGrid w:val="0"/>
        <w:spacing w:line="400" w:lineRule="exact"/>
        <w:jc w:val="left"/>
        <w:rPr>
          <w:rFonts w:hint="eastAsia" w:hAnsi="宋体" w:cs="宋体"/>
        </w:rPr>
      </w:pPr>
    </w:p>
    <w:p>
      <w:pPr>
        <w:snapToGrid w:val="0"/>
        <w:spacing w:line="400" w:lineRule="exact"/>
        <w:jc w:val="left"/>
        <w:rPr>
          <w:rFonts w:hint="eastAsia" w:hAnsi="宋体" w:eastAsia="宋体" w:cs="宋体"/>
          <w:lang w:eastAsia="zh-CN"/>
        </w:rPr>
      </w:pPr>
      <w:r>
        <w:rPr>
          <w:rFonts w:hint="eastAsia" w:hAnsi="宋体" w:cs="宋体"/>
        </w:rPr>
        <w:t>附件</w:t>
      </w:r>
      <w:r>
        <w:rPr>
          <w:rFonts w:hint="eastAsia" w:hAnsi="宋体" w:cs="宋体"/>
          <w:lang w:eastAsia="zh-CN"/>
        </w:rPr>
        <w:t>四</w:t>
      </w:r>
    </w:p>
    <w:p>
      <w:pPr>
        <w:snapToGrid w:val="0"/>
        <w:spacing w:line="400" w:lineRule="exact"/>
        <w:jc w:val="center"/>
        <w:rPr>
          <w:rFonts w:hAnsi="宋体" w:cs="宋体"/>
        </w:rPr>
      </w:pPr>
      <w:r>
        <w:rPr>
          <w:rFonts w:hint="eastAsia" w:hAnsi="宋体" w:cs="宋体"/>
        </w:rPr>
        <w:t>投 标 函</w:t>
      </w:r>
    </w:p>
    <w:p>
      <w:pPr>
        <w:snapToGrid w:val="0"/>
        <w:spacing w:line="400" w:lineRule="exact"/>
        <w:jc w:val="center"/>
        <w:rPr>
          <w:rFonts w:hAnsi="宋体" w:cs="宋体"/>
        </w:rPr>
      </w:pPr>
    </w:p>
    <w:p>
      <w:pPr>
        <w:snapToGrid w:val="0"/>
        <w:spacing w:line="400" w:lineRule="exact"/>
        <w:jc w:val="left"/>
        <w:rPr>
          <w:rFonts w:hAnsi="宋体" w:cs="宋体"/>
        </w:rPr>
      </w:pPr>
      <w:r>
        <w:rPr>
          <w:rFonts w:hint="eastAsia" w:hAnsi="宋体" w:cs="宋体"/>
        </w:rPr>
        <w:t>致：</w:t>
      </w:r>
      <w:r>
        <w:rPr>
          <w:rFonts w:hint="eastAsia" w:hAnsi="宋体" w:cs="宋体"/>
          <w:u w:val="single"/>
        </w:rPr>
        <w:t xml:space="preserve">                  </w:t>
      </w:r>
      <w:r>
        <w:rPr>
          <w:rFonts w:hint="eastAsia" w:hAnsi="宋体" w:cs="宋体"/>
        </w:rPr>
        <w:t>（采购代理机构、采购人名称）：</w:t>
      </w:r>
    </w:p>
    <w:p>
      <w:pPr>
        <w:snapToGrid w:val="0"/>
        <w:spacing w:line="400" w:lineRule="exact"/>
        <w:ind w:firstLine="420" w:firstLineChars="200"/>
        <w:jc w:val="left"/>
        <w:rPr>
          <w:rFonts w:hAnsi="宋体" w:cs="宋体"/>
        </w:rPr>
      </w:pPr>
      <w:r>
        <w:rPr>
          <w:rFonts w:hint="eastAsia" w:hAnsi="宋体" w:cs="宋体"/>
        </w:rPr>
        <w:t>根据贵方为</w:t>
      </w:r>
      <w:r>
        <w:rPr>
          <w:rFonts w:hint="eastAsia" w:hAnsi="宋体" w:cs="宋体"/>
          <w:u w:val="single"/>
        </w:rPr>
        <w:t xml:space="preserve">                           </w:t>
      </w:r>
      <w:r>
        <w:rPr>
          <w:rFonts w:hint="eastAsia" w:hAnsi="宋体" w:cs="宋体"/>
        </w:rPr>
        <w:t>项目的采购公告（项目编号：</w:t>
      </w:r>
      <w:r>
        <w:rPr>
          <w:rFonts w:hint="eastAsia" w:hAnsi="宋体" w:cs="宋体"/>
          <w:u w:val="single"/>
        </w:rPr>
        <w:t xml:space="preserve">           </w:t>
      </w:r>
      <w:r>
        <w:rPr>
          <w:rFonts w:hint="eastAsia" w:hAnsi="宋体" w:cs="宋体"/>
        </w:rPr>
        <w:t>），签字代表</w:t>
      </w:r>
      <w:r>
        <w:rPr>
          <w:rFonts w:hint="eastAsia" w:hAnsi="宋体" w:cs="宋体"/>
          <w:u w:val="single"/>
        </w:rPr>
        <w:t xml:space="preserve">              </w:t>
      </w:r>
      <w:r>
        <w:rPr>
          <w:rFonts w:hint="eastAsia" w:hAnsi="宋体" w:cs="宋体"/>
        </w:rPr>
        <w:t>（全名）经正式授权并代表供应商</w:t>
      </w:r>
      <w:r>
        <w:rPr>
          <w:rFonts w:hint="eastAsia" w:hAnsi="宋体" w:cs="宋体"/>
          <w:u w:val="single"/>
        </w:rPr>
        <w:t xml:space="preserve">                          </w:t>
      </w:r>
      <w:r>
        <w:rPr>
          <w:rFonts w:hint="eastAsia" w:hAnsi="宋体" w:cs="宋体"/>
        </w:rPr>
        <w:t>（供应商名称）提交响应文件正本一份、副本</w:t>
      </w:r>
      <w:r>
        <w:rPr>
          <w:rFonts w:hint="eastAsia" w:hAnsi="宋体" w:cs="宋体"/>
          <w:u w:val="single"/>
        </w:rPr>
        <w:t xml:space="preserve">      </w:t>
      </w:r>
      <w:r>
        <w:rPr>
          <w:rFonts w:hint="eastAsia" w:hAnsi="宋体" w:cs="宋体"/>
        </w:rPr>
        <w:t>份。</w:t>
      </w:r>
    </w:p>
    <w:p>
      <w:pPr>
        <w:snapToGrid w:val="0"/>
        <w:spacing w:line="400" w:lineRule="exact"/>
        <w:ind w:firstLine="420" w:firstLineChars="200"/>
        <w:jc w:val="left"/>
        <w:rPr>
          <w:rFonts w:hAnsi="宋体" w:cs="宋体"/>
        </w:rPr>
      </w:pPr>
      <w:r>
        <w:rPr>
          <w:rFonts w:hint="eastAsia" w:hAnsi="宋体" w:cs="宋体"/>
        </w:rPr>
        <w:t>据此函，签字代表宣布同意如下：</w:t>
      </w:r>
    </w:p>
    <w:p>
      <w:pPr>
        <w:snapToGrid w:val="0"/>
        <w:spacing w:line="400" w:lineRule="exact"/>
        <w:ind w:firstLine="420" w:firstLineChars="200"/>
        <w:jc w:val="left"/>
        <w:rPr>
          <w:rFonts w:hAnsi="宋体" w:cs="宋体"/>
        </w:rPr>
      </w:pPr>
      <w:r>
        <w:rPr>
          <w:rFonts w:hint="eastAsia" w:hAnsi="宋体" w:cs="宋体"/>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20" w:firstLineChars="200"/>
        <w:jc w:val="left"/>
        <w:rPr>
          <w:rFonts w:hAnsi="宋体" w:cs="宋体"/>
        </w:rPr>
      </w:pPr>
      <w:r>
        <w:rPr>
          <w:rFonts w:hint="eastAsia" w:hAnsi="宋体" w:cs="宋体"/>
        </w:rPr>
        <w:t>2.供应商在投标之前已经与贵方进行了充分的沟通，完全理解并接受招标文件的各项规定和要求，对招标文件的合理性、合法性不再有异议。</w:t>
      </w:r>
    </w:p>
    <w:p>
      <w:pPr>
        <w:snapToGrid w:val="0"/>
        <w:spacing w:line="400" w:lineRule="exact"/>
        <w:ind w:firstLine="420" w:firstLineChars="200"/>
        <w:jc w:val="left"/>
        <w:rPr>
          <w:rFonts w:hAnsi="宋体" w:cs="宋体"/>
        </w:rPr>
      </w:pPr>
      <w:r>
        <w:rPr>
          <w:rFonts w:hint="eastAsia" w:hAnsi="宋体" w:cs="宋体"/>
        </w:rPr>
        <w:t>3.本项目有效期自投标日起__</w:t>
      </w:r>
      <w:r>
        <w:rPr>
          <w:rFonts w:hint="eastAsia" w:hAnsi="宋体" w:cs="宋体"/>
          <w:u w:val="single"/>
        </w:rPr>
        <w:t>90</w:t>
      </w:r>
      <w:r>
        <w:rPr>
          <w:rFonts w:hint="eastAsia" w:hAnsi="宋体" w:cs="宋体"/>
        </w:rPr>
        <w:t>__个日历天。</w:t>
      </w:r>
    </w:p>
    <w:p>
      <w:pPr>
        <w:snapToGrid w:val="0"/>
        <w:spacing w:line="400" w:lineRule="exact"/>
        <w:ind w:firstLine="420" w:firstLineChars="200"/>
        <w:jc w:val="left"/>
        <w:rPr>
          <w:rFonts w:hAnsi="宋体" w:cs="宋体"/>
        </w:rPr>
      </w:pPr>
      <w:r>
        <w:rPr>
          <w:rFonts w:hint="eastAsia" w:hAnsi="宋体" w:cs="宋体"/>
        </w:rPr>
        <w:t>4.如成交，本响应文件至本项目合同履行完毕止均保持有效，本供应商将按“招标文件”及政府采购法律、法规的规定履行合同责任和义务。</w:t>
      </w:r>
    </w:p>
    <w:p>
      <w:pPr>
        <w:snapToGrid w:val="0"/>
        <w:spacing w:line="400" w:lineRule="exact"/>
        <w:ind w:firstLine="420" w:firstLineChars="200"/>
        <w:jc w:val="left"/>
        <w:rPr>
          <w:rFonts w:hAnsi="宋体" w:cs="宋体"/>
        </w:rPr>
      </w:pPr>
      <w:r>
        <w:rPr>
          <w:rFonts w:hint="eastAsia" w:hAnsi="宋体" w:cs="宋体"/>
        </w:rPr>
        <w:t>5.供应商同意按照贵方要求提供与招标有关的一切数据或资料。</w:t>
      </w:r>
    </w:p>
    <w:p>
      <w:pPr>
        <w:snapToGrid w:val="0"/>
        <w:spacing w:line="400" w:lineRule="exact"/>
        <w:ind w:firstLine="420" w:firstLineChars="200"/>
        <w:jc w:val="left"/>
        <w:rPr>
          <w:rFonts w:hAnsi="宋体" w:cs="宋体"/>
        </w:rPr>
      </w:pPr>
      <w:r>
        <w:rPr>
          <w:rFonts w:hint="eastAsia" w:hAnsi="宋体" w:cs="宋体"/>
        </w:rPr>
        <w:t>6.我们郑重声明：本响应文件提供的情况和文件完全是真实的，我单位符合政府采购法规定的参加采购活动应当具备的条件（《中华人民共和国政府采购法》第22条）。</w:t>
      </w:r>
    </w:p>
    <w:p>
      <w:pPr>
        <w:snapToGrid w:val="0"/>
        <w:spacing w:line="400" w:lineRule="exact"/>
        <w:ind w:firstLine="420" w:firstLineChars="200"/>
        <w:jc w:val="left"/>
        <w:rPr>
          <w:rFonts w:hAnsi="宋体" w:cs="宋体"/>
        </w:rPr>
      </w:pPr>
      <w:r>
        <w:rPr>
          <w:rFonts w:hint="eastAsia" w:hAnsi="宋体" w:cs="宋体"/>
        </w:rPr>
        <w:t>7.与本项目有关的一切正式往来信函请寄：</w:t>
      </w:r>
    </w:p>
    <w:p>
      <w:pPr>
        <w:snapToGrid w:val="0"/>
        <w:spacing w:line="400" w:lineRule="exact"/>
        <w:ind w:firstLine="420" w:firstLineChars="200"/>
        <w:jc w:val="left"/>
        <w:rPr>
          <w:rFonts w:hAnsi="宋体" w:cs="宋体"/>
        </w:rPr>
      </w:pPr>
    </w:p>
    <w:p>
      <w:pPr>
        <w:snapToGrid w:val="0"/>
        <w:spacing w:line="400" w:lineRule="exact"/>
        <w:ind w:firstLine="420" w:firstLineChars="200"/>
        <w:jc w:val="left"/>
        <w:rPr>
          <w:rFonts w:hAnsi="宋体" w:cs="宋体"/>
          <w:u w:val="single"/>
        </w:rPr>
      </w:pPr>
      <w:r>
        <w:rPr>
          <w:rFonts w:hint="eastAsia" w:hAnsi="宋体" w:cs="宋体"/>
        </w:rPr>
        <w:t xml:space="preserve">地址： </w:t>
      </w:r>
      <w:r>
        <w:rPr>
          <w:rFonts w:hint="eastAsia" w:hAnsi="宋体" w:cs="宋体"/>
          <w:u w:val="single"/>
        </w:rPr>
        <w:t xml:space="preserve">                                                            </w:t>
      </w:r>
    </w:p>
    <w:p>
      <w:pPr>
        <w:snapToGrid w:val="0"/>
        <w:spacing w:line="400" w:lineRule="exact"/>
        <w:ind w:firstLine="420" w:firstLineChars="200"/>
        <w:jc w:val="left"/>
        <w:rPr>
          <w:rFonts w:hAnsi="宋体" w:cs="宋体"/>
          <w:u w:val="single"/>
        </w:rPr>
      </w:pPr>
      <w:r>
        <w:rPr>
          <w:rFonts w:hint="eastAsia" w:hAnsi="宋体" w:cs="宋体"/>
        </w:rPr>
        <w:t>邮编：</w:t>
      </w:r>
      <w:r>
        <w:rPr>
          <w:rFonts w:hint="eastAsia" w:hAnsi="宋体" w:cs="宋体"/>
          <w:u w:val="single"/>
        </w:rPr>
        <w:t xml:space="preserve">              </w:t>
      </w:r>
      <w:r>
        <w:rPr>
          <w:rFonts w:hint="eastAsia" w:hAnsi="宋体" w:cs="宋体"/>
        </w:rPr>
        <w:t xml:space="preserve"> 电话：</w:t>
      </w:r>
      <w:r>
        <w:rPr>
          <w:rFonts w:hint="eastAsia" w:hAnsi="宋体" w:cs="宋体"/>
          <w:u w:val="single"/>
        </w:rPr>
        <w:t xml:space="preserve">                </w:t>
      </w:r>
      <w:r>
        <w:rPr>
          <w:rFonts w:hint="eastAsia" w:hAnsi="宋体" w:cs="宋体"/>
        </w:rPr>
        <w:t xml:space="preserve"> 传真：</w:t>
      </w:r>
      <w:r>
        <w:rPr>
          <w:rFonts w:hint="eastAsia" w:hAnsi="宋体" w:cs="宋体"/>
          <w:u w:val="single"/>
        </w:rPr>
        <w:t xml:space="preserve">                                       </w:t>
      </w:r>
    </w:p>
    <w:p>
      <w:pPr>
        <w:snapToGrid w:val="0"/>
        <w:spacing w:line="400" w:lineRule="exact"/>
        <w:ind w:firstLine="420" w:firstLineChars="200"/>
        <w:jc w:val="left"/>
        <w:rPr>
          <w:rFonts w:hAnsi="宋体" w:cs="宋体"/>
          <w:u w:val="single"/>
        </w:rPr>
      </w:pPr>
      <w:r>
        <w:rPr>
          <w:rFonts w:hint="eastAsia" w:hAnsi="宋体" w:cs="宋体"/>
        </w:rPr>
        <w:t>供应商名称（盖章）:___________________</w:t>
      </w:r>
      <w:r>
        <w:rPr>
          <w:rFonts w:hint="eastAsia" w:hAnsi="宋体" w:cs="宋体"/>
          <w:u w:val="single"/>
        </w:rPr>
        <w:t xml:space="preserve">                </w:t>
      </w:r>
    </w:p>
    <w:p>
      <w:pPr>
        <w:snapToGrid w:val="0"/>
        <w:spacing w:line="400" w:lineRule="exact"/>
        <w:ind w:firstLine="420" w:firstLineChars="200"/>
        <w:jc w:val="left"/>
        <w:rPr>
          <w:rFonts w:hAnsi="宋体" w:cs="宋体"/>
        </w:rPr>
      </w:pPr>
      <w:r>
        <w:rPr>
          <w:rFonts w:hint="eastAsia" w:hAnsi="宋体" w:cs="宋体"/>
        </w:rPr>
        <w:t>开户银行：</w:t>
      </w:r>
      <w:r>
        <w:rPr>
          <w:rFonts w:hint="eastAsia" w:hAnsi="宋体" w:cs="宋体"/>
          <w:u w:val="single"/>
        </w:rPr>
        <w:t xml:space="preserve">                      </w:t>
      </w:r>
      <w:r>
        <w:rPr>
          <w:rFonts w:hint="eastAsia" w:hAnsi="宋体" w:cs="宋体"/>
        </w:rPr>
        <w:t xml:space="preserve">   银行帐号：</w:t>
      </w:r>
      <w:r>
        <w:rPr>
          <w:rFonts w:hint="eastAsia" w:hAnsi="宋体" w:cs="宋体"/>
          <w:u w:val="single"/>
        </w:rPr>
        <w:t xml:space="preserve">                      </w:t>
      </w:r>
      <w:r>
        <w:rPr>
          <w:rFonts w:hint="eastAsia" w:hAnsi="宋体" w:cs="宋体"/>
        </w:rPr>
        <w:t xml:space="preserve">    </w:t>
      </w:r>
    </w:p>
    <w:p>
      <w:pPr>
        <w:snapToGrid w:val="0"/>
        <w:spacing w:line="400" w:lineRule="exact"/>
        <w:ind w:firstLine="420" w:firstLineChars="200"/>
        <w:jc w:val="left"/>
        <w:rPr>
          <w:rFonts w:hAnsi="宋体" w:cs="宋体"/>
        </w:rPr>
      </w:pPr>
      <w:r>
        <w:rPr>
          <w:rFonts w:hint="eastAsia" w:hAnsi="宋体" w:cs="宋体"/>
        </w:rPr>
        <w:t>法定代表人/负责人或授权代表签字:___________</w:t>
      </w:r>
      <w:r>
        <w:rPr>
          <w:rFonts w:hint="eastAsia" w:hAnsi="宋体" w:cs="宋体"/>
          <w:u w:val="single"/>
        </w:rPr>
        <w:t xml:space="preserve">     </w:t>
      </w:r>
      <w:r>
        <w:rPr>
          <w:rFonts w:hint="eastAsia" w:hAnsi="宋体" w:cs="宋体"/>
        </w:rPr>
        <w:t xml:space="preserve"> </w:t>
      </w:r>
    </w:p>
    <w:p>
      <w:pPr>
        <w:snapToGrid w:val="0"/>
        <w:spacing w:line="400" w:lineRule="exact"/>
        <w:ind w:firstLine="420" w:firstLineChars="200"/>
        <w:jc w:val="left"/>
        <w:rPr>
          <w:rFonts w:hAnsi="宋体" w:cs="宋体"/>
        </w:rPr>
      </w:pPr>
      <w:r>
        <w:rPr>
          <w:rFonts w:hint="eastAsia" w:hAnsi="宋体" w:cs="宋体"/>
        </w:rPr>
        <w:t xml:space="preserve">              </w:t>
      </w:r>
    </w:p>
    <w:p>
      <w:pPr>
        <w:snapToGrid w:val="0"/>
        <w:spacing w:line="400" w:lineRule="exact"/>
        <w:ind w:firstLine="420" w:firstLineChars="200"/>
        <w:jc w:val="left"/>
        <w:rPr>
          <w:rFonts w:hAnsi="宋体" w:cs="宋体"/>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outlineLvl w:val="1"/>
        <w:rPr>
          <w:rFonts w:hAnsi="宋体" w:cs="宋体"/>
          <w:b/>
          <w:sz w:val="32"/>
          <w:szCs w:val="32"/>
        </w:rPr>
      </w:pPr>
      <w:r>
        <w:rPr>
          <w:rFonts w:hint="eastAsia" w:hAnsi="宋体"/>
        </w:rPr>
        <w:br w:type="page"/>
      </w:r>
      <w:r>
        <w:rPr>
          <w:rFonts w:hint="eastAsia" w:hAnsi="宋体" w:cs="宋体"/>
          <w:b/>
          <w:sz w:val="32"/>
          <w:szCs w:val="32"/>
        </w:rPr>
        <w:t xml:space="preserve">封面  </w:t>
      </w:r>
      <w:r>
        <w:rPr>
          <w:rFonts w:hint="eastAsia" w:hAnsi="宋体" w:cs="宋体"/>
          <w:b/>
          <w:sz w:val="30"/>
          <w:szCs w:val="30"/>
        </w:rPr>
        <w:t>格式</w:t>
      </w:r>
      <w:r>
        <w:rPr>
          <w:rFonts w:hint="eastAsia" w:hAnsi="宋体" w:cs="宋体"/>
          <w:b/>
          <w:sz w:val="32"/>
          <w:szCs w:val="32"/>
        </w:rPr>
        <w:t>1:</w:t>
      </w:r>
    </w:p>
    <w:p>
      <w:pPr>
        <w:pStyle w:val="12"/>
        <w:snapToGrid w:val="0"/>
        <w:spacing w:before="156" w:after="156"/>
        <w:ind w:firstLine="525"/>
        <w:rPr>
          <w:rFonts w:hAnsi="宋体" w:cs="宋体"/>
        </w:rPr>
      </w:pPr>
    </w:p>
    <w:p>
      <w:pPr>
        <w:pStyle w:val="12"/>
        <w:snapToGrid w:val="0"/>
        <w:spacing w:before="156" w:after="156"/>
        <w:ind w:firstLine="525"/>
        <w:rPr>
          <w:rFonts w:hAnsi="宋体" w:cs="宋体"/>
          <w:sz w:val="36"/>
        </w:rPr>
      </w:pPr>
    </w:p>
    <w:p>
      <w:pPr>
        <w:jc w:val="center"/>
        <w:outlineLvl w:val="1"/>
        <w:rPr>
          <w:rFonts w:hAnsi="宋体" w:cs="宋体"/>
          <w:b/>
          <w:sz w:val="72"/>
        </w:rPr>
      </w:pPr>
      <w:bookmarkStart w:id="30" w:name="_Toc379736762"/>
      <w:r>
        <w:rPr>
          <w:rFonts w:hint="eastAsia" w:hAnsi="宋体" w:cs="宋体"/>
          <w:b/>
          <w:sz w:val="72"/>
        </w:rPr>
        <w:t>响 应 文 件</w:t>
      </w:r>
      <w:bookmarkEnd w:id="30"/>
    </w:p>
    <w:p>
      <w:pPr>
        <w:pStyle w:val="12"/>
        <w:snapToGrid w:val="0"/>
        <w:spacing w:before="156" w:after="156"/>
        <w:jc w:val="center"/>
        <w:rPr>
          <w:rFonts w:hAnsi="宋体" w:cs="宋体"/>
          <w:b/>
          <w:sz w:val="52"/>
          <w:szCs w:val="52"/>
        </w:rPr>
      </w:pPr>
    </w:p>
    <w:p>
      <w:pPr>
        <w:pStyle w:val="12"/>
        <w:snapToGrid w:val="0"/>
        <w:spacing w:before="156" w:after="156" w:line="360" w:lineRule="auto"/>
        <w:jc w:val="center"/>
        <w:rPr>
          <w:rFonts w:hAnsi="宋体" w:cs="宋体"/>
          <w:b/>
          <w:sz w:val="36"/>
          <w:szCs w:val="36"/>
        </w:rPr>
      </w:pPr>
      <w:r>
        <w:rPr>
          <w:rFonts w:hint="eastAsia" w:hAnsi="宋体" w:cs="宋体"/>
          <w:b/>
          <w:sz w:val="36"/>
          <w:szCs w:val="36"/>
        </w:rPr>
        <w:t>正本/副本</w:t>
      </w:r>
    </w:p>
    <w:p>
      <w:pPr>
        <w:pStyle w:val="12"/>
        <w:snapToGrid w:val="0"/>
        <w:spacing w:before="156" w:after="156"/>
        <w:ind w:firstLine="525"/>
        <w:jc w:val="center"/>
        <w:rPr>
          <w:rFonts w:hAnsi="宋体" w:cs="宋体"/>
          <w:sz w:val="72"/>
        </w:rPr>
      </w:pPr>
    </w:p>
    <w:p>
      <w:pPr>
        <w:pStyle w:val="12"/>
        <w:snapToGrid w:val="0"/>
        <w:spacing w:before="156" w:after="156"/>
        <w:ind w:firstLine="525"/>
        <w:jc w:val="center"/>
        <w:rPr>
          <w:rFonts w:hAnsi="宋体" w:cs="宋体"/>
          <w:sz w:val="72"/>
        </w:rPr>
      </w:pPr>
    </w:p>
    <w:p>
      <w:pPr>
        <w:pStyle w:val="12"/>
        <w:snapToGrid w:val="0"/>
        <w:spacing w:before="156" w:after="156"/>
        <w:ind w:firstLine="640" w:firstLineChars="200"/>
        <w:rPr>
          <w:rFonts w:hAnsi="宋体" w:cs="宋体"/>
          <w:sz w:val="32"/>
        </w:rPr>
      </w:pPr>
    </w:p>
    <w:p>
      <w:pPr>
        <w:pStyle w:val="12"/>
        <w:snapToGrid w:val="0"/>
        <w:spacing w:before="156" w:after="156"/>
        <w:ind w:firstLine="640" w:firstLineChars="200"/>
        <w:rPr>
          <w:rFonts w:hAnsi="宋体" w:cs="宋体"/>
          <w:sz w:val="32"/>
        </w:rPr>
      </w:pPr>
    </w:p>
    <w:p>
      <w:pPr>
        <w:pStyle w:val="12"/>
        <w:snapToGrid w:val="0"/>
        <w:spacing w:before="156" w:after="156"/>
        <w:ind w:firstLine="420" w:firstLineChars="150"/>
        <w:jc w:val="left"/>
        <w:rPr>
          <w:rFonts w:hAnsi="宋体" w:cs="宋体"/>
          <w:sz w:val="28"/>
          <w:szCs w:val="28"/>
        </w:rPr>
      </w:pPr>
    </w:p>
    <w:p>
      <w:pPr>
        <w:pStyle w:val="12"/>
        <w:snapToGrid w:val="0"/>
        <w:spacing w:before="156" w:after="156"/>
        <w:ind w:firstLine="420" w:firstLineChars="150"/>
        <w:jc w:val="left"/>
        <w:rPr>
          <w:rFonts w:hAnsi="宋体" w:cs="宋体"/>
          <w:sz w:val="28"/>
          <w:szCs w:val="28"/>
        </w:rPr>
      </w:pPr>
    </w:p>
    <w:p>
      <w:pPr>
        <w:pStyle w:val="12"/>
        <w:snapToGrid w:val="0"/>
        <w:spacing w:before="156" w:after="156"/>
        <w:ind w:firstLine="420" w:firstLineChars="150"/>
        <w:jc w:val="left"/>
        <w:rPr>
          <w:rFonts w:hAnsi="宋体" w:cs="宋体"/>
          <w:sz w:val="28"/>
          <w:szCs w:val="28"/>
          <w:u w:val="single"/>
        </w:rPr>
      </w:pPr>
      <w:r>
        <w:rPr>
          <w:rFonts w:hint="eastAsia" w:hAnsi="宋体" w:cs="宋体"/>
          <w:sz w:val="28"/>
          <w:szCs w:val="28"/>
        </w:rPr>
        <w:t>招标编号：</w:t>
      </w:r>
      <w:r>
        <w:rPr>
          <w:rFonts w:hint="eastAsia" w:hAnsi="宋体" w:cs="宋体"/>
          <w:sz w:val="28"/>
          <w:szCs w:val="28"/>
          <w:u w:val="single"/>
        </w:rPr>
        <w:t xml:space="preserve">                                     </w:t>
      </w:r>
    </w:p>
    <w:p>
      <w:pPr>
        <w:pStyle w:val="12"/>
        <w:snapToGrid w:val="0"/>
        <w:spacing w:before="156" w:after="156"/>
        <w:ind w:firstLine="420" w:firstLineChars="150"/>
        <w:jc w:val="left"/>
        <w:rPr>
          <w:rFonts w:hAnsi="宋体" w:cs="宋体"/>
          <w:sz w:val="28"/>
          <w:szCs w:val="28"/>
          <w:u w:val="single"/>
        </w:rPr>
      </w:pPr>
      <w:r>
        <w:rPr>
          <w:rFonts w:hint="eastAsia" w:hAnsi="宋体" w:cs="宋体"/>
          <w:sz w:val="28"/>
          <w:szCs w:val="28"/>
        </w:rPr>
        <w:t>项目名称：</w:t>
      </w:r>
      <w:r>
        <w:rPr>
          <w:rFonts w:hint="eastAsia" w:hAnsi="宋体" w:cs="宋体"/>
          <w:sz w:val="28"/>
          <w:szCs w:val="28"/>
          <w:u w:val="single"/>
        </w:rPr>
        <w:t xml:space="preserve">                                     </w:t>
      </w:r>
    </w:p>
    <w:p>
      <w:pPr>
        <w:pStyle w:val="12"/>
        <w:snapToGrid w:val="0"/>
        <w:spacing w:before="156" w:after="156"/>
        <w:ind w:firstLine="420" w:firstLineChars="150"/>
        <w:rPr>
          <w:rFonts w:hAnsi="宋体" w:cs="宋体"/>
          <w:sz w:val="28"/>
          <w:szCs w:val="28"/>
          <w:u w:val="single"/>
        </w:rPr>
      </w:pPr>
      <w:r>
        <w:rPr>
          <w:rFonts w:hint="eastAsia" w:hAnsi="宋体" w:cs="宋体"/>
          <w:sz w:val="28"/>
          <w:szCs w:val="28"/>
        </w:rPr>
        <w:t>投 标 人：</w:t>
      </w:r>
      <w:r>
        <w:rPr>
          <w:rFonts w:hint="eastAsia" w:hAnsi="宋体" w:cs="宋体"/>
          <w:sz w:val="28"/>
          <w:szCs w:val="28"/>
          <w:u w:val="single"/>
        </w:rPr>
        <w:t xml:space="preserve">                       （加盖公章）  </w:t>
      </w:r>
    </w:p>
    <w:p>
      <w:pPr>
        <w:pStyle w:val="12"/>
        <w:snapToGrid w:val="0"/>
        <w:spacing w:before="156" w:after="156"/>
        <w:ind w:firstLine="420" w:firstLineChars="150"/>
        <w:rPr>
          <w:rFonts w:hAnsi="宋体" w:cs="宋体"/>
          <w:sz w:val="28"/>
          <w:szCs w:val="28"/>
          <w:u w:val="single"/>
        </w:rPr>
      </w:pPr>
      <w:r>
        <w:rPr>
          <w:rFonts w:hint="eastAsia" w:hAnsi="宋体" w:cs="宋体"/>
          <w:sz w:val="28"/>
          <w:szCs w:val="28"/>
        </w:rPr>
        <w:t>法定代表人或授权代表：</w:t>
      </w:r>
      <w:r>
        <w:rPr>
          <w:rFonts w:hint="eastAsia" w:hAnsi="宋体" w:cs="宋体"/>
          <w:sz w:val="28"/>
          <w:szCs w:val="28"/>
          <w:u w:val="single"/>
        </w:rPr>
        <w:t xml:space="preserve">         （签字或盖章）  </w:t>
      </w:r>
    </w:p>
    <w:p>
      <w:pPr>
        <w:pStyle w:val="12"/>
        <w:snapToGrid w:val="0"/>
        <w:spacing w:before="156" w:after="156"/>
        <w:ind w:firstLine="420" w:firstLineChars="150"/>
        <w:rPr>
          <w:rFonts w:hAnsi="宋体" w:cs="宋体"/>
          <w:b/>
          <w:bCs/>
          <w:sz w:val="52"/>
        </w:rPr>
      </w:pPr>
      <w:r>
        <w:rPr>
          <w:rFonts w:hint="eastAsia" w:hAnsi="宋体" w:cs="宋体"/>
          <w:sz w:val="28"/>
          <w:szCs w:val="28"/>
        </w:rPr>
        <w:t>日    期：</w:t>
      </w:r>
      <w:r>
        <w:rPr>
          <w:rFonts w:hint="eastAsia" w:hAnsi="宋体" w:cs="宋体"/>
          <w:sz w:val="28"/>
          <w:szCs w:val="28"/>
          <w:u w:val="single"/>
        </w:rPr>
        <w:t xml:space="preserve">                                     </w:t>
      </w:r>
      <w:r>
        <w:rPr>
          <w:rFonts w:hint="eastAsia" w:hAnsi="宋体" w:cs="宋体"/>
          <w:sz w:val="28"/>
          <w:szCs w:val="28"/>
          <w:u w:val="single"/>
        </w:rPr>
        <w:br w:type="page"/>
      </w:r>
      <w:r>
        <w:rPr>
          <w:rFonts w:hint="eastAsia" w:hAnsi="宋体" w:cs="宋体"/>
          <w:b/>
          <w:sz w:val="32"/>
          <w:szCs w:val="32"/>
        </w:rPr>
        <w:t>封面  格式2:</w:t>
      </w:r>
    </w:p>
    <w:p>
      <w:pPr>
        <w:pStyle w:val="12"/>
        <w:snapToGrid w:val="0"/>
        <w:spacing w:before="156" w:after="156"/>
        <w:rPr>
          <w:rFonts w:hAnsi="宋体" w:cs="宋体"/>
          <w:sz w:val="30"/>
          <w:szCs w:val="30"/>
        </w:rPr>
      </w:pPr>
      <w:r>
        <w:rPr>
          <w:rFonts w:hint="eastAsia" w:hAnsi="宋体" w:cs="宋体"/>
          <w:sz w:val="30"/>
          <w:szCs w:val="30"/>
        </w:rPr>
        <w:t>致宁波工建工程造价咨询有限公司：</w:t>
      </w:r>
    </w:p>
    <w:p>
      <w:pPr>
        <w:pStyle w:val="12"/>
        <w:snapToGrid w:val="0"/>
        <w:spacing w:before="156" w:after="156"/>
        <w:ind w:firstLine="525"/>
        <w:rPr>
          <w:rFonts w:hAnsi="宋体" w:cs="宋体"/>
          <w:sz w:val="36"/>
        </w:rPr>
      </w:pPr>
    </w:p>
    <w:p>
      <w:pPr>
        <w:pStyle w:val="12"/>
        <w:snapToGrid w:val="0"/>
        <w:spacing w:before="156" w:after="156"/>
        <w:ind w:firstLine="525"/>
        <w:rPr>
          <w:rFonts w:hAnsi="宋体" w:cs="宋体"/>
          <w:sz w:val="36"/>
        </w:rPr>
      </w:pPr>
    </w:p>
    <w:p>
      <w:pPr>
        <w:pStyle w:val="12"/>
        <w:snapToGrid w:val="0"/>
        <w:spacing w:before="156" w:after="156"/>
        <w:rPr>
          <w:rFonts w:hAnsi="宋体" w:cs="宋体"/>
          <w:sz w:val="32"/>
          <w:szCs w:val="32"/>
        </w:rPr>
      </w:pPr>
      <w:r>
        <w:rPr>
          <w:rFonts w:hint="eastAsia" w:hAnsi="宋体" w:cs="宋体"/>
          <w:sz w:val="32"/>
          <w:szCs w:val="32"/>
        </w:rPr>
        <w:t>招标编号：</w:t>
      </w:r>
      <w:r>
        <w:rPr>
          <w:rFonts w:hint="eastAsia" w:hAnsi="宋体" w:cs="宋体"/>
          <w:sz w:val="32"/>
          <w:szCs w:val="32"/>
          <w:u w:val="single"/>
        </w:rPr>
        <w:t xml:space="preserve">                                      </w:t>
      </w:r>
      <w:r>
        <w:rPr>
          <w:rFonts w:hint="eastAsia" w:hAnsi="宋体" w:cs="宋体"/>
          <w:sz w:val="32"/>
          <w:szCs w:val="32"/>
        </w:rPr>
        <w:t xml:space="preserve">                    </w:t>
      </w:r>
    </w:p>
    <w:p>
      <w:pPr>
        <w:pStyle w:val="12"/>
        <w:snapToGrid w:val="0"/>
        <w:spacing w:before="156" w:after="156"/>
        <w:rPr>
          <w:rFonts w:hAnsi="宋体" w:cs="宋体"/>
          <w:sz w:val="32"/>
          <w:szCs w:val="32"/>
        </w:rPr>
      </w:pPr>
      <w:r>
        <w:rPr>
          <w:rFonts w:hint="eastAsia" w:hAnsi="宋体" w:cs="宋体"/>
          <w:sz w:val="32"/>
          <w:szCs w:val="32"/>
        </w:rPr>
        <w:t>项目名称：</w:t>
      </w:r>
      <w:r>
        <w:rPr>
          <w:rFonts w:hint="eastAsia" w:hAnsi="宋体" w:cs="宋体"/>
          <w:sz w:val="32"/>
          <w:szCs w:val="32"/>
          <w:u w:val="single"/>
        </w:rPr>
        <w:t xml:space="preserve">                                      </w:t>
      </w:r>
    </w:p>
    <w:p>
      <w:pPr>
        <w:pStyle w:val="12"/>
        <w:snapToGrid w:val="0"/>
        <w:spacing w:before="156" w:after="156"/>
        <w:rPr>
          <w:rFonts w:hAnsi="宋体" w:cs="宋体"/>
          <w:sz w:val="32"/>
          <w:szCs w:val="32"/>
        </w:rPr>
      </w:pPr>
      <w:r>
        <w:rPr>
          <w:rFonts w:hint="eastAsia" w:hAnsi="宋体" w:cs="宋体"/>
          <w:sz w:val="32"/>
          <w:szCs w:val="32"/>
        </w:rPr>
        <w:t>投 标 人：</w:t>
      </w:r>
      <w:r>
        <w:rPr>
          <w:rFonts w:hint="eastAsia" w:hAnsi="宋体" w:cs="宋体"/>
          <w:sz w:val="32"/>
          <w:szCs w:val="32"/>
          <w:u w:val="single"/>
        </w:rPr>
        <w:t xml:space="preserve">                                      </w:t>
      </w:r>
      <w:r>
        <w:rPr>
          <w:rFonts w:hint="eastAsia" w:hAnsi="宋体" w:cs="宋体"/>
          <w:sz w:val="32"/>
          <w:szCs w:val="32"/>
        </w:rPr>
        <w:t xml:space="preserve">  </w:t>
      </w:r>
    </w:p>
    <w:p>
      <w:pPr>
        <w:pStyle w:val="12"/>
        <w:snapToGrid w:val="0"/>
        <w:spacing w:before="156" w:after="156"/>
        <w:rPr>
          <w:rFonts w:hAnsi="宋体" w:cs="宋体"/>
          <w:sz w:val="52"/>
        </w:rPr>
      </w:pPr>
    </w:p>
    <w:p>
      <w:pPr>
        <w:pStyle w:val="12"/>
        <w:snapToGrid w:val="0"/>
        <w:spacing w:before="156" w:after="156"/>
        <w:rPr>
          <w:rFonts w:hAnsi="宋体" w:cs="宋体"/>
          <w:sz w:val="52"/>
        </w:rPr>
      </w:pPr>
    </w:p>
    <w:p>
      <w:pPr>
        <w:pStyle w:val="12"/>
        <w:snapToGrid w:val="0"/>
        <w:spacing w:before="156" w:after="156"/>
        <w:rPr>
          <w:rFonts w:hAnsi="宋体" w:cs="宋体"/>
          <w:sz w:val="52"/>
        </w:rPr>
      </w:pPr>
    </w:p>
    <w:p>
      <w:pPr>
        <w:pStyle w:val="12"/>
        <w:snapToGrid w:val="0"/>
        <w:spacing w:before="156" w:after="156"/>
        <w:rPr>
          <w:rFonts w:hAnsi="宋体" w:cs="宋体"/>
          <w:sz w:val="52"/>
        </w:rPr>
      </w:pPr>
    </w:p>
    <w:p>
      <w:pPr>
        <w:jc w:val="center"/>
        <w:outlineLvl w:val="1"/>
        <w:rPr>
          <w:rFonts w:hAnsi="宋体" w:cs="宋体"/>
          <w:sz w:val="72"/>
        </w:rPr>
      </w:pPr>
      <w:bookmarkStart w:id="31" w:name="_Toc379736763"/>
      <w:r>
        <w:rPr>
          <w:rFonts w:hint="eastAsia" w:hAnsi="宋体" w:cs="宋体"/>
          <w:sz w:val="72"/>
        </w:rPr>
        <w:t>《</w:t>
      </w:r>
      <w:r>
        <w:rPr>
          <w:rFonts w:hint="eastAsia" w:hAnsi="宋体" w:cs="宋体"/>
          <w:b/>
          <w:sz w:val="72"/>
        </w:rPr>
        <w:t>响应文件</w:t>
      </w:r>
      <w:r>
        <w:rPr>
          <w:rFonts w:hint="eastAsia" w:hAnsi="宋体" w:cs="宋体"/>
          <w:sz w:val="72"/>
        </w:rPr>
        <w:t>》</w:t>
      </w:r>
      <w:bookmarkEnd w:id="31"/>
    </w:p>
    <w:p>
      <w:pPr>
        <w:pStyle w:val="12"/>
        <w:snapToGrid w:val="0"/>
        <w:spacing w:before="156" w:after="156"/>
        <w:jc w:val="center"/>
        <w:rPr>
          <w:rFonts w:hAnsi="宋体" w:cs="宋体"/>
          <w:b/>
          <w:bCs/>
          <w:sz w:val="52"/>
        </w:rPr>
      </w:pPr>
      <w:r>
        <w:rPr>
          <w:rFonts w:hint="eastAsia" w:hAnsi="宋体" w:cs="宋体"/>
          <w:b/>
          <w:bCs/>
          <w:sz w:val="52"/>
        </w:rPr>
        <w:t>开标时启封</w:t>
      </w:r>
    </w:p>
    <w:p>
      <w:pPr>
        <w:snapToGrid w:val="0"/>
        <w:spacing w:line="400" w:lineRule="exact"/>
        <w:rPr>
          <w:rFonts w:ascii="宋体" w:hAnsi="宋体" w:cs="宋体"/>
          <w:szCs w:val="21"/>
        </w:rPr>
      </w:pPr>
    </w:p>
    <w:bookmarkEnd w:id="28"/>
    <w:p>
      <w:pPr>
        <w:pStyle w:val="12"/>
        <w:numPr>
          <w:ilvl w:val="0"/>
          <w:numId w:val="0"/>
        </w:numPr>
        <w:snapToGrid w:val="0"/>
        <w:spacing w:before="156" w:after="156" w:line="360" w:lineRule="auto"/>
        <w:jc w:val="center"/>
        <w:rPr>
          <w:rFonts w:hAnsi="宋体"/>
          <w:b/>
          <w:sz w:val="30"/>
        </w:rPr>
      </w:pPr>
      <w:r>
        <w:rPr>
          <w:rFonts w:hint="eastAsia" w:hAnsi="宋体" w:cs="宋体"/>
          <w:szCs w:val="21"/>
        </w:rPr>
        <w:br w:type="page"/>
      </w:r>
      <w:r>
        <w:rPr>
          <w:rFonts w:hint="eastAsia" w:hAnsi="宋体"/>
          <w:b/>
          <w:sz w:val="30"/>
          <w:lang w:eastAsia="zh-CN"/>
        </w:rPr>
        <w:t>第五章</w:t>
      </w:r>
      <w:r>
        <w:rPr>
          <w:rFonts w:hint="eastAsia" w:hAnsi="宋体"/>
          <w:b/>
          <w:sz w:val="30"/>
          <w:lang w:val="en-US" w:eastAsia="zh-CN"/>
        </w:rPr>
        <w:t xml:space="preserve"> </w:t>
      </w:r>
      <w:r>
        <w:rPr>
          <w:rFonts w:hint="eastAsia" w:hAnsi="宋体"/>
          <w:b/>
          <w:sz w:val="30"/>
        </w:rPr>
        <w:t>合同样本</w:t>
      </w:r>
    </w:p>
    <w:p>
      <w:pPr>
        <w:pStyle w:val="12"/>
        <w:snapToGrid w:val="0"/>
        <w:spacing w:before="156" w:after="156" w:line="360" w:lineRule="auto"/>
        <w:jc w:val="center"/>
        <w:rPr>
          <w:rFonts w:asciiTheme="minorEastAsia" w:hAnsiTheme="minorEastAsia" w:eastAsiaTheme="minorEastAsia" w:cstheme="minorEastAsia"/>
          <w:sz w:val="21"/>
          <w:szCs w:val="21"/>
        </w:rPr>
      </w:pPr>
      <w:r>
        <w:rPr>
          <w:rFonts w:hint="eastAsia" w:hAnsi="宋体"/>
          <w:b/>
          <w:sz w:val="30"/>
        </w:rPr>
        <w:t>（本合同为参照样稿，最终稿由甲乙双方协商后确定）</w:t>
      </w:r>
    </w:p>
    <w:p>
      <w:pPr>
        <w:widowControl/>
        <w:spacing w:line="480" w:lineRule="exact"/>
        <w:jc w:val="left"/>
        <w:rPr>
          <w:rFonts w:hint="eastAsia" w:ascii="宋体" w:hAnsi="宋体"/>
          <w:color w:val="333333"/>
          <w:szCs w:val="21"/>
          <w:shd w:val="clear" w:color="auto" w:fill="FFFFFF"/>
        </w:rPr>
      </w:pPr>
      <w:r>
        <w:rPr>
          <w:rFonts w:ascii="宋体" w:hAnsi="宋体"/>
          <w:color w:val="333333"/>
          <w:spacing w:val="-4"/>
          <w:szCs w:val="21"/>
          <w:shd w:val="clear" w:color="auto" w:fill="FFFFFF"/>
        </w:rPr>
        <w:t>甲方：</w:t>
      </w:r>
      <w:r>
        <w:rPr>
          <w:rFonts w:hint="eastAsia" w:ascii="宋体" w:hAnsi="宋体"/>
          <w:color w:val="333333"/>
          <w:szCs w:val="21"/>
          <w:shd w:val="clear" w:color="auto" w:fill="FFFFFF"/>
        </w:rPr>
        <w:t xml:space="preserve"> </w:t>
      </w:r>
    </w:p>
    <w:p>
      <w:pPr>
        <w:widowControl/>
        <w:spacing w:line="480" w:lineRule="exact"/>
        <w:jc w:val="left"/>
        <w:rPr>
          <w:rFonts w:ascii="宋体" w:hAnsi="宋体"/>
          <w:color w:val="333333"/>
          <w:spacing w:val="-4"/>
          <w:szCs w:val="21"/>
          <w:shd w:val="clear" w:color="auto" w:fill="FFFFFF"/>
        </w:rPr>
      </w:pPr>
      <w:r>
        <w:rPr>
          <w:rFonts w:ascii="宋体" w:hAnsi="宋体"/>
          <w:color w:val="333333"/>
          <w:spacing w:val="-4"/>
          <w:szCs w:val="21"/>
          <w:shd w:val="clear" w:color="auto" w:fill="FFFFFF"/>
        </w:rPr>
        <w:t>乙方：</w:t>
      </w:r>
    </w:p>
    <w:p>
      <w:pPr>
        <w:widowControl/>
        <w:spacing w:line="480" w:lineRule="exact"/>
        <w:ind w:firstLine="303" w:firstLineChars="150"/>
        <w:jc w:val="left"/>
        <w:rPr>
          <w:rFonts w:hint="eastAsia" w:ascii="宋体" w:hAnsi="宋体"/>
          <w:color w:val="333333"/>
          <w:spacing w:val="-4"/>
          <w:szCs w:val="21"/>
          <w:shd w:val="clear" w:color="auto" w:fill="FFFFFF"/>
        </w:rPr>
      </w:pPr>
      <w:r>
        <w:rPr>
          <w:rFonts w:ascii="宋体" w:hAnsi="宋体"/>
          <w:color w:val="333333"/>
          <w:spacing w:val="-4"/>
          <w:szCs w:val="21"/>
          <w:shd w:val="clear" w:color="auto" w:fill="FFFFFF"/>
        </w:rPr>
        <w:t>因甲方</w:t>
      </w:r>
      <w:r>
        <w:rPr>
          <w:rFonts w:hint="eastAsia" w:ascii="宋体" w:hAnsi="宋体"/>
          <w:color w:val="333333"/>
          <w:spacing w:val="-4"/>
          <w:szCs w:val="21"/>
          <w:shd w:val="clear" w:color="auto" w:fill="FFFFFF"/>
        </w:rPr>
        <w:t>渣土外运</w:t>
      </w:r>
      <w:r>
        <w:rPr>
          <w:rFonts w:ascii="宋体" w:hAnsi="宋体"/>
          <w:color w:val="333333"/>
          <w:spacing w:val="-4"/>
          <w:szCs w:val="21"/>
          <w:shd w:val="clear" w:color="auto" w:fill="FFFFFF"/>
        </w:rPr>
        <w:t>的需要。经甲乙双方共同平等协商，为明确甲乙双方的权利和义务，现双方达成协议如下：</w:t>
      </w:r>
    </w:p>
    <w:p>
      <w:pPr>
        <w:shd w:val="solid" w:color="FFFFFF" w:fill="auto"/>
        <w:autoSpaceDN w:val="0"/>
        <w:spacing w:line="480" w:lineRule="exact"/>
        <w:ind w:left="1519" w:leftChars="171" w:right="-199" w:hanging="1160" w:hangingChars="550"/>
        <w:rPr>
          <w:rFonts w:hint="eastAsia" w:ascii="宋体" w:hAnsi="宋体" w:eastAsia="宋体"/>
          <w:color w:val="333333"/>
          <w:spacing w:val="-4"/>
          <w:szCs w:val="21"/>
          <w:shd w:val="clear" w:color="auto" w:fill="FFFFFF"/>
          <w:lang w:eastAsia="zh-CN"/>
        </w:rPr>
      </w:pPr>
      <w:r>
        <w:rPr>
          <w:rFonts w:hint="eastAsia" w:ascii="宋体" w:hAnsi="宋体"/>
          <w:b/>
          <w:color w:val="333333"/>
          <w:szCs w:val="21"/>
          <w:shd w:val="clear" w:color="auto" w:fill="FFFFFF"/>
        </w:rPr>
        <w:t>一</w:t>
      </w:r>
      <w:r>
        <w:rPr>
          <w:rFonts w:ascii="宋体" w:hAnsi="宋体"/>
          <w:b/>
          <w:color w:val="333333"/>
          <w:szCs w:val="21"/>
          <w:shd w:val="clear" w:color="auto" w:fill="FFFFFF"/>
        </w:rPr>
        <w:t>、工程名称：</w:t>
      </w:r>
      <w:r>
        <w:rPr>
          <w:rFonts w:hint="eastAsia" w:ascii="宋体" w:hAnsi="宋体"/>
          <w:color w:val="333333"/>
          <w:spacing w:val="-4"/>
          <w:szCs w:val="21"/>
          <w:shd w:val="clear" w:color="auto" w:fill="FFFFFF"/>
          <w:lang w:val="en-US" w:eastAsia="zh-CN"/>
        </w:rPr>
        <w:t xml:space="preserve"> </w:t>
      </w:r>
    </w:p>
    <w:p>
      <w:pPr>
        <w:shd w:val="solid" w:color="FFFFFF" w:fill="auto"/>
        <w:autoSpaceDN w:val="0"/>
        <w:spacing w:line="480" w:lineRule="exact"/>
        <w:ind w:left="1519" w:leftChars="171" w:right="-199" w:hanging="1160" w:hangingChars="550"/>
        <w:rPr>
          <w:rFonts w:hint="eastAsia" w:ascii="宋体" w:hAnsi="宋体" w:eastAsia="宋体"/>
          <w:color w:val="333333"/>
          <w:szCs w:val="21"/>
          <w:shd w:val="clear" w:color="auto" w:fill="FFFFFF"/>
          <w:lang w:eastAsia="zh-CN"/>
        </w:rPr>
      </w:pPr>
      <w:r>
        <w:rPr>
          <w:rFonts w:hint="eastAsia" w:ascii="宋体" w:hAnsi="宋体"/>
          <w:b/>
          <w:color w:val="333333"/>
          <w:szCs w:val="21"/>
          <w:shd w:val="clear" w:color="auto" w:fill="FFFFFF"/>
        </w:rPr>
        <w:t>二</w:t>
      </w:r>
      <w:r>
        <w:rPr>
          <w:rFonts w:ascii="宋体" w:hAnsi="宋体"/>
          <w:color w:val="333333"/>
          <w:szCs w:val="21"/>
          <w:shd w:val="clear" w:color="auto" w:fill="FFFFFF"/>
        </w:rPr>
        <w:t>、</w:t>
      </w:r>
      <w:r>
        <w:rPr>
          <w:rFonts w:ascii="宋体" w:hAnsi="宋体"/>
          <w:b/>
          <w:color w:val="333333"/>
          <w:szCs w:val="21"/>
          <w:shd w:val="clear" w:color="auto" w:fill="FFFFFF"/>
        </w:rPr>
        <w:t>起始地点：</w:t>
      </w:r>
      <w:r>
        <w:rPr>
          <w:rFonts w:hint="eastAsia" w:ascii="宋体" w:hAnsi="宋体"/>
          <w:color w:val="333333"/>
          <w:spacing w:val="-4"/>
          <w:szCs w:val="21"/>
          <w:shd w:val="clear" w:color="auto" w:fill="FFFFFF"/>
          <w:lang w:val="en-US" w:eastAsia="zh-CN"/>
        </w:rPr>
        <w:t xml:space="preserve"> </w:t>
      </w:r>
    </w:p>
    <w:p>
      <w:pPr>
        <w:shd w:val="solid" w:color="FFFFFF" w:fill="auto"/>
        <w:autoSpaceDN w:val="0"/>
        <w:spacing w:line="480" w:lineRule="exact"/>
        <w:ind w:left="105" w:leftChars="50" w:firstLine="221" w:firstLineChars="105"/>
        <w:rPr>
          <w:rFonts w:hint="eastAsia" w:ascii="宋体" w:hAnsi="宋体"/>
          <w:color w:val="333333"/>
          <w:spacing w:val="-4"/>
          <w:szCs w:val="21"/>
          <w:shd w:val="clear" w:color="auto" w:fill="FFFFFF"/>
        </w:rPr>
      </w:pPr>
      <w:r>
        <w:rPr>
          <w:rFonts w:hint="eastAsia" w:ascii="宋体" w:hAnsi="宋体"/>
          <w:b/>
          <w:color w:val="333333"/>
          <w:szCs w:val="21"/>
          <w:shd w:val="clear" w:color="auto" w:fill="FFFFFF"/>
        </w:rPr>
        <w:t>三</w:t>
      </w:r>
      <w:r>
        <w:rPr>
          <w:rFonts w:ascii="宋体" w:hAnsi="宋体"/>
          <w:b/>
          <w:color w:val="333333"/>
          <w:szCs w:val="21"/>
          <w:shd w:val="clear" w:color="auto" w:fill="FFFFFF"/>
        </w:rPr>
        <w:t>、招标内容</w:t>
      </w:r>
      <w:r>
        <w:rPr>
          <w:rFonts w:ascii="宋体" w:hAnsi="宋体"/>
          <w:color w:val="333333"/>
          <w:szCs w:val="21"/>
          <w:shd w:val="clear" w:color="auto" w:fill="FFFFFF"/>
        </w:rPr>
        <w:t>：</w:t>
      </w:r>
      <w:r>
        <w:rPr>
          <w:rFonts w:hint="eastAsia"/>
          <w:szCs w:val="24"/>
        </w:rPr>
        <w:t>数量约为</w:t>
      </w:r>
      <w:r>
        <w:rPr>
          <w:rFonts w:hint="eastAsia"/>
          <w:szCs w:val="24"/>
          <w:lang w:val="en-US" w:eastAsia="zh-CN"/>
        </w:rPr>
        <w:t>13017</w:t>
      </w:r>
      <w:r>
        <w:rPr>
          <w:rFonts w:hint="eastAsia"/>
          <w:szCs w:val="24"/>
        </w:rPr>
        <w:t>立方米，渣土</w:t>
      </w:r>
      <w:r>
        <w:rPr>
          <w:rFonts w:hint="eastAsia"/>
          <w:szCs w:val="24"/>
          <w:lang w:eastAsia="zh-CN"/>
        </w:rPr>
        <w:t>装车</w:t>
      </w:r>
      <w:r>
        <w:rPr>
          <w:rFonts w:hint="eastAsia"/>
          <w:szCs w:val="24"/>
        </w:rPr>
        <w:t>、外运</w:t>
      </w:r>
      <w:r>
        <w:rPr>
          <w:szCs w:val="24"/>
        </w:rPr>
        <w:t>及</w:t>
      </w:r>
      <w:r>
        <w:rPr>
          <w:rFonts w:hint="eastAsia"/>
          <w:szCs w:val="24"/>
        </w:rPr>
        <w:t>场地填筑，平均运输距离约为1</w:t>
      </w:r>
      <w:r>
        <w:rPr>
          <w:rFonts w:hint="eastAsia"/>
          <w:szCs w:val="24"/>
          <w:lang w:val="en-US" w:eastAsia="zh-CN"/>
        </w:rPr>
        <w:t>9</w:t>
      </w:r>
      <w:r>
        <w:rPr>
          <w:rFonts w:hint="eastAsia"/>
          <w:szCs w:val="24"/>
        </w:rPr>
        <w:t>KM（渣土数量为暂估数量，实际数量以招标人需求为准，无论增加或减少，中标人必须无条件接受）</w:t>
      </w:r>
      <w:r>
        <w:rPr>
          <w:rFonts w:hint="eastAsia" w:ascii="宋体" w:hAnsi="宋体"/>
          <w:color w:val="000000"/>
          <w:szCs w:val="21"/>
        </w:rPr>
        <w:t>。</w:t>
      </w:r>
    </w:p>
    <w:p>
      <w:pPr>
        <w:widowControl/>
        <w:spacing w:line="480" w:lineRule="exact"/>
        <w:ind w:firstLine="308" w:firstLineChars="146"/>
        <w:jc w:val="left"/>
        <w:rPr>
          <w:rFonts w:ascii="宋体" w:hAnsi="宋体"/>
          <w:b/>
          <w:color w:val="333333"/>
          <w:szCs w:val="21"/>
          <w:shd w:val="clear" w:color="auto" w:fill="FFFFFF"/>
        </w:rPr>
      </w:pPr>
      <w:r>
        <w:rPr>
          <w:rFonts w:hint="eastAsia" w:ascii="宋体" w:hAnsi="宋体"/>
          <w:b/>
          <w:color w:val="333333"/>
          <w:szCs w:val="21"/>
          <w:shd w:val="clear" w:color="auto" w:fill="FFFFFF"/>
        </w:rPr>
        <w:t>四</w:t>
      </w:r>
      <w:r>
        <w:rPr>
          <w:rFonts w:ascii="宋体" w:hAnsi="宋体"/>
          <w:b/>
          <w:color w:val="333333"/>
          <w:szCs w:val="21"/>
          <w:shd w:val="clear" w:color="auto" w:fill="FFFFFF"/>
        </w:rPr>
        <w:t>、承包期限</w:t>
      </w:r>
    </w:p>
    <w:p>
      <w:pPr>
        <w:spacing w:line="480" w:lineRule="exact"/>
        <w:ind w:left="105" w:leftChars="50" w:firstLine="732" w:firstLineChars="349"/>
        <w:rPr>
          <w:rFonts w:hint="eastAsia" w:ascii="宋体" w:hAnsi="宋体"/>
          <w:b/>
          <w:szCs w:val="21"/>
        </w:rPr>
      </w:pPr>
      <w:r>
        <w:rPr>
          <w:rFonts w:hint="eastAsia" w:ascii="宋体" w:hAnsi="宋体"/>
          <w:color w:val="000000"/>
          <w:szCs w:val="21"/>
        </w:rPr>
        <w:t>本项目合同期限为20天，</w:t>
      </w:r>
      <w:r>
        <w:rPr>
          <w:rFonts w:ascii="宋体" w:hAnsi="宋体"/>
          <w:color w:val="000000"/>
          <w:szCs w:val="21"/>
        </w:rPr>
        <w:t>开工日期：</w:t>
      </w:r>
      <w:r>
        <w:rPr>
          <w:rFonts w:hint="eastAsia" w:ascii="宋体" w:hAnsi="宋体"/>
          <w:color w:val="000000"/>
          <w:szCs w:val="21"/>
          <w:u w:val="single"/>
        </w:rPr>
        <w:t xml:space="preserve">    </w:t>
      </w:r>
      <w:r>
        <w:rPr>
          <w:rFonts w:hint="eastAsia" w:ascii="宋体" w:hAnsi="宋体" w:cs="宋体"/>
          <w:color w:val="000000"/>
          <w:szCs w:val="21"/>
          <w:u w:val="single"/>
        </w:rPr>
        <w:t></w:t>
      </w:r>
      <w:r>
        <w:rPr>
          <w:rFonts w:ascii="宋体" w:hAnsi="宋体"/>
          <w:color w:val="000000"/>
          <w:szCs w:val="21"/>
        </w:rPr>
        <w:t>年</w:t>
      </w:r>
      <w:r>
        <w:rPr>
          <w:rFonts w:hint="eastAsia" w:ascii="宋体" w:hAnsi="宋体" w:cs="宋体"/>
          <w:color w:val="000000"/>
          <w:szCs w:val="21"/>
          <w:u w:val="single"/>
        </w:rPr>
        <w:t></w:t>
      </w:r>
      <w:r>
        <w:rPr>
          <w:rFonts w:hint="eastAsia" w:ascii="宋体" w:hAnsi="宋体"/>
          <w:color w:val="000000"/>
          <w:szCs w:val="21"/>
          <w:u w:val="single"/>
        </w:rPr>
        <w:t xml:space="preserve">    </w:t>
      </w:r>
      <w:r>
        <w:rPr>
          <w:rFonts w:ascii="宋体" w:hAnsi="宋体"/>
          <w:color w:val="000000"/>
          <w:szCs w:val="21"/>
        </w:rPr>
        <w:t>月</w:t>
      </w:r>
      <w:r>
        <w:rPr>
          <w:rFonts w:hint="eastAsia" w:ascii="宋体" w:hAnsi="宋体" w:cs="宋体"/>
          <w:color w:val="000000"/>
          <w:szCs w:val="21"/>
          <w:u w:val="single"/>
        </w:rPr>
        <w:t></w:t>
      </w:r>
      <w:r>
        <w:rPr>
          <w:rFonts w:ascii="宋体" w:hAnsi="宋体"/>
          <w:color w:val="000000"/>
          <w:szCs w:val="21"/>
        </w:rPr>
        <w:t>日。</w:t>
      </w:r>
      <w:r>
        <w:rPr>
          <w:rFonts w:hint="eastAsia" w:ascii="宋体" w:hAnsi="宋体"/>
          <w:color w:val="000000"/>
          <w:szCs w:val="21"/>
        </w:rPr>
        <w:t>完工</w:t>
      </w:r>
      <w:r>
        <w:rPr>
          <w:rFonts w:ascii="宋体" w:hAnsi="宋体"/>
          <w:color w:val="000000"/>
          <w:szCs w:val="21"/>
        </w:rPr>
        <w:t>日期：</w:t>
      </w:r>
      <w:r>
        <w:rPr>
          <w:rFonts w:hint="eastAsia" w:ascii="宋体" w:hAnsi="宋体" w:cs="宋体"/>
          <w:color w:val="000000"/>
          <w:szCs w:val="21"/>
          <w:u w:val="single"/>
        </w:rPr>
        <w:t xml:space="preserve">     </w:t>
      </w:r>
      <w:r>
        <w:rPr>
          <w:rFonts w:ascii="宋体" w:hAnsi="宋体"/>
          <w:color w:val="000000"/>
          <w:szCs w:val="21"/>
        </w:rPr>
        <w:t>年</w:t>
      </w:r>
      <w:r>
        <w:rPr>
          <w:rFonts w:hint="eastAsia" w:ascii="宋体" w:hAnsi="宋体" w:cs="宋体"/>
          <w:color w:val="000000"/>
          <w:szCs w:val="21"/>
          <w:u w:val="single"/>
        </w:rPr>
        <w:t></w:t>
      </w:r>
      <w:r>
        <w:rPr>
          <w:rFonts w:ascii="宋体" w:hAnsi="宋体"/>
          <w:color w:val="000000"/>
          <w:szCs w:val="21"/>
        </w:rPr>
        <w:t>月</w:t>
      </w:r>
      <w:r>
        <w:rPr>
          <w:rFonts w:hint="eastAsia" w:ascii="宋体" w:hAnsi="宋体" w:cs="宋体"/>
          <w:color w:val="000000"/>
          <w:szCs w:val="21"/>
          <w:u w:val="single"/>
        </w:rPr>
        <w:t></w:t>
      </w:r>
      <w:r>
        <w:rPr>
          <w:rFonts w:ascii="宋体" w:hAnsi="宋体"/>
          <w:color w:val="000000"/>
          <w:szCs w:val="21"/>
        </w:rPr>
        <w:t>日。</w:t>
      </w:r>
    </w:p>
    <w:p>
      <w:pPr>
        <w:widowControl/>
        <w:spacing w:line="480" w:lineRule="exact"/>
        <w:ind w:firstLine="308" w:firstLineChars="146"/>
        <w:jc w:val="left"/>
        <w:rPr>
          <w:rFonts w:ascii="宋体" w:hAnsi="宋体"/>
          <w:b/>
          <w:color w:val="333333"/>
          <w:szCs w:val="21"/>
          <w:shd w:val="clear" w:color="auto" w:fill="FFFFFF"/>
        </w:rPr>
      </w:pPr>
      <w:r>
        <w:rPr>
          <w:rFonts w:hint="eastAsia" w:ascii="宋体" w:hAnsi="宋体"/>
          <w:b/>
          <w:color w:val="333333"/>
          <w:szCs w:val="21"/>
          <w:shd w:val="clear" w:color="auto" w:fill="FFFFFF"/>
        </w:rPr>
        <w:t>五</w:t>
      </w:r>
      <w:r>
        <w:rPr>
          <w:rFonts w:ascii="宋体" w:hAnsi="宋体"/>
          <w:b/>
          <w:color w:val="333333"/>
          <w:szCs w:val="21"/>
          <w:shd w:val="clear" w:color="auto" w:fill="FFFFFF"/>
        </w:rPr>
        <w:t>、运输路程及价格</w:t>
      </w:r>
    </w:p>
    <w:p>
      <w:pPr>
        <w:widowControl/>
        <w:spacing w:line="480" w:lineRule="exact"/>
        <w:jc w:val="left"/>
        <w:rPr>
          <w:rFonts w:ascii="宋体" w:hAnsi="宋体"/>
          <w:color w:val="000000"/>
          <w:szCs w:val="21"/>
        </w:rPr>
      </w:pPr>
      <w:r>
        <w:rPr>
          <w:rFonts w:ascii="宋体" w:hAnsi="宋体"/>
          <w:color w:val="000000"/>
          <w:szCs w:val="21"/>
        </w:rPr>
        <w:t>1、</w:t>
      </w:r>
      <w:r>
        <w:rPr>
          <w:rFonts w:hint="eastAsia" w:ascii="宋体" w:hAnsi="宋体"/>
          <w:color w:val="000000"/>
          <w:szCs w:val="21"/>
        </w:rPr>
        <w:t>招标人指定的区域</w:t>
      </w:r>
      <w:r>
        <w:rPr>
          <w:rFonts w:ascii="宋体" w:hAnsi="宋体"/>
          <w:color w:val="000000"/>
          <w:szCs w:val="21"/>
        </w:rPr>
        <w:t>。</w:t>
      </w:r>
    </w:p>
    <w:p>
      <w:pPr>
        <w:tabs>
          <w:tab w:val="left" w:pos="2160"/>
        </w:tabs>
        <w:spacing w:line="440" w:lineRule="exact"/>
        <w:rPr>
          <w:rFonts w:ascii="宋体" w:hAnsi="宋体"/>
          <w:color w:val="000000"/>
          <w:szCs w:val="21"/>
        </w:rPr>
      </w:pPr>
      <w:r>
        <w:rPr>
          <w:rFonts w:ascii="宋体" w:hAnsi="宋体"/>
          <w:color w:val="000000"/>
          <w:szCs w:val="21"/>
        </w:rPr>
        <w:t>2、运输</w:t>
      </w:r>
      <w:r>
        <w:rPr>
          <w:rFonts w:hint="eastAsia" w:ascii="宋体" w:hAnsi="宋体"/>
          <w:color w:val="000000"/>
          <w:szCs w:val="21"/>
        </w:rPr>
        <w:t>综合单价</w:t>
      </w:r>
      <w:r>
        <w:rPr>
          <w:rFonts w:ascii="宋体" w:hAnsi="宋体"/>
          <w:color w:val="000000"/>
          <w:szCs w:val="21"/>
        </w:rPr>
        <w:t>为</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r>
        <w:rPr>
          <w:rFonts w:ascii="宋体" w:hAnsi="宋体"/>
          <w:color w:val="000000"/>
          <w:szCs w:val="21"/>
        </w:rPr>
        <w:t>元/</w:t>
      </w:r>
      <w:r>
        <w:rPr>
          <w:rFonts w:hint="eastAsia" w:ascii="宋体" w:hAnsi="宋体"/>
          <w:color w:val="000000"/>
          <w:szCs w:val="21"/>
        </w:rPr>
        <w:t>立方，单价包干，工程量按实结算</w:t>
      </w:r>
      <w:r>
        <w:rPr>
          <w:rFonts w:hint="eastAsia" w:ascii="宋体" w:hAnsi="宋体"/>
          <w:color w:val="000000"/>
          <w:szCs w:val="21"/>
          <w:lang w:eastAsia="zh-CN"/>
        </w:rPr>
        <w:t>，以第三方测量为准</w:t>
      </w:r>
      <w:r>
        <w:rPr>
          <w:rFonts w:ascii="宋体" w:hAnsi="宋体"/>
          <w:color w:val="000000"/>
          <w:szCs w:val="21"/>
        </w:rPr>
        <w:t>。</w:t>
      </w:r>
    </w:p>
    <w:p>
      <w:pPr>
        <w:tabs>
          <w:tab w:val="left" w:pos="2160"/>
        </w:tabs>
        <w:spacing w:line="440" w:lineRule="exact"/>
        <w:rPr>
          <w:rFonts w:hint="eastAsia"/>
          <w:szCs w:val="24"/>
        </w:rPr>
      </w:pPr>
      <w:r>
        <w:rPr>
          <w:rFonts w:hint="eastAsia"/>
          <w:szCs w:val="24"/>
        </w:rPr>
        <w:t>综合单价报价，综合单价包括：完成招标范围内容的所有费用，包括（但不限于）：渣土</w:t>
      </w:r>
      <w:r>
        <w:rPr>
          <w:rFonts w:hint="eastAsia"/>
          <w:szCs w:val="24"/>
          <w:lang w:eastAsia="zh-CN"/>
        </w:rPr>
        <w:t>装车费、</w:t>
      </w:r>
      <w:r>
        <w:rPr>
          <w:rFonts w:hint="eastAsia"/>
          <w:szCs w:val="24"/>
        </w:rPr>
        <w:t>运输费、装卸费、设备费、场地平整、压实、沿途村庄运输道路的破损修复费用及中标方的保险费、规费、税（金）、利润、管理费等一切费用。</w:t>
      </w:r>
    </w:p>
    <w:p>
      <w:pPr>
        <w:widowControl/>
        <w:spacing w:line="480" w:lineRule="exact"/>
        <w:ind w:firstLine="308" w:firstLineChars="146"/>
        <w:jc w:val="left"/>
        <w:rPr>
          <w:rFonts w:ascii="宋体" w:hAnsi="宋体"/>
          <w:b/>
          <w:color w:val="333333"/>
          <w:szCs w:val="21"/>
          <w:shd w:val="clear" w:color="auto" w:fill="FFFFFF"/>
        </w:rPr>
      </w:pPr>
      <w:r>
        <w:rPr>
          <w:rFonts w:hint="eastAsia" w:ascii="宋体" w:hAnsi="宋体"/>
          <w:b/>
          <w:color w:val="333333"/>
          <w:szCs w:val="21"/>
          <w:shd w:val="clear" w:color="auto" w:fill="FFFFFF"/>
        </w:rPr>
        <w:t>六</w:t>
      </w:r>
      <w:r>
        <w:rPr>
          <w:rFonts w:ascii="宋体" w:hAnsi="宋体"/>
          <w:b/>
          <w:color w:val="333333"/>
          <w:szCs w:val="21"/>
          <w:shd w:val="clear" w:color="auto" w:fill="FFFFFF"/>
        </w:rPr>
        <w:t>、付款方式</w:t>
      </w:r>
    </w:p>
    <w:p>
      <w:pPr>
        <w:widowControl/>
        <w:spacing w:line="480" w:lineRule="exact"/>
        <w:ind w:firstLine="525" w:firstLineChars="250"/>
        <w:jc w:val="left"/>
        <w:rPr>
          <w:rFonts w:hint="eastAsia" w:ascii="宋体" w:hAnsi="宋体"/>
          <w:szCs w:val="21"/>
        </w:rPr>
      </w:pPr>
      <w:r>
        <w:rPr>
          <w:rFonts w:ascii="宋体" w:hAnsi="宋体"/>
          <w:szCs w:val="21"/>
        </w:rPr>
        <w:t>①</w:t>
      </w:r>
      <w:r>
        <w:rPr>
          <w:rFonts w:hint="eastAsia" w:ascii="宋体" w:hAnsi="宋体"/>
          <w:szCs w:val="21"/>
        </w:rPr>
        <w:t>货款</w:t>
      </w:r>
      <w:r>
        <w:rPr>
          <w:rFonts w:ascii="宋体" w:hAnsi="宋体"/>
          <w:szCs w:val="21"/>
        </w:rPr>
        <w:t>的支付：</w:t>
      </w:r>
      <w:r>
        <w:rPr>
          <w:rFonts w:hint="eastAsia" w:ascii="宋体" w:hAnsi="宋体"/>
          <w:szCs w:val="21"/>
        </w:rPr>
        <w:t>工程施工完毕经验收合格后，办理竣工结算，一次性支付，乙方需提供等额建安发票。</w:t>
      </w:r>
    </w:p>
    <w:p>
      <w:pPr>
        <w:widowControl/>
        <w:spacing w:line="480" w:lineRule="exact"/>
        <w:ind w:firstLine="525" w:firstLineChars="250"/>
        <w:jc w:val="left"/>
        <w:rPr>
          <w:rFonts w:hint="eastAsia" w:ascii="宋体" w:hAnsi="宋体"/>
          <w:szCs w:val="21"/>
        </w:rPr>
      </w:pPr>
      <w:r>
        <w:rPr>
          <w:rFonts w:ascii="宋体" w:hAnsi="宋体"/>
          <w:szCs w:val="21"/>
        </w:rPr>
        <w:t>②</w:t>
      </w:r>
      <w:r>
        <w:rPr>
          <w:rFonts w:hint="eastAsia" w:ascii="宋体" w:hAnsi="宋体"/>
          <w:szCs w:val="21"/>
        </w:rPr>
        <w:t>竣工验收合格后，退还履约保证金（若有罚款，同期扣回），无息</w:t>
      </w:r>
      <w:r>
        <w:rPr>
          <w:rFonts w:ascii="宋体" w:hAnsi="宋体"/>
          <w:szCs w:val="21"/>
        </w:rPr>
        <w:t>。</w:t>
      </w:r>
    </w:p>
    <w:p>
      <w:pPr>
        <w:widowControl/>
        <w:spacing w:line="480" w:lineRule="exact"/>
        <w:ind w:firstLine="308" w:firstLineChars="146"/>
        <w:jc w:val="left"/>
        <w:rPr>
          <w:rFonts w:ascii="宋体" w:hAnsi="宋体"/>
          <w:b/>
          <w:color w:val="333333"/>
          <w:szCs w:val="21"/>
          <w:shd w:val="clear" w:color="auto" w:fill="FFFFFF"/>
        </w:rPr>
      </w:pPr>
      <w:r>
        <w:rPr>
          <w:rFonts w:hint="eastAsia" w:ascii="宋体" w:hAnsi="宋体"/>
          <w:b/>
          <w:color w:val="333333"/>
          <w:szCs w:val="21"/>
          <w:shd w:val="clear" w:color="auto" w:fill="FFFFFF"/>
        </w:rPr>
        <w:t>七</w:t>
      </w:r>
      <w:r>
        <w:rPr>
          <w:rFonts w:ascii="宋体" w:hAnsi="宋体"/>
          <w:b/>
          <w:color w:val="333333"/>
          <w:szCs w:val="21"/>
          <w:shd w:val="clear" w:color="auto" w:fill="FFFFFF"/>
        </w:rPr>
        <w:t>、权力和义务</w:t>
      </w:r>
    </w:p>
    <w:p>
      <w:pPr>
        <w:widowControl/>
        <w:spacing w:line="480" w:lineRule="exact"/>
        <w:ind w:firstLine="420" w:firstLineChars="200"/>
        <w:jc w:val="left"/>
        <w:rPr>
          <w:rFonts w:ascii="宋体" w:hAnsi="宋体"/>
          <w:color w:val="000000"/>
          <w:szCs w:val="21"/>
        </w:rPr>
      </w:pPr>
      <w:r>
        <w:rPr>
          <w:rFonts w:ascii="宋体" w:hAnsi="宋体"/>
          <w:color w:val="000000"/>
          <w:szCs w:val="21"/>
        </w:rPr>
        <w:t>1、合同签订生效后，在整个合同期间运输价格不给予调整，（包括周边关系协调和燃油上涨等因素）。不经甲方同意乙方不得以任何借口和理由停止营运或不按甲方调度和安排，由乙方因素造成停运，停运的经济损失由乙方负责。</w:t>
      </w:r>
    </w:p>
    <w:p>
      <w:pPr>
        <w:widowControl/>
        <w:spacing w:line="480" w:lineRule="exact"/>
        <w:ind w:firstLine="315" w:firstLineChars="150"/>
        <w:jc w:val="left"/>
        <w:rPr>
          <w:rFonts w:ascii="宋体" w:hAnsi="宋体"/>
          <w:color w:val="000000"/>
          <w:szCs w:val="21"/>
        </w:rPr>
      </w:pPr>
      <w:r>
        <w:rPr>
          <w:rFonts w:hint="eastAsia" w:ascii="宋体" w:hAnsi="宋体"/>
          <w:color w:val="000000"/>
          <w:szCs w:val="21"/>
        </w:rPr>
        <w:t>2</w:t>
      </w:r>
      <w:r>
        <w:rPr>
          <w:rFonts w:ascii="宋体" w:hAnsi="宋体"/>
          <w:color w:val="000000"/>
          <w:szCs w:val="21"/>
        </w:rPr>
        <w:t>、乙方生活、住房、车辆停放及保管由乙方自行负责，甲方概不负任何责任。</w:t>
      </w:r>
    </w:p>
    <w:p>
      <w:pPr>
        <w:widowControl/>
        <w:spacing w:line="480" w:lineRule="exact"/>
        <w:ind w:firstLine="315" w:firstLineChars="15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、承包期间，乙方运输车辆必须做到安全运输，确保周边车辆、行为的安全，如在运输中出现安全事故，责任全部由乙方承担。</w:t>
      </w:r>
      <w:r>
        <w:rPr>
          <w:rFonts w:hint="eastAsia" w:ascii="宋体" w:hAnsi="宋体"/>
          <w:color w:val="000000"/>
          <w:szCs w:val="21"/>
        </w:rPr>
        <w:t>做好车辆管理，沿途不得有滴、洒、漏现象。</w:t>
      </w:r>
    </w:p>
    <w:p>
      <w:pPr>
        <w:widowControl/>
        <w:spacing w:line="480" w:lineRule="exact"/>
        <w:ind w:firstLine="315" w:firstLineChars="150"/>
        <w:jc w:val="left"/>
        <w:rPr>
          <w:rFonts w:ascii="宋体" w:hAnsi="宋体"/>
          <w:color w:val="000000"/>
          <w:szCs w:val="21"/>
        </w:rPr>
      </w:pPr>
      <w:r>
        <w:rPr>
          <w:rFonts w:hint="eastAsia" w:ascii="宋体" w:hAnsi="宋体"/>
          <w:color w:val="000000"/>
          <w:szCs w:val="21"/>
        </w:rPr>
        <w:t>4</w:t>
      </w:r>
      <w:r>
        <w:rPr>
          <w:rFonts w:ascii="宋体" w:hAnsi="宋体"/>
          <w:color w:val="000000"/>
          <w:szCs w:val="21"/>
        </w:rPr>
        <w:t>、乙方运输在未经甲方同意私自销售或中途卸货，甲方将按其运输中质量最重的货价款进行5倍罚款，并</w:t>
      </w:r>
      <w:r>
        <w:rPr>
          <w:rFonts w:hint="eastAsia" w:ascii="宋体" w:hAnsi="宋体"/>
          <w:color w:val="000000"/>
          <w:szCs w:val="21"/>
        </w:rPr>
        <w:t>可视情节严重终止合同，并没收履约担保</w:t>
      </w:r>
      <w:r>
        <w:rPr>
          <w:rFonts w:ascii="宋体" w:hAnsi="宋体"/>
          <w:color w:val="000000"/>
          <w:szCs w:val="21"/>
        </w:rPr>
        <w:t>。</w:t>
      </w:r>
    </w:p>
    <w:p>
      <w:pPr>
        <w:widowControl/>
        <w:spacing w:line="480" w:lineRule="exact"/>
        <w:ind w:firstLine="315" w:firstLineChars="150"/>
        <w:jc w:val="left"/>
        <w:rPr>
          <w:rFonts w:ascii="宋体" w:hAnsi="宋体"/>
          <w:color w:val="000000"/>
          <w:szCs w:val="21"/>
        </w:rPr>
      </w:pPr>
      <w:r>
        <w:rPr>
          <w:rFonts w:hint="eastAsia" w:ascii="宋体" w:hAnsi="宋体"/>
          <w:color w:val="000000"/>
          <w:szCs w:val="21"/>
        </w:rPr>
        <w:t>5</w:t>
      </w:r>
      <w:r>
        <w:rPr>
          <w:rFonts w:ascii="宋体" w:hAnsi="宋体"/>
          <w:color w:val="000000"/>
          <w:szCs w:val="21"/>
        </w:rPr>
        <w:t>、乙方必须按甲方的需要进行营运或停运，在停运期间乙方车辆可从事外运，甲方不给予陪偿，全部由乙方承担。</w:t>
      </w:r>
    </w:p>
    <w:p>
      <w:pPr>
        <w:widowControl/>
        <w:spacing w:line="480" w:lineRule="exact"/>
        <w:ind w:firstLine="315" w:firstLineChars="150"/>
        <w:jc w:val="left"/>
        <w:rPr>
          <w:rFonts w:hint="eastAsia" w:ascii="宋体" w:hAnsi="宋体"/>
          <w:color w:val="000000"/>
          <w:szCs w:val="21"/>
        </w:rPr>
      </w:pPr>
      <w:r>
        <w:rPr>
          <w:rFonts w:hint="eastAsia" w:ascii="宋体" w:hAnsi="宋体"/>
          <w:color w:val="000000"/>
          <w:szCs w:val="21"/>
        </w:rPr>
        <w:t>6、遇台风、暴雨等极端天气，或者封道施工等因素，影响进度，需经甲方现场经办人员书面确认，工期顺延，价格不调整。</w:t>
      </w:r>
    </w:p>
    <w:p>
      <w:pPr>
        <w:widowControl/>
        <w:spacing w:line="480" w:lineRule="exact"/>
        <w:ind w:firstLine="210" w:firstLineChars="100"/>
        <w:jc w:val="left"/>
        <w:rPr>
          <w:rFonts w:ascii="宋体" w:hAnsi="宋体"/>
          <w:color w:val="000000"/>
          <w:szCs w:val="21"/>
        </w:rPr>
      </w:pPr>
      <w:r>
        <w:rPr>
          <w:rFonts w:hint="eastAsia" w:ascii="宋体" w:hAnsi="宋体"/>
          <w:color w:val="000000"/>
          <w:szCs w:val="21"/>
        </w:rPr>
        <w:t>八</w:t>
      </w:r>
      <w:r>
        <w:rPr>
          <w:rFonts w:ascii="宋体" w:hAnsi="宋体"/>
          <w:color w:val="000000"/>
          <w:szCs w:val="21"/>
        </w:rPr>
        <w:t>、如有未尽事宜，甲乙双方协商解决。</w:t>
      </w:r>
    </w:p>
    <w:p>
      <w:pPr>
        <w:widowControl/>
        <w:spacing w:line="480" w:lineRule="exact"/>
        <w:ind w:firstLine="210" w:firstLineChars="100"/>
        <w:jc w:val="left"/>
        <w:rPr>
          <w:rFonts w:ascii="宋体" w:hAnsi="宋体"/>
          <w:color w:val="000000"/>
          <w:szCs w:val="21"/>
        </w:rPr>
      </w:pPr>
      <w:r>
        <w:rPr>
          <w:rFonts w:hint="eastAsia" w:ascii="宋体" w:hAnsi="宋体"/>
          <w:color w:val="000000"/>
          <w:szCs w:val="21"/>
        </w:rPr>
        <w:t>九</w:t>
      </w:r>
      <w:r>
        <w:rPr>
          <w:rFonts w:ascii="宋体" w:hAnsi="宋体"/>
          <w:color w:val="000000"/>
          <w:szCs w:val="21"/>
        </w:rPr>
        <w:t>、本协议一式二份，甲乙双方各执一份，双方签字生效，并承担一切违约责任。</w:t>
      </w:r>
    </w:p>
    <w:p>
      <w:pPr>
        <w:widowControl/>
        <w:spacing w:line="480" w:lineRule="exact"/>
        <w:jc w:val="left"/>
        <w:rPr>
          <w:rFonts w:hint="eastAsia" w:ascii="宋体" w:hAnsi="宋体"/>
          <w:color w:val="000000"/>
          <w:szCs w:val="21"/>
        </w:rPr>
      </w:pPr>
      <w:r>
        <w:rPr>
          <w:rFonts w:hint="eastAsia" w:ascii="宋体" w:hAnsi="宋体"/>
          <w:color w:val="000000"/>
          <w:szCs w:val="21"/>
        </w:rPr>
        <w:t xml:space="preserve">  </w:t>
      </w:r>
    </w:p>
    <w:p>
      <w:pPr>
        <w:widowControl/>
        <w:spacing w:line="480" w:lineRule="exact"/>
        <w:jc w:val="left"/>
        <w:rPr>
          <w:rFonts w:hint="eastAsia" w:ascii="宋体" w:hAnsi="宋体"/>
          <w:color w:val="000000"/>
          <w:szCs w:val="21"/>
        </w:rPr>
      </w:pPr>
    </w:p>
    <w:p>
      <w:pPr>
        <w:widowControl/>
        <w:spacing w:line="480" w:lineRule="exact"/>
        <w:jc w:val="left"/>
        <w:rPr>
          <w:rFonts w:ascii="宋体" w:hAnsi="宋体"/>
          <w:color w:val="000000"/>
          <w:szCs w:val="21"/>
        </w:rPr>
      </w:pPr>
      <w:r>
        <w:rPr>
          <w:rFonts w:ascii="宋体" w:hAnsi="宋体"/>
          <w:color w:val="000000"/>
          <w:szCs w:val="21"/>
        </w:rPr>
        <w:t>甲方代表签字：</w:t>
      </w:r>
    </w:p>
    <w:p>
      <w:pPr>
        <w:widowControl/>
        <w:spacing w:line="480" w:lineRule="exact"/>
        <w:jc w:val="left"/>
        <w:rPr>
          <w:rFonts w:hint="eastAsia" w:ascii="宋体" w:hAnsi="宋体"/>
          <w:color w:val="000000"/>
          <w:szCs w:val="21"/>
        </w:rPr>
      </w:pPr>
    </w:p>
    <w:p>
      <w:pPr>
        <w:widowControl/>
        <w:spacing w:line="480" w:lineRule="exact"/>
        <w:jc w:val="left"/>
        <w:rPr>
          <w:rFonts w:hint="eastAsia" w:ascii="宋体" w:hAnsi="宋体"/>
          <w:color w:val="000000"/>
          <w:szCs w:val="21"/>
        </w:rPr>
      </w:pPr>
    </w:p>
    <w:p>
      <w:pPr>
        <w:widowControl/>
        <w:spacing w:line="480" w:lineRule="exact"/>
        <w:jc w:val="left"/>
        <w:rPr>
          <w:rFonts w:ascii="宋体" w:hAnsi="宋体"/>
          <w:color w:val="000000"/>
          <w:szCs w:val="21"/>
        </w:rPr>
      </w:pPr>
      <w:r>
        <w:rPr>
          <w:rFonts w:ascii="宋体" w:hAnsi="宋体"/>
          <w:color w:val="000000"/>
          <w:szCs w:val="21"/>
        </w:rPr>
        <w:t>乙方代表签字：</w:t>
      </w:r>
    </w:p>
    <w:p>
      <w:pPr>
        <w:widowControl/>
        <w:spacing w:line="480" w:lineRule="exact"/>
        <w:jc w:val="left"/>
        <w:rPr>
          <w:rFonts w:hint="eastAsia" w:ascii="宋体" w:hAnsi="宋体"/>
          <w:color w:val="000000"/>
          <w:szCs w:val="21"/>
        </w:rPr>
      </w:pPr>
    </w:p>
    <w:p>
      <w:pPr>
        <w:widowControl/>
        <w:spacing w:line="480" w:lineRule="exact"/>
        <w:jc w:val="left"/>
        <w:rPr>
          <w:rFonts w:hint="eastAsia" w:ascii="宋体" w:hAnsi="宋体"/>
          <w:color w:val="000000"/>
          <w:szCs w:val="21"/>
        </w:rPr>
      </w:pPr>
    </w:p>
    <w:p>
      <w:pPr>
        <w:widowControl/>
        <w:spacing w:line="480" w:lineRule="exact"/>
        <w:jc w:val="left"/>
        <w:rPr>
          <w:rFonts w:hint="eastAsia" w:ascii="宋体" w:hAnsi="宋体"/>
          <w:color w:val="000000"/>
          <w:szCs w:val="21"/>
        </w:rPr>
      </w:pPr>
    </w:p>
    <w:p>
      <w:pPr>
        <w:widowControl/>
        <w:spacing w:line="480" w:lineRule="exact"/>
        <w:jc w:val="left"/>
        <w:rPr>
          <w:rFonts w:ascii="宋体" w:hAnsi="宋体"/>
          <w:color w:val="000000"/>
          <w:szCs w:val="21"/>
        </w:rPr>
      </w:pPr>
      <w:r>
        <w:rPr>
          <w:rFonts w:ascii="宋体" w:hAnsi="宋体"/>
          <w:color w:val="000000"/>
          <w:szCs w:val="21"/>
        </w:rPr>
        <w:t>二0</w:t>
      </w:r>
      <w:r>
        <w:rPr>
          <w:rFonts w:hint="eastAsia" w:ascii="宋体" w:hAnsi="宋体"/>
          <w:color w:val="000000"/>
          <w:szCs w:val="21"/>
        </w:rPr>
        <w:t>一</w:t>
      </w:r>
      <w:r>
        <w:rPr>
          <w:rFonts w:hint="eastAsia" w:ascii="宋体" w:hAnsi="宋体"/>
          <w:color w:val="000000"/>
          <w:szCs w:val="21"/>
          <w:lang w:eastAsia="zh-CN"/>
        </w:rPr>
        <w:t>九</w:t>
      </w:r>
      <w:r>
        <w:rPr>
          <w:rFonts w:ascii="宋体" w:hAnsi="宋体"/>
          <w:color w:val="000000"/>
          <w:szCs w:val="21"/>
        </w:rPr>
        <w:t>年</w:t>
      </w:r>
      <w:r>
        <w:rPr>
          <w:rFonts w:hint="eastAsia" w:ascii="宋体" w:hAnsi="宋体"/>
          <w:color w:val="000000"/>
          <w:szCs w:val="21"/>
        </w:rPr>
        <w:t xml:space="preserve">   </w:t>
      </w:r>
      <w:r>
        <w:rPr>
          <w:rFonts w:ascii="宋体" w:hAnsi="宋体"/>
          <w:color w:val="000000"/>
          <w:szCs w:val="21"/>
        </w:rPr>
        <w:t>月</w:t>
      </w:r>
      <w:r>
        <w:rPr>
          <w:rFonts w:hint="eastAsia" w:ascii="宋体" w:hAnsi="宋体"/>
          <w:color w:val="000000"/>
          <w:szCs w:val="21"/>
        </w:rPr>
        <w:t xml:space="preserve">   </w:t>
      </w:r>
      <w:r>
        <w:rPr>
          <w:rFonts w:ascii="宋体" w:hAnsi="宋体"/>
          <w:color w:val="000000"/>
          <w:szCs w:val="21"/>
        </w:rPr>
        <w:t>日</w:t>
      </w:r>
    </w:p>
    <w:p>
      <w:pPr>
        <w:spacing w:line="440" w:lineRule="exact"/>
        <w:ind w:firstLine="480" w:firstLineChars="200"/>
        <w:rPr>
          <w:rFonts w:hAnsi="宋体"/>
          <w:sz w:val="24"/>
          <w:szCs w:val="24"/>
        </w:rPr>
      </w:pPr>
    </w:p>
    <w:p>
      <w:pPr>
        <w:spacing w:line="400" w:lineRule="exact"/>
        <w:jc w:val="center"/>
        <w:rPr>
          <w:rFonts w:hAnsi="宋体" w:cs="宋体"/>
          <w:b/>
        </w:rPr>
      </w:pPr>
    </w:p>
    <w:p>
      <w:pPr>
        <w:snapToGrid w:val="0"/>
        <w:spacing w:line="400" w:lineRule="exact"/>
        <w:rPr>
          <w:rFonts w:asciiTheme="minorEastAsia" w:hAnsiTheme="minorEastAsia" w:eastAsiaTheme="minorEastAsia" w:cstheme="minorEastAsia"/>
          <w:szCs w:val="21"/>
        </w:rPr>
      </w:pPr>
    </w:p>
    <w:sectPr>
      <w:headerReference r:id="rId9" w:type="default"/>
      <w:footerReference r:id="rId10"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630"/>
      <w:rPr>
        <w:rStyle w:val="30"/>
      </w:rPr>
    </w:pPr>
  </w:p>
  <w:p>
    <w:pPr>
      <w:pStyle w:val="16"/>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0"/>
      </w:rPr>
    </w:pPr>
    <w:r>
      <w:fldChar w:fldCharType="begin"/>
    </w:r>
    <w:r>
      <w:rPr>
        <w:rStyle w:val="30"/>
      </w:rPr>
      <w:instrText xml:space="preserve">PAGE  </w:instrText>
    </w:r>
    <w:r>
      <w:fldChar w:fldCharType="separate"/>
    </w:r>
    <w:r>
      <w:rPr>
        <w:rStyle w:val="30"/>
      </w:rPr>
      <w:t>24</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630"/>
      <w:rPr>
        <w:rStyle w:val="30"/>
      </w:rPr>
    </w:pPr>
  </w:p>
  <w:p>
    <w:pPr>
      <w:pStyle w:val="16"/>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3D98"/>
    <w:multiLevelType w:val="multilevel"/>
    <w:tmpl w:val="3B363D98"/>
    <w:lvl w:ilvl="0" w:tentative="0">
      <w:start w:val="1"/>
      <w:numFmt w:val="decimal"/>
      <w:pStyle w:val="7"/>
      <w:suff w:val="space"/>
      <w:lvlText w:val="图%1."/>
      <w:lvlJc w:val="left"/>
      <w:pPr>
        <w:ind w:left="2263" w:hanging="420"/>
      </w:pPr>
      <w:rPr>
        <w:b w:val="0"/>
        <w:bCs w:val="0"/>
        <w:i w:val="0"/>
        <w:iCs w:val="0"/>
        <w:caps w:val="0"/>
        <w:smallCaps w:val="0"/>
        <w:strike w:val="0"/>
        <w:dstrike w:val="0"/>
        <w:vanish w:val="0"/>
        <w:spacing w:val="0"/>
        <w:position w:val="0"/>
        <w:u w:val="none"/>
        <w:vertAlign w:val="baseline"/>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1">
    <w:nsid w:val="4470AD06"/>
    <w:multiLevelType w:val="singleLevel"/>
    <w:tmpl w:val="4470AD06"/>
    <w:lvl w:ilvl="0" w:tentative="0">
      <w:start w:val="3"/>
      <w:numFmt w:val="chineseCounting"/>
      <w:suff w:val="nothing"/>
      <w:lvlText w:val="（%1）"/>
      <w:lvlJc w:val="left"/>
      <w:rPr>
        <w:rFonts w:hint="eastAsia"/>
      </w:rPr>
    </w:lvl>
  </w:abstractNum>
  <w:abstractNum w:abstractNumId="2">
    <w:nsid w:val="59E701E1"/>
    <w:multiLevelType w:val="singleLevel"/>
    <w:tmpl w:val="59E701E1"/>
    <w:lvl w:ilvl="0" w:tentative="0">
      <w:start w:val="1"/>
      <w:numFmt w:val="decimal"/>
      <w:suff w:val="nothing"/>
      <w:lvlText w:val="（%1）"/>
      <w:lvlJc w:val="left"/>
    </w:lvl>
  </w:abstractNum>
  <w:abstractNum w:abstractNumId="3">
    <w:nsid w:val="5A7272AD"/>
    <w:multiLevelType w:val="singleLevel"/>
    <w:tmpl w:val="5A7272AD"/>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1AC"/>
    <w:rsid w:val="00043628"/>
    <w:rsid w:val="00046469"/>
    <w:rsid w:val="00067C52"/>
    <w:rsid w:val="00072CA6"/>
    <w:rsid w:val="00092090"/>
    <w:rsid w:val="00093EDB"/>
    <w:rsid w:val="000A3CC8"/>
    <w:rsid w:val="000C6FCD"/>
    <w:rsid w:val="00136A8D"/>
    <w:rsid w:val="00195603"/>
    <w:rsid w:val="00205374"/>
    <w:rsid w:val="00224CAA"/>
    <w:rsid w:val="002503D0"/>
    <w:rsid w:val="00266EF2"/>
    <w:rsid w:val="002873F4"/>
    <w:rsid w:val="002C166F"/>
    <w:rsid w:val="002D4EF8"/>
    <w:rsid w:val="00324E72"/>
    <w:rsid w:val="005548D3"/>
    <w:rsid w:val="005C31E8"/>
    <w:rsid w:val="005D133D"/>
    <w:rsid w:val="00651359"/>
    <w:rsid w:val="00677167"/>
    <w:rsid w:val="006A113A"/>
    <w:rsid w:val="0071209B"/>
    <w:rsid w:val="00742E06"/>
    <w:rsid w:val="00784D25"/>
    <w:rsid w:val="00795D01"/>
    <w:rsid w:val="00796092"/>
    <w:rsid w:val="007E03D2"/>
    <w:rsid w:val="00803A68"/>
    <w:rsid w:val="0080633F"/>
    <w:rsid w:val="00822506"/>
    <w:rsid w:val="008A03B0"/>
    <w:rsid w:val="008E1AC5"/>
    <w:rsid w:val="00916F40"/>
    <w:rsid w:val="00963723"/>
    <w:rsid w:val="009A4362"/>
    <w:rsid w:val="00B67E54"/>
    <w:rsid w:val="00BF4A1B"/>
    <w:rsid w:val="00C414CA"/>
    <w:rsid w:val="00CF40BD"/>
    <w:rsid w:val="00D111B4"/>
    <w:rsid w:val="00D471AC"/>
    <w:rsid w:val="00E87D22"/>
    <w:rsid w:val="00EC1E41"/>
    <w:rsid w:val="00F163AF"/>
    <w:rsid w:val="00F22F11"/>
    <w:rsid w:val="00FD3CD4"/>
    <w:rsid w:val="01E8268F"/>
    <w:rsid w:val="025136CE"/>
    <w:rsid w:val="02BF7028"/>
    <w:rsid w:val="03310369"/>
    <w:rsid w:val="03423503"/>
    <w:rsid w:val="03A60F79"/>
    <w:rsid w:val="0428192D"/>
    <w:rsid w:val="051F0E28"/>
    <w:rsid w:val="05B02F41"/>
    <w:rsid w:val="063E1434"/>
    <w:rsid w:val="063E4861"/>
    <w:rsid w:val="065A7F28"/>
    <w:rsid w:val="06826CFA"/>
    <w:rsid w:val="06B24F8D"/>
    <w:rsid w:val="08F6354F"/>
    <w:rsid w:val="0A135F1E"/>
    <w:rsid w:val="0ADC767B"/>
    <w:rsid w:val="0C624801"/>
    <w:rsid w:val="0C9D4260"/>
    <w:rsid w:val="0CA13F9F"/>
    <w:rsid w:val="0D242EEB"/>
    <w:rsid w:val="0E504642"/>
    <w:rsid w:val="0EA50733"/>
    <w:rsid w:val="0EC13F54"/>
    <w:rsid w:val="111711E9"/>
    <w:rsid w:val="11622CCB"/>
    <w:rsid w:val="11A10E2C"/>
    <w:rsid w:val="11B226FD"/>
    <w:rsid w:val="120967FA"/>
    <w:rsid w:val="12224E87"/>
    <w:rsid w:val="12664A14"/>
    <w:rsid w:val="126964A6"/>
    <w:rsid w:val="12D214EF"/>
    <w:rsid w:val="12DB0330"/>
    <w:rsid w:val="1387364E"/>
    <w:rsid w:val="140B5F86"/>
    <w:rsid w:val="150A18F9"/>
    <w:rsid w:val="15DB1858"/>
    <w:rsid w:val="16081784"/>
    <w:rsid w:val="16691333"/>
    <w:rsid w:val="16833BD2"/>
    <w:rsid w:val="172D421D"/>
    <w:rsid w:val="1A46711F"/>
    <w:rsid w:val="1A934774"/>
    <w:rsid w:val="1AC56A1A"/>
    <w:rsid w:val="1B490886"/>
    <w:rsid w:val="1B505F76"/>
    <w:rsid w:val="1C2B42A4"/>
    <w:rsid w:val="1EA058B5"/>
    <w:rsid w:val="1EB33165"/>
    <w:rsid w:val="1EC50D96"/>
    <w:rsid w:val="1ED80DD4"/>
    <w:rsid w:val="1F2033D5"/>
    <w:rsid w:val="2028178C"/>
    <w:rsid w:val="207C488B"/>
    <w:rsid w:val="20A83807"/>
    <w:rsid w:val="21991FB1"/>
    <w:rsid w:val="22223DAF"/>
    <w:rsid w:val="229548A1"/>
    <w:rsid w:val="22EC18DD"/>
    <w:rsid w:val="233F5920"/>
    <w:rsid w:val="249A5874"/>
    <w:rsid w:val="24B55B7A"/>
    <w:rsid w:val="24F64A17"/>
    <w:rsid w:val="24FD260E"/>
    <w:rsid w:val="25646C44"/>
    <w:rsid w:val="25876DFD"/>
    <w:rsid w:val="26C52697"/>
    <w:rsid w:val="26CD21E8"/>
    <w:rsid w:val="271B3E6D"/>
    <w:rsid w:val="2759263F"/>
    <w:rsid w:val="27C161AE"/>
    <w:rsid w:val="28507290"/>
    <w:rsid w:val="285C0938"/>
    <w:rsid w:val="29830906"/>
    <w:rsid w:val="29DD0DA1"/>
    <w:rsid w:val="2A021201"/>
    <w:rsid w:val="2A8C7C0B"/>
    <w:rsid w:val="2B780678"/>
    <w:rsid w:val="2C1A509C"/>
    <w:rsid w:val="2C3F78DD"/>
    <w:rsid w:val="2CAB6E6D"/>
    <w:rsid w:val="2DA47EE5"/>
    <w:rsid w:val="2DF003D9"/>
    <w:rsid w:val="2E5A4D4E"/>
    <w:rsid w:val="2F0E7699"/>
    <w:rsid w:val="30576FA0"/>
    <w:rsid w:val="30B72ED7"/>
    <w:rsid w:val="317C199B"/>
    <w:rsid w:val="32042B7D"/>
    <w:rsid w:val="32D81E00"/>
    <w:rsid w:val="33866D5B"/>
    <w:rsid w:val="33FC1326"/>
    <w:rsid w:val="34EC248E"/>
    <w:rsid w:val="35307BAB"/>
    <w:rsid w:val="35AF27EA"/>
    <w:rsid w:val="35D0330C"/>
    <w:rsid w:val="365740BB"/>
    <w:rsid w:val="37124147"/>
    <w:rsid w:val="37A532CE"/>
    <w:rsid w:val="37F6541B"/>
    <w:rsid w:val="381B0026"/>
    <w:rsid w:val="392C1B1A"/>
    <w:rsid w:val="393523EF"/>
    <w:rsid w:val="398E687D"/>
    <w:rsid w:val="39E70032"/>
    <w:rsid w:val="39FC3E94"/>
    <w:rsid w:val="3A7E4889"/>
    <w:rsid w:val="3ABF5183"/>
    <w:rsid w:val="3ACE1A3C"/>
    <w:rsid w:val="3C69530D"/>
    <w:rsid w:val="3C6B1278"/>
    <w:rsid w:val="3D234845"/>
    <w:rsid w:val="3E0A75AD"/>
    <w:rsid w:val="3E2B3DAF"/>
    <w:rsid w:val="3EED0B11"/>
    <w:rsid w:val="3F1B2901"/>
    <w:rsid w:val="3F2A2449"/>
    <w:rsid w:val="40806F3C"/>
    <w:rsid w:val="412B5592"/>
    <w:rsid w:val="41EF6221"/>
    <w:rsid w:val="42D82544"/>
    <w:rsid w:val="44EE2DD7"/>
    <w:rsid w:val="455D3D6C"/>
    <w:rsid w:val="45983EDC"/>
    <w:rsid w:val="45F75CEB"/>
    <w:rsid w:val="469E46B6"/>
    <w:rsid w:val="46C65BDC"/>
    <w:rsid w:val="46DF4F04"/>
    <w:rsid w:val="472100B2"/>
    <w:rsid w:val="47913EA5"/>
    <w:rsid w:val="48654675"/>
    <w:rsid w:val="48986BDF"/>
    <w:rsid w:val="4A554800"/>
    <w:rsid w:val="4A7E0C15"/>
    <w:rsid w:val="4C482249"/>
    <w:rsid w:val="4C905A31"/>
    <w:rsid w:val="4CF97E61"/>
    <w:rsid w:val="4D540032"/>
    <w:rsid w:val="4D886AF9"/>
    <w:rsid w:val="4E194AF6"/>
    <w:rsid w:val="4E5E288B"/>
    <w:rsid w:val="4EC02C51"/>
    <w:rsid w:val="50D624C3"/>
    <w:rsid w:val="50EE54B6"/>
    <w:rsid w:val="510248D2"/>
    <w:rsid w:val="516A1E24"/>
    <w:rsid w:val="51FD316B"/>
    <w:rsid w:val="54C52179"/>
    <w:rsid w:val="54FA1FFD"/>
    <w:rsid w:val="561636C8"/>
    <w:rsid w:val="57196223"/>
    <w:rsid w:val="572C049F"/>
    <w:rsid w:val="587D1420"/>
    <w:rsid w:val="59205F69"/>
    <w:rsid w:val="59F3071D"/>
    <w:rsid w:val="5A240E5C"/>
    <w:rsid w:val="5ADA2BD3"/>
    <w:rsid w:val="5B0B4D20"/>
    <w:rsid w:val="5BBB6CF6"/>
    <w:rsid w:val="5BC91971"/>
    <w:rsid w:val="5C27009C"/>
    <w:rsid w:val="5C277AD2"/>
    <w:rsid w:val="5C907E7B"/>
    <w:rsid w:val="5CCD601D"/>
    <w:rsid w:val="5CEC78FF"/>
    <w:rsid w:val="5D2337D2"/>
    <w:rsid w:val="5D2656C7"/>
    <w:rsid w:val="5D810325"/>
    <w:rsid w:val="5DF55672"/>
    <w:rsid w:val="5E303A33"/>
    <w:rsid w:val="5EC26C12"/>
    <w:rsid w:val="603070A6"/>
    <w:rsid w:val="603E1A61"/>
    <w:rsid w:val="609D7672"/>
    <w:rsid w:val="614B63EE"/>
    <w:rsid w:val="62590C80"/>
    <w:rsid w:val="63857033"/>
    <w:rsid w:val="643C1B8C"/>
    <w:rsid w:val="6451167A"/>
    <w:rsid w:val="651E383A"/>
    <w:rsid w:val="653A2C40"/>
    <w:rsid w:val="65741EA4"/>
    <w:rsid w:val="65F704F9"/>
    <w:rsid w:val="66030D64"/>
    <w:rsid w:val="661E1820"/>
    <w:rsid w:val="66691B19"/>
    <w:rsid w:val="67557727"/>
    <w:rsid w:val="681355E8"/>
    <w:rsid w:val="68A7402F"/>
    <w:rsid w:val="69144E0F"/>
    <w:rsid w:val="69967C92"/>
    <w:rsid w:val="699C74EB"/>
    <w:rsid w:val="6A095594"/>
    <w:rsid w:val="6A2427F6"/>
    <w:rsid w:val="6A7F49DF"/>
    <w:rsid w:val="6A8504DF"/>
    <w:rsid w:val="6BFB112E"/>
    <w:rsid w:val="6C0F40FE"/>
    <w:rsid w:val="6C842861"/>
    <w:rsid w:val="6CA209DE"/>
    <w:rsid w:val="6CA93292"/>
    <w:rsid w:val="6E2872D1"/>
    <w:rsid w:val="6EA953D8"/>
    <w:rsid w:val="6EE74D37"/>
    <w:rsid w:val="6F866D9E"/>
    <w:rsid w:val="700C7095"/>
    <w:rsid w:val="712249F0"/>
    <w:rsid w:val="714E0C15"/>
    <w:rsid w:val="7169753E"/>
    <w:rsid w:val="7195375A"/>
    <w:rsid w:val="71B6254C"/>
    <w:rsid w:val="722038F6"/>
    <w:rsid w:val="736F2225"/>
    <w:rsid w:val="73AB115A"/>
    <w:rsid w:val="73CE2563"/>
    <w:rsid w:val="74063431"/>
    <w:rsid w:val="74170E8C"/>
    <w:rsid w:val="741F0D84"/>
    <w:rsid w:val="75A010E7"/>
    <w:rsid w:val="76BD4528"/>
    <w:rsid w:val="76D45DE2"/>
    <w:rsid w:val="774F6CD9"/>
    <w:rsid w:val="77525064"/>
    <w:rsid w:val="77AA1AB4"/>
    <w:rsid w:val="783D52C3"/>
    <w:rsid w:val="78423E63"/>
    <w:rsid w:val="79155564"/>
    <w:rsid w:val="791C4062"/>
    <w:rsid w:val="79554AB2"/>
    <w:rsid w:val="797E29DF"/>
    <w:rsid w:val="79AA4B06"/>
    <w:rsid w:val="7AEA50F2"/>
    <w:rsid w:val="7BB61FBB"/>
    <w:rsid w:val="7CA4733E"/>
    <w:rsid w:val="7CAB4817"/>
    <w:rsid w:val="7CF81629"/>
    <w:rsid w:val="7CFE086B"/>
    <w:rsid w:val="7DC53433"/>
    <w:rsid w:val="7E8D7DD7"/>
    <w:rsid w:val="7EE041D4"/>
    <w:rsid w:val="7F2B3445"/>
    <w:rsid w:val="7F8C0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6">
    <w:name w:val="Normal Indent"/>
    <w:basedOn w:val="1"/>
    <w:qFormat/>
    <w:uiPriority w:val="0"/>
    <w:pPr>
      <w:ind w:firstLine="420"/>
    </w:pPr>
    <w:rPr>
      <w:szCs w:val="20"/>
    </w:rPr>
  </w:style>
  <w:style w:type="paragraph" w:styleId="7">
    <w:name w:val="caption"/>
    <w:basedOn w:val="1"/>
    <w:next w:val="1"/>
    <w:semiHidden/>
    <w:unhideWhenUsed/>
    <w:qFormat/>
    <w:uiPriority w:val="35"/>
    <w:pPr>
      <w:numPr>
        <w:ilvl w:val="0"/>
        <w:numId w:val="1"/>
      </w:numPr>
      <w:spacing w:line="360" w:lineRule="auto"/>
      <w:ind w:firstLine="0"/>
      <w:jc w:val="center"/>
    </w:pPr>
    <w:rPr>
      <w:rFonts w:ascii="Arial Unicode MS" w:hAnsi="Arial Unicode MS"/>
      <w:kern w:val="0"/>
      <w:sz w:val="20"/>
      <w:szCs w:val="20"/>
    </w:rPr>
  </w:style>
  <w:style w:type="paragraph" w:styleId="8">
    <w:name w:val="annotation text"/>
    <w:basedOn w:val="1"/>
    <w:link w:val="45"/>
    <w:qFormat/>
    <w:uiPriority w:val="0"/>
    <w:pPr>
      <w:jc w:val="left"/>
    </w:pPr>
  </w:style>
  <w:style w:type="paragraph" w:styleId="9">
    <w:name w:val="Salutation"/>
    <w:basedOn w:val="1"/>
    <w:next w:val="1"/>
    <w:qFormat/>
    <w:uiPriority w:val="0"/>
    <w:rPr>
      <w:rFonts w:cs="Times New Roman"/>
    </w:rPr>
  </w:style>
  <w:style w:type="paragraph" w:styleId="10">
    <w:name w:val="Body Text Indent"/>
    <w:basedOn w:val="1"/>
    <w:qFormat/>
    <w:uiPriority w:val="0"/>
    <w:pPr>
      <w:spacing w:line="200" w:lineRule="exact"/>
      <w:ind w:firstLine="301"/>
    </w:pPr>
    <w:rPr>
      <w:rFonts w:ascii="宋体" w:hAnsi="Courier New"/>
      <w:spacing w:val="-4"/>
      <w:sz w:val="18"/>
      <w:szCs w:val="20"/>
    </w:rPr>
  </w:style>
  <w:style w:type="paragraph" w:styleId="11">
    <w:name w:val="toc 3"/>
    <w:basedOn w:val="1"/>
    <w:next w:val="1"/>
    <w:qFormat/>
    <w:uiPriority w:val="0"/>
    <w:pPr>
      <w:ind w:left="840" w:leftChars="400"/>
    </w:pPr>
  </w:style>
  <w:style w:type="paragraph" w:styleId="12">
    <w:name w:val="Plain Text"/>
    <w:basedOn w:val="1"/>
    <w:qFormat/>
    <w:uiPriority w:val="0"/>
    <w:pPr>
      <w:spacing w:beforeLines="50" w:afterLines="50" w:line="400" w:lineRule="exac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ody Text Indent 2"/>
    <w:basedOn w:val="1"/>
    <w:qFormat/>
    <w:uiPriority w:val="0"/>
    <w:pPr>
      <w:spacing w:after="120" w:line="480" w:lineRule="auto"/>
      <w:ind w:left="420" w:leftChars="200"/>
    </w:pPr>
    <w:rPr>
      <w:szCs w:val="20"/>
    </w:rPr>
  </w:style>
  <w:style w:type="paragraph" w:styleId="15">
    <w:name w:val="Balloon Text"/>
    <w:basedOn w:val="1"/>
    <w:link w:val="43"/>
    <w:qFormat/>
    <w:uiPriority w:val="0"/>
    <w:rPr>
      <w:sz w:val="18"/>
      <w:szCs w:val="18"/>
    </w:rPr>
  </w:style>
  <w:style w:type="paragraph" w:styleId="16">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8">
    <w:name w:val="toc 1"/>
    <w:basedOn w:val="1"/>
    <w:next w:val="1"/>
    <w:qFormat/>
    <w:uiPriority w:val="0"/>
  </w:style>
  <w:style w:type="paragraph" w:styleId="19">
    <w:name w:val="List"/>
    <w:basedOn w:val="1"/>
    <w:qFormat/>
    <w:uiPriority w:val="0"/>
    <w:pPr>
      <w:ind w:left="200" w:hanging="200" w:hangingChars="200"/>
    </w:pPr>
    <w:rPr>
      <w:sz w:val="28"/>
    </w:rPr>
  </w:style>
  <w:style w:type="paragraph" w:styleId="20">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1">
    <w:name w:val="toc 2"/>
    <w:basedOn w:val="1"/>
    <w:next w:val="1"/>
    <w:qFormat/>
    <w:uiPriority w:val="0"/>
    <w:pPr>
      <w:ind w:left="420" w:leftChars="200"/>
    </w:pPr>
  </w:style>
  <w:style w:type="paragraph" w:styleId="22">
    <w:name w:val="Body Text 2"/>
    <w:basedOn w:val="1"/>
    <w:qFormat/>
    <w:uiPriority w:val="0"/>
    <w:pPr>
      <w:widowControl/>
      <w:snapToGrid w:val="0"/>
      <w:spacing w:afterLines="50" w:line="400" w:lineRule="exact"/>
      <w:jc w:val="left"/>
    </w:pPr>
    <w:rPr>
      <w:rFonts w:ascii="宋体" w:hAnsi="宋体"/>
      <w:color w:val="000000"/>
      <w:sz w:val="24"/>
    </w:rPr>
  </w:style>
  <w:style w:type="paragraph" w:styleId="23">
    <w:name w:val="Normal (Web)"/>
    <w:basedOn w:val="1"/>
    <w:qFormat/>
    <w:uiPriority w:val="0"/>
    <w:pPr>
      <w:widowControl/>
      <w:spacing w:beforeAutospacing="1" w:afterAutospacing="1"/>
      <w:jc w:val="left"/>
    </w:pPr>
    <w:rPr>
      <w:rFonts w:ascii="宋体" w:hAnsi="宋体" w:cs="宋体"/>
      <w:color w:val="000000"/>
      <w:kern w:val="0"/>
      <w:sz w:val="24"/>
    </w:rPr>
  </w:style>
  <w:style w:type="paragraph" w:styleId="24">
    <w:name w:val="Title"/>
    <w:basedOn w:val="1"/>
    <w:next w:val="1"/>
    <w:qFormat/>
    <w:uiPriority w:val="0"/>
    <w:pPr>
      <w:spacing w:before="240" w:after="60"/>
      <w:jc w:val="center"/>
      <w:outlineLvl w:val="0"/>
    </w:pPr>
    <w:rPr>
      <w:rFonts w:ascii="Cambria" w:hAnsi="Cambria" w:cs="Times New Roman"/>
      <w:b/>
      <w:bCs/>
      <w:sz w:val="32"/>
      <w:szCs w:val="32"/>
    </w:rPr>
  </w:style>
  <w:style w:type="paragraph" w:styleId="25">
    <w:name w:val="annotation subject"/>
    <w:basedOn w:val="8"/>
    <w:next w:val="8"/>
    <w:link w:val="46"/>
    <w:qFormat/>
    <w:uiPriority w:val="0"/>
    <w:rPr>
      <w:b/>
      <w:bCs/>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9">
    <w:name w:val="Strong"/>
    <w:qFormat/>
    <w:uiPriority w:val="0"/>
    <w:rPr>
      <w:rFonts w:ascii="Tahoma" w:hAnsi="Tahoma"/>
      <w:b/>
      <w:bCs/>
      <w:sz w:val="24"/>
      <w:szCs w:val="20"/>
    </w:rPr>
  </w:style>
  <w:style w:type="character" w:styleId="30">
    <w:name w:val="page number"/>
    <w:basedOn w:val="28"/>
    <w:qFormat/>
    <w:uiPriority w:val="0"/>
  </w:style>
  <w:style w:type="character" w:styleId="31">
    <w:name w:val="annotation reference"/>
    <w:qFormat/>
    <w:uiPriority w:val="0"/>
    <w:rPr>
      <w:sz w:val="21"/>
      <w:szCs w:val="21"/>
    </w:rPr>
  </w:style>
  <w:style w:type="paragraph" w:customStyle="1" w:styleId="32">
    <w:name w:val="正文段"/>
    <w:basedOn w:val="1"/>
    <w:qFormat/>
    <w:uiPriority w:val="0"/>
    <w:pPr>
      <w:widowControl/>
      <w:snapToGrid w:val="0"/>
      <w:spacing w:afterLines="50"/>
      <w:ind w:firstLine="200" w:firstLineChars="200"/>
    </w:pPr>
    <w:rPr>
      <w:kern w:val="0"/>
      <w:sz w:val="24"/>
      <w:szCs w:val="20"/>
    </w:rPr>
  </w:style>
  <w:style w:type="paragraph" w:customStyle="1" w:styleId="33">
    <w:name w:val="Char Char1 Char Char Char Char Char Char Char Char"/>
    <w:basedOn w:val="1"/>
    <w:qFormat/>
    <w:uiPriority w:val="0"/>
    <w:pPr>
      <w:widowControl/>
      <w:spacing w:line="240" w:lineRule="exact"/>
      <w:jc w:val="left"/>
    </w:pPr>
  </w:style>
  <w:style w:type="paragraph" w:customStyle="1" w:styleId="34">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35">
    <w:name w:val="lei.header1"/>
    <w:next w:val="36"/>
    <w:qFormat/>
    <w:uiPriority w:val="0"/>
    <w:pPr>
      <w:ind w:left="50" w:leftChars="50" w:right="50" w:rightChars="50"/>
      <w:jc w:val="center"/>
      <w:outlineLvl w:val="0"/>
    </w:pPr>
    <w:rPr>
      <w:rFonts w:ascii="宋体" w:hAnsi="Tahoma" w:eastAsia="宋体" w:cs="Times New Roman"/>
      <w:b/>
      <w:sz w:val="30"/>
      <w:szCs w:val="22"/>
      <w:lang w:val="en-US" w:eastAsia="zh-CN" w:bidi="ar-SA"/>
    </w:rPr>
  </w:style>
  <w:style w:type="paragraph" w:customStyle="1" w:styleId="36">
    <w:name w:val="lei.header2"/>
    <w:next w:val="37"/>
    <w:qFormat/>
    <w:uiPriority w:val="0"/>
    <w:pPr>
      <w:snapToGrid w:val="0"/>
      <w:spacing w:beforeLines="50" w:afterLines="50"/>
      <w:ind w:firstLine="200" w:firstLineChars="200"/>
      <w:outlineLvl w:val="1"/>
    </w:pPr>
    <w:rPr>
      <w:rFonts w:ascii="宋体" w:hAnsi="Tahoma" w:eastAsia="宋体" w:cs="Times New Roman"/>
      <w:b/>
      <w:sz w:val="24"/>
      <w:szCs w:val="22"/>
      <w:lang w:val="en-US" w:eastAsia="zh-CN" w:bidi="ar-SA"/>
    </w:rPr>
  </w:style>
  <w:style w:type="paragraph" w:customStyle="1" w:styleId="37">
    <w:name w:val="lei.header3"/>
    <w:next w:val="38"/>
    <w:qFormat/>
    <w:uiPriority w:val="0"/>
    <w:pPr>
      <w:spacing w:beforeLines="50" w:afterLines="50"/>
      <w:ind w:firstLine="200" w:firstLineChars="200"/>
      <w:outlineLvl w:val="2"/>
    </w:pPr>
    <w:rPr>
      <w:rFonts w:ascii="宋体" w:hAnsi="Tahoma" w:eastAsia="宋体" w:cs="Times New Roman"/>
      <w:sz w:val="24"/>
      <w:szCs w:val="22"/>
      <w:lang w:val="en-US" w:eastAsia="zh-CN" w:bidi="ar-SA"/>
    </w:rPr>
  </w:style>
  <w:style w:type="paragraph" w:customStyle="1" w:styleId="38">
    <w:name w:val="lei.text"/>
    <w:qFormat/>
    <w:uiPriority w:val="0"/>
    <w:pPr>
      <w:spacing w:line="360" w:lineRule="exact"/>
      <w:ind w:firstLine="200" w:firstLineChars="200"/>
    </w:pPr>
    <w:rPr>
      <w:rFonts w:ascii="宋体" w:hAnsi="Tahoma" w:eastAsia="宋体" w:cs="Times New Roman"/>
      <w:sz w:val="24"/>
      <w:szCs w:val="22"/>
      <w:lang w:val="en-US" w:eastAsia="zh-CN" w:bidi="ar-SA"/>
    </w:rPr>
  </w:style>
  <w:style w:type="paragraph" w:customStyle="1" w:styleId="39">
    <w:name w:val="样式1"/>
    <w:basedOn w:val="1"/>
    <w:qFormat/>
    <w:uiPriority w:val="0"/>
    <w:pPr>
      <w:spacing w:line="480" w:lineRule="auto"/>
    </w:pPr>
    <w:rPr>
      <w:sz w:val="24"/>
      <w:szCs w:val="20"/>
    </w:rPr>
  </w:style>
  <w:style w:type="paragraph" w:customStyle="1" w:styleId="40">
    <w:name w:val="列出段落1"/>
    <w:basedOn w:val="1"/>
    <w:qFormat/>
    <w:uiPriority w:val="34"/>
    <w:pPr>
      <w:ind w:firstLine="420" w:firstLineChars="200"/>
    </w:pPr>
  </w:style>
  <w:style w:type="paragraph" w:customStyle="1" w:styleId="41">
    <w:name w:val="_Style 61"/>
    <w:basedOn w:val="1"/>
    <w:qFormat/>
    <w:uiPriority w:val="0"/>
    <w:pPr>
      <w:widowControl/>
      <w:spacing w:after="160" w:line="240" w:lineRule="exact"/>
      <w:jc w:val="left"/>
    </w:pPr>
    <w:rPr>
      <w:rFonts w:ascii="Times New Roman" w:hAnsi="Times New Roman" w:cs="Times New Roman"/>
    </w:rPr>
  </w:style>
  <w:style w:type="paragraph" w:customStyle="1" w:styleId="42">
    <w:name w:val="列出段落2"/>
    <w:basedOn w:val="1"/>
    <w:qFormat/>
    <w:uiPriority w:val="99"/>
    <w:pPr>
      <w:ind w:firstLine="420" w:firstLineChars="200"/>
    </w:pPr>
  </w:style>
  <w:style w:type="character" w:customStyle="1" w:styleId="43">
    <w:name w:val="批注框文本 Char"/>
    <w:link w:val="15"/>
    <w:qFormat/>
    <w:uiPriority w:val="0"/>
    <w:rPr>
      <w:rFonts w:ascii="Calibri" w:hAnsi="Calibri" w:eastAsia="宋体" w:cs="黑体"/>
      <w:kern w:val="2"/>
      <w:sz w:val="18"/>
      <w:szCs w:val="18"/>
    </w:rPr>
  </w:style>
  <w:style w:type="character" w:customStyle="1" w:styleId="44">
    <w:name w:val="标题 1 Char"/>
    <w:link w:val="3"/>
    <w:qFormat/>
    <w:uiPriority w:val="0"/>
    <w:rPr>
      <w:rFonts w:ascii="Calibri" w:hAnsi="Calibri" w:eastAsia="宋体" w:cs="黑体"/>
      <w:b/>
      <w:bCs/>
      <w:kern w:val="44"/>
      <w:sz w:val="44"/>
      <w:szCs w:val="44"/>
    </w:rPr>
  </w:style>
  <w:style w:type="character" w:customStyle="1" w:styleId="45">
    <w:name w:val="批注文字 Char"/>
    <w:link w:val="8"/>
    <w:qFormat/>
    <w:uiPriority w:val="0"/>
    <w:rPr>
      <w:rFonts w:ascii="Calibri" w:hAnsi="Calibri" w:cs="黑体"/>
      <w:kern w:val="2"/>
      <w:sz w:val="21"/>
      <w:szCs w:val="24"/>
    </w:rPr>
  </w:style>
  <w:style w:type="character" w:customStyle="1" w:styleId="46">
    <w:name w:val="批注主题 Char"/>
    <w:link w:val="25"/>
    <w:qFormat/>
    <w:uiPriority w:val="0"/>
    <w:rPr>
      <w:rFonts w:ascii="Calibri" w:hAnsi="Calibri" w:cs="黑体"/>
      <w:b/>
      <w:bCs/>
      <w:kern w:val="2"/>
      <w:sz w:val="21"/>
      <w:szCs w:val="24"/>
    </w:rPr>
  </w:style>
  <w:style w:type="paragraph" w:customStyle="1" w:styleId="4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49">
    <w:name w:val="GP正文(首行缩进)"/>
    <w:basedOn w:val="1"/>
    <w:qFormat/>
    <w:uiPriority w:val="0"/>
    <w:pPr>
      <w:spacing w:line="360" w:lineRule="auto"/>
      <w:ind w:firstLine="200" w:firstLineChars="200"/>
      <w:jc w:val="left"/>
    </w:pPr>
    <w:rPr>
      <w:rFonts w:ascii="宋体" w:hAnsi="宋体"/>
      <w:color w:val="000000"/>
      <w:sz w:val="24"/>
      <w:szCs w:val="21"/>
    </w:rPr>
  </w:style>
  <w:style w:type="paragraph" w:customStyle="1" w:styleId="50">
    <w:name w:val="样式 首行缩进:  0 字符"/>
    <w:basedOn w:val="1"/>
    <w:qFormat/>
    <w:uiPriority w:val="0"/>
    <w:pPr>
      <w:spacing w:line="360" w:lineRule="auto"/>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4131</Words>
  <Characters>23550</Characters>
  <Lines>196</Lines>
  <Paragraphs>55</Paragraphs>
  <TotalTime>0</TotalTime>
  <ScaleCrop>false</ScaleCrop>
  <LinksUpToDate>false</LinksUpToDate>
  <CharactersWithSpaces>27626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2017-04-24T02:58:00Z</dcterms:created>
  <dc:creator>Administrator</dc:creator>
  <cp:lastModifiedBy>一</cp:lastModifiedBy>
  <cp:lastPrinted>2019-09-05T01:00:00Z</cp:lastPrinted>
  <dcterms:modified xsi:type="dcterms:W3CDTF">2019-09-09T00:56:07Z</dcterms:modified>
  <dc:title>国内公开招标文件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