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84"/>
          <w:szCs w:val="84"/>
        </w:rPr>
      </w:pPr>
      <w:bookmarkStart w:id="0" w:name="_Toc97372564"/>
    </w:p>
    <w:p>
      <w:pPr>
        <w:jc w:val="center"/>
        <w:rPr>
          <w:rFonts w:ascii="宋体" w:hAnsi="宋体"/>
          <w:sz w:val="84"/>
          <w:szCs w:val="84"/>
        </w:rPr>
      </w:pPr>
      <w:r>
        <w:rPr>
          <w:rFonts w:hint="eastAsia" w:ascii="宋体" w:hAnsi="宋体"/>
          <w:sz w:val="84"/>
          <w:szCs w:val="84"/>
        </w:rPr>
        <w:t>国内招标文件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cs="宋体"/>
          <w:bCs/>
          <w:spacing w:val="-20"/>
          <w:position w:val="-6"/>
          <w:sz w:val="48"/>
          <w:szCs w:val="48"/>
        </w:rPr>
      </w:pPr>
      <w:r>
        <w:rPr>
          <w:rFonts w:hint="eastAsia" w:ascii="宋体" w:hAnsi="宋体" w:cs="宋体"/>
          <w:bCs/>
          <w:spacing w:val="-20"/>
          <w:position w:val="-6"/>
          <w:sz w:val="48"/>
          <w:szCs w:val="48"/>
        </w:rPr>
        <w:t>宁海城区2020-2022年绿化养护服务项目</w:t>
      </w:r>
    </w:p>
    <w:p>
      <w:pPr>
        <w:rPr>
          <w:rFonts w:ascii="方正小标宋简体" w:eastAsia="方正小标宋简体"/>
          <w:sz w:val="44"/>
          <w:szCs w:val="44"/>
        </w:rPr>
      </w:pPr>
    </w:p>
    <w:p>
      <w:pPr>
        <w:jc w:val="center"/>
        <w:rPr>
          <w:rFonts w:ascii="宋体" w:hAnsi="宋体"/>
          <w:sz w:val="32"/>
          <w:szCs w:val="32"/>
        </w:rPr>
      </w:pPr>
    </w:p>
    <w:p>
      <w:pPr>
        <w:jc w:val="center"/>
        <w:rPr>
          <w:rFonts w:ascii="方正小标宋简体"/>
          <w:sz w:val="24"/>
        </w:rPr>
      </w:pPr>
      <w:r>
        <w:rPr>
          <w:rFonts w:hint="eastAsia" w:ascii="宋体" w:hAnsi="宋体" w:cs="宋体"/>
          <w:sz w:val="36"/>
          <w:szCs w:val="36"/>
          <w:lang w:val="zh-CN"/>
        </w:rPr>
        <w:t>N</w:t>
      </w:r>
      <w:r>
        <w:rPr>
          <w:rFonts w:hint="eastAsia" w:ascii="宋体" w:hAnsi="宋体" w:cs="宋体"/>
          <w:sz w:val="36"/>
          <w:szCs w:val="36"/>
        </w:rPr>
        <w:t>BGJ</w:t>
      </w:r>
      <w:r>
        <w:rPr>
          <w:rFonts w:hint="eastAsia" w:ascii="宋体" w:hAnsi="宋体" w:cs="宋体"/>
          <w:sz w:val="36"/>
          <w:szCs w:val="36"/>
          <w:lang w:val="zh-CN"/>
        </w:rPr>
        <w:t>201</w:t>
      </w:r>
      <w:r>
        <w:rPr>
          <w:rFonts w:hint="eastAsia" w:ascii="宋体" w:hAnsi="宋体" w:cs="宋体"/>
          <w:sz w:val="36"/>
          <w:szCs w:val="36"/>
        </w:rPr>
        <w:t>9-CG0069</w:t>
      </w:r>
    </w:p>
    <w:p>
      <w:pPr>
        <w:rPr>
          <w:rFonts w:ascii="方正小标宋简体" w:eastAsia="方正小标宋简体"/>
          <w:sz w:val="24"/>
        </w:rPr>
      </w:pPr>
    </w:p>
    <w:p>
      <w:pPr>
        <w:rPr>
          <w:rFonts w:ascii="方正小标宋简体" w:eastAsia="方正小标宋简体"/>
          <w:sz w:val="24"/>
        </w:rPr>
      </w:pPr>
    </w:p>
    <w:p>
      <w:pPr>
        <w:spacing w:line="480" w:lineRule="auto"/>
        <w:rPr>
          <w:rFonts w:ascii="方正小标宋简体" w:eastAsia="方正小标宋简体"/>
          <w:sz w:val="24"/>
        </w:rPr>
      </w:pPr>
    </w:p>
    <w:p>
      <w:pPr>
        <w:spacing w:line="480" w:lineRule="auto"/>
        <w:rPr>
          <w:rFonts w:ascii="方正小标宋简体" w:eastAsia="方正小标宋简体"/>
          <w:sz w:val="24"/>
        </w:rPr>
      </w:pPr>
    </w:p>
    <w:p>
      <w:pPr>
        <w:spacing w:line="480" w:lineRule="auto"/>
        <w:rPr>
          <w:rFonts w:ascii="方正小标宋简体" w:eastAsia="方正小标宋简体"/>
          <w:sz w:val="24"/>
        </w:rPr>
      </w:pPr>
    </w:p>
    <w:p>
      <w:pPr>
        <w:spacing w:line="480" w:lineRule="auto"/>
        <w:rPr>
          <w:rFonts w:ascii="方正小标宋简体" w:eastAsia="方正小标宋简体"/>
          <w:sz w:val="24"/>
        </w:rPr>
      </w:pPr>
    </w:p>
    <w:p>
      <w:pPr>
        <w:spacing w:line="480" w:lineRule="auto"/>
        <w:rPr>
          <w:rFonts w:ascii="方正小标宋简体" w:eastAsia="方正小标宋简体"/>
          <w:sz w:val="24"/>
        </w:rPr>
      </w:pPr>
    </w:p>
    <w:p>
      <w:pPr>
        <w:spacing w:line="480" w:lineRule="auto"/>
        <w:rPr>
          <w:rFonts w:ascii="方正小标宋简体" w:eastAsia="方正小标宋简体"/>
          <w:sz w:val="24"/>
        </w:rPr>
      </w:pPr>
    </w:p>
    <w:p>
      <w:pPr>
        <w:spacing w:line="480" w:lineRule="auto"/>
        <w:ind w:firstLine="1120" w:firstLineChars="350"/>
        <w:rPr>
          <w:rFonts w:ascii="宋体" w:hAnsi="宋体" w:cs="宋体"/>
          <w:sz w:val="32"/>
        </w:rPr>
      </w:pPr>
      <w:r>
        <w:rPr>
          <w:rFonts w:hint="eastAsia" w:ascii="宋体" w:hAnsi="宋体"/>
          <w:sz w:val="32"/>
        </w:rPr>
        <w:t>招 标 人：</w:t>
      </w:r>
      <w:r>
        <w:rPr>
          <w:rFonts w:hint="eastAsia" w:ascii="宋体" w:hAnsi="宋体" w:cs="宋体"/>
          <w:sz w:val="32"/>
        </w:rPr>
        <w:t xml:space="preserve">宁海县园林管理中心          </w:t>
      </w:r>
    </w:p>
    <w:p>
      <w:pPr>
        <w:spacing w:line="480" w:lineRule="auto"/>
        <w:ind w:firstLine="1120" w:firstLineChars="350"/>
        <w:rPr>
          <w:rFonts w:ascii="宋体" w:hAnsi="宋体"/>
          <w:sz w:val="32"/>
        </w:rPr>
      </w:pPr>
      <w:r>
        <w:rPr>
          <w:rFonts w:hint="eastAsia" w:ascii="宋体" w:hAnsi="宋体"/>
          <w:sz w:val="32"/>
        </w:rPr>
        <w:t xml:space="preserve">招标代理: </w:t>
      </w:r>
      <w:r>
        <w:rPr>
          <w:rFonts w:hint="eastAsia" w:ascii="宋体" w:hAnsi="宋体"/>
          <w:sz w:val="32"/>
          <w:szCs w:val="22"/>
          <w:lang w:val="zh-CN"/>
        </w:rPr>
        <w:t>宁波工建工程造价咨询有限公司</w:t>
      </w:r>
    </w:p>
    <w:p>
      <w:pPr>
        <w:pStyle w:val="24"/>
        <w:snapToGrid w:val="0"/>
        <w:spacing w:line="360" w:lineRule="auto"/>
        <w:ind w:firstLine="1120" w:firstLineChars="350"/>
        <w:contextualSpacing/>
        <w:rPr>
          <w:rFonts w:ascii="Times New Roman" w:hAnsi="Times New Roman"/>
          <w:bCs/>
          <w:w w:val="80"/>
          <w:sz w:val="28"/>
          <w:szCs w:val="28"/>
        </w:rPr>
      </w:pPr>
      <w:r>
        <w:rPr>
          <w:rFonts w:hint="eastAsia" w:hAnsi="宋体" w:cs="宋体"/>
          <w:sz w:val="32"/>
        </w:rPr>
        <w:t>时    间：二○一九年十</w:t>
      </w:r>
      <w:r>
        <w:rPr>
          <w:rFonts w:hint="eastAsia" w:hAnsi="宋体" w:cs="宋体"/>
          <w:sz w:val="32"/>
          <w:lang w:eastAsia="zh-CN"/>
        </w:rPr>
        <w:t>二</w:t>
      </w:r>
      <w:r>
        <w:rPr>
          <w:rFonts w:hint="eastAsia" w:hAnsi="宋体" w:cs="宋体"/>
          <w:sz w:val="32"/>
        </w:rPr>
        <w:t>月</w:t>
      </w:r>
    </w:p>
    <w:p>
      <w:pPr>
        <w:jc w:val="center"/>
        <w:rPr>
          <w:b/>
          <w:sz w:val="48"/>
        </w:rPr>
      </w:pPr>
    </w:p>
    <w:p>
      <w:pPr>
        <w:spacing w:line="360" w:lineRule="auto"/>
        <w:ind w:right="-57"/>
        <w:contextualSpacing/>
        <w:rPr>
          <w:w w:val="80"/>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247" w:right="1197" w:bottom="1304" w:left="1560" w:header="720" w:footer="720" w:gutter="0"/>
          <w:pgNumType w:start="0"/>
          <w:cols w:space="720" w:num="1"/>
          <w:titlePg/>
          <w:docGrid w:linePitch="285" w:charSpace="0"/>
        </w:sectPr>
      </w:pPr>
    </w:p>
    <w:p>
      <w:pPr>
        <w:pStyle w:val="24"/>
        <w:spacing w:after="120" w:line="360" w:lineRule="auto"/>
        <w:jc w:val="center"/>
        <w:rPr>
          <w:rFonts w:hAnsi="宋体" w:cs="宋体"/>
          <w:b/>
          <w:bCs/>
          <w:sz w:val="52"/>
          <w:szCs w:val="52"/>
        </w:rPr>
      </w:pPr>
      <w:r>
        <w:rPr>
          <w:rFonts w:hint="eastAsia" w:hAnsi="宋体" w:cs="宋体"/>
          <w:b/>
          <w:bCs/>
          <w:sz w:val="52"/>
          <w:szCs w:val="52"/>
        </w:rPr>
        <w:t>目    录</w:t>
      </w:r>
    </w:p>
    <w:p>
      <w:pPr>
        <w:pStyle w:val="31"/>
        <w:tabs>
          <w:tab w:val="right" w:leader="dot" w:pos="8959"/>
          <w:tab w:val="clear" w:pos="8789"/>
        </w:tabs>
        <w:spacing w:line="240" w:lineRule="auto"/>
        <w:rPr>
          <w:rFonts w:ascii="宋体" w:hAnsi="宋体" w:cs="宋体"/>
          <w:b/>
          <w:bCs/>
          <w:sz w:val="32"/>
          <w:szCs w:val="32"/>
        </w:rPr>
      </w:pPr>
      <w:r>
        <w:rPr>
          <w:rFonts w:hint="eastAsia" w:ascii="宋体" w:hAnsi="宋体" w:cs="宋体"/>
          <w:b/>
          <w:bCs/>
          <w:sz w:val="32"/>
          <w:szCs w:val="32"/>
        </w:rPr>
        <w:fldChar w:fldCharType="begin"/>
      </w:r>
      <w:r>
        <w:rPr>
          <w:rFonts w:hint="eastAsia" w:ascii="宋体" w:hAnsi="宋体" w:cs="宋体"/>
          <w:b/>
          <w:bCs/>
          <w:sz w:val="32"/>
          <w:szCs w:val="32"/>
        </w:rPr>
        <w:instrText xml:space="preserve">TOC \o "1-3" \h \u </w:instrText>
      </w:r>
      <w:r>
        <w:rPr>
          <w:rFonts w:hint="eastAsia" w:ascii="宋体" w:hAnsi="宋体" w:cs="宋体"/>
          <w:b/>
          <w:bCs/>
          <w:sz w:val="32"/>
          <w:szCs w:val="32"/>
        </w:rPr>
        <w:fldChar w:fldCharType="separate"/>
      </w:r>
      <w:r>
        <w:fldChar w:fldCharType="begin"/>
      </w:r>
      <w:r>
        <w:instrText xml:space="preserve"> HYPERLINK \l "_Toc9329" </w:instrText>
      </w:r>
      <w:r>
        <w:fldChar w:fldCharType="separate"/>
      </w:r>
      <w:r>
        <w:rPr>
          <w:rFonts w:hint="eastAsia" w:ascii="宋体" w:hAnsi="宋体" w:cs="宋体"/>
          <w:b/>
          <w:bCs/>
          <w:sz w:val="32"/>
          <w:szCs w:val="32"/>
        </w:rPr>
        <w:t>第一章  采购公告</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rPr>
        <w:t>1</w:t>
      </w:r>
    </w:p>
    <w:p>
      <w:pPr>
        <w:pStyle w:val="37"/>
        <w:tabs>
          <w:tab w:val="right" w:leader="dot" w:pos="8959"/>
          <w:tab w:val="clear" w:pos="8789"/>
        </w:tabs>
        <w:ind w:left="0" w:leftChars="0"/>
        <w:rPr>
          <w:rFonts w:ascii="宋体" w:hAnsi="宋体" w:cs="宋体"/>
          <w:b/>
          <w:bCs/>
          <w:sz w:val="32"/>
          <w:szCs w:val="32"/>
        </w:rPr>
      </w:pPr>
    </w:p>
    <w:p>
      <w:pPr>
        <w:pStyle w:val="37"/>
        <w:tabs>
          <w:tab w:val="right" w:leader="dot" w:pos="8959"/>
          <w:tab w:val="clear" w:pos="8789"/>
        </w:tabs>
        <w:ind w:left="0" w:leftChars="0"/>
        <w:rPr>
          <w:rFonts w:ascii="宋体" w:hAnsi="宋体" w:cs="宋体"/>
          <w:b/>
          <w:bCs/>
          <w:sz w:val="32"/>
          <w:szCs w:val="32"/>
        </w:rPr>
      </w:pPr>
      <w:r>
        <w:rPr>
          <w:rFonts w:hint="eastAsia" w:ascii="宋体" w:hAnsi="宋体" w:cs="宋体"/>
          <w:b/>
          <w:bCs/>
          <w:sz w:val="32"/>
          <w:szCs w:val="32"/>
        </w:rPr>
        <w:t xml:space="preserve">第二章  </w:t>
      </w:r>
      <w:r>
        <w:fldChar w:fldCharType="begin"/>
      </w:r>
      <w:r>
        <w:instrText xml:space="preserve"> HYPERLINK \l "_Toc28564" </w:instrText>
      </w:r>
      <w:r>
        <w:fldChar w:fldCharType="separate"/>
      </w:r>
      <w:r>
        <w:rPr>
          <w:rFonts w:hint="eastAsia" w:ascii="宋体" w:hAnsi="宋体" w:cs="宋体"/>
          <w:b/>
          <w:bCs/>
          <w:sz w:val="32"/>
          <w:szCs w:val="32"/>
        </w:rPr>
        <w:t>投标资料表</w:t>
      </w:r>
      <w:r>
        <w:rPr>
          <w:rFonts w:hint="eastAsia" w:ascii="宋体" w:hAnsi="宋体" w:cs="宋体"/>
          <w:b/>
          <w:bCs/>
          <w:sz w:val="32"/>
          <w:szCs w:val="32"/>
        </w:rPr>
        <w:tab/>
      </w:r>
      <w:r>
        <w:rPr>
          <w:rFonts w:hint="eastAsia" w:ascii="宋体" w:hAnsi="宋体" w:cs="宋体"/>
          <w:b/>
          <w:bCs/>
          <w:sz w:val="32"/>
          <w:szCs w:val="32"/>
        </w:rPr>
        <w:t>4</w:t>
      </w:r>
      <w:r>
        <w:rPr>
          <w:rFonts w:hint="eastAsia" w:ascii="宋体" w:hAnsi="宋体" w:cs="宋体"/>
          <w:b/>
          <w:bCs/>
          <w:sz w:val="32"/>
          <w:szCs w:val="32"/>
        </w:rPr>
        <w:fldChar w:fldCharType="end"/>
      </w:r>
    </w:p>
    <w:p>
      <w:pPr>
        <w:pStyle w:val="37"/>
        <w:tabs>
          <w:tab w:val="right" w:leader="dot" w:pos="8959"/>
          <w:tab w:val="clear" w:pos="8789"/>
        </w:tabs>
        <w:ind w:left="0" w:leftChars="0"/>
        <w:rPr>
          <w:rFonts w:ascii="宋体" w:hAnsi="宋体" w:cs="宋体"/>
          <w:b/>
          <w:bCs/>
          <w:sz w:val="32"/>
          <w:szCs w:val="32"/>
        </w:rPr>
      </w:pPr>
    </w:p>
    <w:p>
      <w:pPr>
        <w:pStyle w:val="37"/>
        <w:tabs>
          <w:tab w:val="right" w:leader="dot" w:pos="8959"/>
          <w:tab w:val="clear" w:pos="8789"/>
        </w:tabs>
        <w:ind w:left="0" w:leftChars="0"/>
        <w:rPr>
          <w:rFonts w:ascii="宋体" w:hAnsi="宋体" w:cs="宋体"/>
          <w:b/>
          <w:bCs/>
          <w:sz w:val="32"/>
          <w:szCs w:val="32"/>
        </w:rPr>
      </w:pPr>
      <w:r>
        <w:fldChar w:fldCharType="begin"/>
      </w:r>
      <w:r>
        <w:instrText xml:space="preserve"> HYPERLINK \l "_Toc8089" </w:instrText>
      </w:r>
      <w:r>
        <w:fldChar w:fldCharType="separate"/>
      </w:r>
      <w:r>
        <w:rPr>
          <w:rFonts w:hint="eastAsia" w:ascii="宋体" w:hAnsi="宋体" w:cs="宋体"/>
          <w:b/>
          <w:bCs/>
          <w:sz w:val="32"/>
          <w:szCs w:val="32"/>
        </w:rPr>
        <w:t>第三章  投标人须知</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rPr>
        <w:t>8</w:t>
      </w:r>
    </w:p>
    <w:p>
      <w:pPr>
        <w:pStyle w:val="37"/>
        <w:tabs>
          <w:tab w:val="right" w:leader="dot" w:pos="8959"/>
          <w:tab w:val="clear" w:pos="8789"/>
        </w:tabs>
        <w:ind w:left="0" w:leftChars="0"/>
        <w:rPr>
          <w:rFonts w:ascii="宋体" w:hAnsi="宋体" w:cs="宋体"/>
          <w:b/>
          <w:bCs/>
          <w:sz w:val="32"/>
          <w:szCs w:val="32"/>
        </w:rPr>
      </w:pPr>
    </w:p>
    <w:p>
      <w:pPr>
        <w:pStyle w:val="37"/>
        <w:tabs>
          <w:tab w:val="right" w:leader="dot" w:pos="8959"/>
          <w:tab w:val="clear" w:pos="8789"/>
        </w:tabs>
        <w:ind w:left="0" w:leftChars="0"/>
        <w:rPr>
          <w:rFonts w:ascii="宋体" w:hAnsi="宋体" w:cs="宋体"/>
          <w:b/>
          <w:bCs/>
          <w:sz w:val="32"/>
          <w:szCs w:val="32"/>
        </w:rPr>
      </w:pPr>
      <w:r>
        <w:fldChar w:fldCharType="begin"/>
      </w:r>
      <w:r>
        <w:instrText xml:space="preserve"> HYPERLINK \l "_Toc11628" </w:instrText>
      </w:r>
      <w:r>
        <w:fldChar w:fldCharType="separate"/>
      </w:r>
      <w:r>
        <w:rPr>
          <w:rFonts w:hint="eastAsia" w:ascii="宋体" w:hAnsi="宋体" w:cs="宋体"/>
          <w:b/>
          <w:bCs/>
          <w:sz w:val="32"/>
          <w:szCs w:val="32"/>
        </w:rPr>
        <w:t>第四章  评标办法及标准</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rPr>
        <w:t>22</w:t>
      </w:r>
    </w:p>
    <w:p>
      <w:pPr>
        <w:pStyle w:val="37"/>
        <w:tabs>
          <w:tab w:val="right" w:leader="dot" w:pos="8959"/>
          <w:tab w:val="clear" w:pos="8789"/>
        </w:tabs>
        <w:ind w:left="0" w:leftChars="0"/>
        <w:rPr>
          <w:rFonts w:ascii="宋体" w:hAnsi="宋体" w:cs="宋体"/>
          <w:b/>
          <w:bCs/>
          <w:sz w:val="32"/>
          <w:szCs w:val="32"/>
        </w:rPr>
      </w:pPr>
    </w:p>
    <w:p>
      <w:pPr>
        <w:pStyle w:val="37"/>
        <w:tabs>
          <w:tab w:val="right" w:leader="dot" w:pos="8959"/>
          <w:tab w:val="clear" w:pos="8789"/>
        </w:tabs>
        <w:ind w:left="0" w:leftChars="0"/>
        <w:rPr>
          <w:rFonts w:ascii="宋体" w:hAnsi="宋体" w:cs="宋体"/>
          <w:b/>
          <w:bCs/>
          <w:sz w:val="32"/>
          <w:szCs w:val="32"/>
        </w:rPr>
      </w:pPr>
      <w:r>
        <w:fldChar w:fldCharType="begin"/>
      </w:r>
      <w:r>
        <w:instrText xml:space="preserve"> HYPERLINK \l "_Toc13620" </w:instrText>
      </w:r>
      <w:r>
        <w:fldChar w:fldCharType="separate"/>
      </w:r>
      <w:r>
        <w:rPr>
          <w:rFonts w:hint="eastAsia" w:ascii="宋体" w:hAnsi="宋体" w:cs="宋体"/>
          <w:b/>
          <w:bCs/>
          <w:sz w:val="32"/>
          <w:szCs w:val="32"/>
        </w:rPr>
        <w:t>第五章  采购内容及要求</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rPr>
        <w:t>27</w:t>
      </w:r>
    </w:p>
    <w:p>
      <w:pPr>
        <w:pStyle w:val="37"/>
        <w:tabs>
          <w:tab w:val="right" w:leader="dot" w:pos="8959"/>
          <w:tab w:val="clear" w:pos="8789"/>
        </w:tabs>
        <w:ind w:left="0" w:leftChars="0"/>
        <w:rPr>
          <w:rFonts w:ascii="宋体" w:hAnsi="宋体" w:cs="宋体"/>
          <w:b/>
          <w:bCs/>
          <w:sz w:val="32"/>
          <w:szCs w:val="32"/>
        </w:rPr>
      </w:pPr>
    </w:p>
    <w:p>
      <w:pPr>
        <w:pStyle w:val="37"/>
        <w:tabs>
          <w:tab w:val="right" w:leader="dot" w:pos="8959"/>
          <w:tab w:val="clear" w:pos="8789"/>
        </w:tabs>
        <w:ind w:left="0" w:leftChars="0"/>
        <w:rPr>
          <w:rFonts w:ascii="宋体" w:hAnsi="宋体" w:cs="宋体"/>
          <w:b/>
          <w:bCs/>
          <w:sz w:val="32"/>
          <w:szCs w:val="32"/>
        </w:rPr>
      </w:pPr>
      <w:r>
        <w:fldChar w:fldCharType="begin"/>
      </w:r>
      <w:r>
        <w:instrText xml:space="preserve"> HYPERLINK \l "_Toc13620" </w:instrText>
      </w:r>
      <w:r>
        <w:fldChar w:fldCharType="separate"/>
      </w:r>
      <w:r>
        <w:rPr>
          <w:rFonts w:hint="eastAsia" w:ascii="宋体" w:hAnsi="宋体" w:cs="宋体"/>
          <w:b/>
          <w:bCs/>
          <w:sz w:val="32"/>
          <w:szCs w:val="32"/>
        </w:rPr>
        <w:t>第六章  合同主要条款</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rPr>
        <w:t>61</w:t>
      </w:r>
    </w:p>
    <w:p>
      <w:pPr>
        <w:pStyle w:val="37"/>
        <w:tabs>
          <w:tab w:val="right" w:leader="dot" w:pos="8959"/>
          <w:tab w:val="clear" w:pos="8789"/>
        </w:tabs>
        <w:ind w:left="0" w:leftChars="0"/>
      </w:pPr>
    </w:p>
    <w:p>
      <w:pPr>
        <w:pStyle w:val="37"/>
        <w:tabs>
          <w:tab w:val="right" w:leader="dot" w:pos="8959"/>
          <w:tab w:val="clear" w:pos="8789"/>
        </w:tabs>
        <w:ind w:left="0" w:leftChars="0"/>
      </w:pPr>
    </w:p>
    <w:p>
      <w:pPr>
        <w:pStyle w:val="37"/>
        <w:tabs>
          <w:tab w:val="right" w:leader="dot" w:pos="8959"/>
          <w:tab w:val="clear" w:pos="8789"/>
        </w:tabs>
        <w:ind w:left="0" w:leftChars="0"/>
        <w:rPr>
          <w:rFonts w:ascii="宋体" w:hAnsi="宋体" w:cs="宋体"/>
          <w:b/>
          <w:bCs/>
          <w:sz w:val="32"/>
          <w:szCs w:val="32"/>
        </w:rPr>
      </w:pPr>
      <w:r>
        <w:fldChar w:fldCharType="begin"/>
      </w:r>
      <w:r>
        <w:instrText xml:space="preserve"> HYPERLINK \l "_Toc13620" </w:instrText>
      </w:r>
      <w:r>
        <w:fldChar w:fldCharType="separate"/>
      </w:r>
      <w:r>
        <w:rPr>
          <w:rFonts w:hint="eastAsia" w:ascii="宋体" w:hAnsi="宋体" w:cs="宋体"/>
          <w:b/>
          <w:bCs/>
          <w:sz w:val="32"/>
          <w:szCs w:val="32"/>
        </w:rPr>
        <w:t>第七章  格式与表格</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rPr>
        <w:t>69</w:t>
      </w:r>
    </w:p>
    <w:p>
      <w:pPr>
        <w:pStyle w:val="37"/>
        <w:tabs>
          <w:tab w:val="right" w:leader="dot" w:pos="8959"/>
          <w:tab w:val="clear" w:pos="8789"/>
        </w:tabs>
        <w:ind w:left="0" w:leftChars="0"/>
        <w:rPr>
          <w:rFonts w:ascii="宋体" w:hAnsi="宋体" w:cs="宋体"/>
          <w:b/>
          <w:bCs/>
          <w:sz w:val="32"/>
          <w:szCs w:val="32"/>
        </w:rPr>
      </w:pPr>
    </w:p>
    <w:p>
      <w:pPr>
        <w:pStyle w:val="37"/>
        <w:tabs>
          <w:tab w:val="right" w:leader="dot" w:pos="8959"/>
          <w:tab w:val="clear" w:pos="8789"/>
        </w:tabs>
        <w:ind w:left="0" w:leftChars="0"/>
        <w:rPr>
          <w:rFonts w:ascii="宋体" w:hAnsi="宋体" w:cs="宋体"/>
          <w:b/>
          <w:bCs/>
          <w:sz w:val="32"/>
          <w:szCs w:val="32"/>
        </w:rPr>
      </w:pPr>
    </w:p>
    <w:p>
      <w:pPr>
        <w:tabs>
          <w:tab w:val="left" w:pos="2160"/>
        </w:tabs>
        <w:spacing w:beforeLines="50" w:afterLines="50" w:line="0" w:lineRule="atLeast"/>
        <w:rPr>
          <w:w w:val="80"/>
          <w:sz w:val="32"/>
        </w:rPr>
        <w:sectPr>
          <w:headerReference r:id="rId11" w:type="first"/>
          <w:footerReference r:id="rId14" w:type="first"/>
          <w:headerReference r:id="rId9" w:type="default"/>
          <w:footerReference r:id="rId12" w:type="default"/>
          <w:headerReference r:id="rId10" w:type="even"/>
          <w:footerReference r:id="rId13" w:type="even"/>
          <w:type w:val="nextColumn"/>
          <w:pgSz w:w="11907" w:h="16840"/>
          <w:pgMar w:top="1247" w:right="1531" w:bottom="1304" w:left="1531" w:header="284" w:footer="705" w:gutter="0"/>
          <w:pgNumType w:start="1"/>
          <w:cols w:space="720" w:num="1"/>
          <w:docGrid w:linePitch="285" w:charSpace="0"/>
        </w:sectPr>
      </w:pPr>
      <w:r>
        <w:rPr>
          <w:rFonts w:hint="eastAsia" w:ascii="宋体" w:hAnsi="宋体" w:cs="宋体"/>
          <w:b/>
          <w:bCs/>
          <w:sz w:val="32"/>
          <w:szCs w:val="32"/>
        </w:rPr>
        <w:fldChar w:fldCharType="end"/>
      </w:r>
    </w:p>
    <w:p>
      <w:pPr>
        <w:pStyle w:val="42"/>
        <w:rPr>
          <w:rFonts w:ascii="Times New Roman" w:hAnsi="Times New Roman"/>
          <w:kern w:val="44"/>
        </w:rPr>
      </w:pPr>
      <w:bookmarkStart w:id="1" w:name="_Toc263083249"/>
      <w:bookmarkStart w:id="2" w:name="_Toc262312595"/>
      <w:bookmarkStart w:id="3" w:name="_Toc435088062"/>
      <w:r>
        <w:rPr>
          <w:rFonts w:hint="eastAsia" w:ascii="Times New Roman" w:hAnsi="Times New Roman"/>
          <w:kern w:val="44"/>
        </w:rPr>
        <w:t xml:space="preserve">第一章 </w:t>
      </w:r>
      <w:bookmarkEnd w:id="1"/>
      <w:bookmarkEnd w:id="2"/>
      <w:r>
        <w:rPr>
          <w:rFonts w:hint="eastAsia" w:ascii="Times New Roman" w:hAnsi="Times New Roman"/>
          <w:kern w:val="44"/>
        </w:rPr>
        <w:t>采购公告</w:t>
      </w:r>
      <w:bookmarkEnd w:id="3"/>
    </w:p>
    <w:p>
      <w:pPr>
        <w:tabs>
          <w:tab w:val="left" w:pos="426"/>
        </w:tabs>
        <w:spacing w:line="360" w:lineRule="auto"/>
        <w:ind w:firstLine="420" w:firstLineChars="200"/>
        <w:contextualSpacing/>
        <w:rPr>
          <w:szCs w:val="24"/>
        </w:rPr>
      </w:pPr>
    </w:p>
    <w:p>
      <w:pPr>
        <w:tabs>
          <w:tab w:val="left" w:pos="426"/>
        </w:tabs>
        <w:spacing w:line="360" w:lineRule="auto"/>
        <w:ind w:firstLine="420" w:firstLineChars="200"/>
        <w:contextualSpacing/>
        <w:rPr>
          <w:szCs w:val="24"/>
        </w:rPr>
      </w:pPr>
      <w:r>
        <w:rPr>
          <w:szCs w:val="24"/>
        </w:rPr>
        <w:t>根据《中华人民共和国政府采购法》及有关法律法规和规章规定，</w:t>
      </w:r>
      <w:r>
        <w:rPr>
          <w:rFonts w:hint="eastAsia"/>
          <w:szCs w:val="24"/>
        </w:rPr>
        <w:t>宁波工建工程造价咨询有限公司</w:t>
      </w:r>
      <w:r>
        <w:rPr>
          <w:szCs w:val="24"/>
        </w:rPr>
        <w:t>受</w:t>
      </w:r>
      <w:r>
        <w:rPr>
          <w:rFonts w:hint="eastAsia"/>
          <w:szCs w:val="24"/>
        </w:rPr>
        <w:t>宁海县园林管理中心</w:t>
      </w:r>
      <w:r>
        <w:rPr>
          <w:szCs w:val="24"/>
        </w:rPr>
        <w:t>的委托，对</w:t>
      </w:r>
      <w:r>
        <w:rPr>
          <w:rFonts w:hint="eastAsia"/>
          <w:szCs w:val="24"/>
        </w:rPr>
        <w:t>宁海城区2020-2022年绿化养护服务项目</w:t>
      </w:r>
      <w:r>
        <w:rPr>
          <w:szCs w:val="24"/>
        </w:rPr>
        <w:t>进行国内公开招标采购，特邀请合格的投标人前来投标。</w:t>
      </w:r>
    </w:p>
    <w:p>
      <w:pPr>
        <w:tabs>
          <w:tab w:val="left" w:pos="363"/>
        </w:tabs>
        <w:adjustRightInd w:val="0"/>
        <w:snapToGrid w:val="0"/>
        <w:spacing w:line="360" w:lineRule="auto"/>
        <w:ind w:left="3" w:firstLine="421"/>
        <w:rPr>
          <w:rFonts w:ascii="宋体" w:hAnsi="宋体" w:cs="宋体"/>
          <w:szCs w:val="21"/>
        </w:rPr>
      </w:pPr>
      <w:r>
        <w:rPr>
          <w:rFonts w:hint="eastAsia" w:ascii="宋体" w:hAnsi="宋体" w:cs="宋体"/>
          <w:b/>
          <w:szCs w:val="21"/>
        </w:rPr>
        <w:t>一、项目编号</w:t>
      </w:r>
      <w:r>
        <w:rPr>
          <w:rFonts w:hint="eastAsia" w:ascii="宋体" w:hAnsi="宋体" w:cs="宋体"/>
          <w:szCs w:val="21"/>
        </w:rPr>
        <w:t>：NBGJ2019-CG0069</w:t>
      </w:r>
    </w:p>
    <w:p>
      <w:pPr>
        <w:tabs>
          <w:tab w:val="left" w:pos="363"/>
        </w:tabs>
        <w:adjustRightInd w:val="0"/>
        <w:snapToGrid w:val="0"/>
        <w:spacing w:line="360" w:lineRule="auto"/>
        <w:ind w:left="3" w:firstLine="421"/>
        <w:rPr>
          <w:rFonts w:ascii="宋体" w:hAnsi="宋体" w:cs="宋体"/>
          <w:szCs w:val="21"/>
        </w:rPr>
      </w:pPr>
      <w:r>
        <w:rPr>
          <w:rFonts w:hint="eastAsia" w:ascii="宋体" w:hAnsi="宋体" w:cs="宋体"/>
          <w:b/>
          <w:szCs w:val="21"/>
        </w:rPr>
        <w:t>二、采购组织类型</w:t>
      </w:r>
      <w:r>
        <w:rPr>
          <w:rFonts w:hint="eastAsia" w:ascii="宋体" w:hAnsi="宋体" w:cs="宋体"/>
          <w:szCs w:val="21"/>
        </w:rPr>
        <w:t>：</w:t>
      </w:r>
      <w:r>
        <w:rPr>
          <w:rFonts w:hint="eastAsia" w:ascii="宋体" w:hAnsi="宋体" w:cs="宋体"/>
          <w:bCs/>
          <w:kern w:val="0"/>
          <w:szCs w:val="21"/>
        </w:rPr>
        <w:t>分散采购</w:t>
      </w:r>
    </w:p>
    <w:p>
      <w:pPr>
        <w:snapToGrid w:val="0"/>
        <w:spacing w:line="360" w:lineRule="auto"/>
        <w:ind w:firstLine="422" w:firstLineChars="200"/>
        <w:rPr>
          <w:rFonts w:ascii="宋体" w:hAnsi="宋体" w:cs="宋体"/>
          <w:szCs w:val="21"/>
        </w:rPr>
      </w:pPr>
      <w:r>
        <w:rPr>
          <w:rFonts w:hint="eastAsia" w:ascii="宋体" w:hAnsi="宋体" w:cs="宋体"/>
          <w:b/>
          <w:szCs w:val="21"/>
        </w:rPr>
        <w:t>三、采购方式</w:t>
      </w:r>
      <w:r>
        <w:rPr>
          <w:rFonts w:hint="eastAsia" w:ascii="宋体" w:hAnsi="宋体" w:cs="宋体"/>
          <w:szCs w:val="21"/>
        </w:rPr>
        <w:t>：公开招标</w:t>
      </w:r>
    </w:p>
    <w:p>
      <w:pPr>
        <w:pStyle w:val="54"/>
        <w:ind w:left="365" w:leftChars="174" w:firstLine="61" w:firstLineChars="29"/>
        <w:rPr>
          <w:rFonts w:cs="宋体"/>
          <w:b/>
          <w:bCs/>
          <w:spacing w:val="0"/>
          <w:sz w:val="21"/>
          <w:szCs w:val="21"/>
        </w:rPr>
      </w:pPr>
      <w:r>
        <w:rPr>
          <w:rFonts w:hint="eastAsia" w:cs="宋体"/>
          <w:b/>
          <w:spacing w:val="0"/>
          <w:sz w:val="21"/>
          <w:szCs w:val="21"/>
        </w:rPr>
        <w:t>四、采购预算金额：</w:t>
      </w:r>
      <w:r>
        <w:rPr>
          <w:rFonts w:hint="eastAsia" w:cs="宋体"/>
          <w:b/>
          <w:bCs/>
          <w:spacing w:val="0"/>
          <w:sz w:val="21"/>
          <w:szCs w:val="21"/>
        </w:rPr>
        <w:t>19993173元/年；59979519元/三年</w:t>
      </w:r>
    </w:p>
    <w:p>
      <w:pPr>
        <w:tabs>
          <w:tab w:val="left" w:pos="426"/>
        </w:tabs>
        <w:spacing w:line="360" w:lineRule="auto"/>
        <w:ind w:firstLine="422" w:firstLineChars="200"/>
        <w:contextualSpacing/>
        <w:rPr>
          <w:szCs w:val="24"/>
        </w:rPr>
      </w:pPr>
      <w:r>
        <w:rPr>
          <w:rFonts w:hint="eastAsia" w:ascii="宋体" w:hAnsi="宋体" w:cs="宋体"/>
          <w:b/>
          <w:szCs w:val="21"/>
        </w:rPr>
        <w:t>五、采购内容</w:t>
      </w:r>
      <w:r>
        <w:rPr>
          <w:rFonts w:hint="eastAsia" w:ascii="宋体" w:hAnsi="宋体" w:cs="宋体"/>
          <w:bCs/>
          <w:szCs w:val="21"/>
        </w:rPr>
        <w:t>：</w:t>
      </w:r>
    </w:p>
    <w:tbl>
      <w:tblPr>
        <w:tblStyle w:val="46"/>
        <w:tblpPr w:leftFromText="180" w:rightFromText="180" w:vertAnchor="text" w:horzAnchor="page" w:tblpX="1690" w:tblpY="159"/>
        <w:tblOverlap w:val="never"/>
        <w:tblW w:w="8820" w:type="dxa"/>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110"/>
        <w:gridCol w:w="2340"/>
        <w:gridCol w:w="1605"/>
        <w:gridCol w:w="376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06" w:hRule="atLeast"/>
        </w:trPr>
        <w:tc>
          <w:tcPr>
            <w:tcW w:w="1110" w:type="dxa"/>
            <w:tcBorders>
              <w:top w:val="single" w:color="auto" w:sz="4" w:space="0"/>
              <w:bottom w:val="single" w:color="auto" w:sz="4" w:space="0"/>
            </w:tcBorders>
            <w:vAlign w:val="center"/>
          </w:tcPr>
          <w:p>
            <w:pPr>
              <w:spacing w:line="360" w:lineRule="auto"/>
              <w:ind w:left="-110" w:right="-114"/>
              <w:jc w:val="center"/>
              <w:rPr>
                <w:szCs w:val="24"/>
              </w:rPr>
            </w:pPr>
            <w:r>
              <w:rPr>
                <w:szCs w:val="24"/>
              </w:rPr>
              <w:t>标段</w:t>
            </w:r>
          </w:p>
        </w:tc>
        <w:tc>
          <w:tcPr>
            <w:tcW w:w="2340" w:type="dxa"/>
            <w:tcBorders>
              <w:top w:val="single" w:color="auto" w:sz="4" w:space="0"/>
              <w:bottom w:val="single" w:color="auto" w:sz="4" w:space="0"/>
            </w:tcBorders>
            <w:vAlign w:val="center"/>
          </w:tcPr>
          <w:p>
            <w:pPr>
              <w:spacing w:line="360" w:lineRule="auto"/>
              <w:ind w:left="-110" w:right="-114"/>
              <w:jc w:val="center"/>
              <w:rPr>
                <w:szCs w:val="24"/>
              </w:rPr>
            </w:pPr>
            <w:r>
              <w:rPr>
                <w:szCs w:val="24"/>
              </w:rPr>
              <w:t>服务项目名称</w:t>
            </w:r>
          </w:p>
        </w:tc>
        <w:tc>
          <w:tcPr>
            <w:tcW w:w="1605" w:type="dxa"/>
            <w:tcBorders>
              <w:top w:val="single" w:color="auto" w:sz="4" w:space="0"/>
              <w:bottom w:val="single" w:color="auto" w:sz="4" w:space="0"/>
            </w:tcBorders>
            <w:vAlign w:val="center"/>
          </w:tcPr>
          <w:p>
            <w:pPr>
              <w:spacing w:line="360" w:lineRule="auto"/>
              <w:ind w:left="-110" w:right="-114"/>
              <w:jc w:val="center"/>
              <w:rPr>
                <w:szCs w:val="24"/>
              </w:rPr>
            </w:pPr>
            <w:r>
              <w:rPr>
                <w:szCs w:val="24"/>
              </w:rPr>
              <w:t>服务范围</w:t>
            </w:r>
          </w:p>
        </w:tc>
        <w:tc>
          <w:tcPr>
            <w:tcW w:w="3765" w:type="dxa"/>
            <w:tcBorders>
              <w:top w:val="single" w:color="auto" w:sz="4" w:space="0"/>
              <w:bottom w:val="single" w:color="auto" w:sz="4" w:space="0"/>
            </w:tcBorders>
            <w:vAlign w:val="center"/>
          </w:tcPr>
          <w:p>
            <w:pPr>
              <w:spacing w:line="360" w:lineRule="auto"/>
              <w:ind w:left="-110" w:right="-114"/>
              <w:jc w:val="center"/>
              <w:rPr>
                <w:szCs w:val="24"/>
              </w:rPr>
            </w:pPr>
            <w:r>
              <w:rPr>
                <w:szCs w:val="24"/>
              </w:rPr>
              <w:t>服务内容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35" w:hRule="atLeast"/>
        </w:trPr>
        <w:tc>
          <w:tcPr>
            <w:tcW w:w="1110" w:type="dxa"/>
            <w:tcBorders>
              <w:top w:val="single" w:color="auto" w:sz="4" w:space="0"/>
              <w:bottom w:val="single" w:color="auto" w:sz="4" w:space="0"/>
            </w:tcBorders>
            <w:vAlign w:val="center"/>
          </w:tcPr>
          <w:p>
            <w:pPr>
              <w:spacing w:line="360" w:lineRule="auto"/>
              <w:ind w:left="-110" w:right="-114"/>
              <w:jc w:val="center"/>
              <w:rPr>
                <w:szCs w:val="24"/>
              </w:rPr>
            </w:pPr>
            <w:r>
              <w:rPr>
                <w:rFonts w:hint="eastAsia"/>
                <w:szCs w:val="24"/>
              </w:rPr>
              <w:t>一</w:t>
            </w:r>
          </w:p>
        </w:tc>
        <w:tc>
          <w:tcPr>
            <w:tcW w:w="2340" w:type="dxa"/>
            <w:tcBorders>
              <w:top w:val="single" w:color="auto" w:sz="4" w:space="0"/>
              <w:bottom w:val="single" w:color="auto" w:sz="4" w:space="0"/>
            </w:tcBorders>
            <w:vAlign w:val="center"/>
          </w:tcPr>
          <w:p>
            <w:pPr>
              <w:spacing w:line="360" w:lineRule="auto"/>
              <w:ind w:left="-110" w:right="-114"/>
              <w:jc w:val="center"/>
              <w:rPr>
                <w:szCs w:val="24"/>
              </w:rPr>
            </w:pPr>
            <w:r>
              <w:rPr>
                <w:rFonts w:hint="eastAsia"/>
                <w:szCs w:val="24"/>
              </w:rPr>
              <w:t>一</w:t>
            </w:r>
            <w:r>
              <w:rPr>
                <w:szCs w:val="24"/>
              </w:rPr>
              <w:t>标段绿化养护</w:t>
            </w:r>
          </w:p>
          <w:p>
            <w:pPr>
              <w:spacing w:line="360" w:lineRule="auto"/>
              <w:ind w:left="-110" w:right="-114"/>
              <w:jc w:val="center"/>
              <w:rPr>
                <w:szCs w:val="24"/>
              </w:rPr>
            </w:pPr>
            <w:r>
              <w:rPr>
                <w:szCs w:val="24"/>
              </w:rPr>
              <w:t>（含</w:t>
            </w:r>
            <w:r>
              <w:rPr>
                <w:rFonts w:hint="eastAsia"/>
                <w:color w:val="000000" w:themeColor="text1"/>
                <w:szCs w:val="24"/>
              </w:rPr>
              <w:t>公园巡查、保洁</w:t>
            </w:r>
            <w:r>
              <w:rPr>
                <w:szCs w:val="24"/>
              </w:rPr>
              <w:t>服务）</w:t>
            </w:r>
          </w:p>
        </w:tc>
        <w:tc>
          <w:tcPr>
            <w:tcW w:w="1605" w:type="dxa"/>
            <w:tcBorders>
              <w:top w:val="single" w:color="auto" w:sz="4" w:space="0"/>
              <w:bottom w:val="single" w:color="auto" w:sz="4" w:space="0"/>
            </w:tcBorders>
            <w:vAlign w:val="center"/>
          </w:tcPr>
          <w:p>
            <w:pPr>
              <w:spacing w:line="360" w:lineRule="auto"/>
              <w:ind w:left="-110" w:right="-114"/>
              <w:jc w:val="center"/>
              <w:rPr>
                <w:szCs w:val="24"/>
              </w:rPr>
            </w:pPr>
            <w:r>
              <w:rPr>
                <w:rFonts w:hint="eastAsia"/>
                <w:szCs w:val="24"/>
              </w:rPr>
              <w:t>200338㎡</w:t>
            </w:r>
          </w:p>
        </w:tc>
        <w:tc>
          <w:tcPr>
            <w:tcW w:w="3765" w:type="dxa"/>
            <w:vMerge w:val="restart"/>
            <w:tcBorders>
              <w:top w:val="single" w:color="auto" w:sz="4" w:space="0"/>
            </w:tcBorders>
            <w:vAlign w:val="center"/>
          </w:tcPr>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整形修剪、病虫害防治、草坪打孔、割草、除草、浇水、扶正、补植、松土切边、施肥、涂白、支撑、看护、鲜花日常养护等；</w:t>
            </w:r>
          </w:p>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防台抗台抗旱雨雪冰冻等灾害气候中的绿化管护；</w:t>
            </w:r>
          </w:p>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绿地内招标人所辖设施的维护、清洁；</w:t>
            </w:r>
          </w:p>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花箱、公园保洁，清除树木吊挂杂物，随时清除枯枝叶、断枝和养护作业垃圾；</w:t>
            </w:r>
          </w:p>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公园绿地治安巡查；</w:t>
            </w:r>
          </w:p>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双联指挥中心应急情况处置等；</w:t>
            </w:r>
          </w:p>
          <w:p>
            <w:pPr>
              <w:spacing w:line="360" w:lineRule="auto"/>
              <w:ind w:left="-110" w:right="-114"/>
              <w:jc w:val="left"/>
              <w:rPr>
                <w:rFonts w:asciiTheme="minorEastAsia" w:hAnsiTheme="minorEastAsia" w:cstheme="minorEastAsia"/>
                <w:szCs w:val="21"/>
              </w:rPr>
            </w:pPr>
            <w:r>
              <w:rPr>
                <w:rFonts w:hint="eastAsia"/>
                <w:szCs w:val="21"/>
              </w:rPr>
              <w:t>标段区域内的巡查、保洁；</w:t>
            </w:r>
          </w:p>
          <w:p>
            <w:pPr>
              <w:spacing w:line="360" w:lineRule="auto"/>
              <w:ind w:left="-110" w:right="-114"/>
              <w:jc w:val="left"/>
              <w:rPr>
                <w:szCs w:val="24"/>
              </w:rPr>
            </w:pPr>
            <w:r>
              <w:rPr>
                <w:rFonts w:hint="eastAsia" w:asciiTheme="minorEastAsia" w:hAnsiTheme="minorEastAsia" w:cstheme="minorEastAsia"/>
                <w:szCs w:val="21"/>
              </w:rPr>
              <w:t>上级主管部门及园林中心另外布置的其他任务。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6" w:hRule="atLeast"/>
        </w:trPr>
        <w:tc>
          <w:tcPr>
            <w:tcW w:w="1110" w:type="dxa"/>
            <w:vAlign w:val="center"/>
          </w:tcPr>
          <w:p>
            <w:pPr>
              <w:spacing w:line="360" w:lineRule="auto"/>
              <w:ind w:left="-110" w:right="-114"/>
              <w:jc w:val="center"/>
              <w:rPr>
                <w:szCs w:val="24"/>
              </w:rPr>
            </w:pPr>
            <w:r>
              <w:rPr>
                <w:rFonts w:hint="eastAsia"/>
                <w:szCs w:val="24"/>
              </w:rPr>
              <w:t>二</w:t>
            </w:r>
          </w:p>
        </w:tc>
        <w:tc>
          <w:tcPr>
            <w:tcW w:w="2340" w:type="dxa"/>
            <w:vAlign w:val="center"/>
          </w:tcPr>
          <w:p>
            <w:pPr>
              <w:spacing w:line="360" w:lineRule="auto"/>
              <w:ind w:left="-110" w:right="-114"/>
              <w:jc w:val="center"/>
              <w:rPr>
                <w:szCs w:val="24"/>
              </w:rPr>
            </w:pPr>
            <w:r>
              <w:rPr>
                <w:rFonts w:hint="eastAsia"/>
                <w:szCs w:val="24"/>
              </w:rPr>
              <w:t>二</w:t>
            </w:r>
            <w:r>
              <w:rPr>
                <w:szCs w:val="24"/>
              </w:rPr>
              <w:t>标段绿化养护</w:t>
            </w:r>
            <w:r>
              <w:rPr>
                <w:szCs w:val="24"/>
              </w:rPr>
              <w:br w:type="textWrapping"/>
            </w:r>
            <w:r>
              <w:rPr>
                <w:szCs w:val="24"/>
              </w:rPr>
              <w:t>（含</w:t>
            </w:r>
            <w:r>
              <w:rPr>
                <w:rFonts w:hint="eastAsia"/>
                <w:color w:val="000000" w:themeColor="text1"/>
                <w:szCs w:val="24"/>
              </w:rPr>
              <w:t>公园巡查、保洁</w:t>
            </w:r>
            <w:r>
              <w:rPr>
                <w:szCs w:val="24"/>
              </w:rPr>
              <w:t>服务）</w:t>
            </w:r>
          </w:p>
        </w:tc>
        <w:tc>
          <w:tcPr>
            <w:tcW w:w="1605" w:type="dxa"/>
            <w:vAlign w:val="center"/>
          </w:tcPr>
          <w:p>
            <w:pPr>
              <w:spacing w:line="360" w:lineRule="auto"/>
              <w:ind w:left="-110" w:right="-114"/>
              <w:jc w:val="center"/>
              <w:rPr>
                <w:szCs w:val="24"/>
              </w:rPr>
            </w:pPr>
            <w:r>
              <w:rPr>
                <w:rFonts w:hint="eastAsia"/>
                <w:szCs w:val="24"/>
              </w:rPr>
              <w:t>230058㎡</w:t>
            </w:r>
          </w:p>
        </w:tc>
        <w:tc>
          <w:tcPr>
            <w:tcW w:w="376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20" w:hRule="atLeast"/>
        </w:trPr>
        <w:tc>
          <w:tcPr>
            <w:tcW w:w="1110" w:type="dxa"/>
            <w:vAlign w:val="center"/>
          </w:tcPr>
          <w:p>
            <w:pPr>
              <w:spacing w:line="360" w:lineRule="auto"/>
              <w:ind w:left="-110" w:right="-114"/>
              <w:jc w:val="center"/>
              <w:rPr>
                <w:szCs w:val="24"/>
              </w:rPr>
            </w:pPr>
            <w:r>
              <w:rPr>
                <w:rFonts w:hint="eastAsia"/>
                <w:szCs w:val="24"/>
              </w:rPr>
              <w:t>三</w:t>
            </w:r>
          </w:p>
        </w:tc>
        <w:tc>
          <w:tcPr>
            <w:tcW w:w="2340" w:type="dxa"/>
            <w:vAlign w:val="center"/>
          </w:tcPr>
          <w:p>
            <w:pPr>
              <w:spacing w:line="360" w:lineRule="auto"/>
              <w:ind w:left="-110" w:right="-114"/>
              <w:jc w:val="center"/>
              <w:rPr>
                <w:szCs w:val="24"/>
              </w:rPr>
            </w:pPr>
            <w:r>
              <w:rPr>
                <w:rFonts w:hint="eastAsia"/>
                <w:szCs w:val="24"/>
              </w:rPr>
              <w:t>三</w:t>
            </w:r>
            <w:r>
              <w:rPr>
                <w:szCs w:val="24"/>
              </w:rPr>
              <w:t>标段绿化养护</w:t>
            </w:r>
            <w:r>
              <w:rPr>
                <w:szCs w:val="24"/>
              </w:rPr>
              <w:br w:type="textWrapping"/>
            </w:r>
            <w:r>
              <w:rPr>
                <w:szCs w:val="24"/>
              </w:rPr>
              <w:t>（含</w:t>
            </w:r>
            <w:r>
              <w:rPr>
                <w:rFonts w:hint="eastAsia"/>
                <w:color w:val="000000" w:themeColor="text1"/>
                <w:szCs w:val="24"/>
              </w:rPr>
              <w:t>公园巡查、保洁</w:t>
            </w:r>
            <w:r>
              <w:rPr>
                <w:szCs w:val="24"/>
              </w:rPr>
              <w:t>服务）</w:t>
            </w:r>
          </w:p>
        </w:tc>
        <w:tc>
          <w:tcPr>
            <w:tcW w:w="1605" w:type="dxa"/>
            <w:vAlign w:val="center"/>
          </w:tcPr>
          <w:p>
            <w:pPr>
              <w:spacing w:line="360" w:lineRule="auto"/>
              <w:ind w:left="-110" w:right="-114"/>
              <w:jc w:val="center"/>
              <w:rPr>
                <w:szCs w:val="24"/>
              </w:rPr>
            </w:pPr>
            <w:r>
              <w:rPr>
                <w:rFonts w:hint="eastAsia"/>
                <w:szCs w:val="24"/>
              </w:rPr>
              <w:t>217978㎡</w:t>
            </w:r>
          </w:p>
        </w:tc>
        <w:tc>
          <w:tcPr>
            <w:tcW w:w="376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0" w:hRule="atLeast"/>
        </w:trPr>
        <w:tc>
          <w:tcPr>
            <w:tcW w:w="1110" w:type="dxa"/>
            <w:vAlign w:val="center"/>
          </w:tcPr>
          <w:p>
            <w:pPr>
              <w:spacing w:line="360" w:lineRule="auto"/>
              <w:ind w:left="-110" w:right="-114"/>
              <w:jc w:val="center"/>
              <w:rPr>
                <w:szCs w:val="24"/>
              </w:rPr>
            </w:pPr>
            <w:r>
              <w:rPr>
                <w:rFonts w:hint="eastAsia"/>
                <w:szCs w:val="24"/>
              </w:rPr>
              <w:t>四</w:t>
            </w:r>
          </w:p>
        </w:tc>
        <w:tc>
          <w:tcPr>
            <w:tcW w:w="2340" w:type="dxa"/>
            <w:vAlign w:val="center"/>
          </w:tcPr>
          <w:p>
            <w:pPr>
              <w:spacing w:line="360" w:lineRule="auto"/>
              <w:ind w:left="-110" w:right="-114"/>
              <w:jc w:val="center"/>
              <w:rPr>
                <w:szCs w:val="24"/>
              </w:rPr>
            </w:pPr>
            <w:r>
              <w:rPr>
                <w:rFonts w:hint="eastAsia"/>
                <w:szCs w:val="24"/>
              </w:rPr>
              <w:t>四</w:t>
            </w:r>
            <w:r>
              <w:rPr>
                <w:szCs w:val="24"/>
              </w:rPr>
              <w:t>标段绿化养护</w:t>
            </w:r>
          </w:p>
          <w:p>
            <w:pPr>
              <w:spacing w:line="360" w:lineRule="auto"/>
              <w:ind w:left="-110" w:right="-114"/>
              <w:jc w:val="center"/>
              <w:rPr>
                <w:szCs w:val="24"/>
              </w:rPr>
            </w:pPr>
            <w:r>
              <w:rPr>
                <w:szCs w:val="24"/>
              </w:rPr>
              <w:t>（含</w:t>
            </w:r>
            <w:r>
              <w:rPr>
                <w:rFonts w:hint="eastAsia"/>
                <w:color w:val="000000" w:themeColor="text1"/>
                <w:szCs w:val="24"/>
              </w:rPr>
              <w:t>公园巡查、保洁</w:t>
            </w:r>
            <w:r>
              <w:rPr>
                <w:szCs w:val="24"/>
              </w:rPr>
              <w:t>服务）</w:t>
            </w:r>
          </w:p>
        </w:tc>
        <w:tc>
          <w:tcPr>
            <w:tcW w:w="1605" w:type="dxa"/>
            <w:vAlign w:val="center"/>
          </w:tcPr>
          <w:p>
            <w:pPr>
              <w:spacing w:line="360" w:lineRule="auto"/>
              <w:ind w:left="-110" w:right="-114"/>
              <w:jc w:val="center"/>
              <w:rPr>
                <w:szCs w:val="24"/>
              </w:rPr>
            </w:pPr>
            <w:r>
              <w:rPr>
                <w:rFonts w:hint="eastAsia"/>
                <w:szCs w:val="24"/>
              </w:rPr>
              <w:t>156891㎡</w:t>
            </w:r>
          </w:p>
        </w:tc>
        <w:tc>
          <w:tcPr>
            <w:tcW w:w="376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75" w:hRule="atLeast"/>
        </w:trPr>
        <w:tc>
          <w:tcPr>
            <w:tcW w:w="1110" w:type="dxa"/>
            <w:vAlign w:val="center"/>
          </w:tcPr>
          <w:p>
            <w:pPr>
              <w:spacing w:line="360" w:lineRule="auto"/>
              <w:ind w:left="-110" w:right="-114"/>
              <w:jc w:val="center"/>
              <w:rPr>
                <w:szCs w:val="24"/>
              </w:rPr>
            </w:pPr>
            <w:r>
              <w:rPr>
                <w:rFonts w:hint="eastAsia"/>
                <w:szCs w:val="24"/>
              </w:rPr>
              <w:t>五</w:t>
            </w:r>
          </w:p>
        </w:tc>
        <w:tc>
          <w:tcPr>
            <w:tcW w:w="2340" w:type="dxa"/>
            <w:vAlign w:val="center"/>
          </w:tcPr>
          <w:p>
            <w:pPr>
              <w:spacing w:line="360" w:lineRule="auto"/>
              <w:ind w:left="-110" w:right="-114"/>
              <w:jc w:val="center"/>
              <w:rPr>
                <w:szCs w:val="24"/>
              </w:rPr>
            </w:pPr>
            <w:r>
              <w:rPr>
                <w:rFonts w:hint="eastAsia"/>
                <w:szCs w:val="24"/>
              </w:rPr>
              <w:t>五</w:t>
            </w:r>
            <w:r>
              <w:rPr>
                <w:szCs w:val="24"/>
              </w:rPr>
              <w:t>标段绿化养护</w:t>
            </w:r>
            <w:r>
              <w:rPr>
                <w:szCs w:val="24"/>
              </w:rPr>
              <w:br w:type="textWrapping"/>
            </w:r>
            <w:r>
              <w:rPr>
                <w:szCs w:val="24"/>
              </w:rPr>
              <w:t>（含</w:t>
            </w:r>
            <w:r>
              <w:rPr>
                <w:rFonts w:hint="eastAsia"/>
                <w:color w:val="000000" w:themeColor="text1"/>
                <w:szCs w:val="24"/>
              </w:rPr>
              <w:t>公园巡查、保洁</w:t>
            </w:r>
            <w:r>
              <w:rPr>
                <w:szCs w:val="24"/>
              </w:rPr>
              <w:t>服务）</w:t>
            </w:r>
          </w:p>
        </w:tc>
        <w:tc>
          <w:tcPr>
            <w:tcW w:w="1605" w:type="dxa"/>
            <w:vAlign w:val="center"/>
          </w:tcPr>
          <w:p>
            <w:pPr>
              <w:spacing w:line="360" w:lineRule="auto"/>
              <w:ind w:left="-110" w:right="-114"/>
              <w:jc w:val="center"/>
              <w:rPr>
                <w:szCs w:val="24"/>
              </w:rPr>
            </w:pPr>
            <w:r>
              <w:rPr>
                <w:rFonts w:hint="eastAsia"/>
                <w:szCs w:val="24"/>
              </w:rPr>
              <w:t>217571㎡</w:t>
            </w:r>
          </w:p>
        </w:tc>
        <w:tc>
          <w:tcPr>
            <w:tcW w:w="376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66" w:hRule="atLeast"/>
        </w:trPr>
        <w:tc>
          <w:tcPr>
            <w:tcW w:w="1110" w:type="dxa"/>
            <w:vAlign w:val="center"/>
          </w:tcPr>
          <w:p>
            <w:pPr>
              <w:spacing w:line="360" w:lineRule="auto"/>
              <w:ind w:left="-110" w:right="-114"/>
              <w:jc w:val="center"/>
              <w:rPr>
                <w:szCs w:val="24"/>
              </w:rPr>
            </w:pPr>
            <w:r>
              <w:rPr>
                <w:rFonts w:hint="eastAsia"/>
                <w:szCs w:val="24"/>
              </w:rPr>
              <w:t>六</w:t>
            </w:r>
          </w:p>
        </w:tc>
        <w:tc>
          <w:tcPr>
            <w:tcW w:w="2340" w:type="dxa"/>
            <w:vAlign w:val="center"/>
          </w:tcPr>
          <w:p>
            <w:pPr>
              <w:spacing w:line="360" w:lineRule="auto"/>
              <w:ind w:left="-110" w:right="-114"/>
              <w:jc w:val="center"/>
              <w:rPr>
                <w:szCs w:val="24"/>
              </w:rPr>
            </w:pPr>
            <w:r>
              <w:rPr>
                <w:rFonts w:hint="eastAsia"/>
                <w:szCs w:val="24"/>
              </w:rPr>
              <w:t>六</w:t>
            </w:r>
            <w:r>
              <w:rPr>
                <w:szCs w:val="24"/>
              </w:rPr>
              <w:t>标段绿化养护</w:t>
            </w:r>
          </w:p>
          <w:p>
            <w:pPr>
              <w:spacing w:line="360" w:lineRule="auto"/>
              <w:ind w:left="-110" w:right="-114"/>
              <w:jc w:val="center"/>
              <w:rPr>
                <w:szCs w:val="24"/>
              </w:rPr>
            </w:pPr>
            <w:r>
              <w:rPr>
                <w:szCs w:val="24"/>
              </w:rPr>
              <w:t>（含</w:t>
            </w:r>
            <w:r>
              <w:rPr>
                <w:rFonts w:hint="eastAsia"/>
                <w:color w:val="000000" w:themeColor="text1"/>
                <w:szCs w:val="24"/>
              </w:rPr>
              <w:t>公园巡查、保洁</w:t>
            </w:r>
            <w:r>
              <w:rPr>
                <w:szCs w:val="24"/>
              </w:rPr>
              <w:t>服务）</w:t>
            </w:r>
          </w:p>
        </w:tc>
        <w:tc>
          <w:tcPr>
            <w:tcW w:w="1605" w:type="dxa"/>
            <w:vAlign w:val="center"/>
          </w:tcPr>
          <w:p>
            <w:pPr>
              <w:spacing w:line="360" w:lineRule="auto"/>
              <w:ind w:left="-110" w:right="-114"/>
              <w:jc w:val="center"/>
              <w:rPr>
                <w:szCs w:val="24"/>
              </w:rPr>
            </w:pPr>
            <w:r>
              <w:rPr>
                <w:rFonts w:hint="eastAsia"/>
                <w:szCs w:val="24"/>
              </w:rPr>
              <w:t>234215㎡</w:t>
            </w:r>
          </w:p>
        </w:tc>
        <w:tc>
          <w:tcPr>
            <w:tcW w:w="376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2" w:hRule="atLeast"/>
        </w:trPr>
        <w:tc>
          <w:tcPr>
            <w:tcW w:w="1110" w:type="dxa"/>
            <w:vAlign w:val="center"/>
          </w:tcPr>
          <w:p>
            <w:pPr>
              <w:spacing w:line="360" w:lineRule="auto"/>
              <w:ind w:left="-110" w:right="-114"/>
              <w:jc w:val="center"/>
              <w:rPr>
                <w:szCs w:val="24"/>
              </w:rPr>
            </w:pPr>
            <w:r>
              <w:rPr>
                <w:rFonts w:hint="eastAsia"/>
                <w:szCs w:val="24"/>
              </w:rPr>
              <w:t>七</w:t>
            </w:r>
          </w:p>
        </w:tc>
        <w:tc>
          <w:tcPr>
            <w:tcW w:w="2340" w:type="dxa"/>
            <w:vAlign w:val="center"/>
          </w:tcPr>
          <w:p>
            <w:pPr>
              <w:spacing w:line="360" w:lineRule="auto"/>
              <w:ind w:left="-110" w:right="-114"/>
              <w:jc w:val="center"/>
              <w:rPr>
                <w:szCs w:val="24"/>
              </w:rPr>
            </w:pPr>
            <w:r>
              <w:rPr>
                <w:rFonts w:hint="eastAsia"/>
                <w:szCs w:val="24"/>
              </w:rPr>
              <w:t>七</w:t>
            </w:r>
            <w:r>
              <w:rPr>
                <w:szCs w:val="24"/>
              </w:rPr>
              <w:t>标段绿化养护</w:t>
            </w:r>
          </w:p>
          <w:p>
            <w:pPr>
              <w:spacing w:line="360" w:lineRule="auto"/>
              <w:ind w:left="-110" w:right="-114"/>
              <w:jc w:val="center"/>
              <w:rPr>
                <w:szCs w:val="24"/>
              </w:rPr>
            </w:pPr>
            <w:r>
              <w:rPr>
                <w:szCs w:val="24"/>
              </w:rPr>
              <w:t>（含</w:t>
            </w:r>
            <w:r>
              <w:rPr>
                <w:rFonts w:hint="eastAsia"/>
                <w:color w:val="000000" w:themeColor="text1"/>
                <w:szCs w:val="24"/>
              </w:rPr>
              <w:t>公园巡查、保洁</w:t>
            </w:r>
            <w:r>
              <w:rPr>
                <w:szCs w:val="24"/>
              </w:rPr>
              <w:t>服务）</w:t>
            </w:r>
          </w:p>
        </w:tc>
        <w:tc>
          <w:tcPr>
            <w:tcW w:w="1605" w:type="dxa"/>
            <w:vAlign w:val="center"/>
          </w:tcPr>
          <w:p>
            <w:pPr>
              <w:spacing w:line="360" w:lineRule="auto"/>
              <w:ind w:left="-110" w:right="-114"/>
              <w:jc w:val="center"/>
              <w:rPr>
                <w:szCs w:val="24"/>
              </w:rPr>
            </w:pPr>
            <w:r>
              <w:rPr>
                <w:rFonts w:hint="eastAsia"/>
                <w:szCs w:val="24"/>
              </w:rPr>
              <w:t>188831㎡</w:t>
            </w:r>
          </w:p>
        </w:tc>
        <w:tc>
          <w:tcPr>
            <w:tcW w:w="3765" w:type="dxa"/>
            <w:vMerge w:val="continue"/>
            <w:vAlign w:val="center"/>
          </w:tcPr>
          <w:p>
            <w:pPr>
              <w:spacing w:line="360" w:lineRule="auto"/>
              <w:ind w:left="-110" w:right="-114"/>
              <w:jc w:val="center"/>
              <w:rPr>
                <w:szCs w:val="24"/>
              </w:rPr>
            </w:pPr>
          </w:p>
        </w:tc>
      </w:tr>
    </w:tbl>
    <w:p>
      <w:pPr>
        <w:spacing w:line="360" w:lineRule="auto"/>
        <w:rPr>
          <w:szCs w:val="24"/>
          <w:shd w:val="clear" w:color="FFFFFF" w:fill="D9D9D9"/>
        </w:rPr>
      </w:pPr>
      <w:r>
        <w:rPr>
          <w:szCs w:val="24"/>
        </w:rPr>
        <w:t>服务期限：起始时间以合同签订为准，本服务项目一招暂定3年，合同必须一年一签。续签合同应符合政府采购预算安排要求，申报政府采购计划，经批准，并经采购人</w:t>
      </w:r>
      <w:r>
        <w:rPr>
          <w:rFonts w:hint="eastAsia"/>
          <w:szCs w:val="24"/>
        </w:rPr>
        <w:t>考核合格</w:t>
      </w:r>
      <w:r>
        <w:rPr>
          <w:szCs w:val="24"/>
        </w:rPr>
        <w:t>同意后，方可续签订下一年度的合同。合同续签后，应经原政府采购代理机构见证并报宁海县政府采购管理办公室备案。</w:t>
      </w:r>
    </w:p>
    <w:p>
      <w:pPr>
        <w:tabs>
          <w:tab w:val="left" w:pos="0"/>
        </w:tabs>
        <w:spacing w:line="360" w:lineRule="auto"/>
        <w:ind w:left="105" w:firstLine="211" w:firstLineChars="100"/>
        <w:contextualSpacing/>
        <w:rPr>
          <w:rFonts w:ascii="宋体" w:hAnsi="宋体" w:cs="宋体"/>
          <w:b/>
          <w:bCs/>
          <w:kern w:val="0"/>
          <w:szCs w:val="21"/>
        </w:rPr>
      </w:pPr>
      <w:r>
        <w:rPr>
          <w:rFonts w:hint="eastAsia" w:ascii="宋体" w:hAnsi="宋体" w:cs="宋体"/>
          <w:b/>
          <w:bCs/>
          <w:kern w:val="0"/>
          <w:szCs w:val="21"/>
        </w:rPr>
        <w:t>六、合格投标人的资格要求:</w:t>
      </w:r>
    </w:p>
    <w:p>
      <w:pPr>
        <w:snapToGrid w:val="0"/>
        <w:spacing w:line="360" w:lineRule="auto"/>
        <w:ind w:firstLine="210" w:firstLineChars="100"/>
        <w:rPr>
          <w:rFonts w:ascii="宋体" w:hAnsi="宋体" w:cs="宋体"/>
          <w:szCs w:val="21"/>
        </w:rPr>
      </w:pPr>
      <w:r>
        <w:rPr>
          <w:rFonts w:hint="eastAsia" w:ascii="宋体" w:hAnsi="宋体" w:cs="宋体"/>
          <w:szCs w:val="21"/>
        </w:rPr>
        <w:t>（一）符合《中华人民共和国政府采购法》第二十二条规定的供应商资格条件：</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1、具有独立承担民事责任的能力；</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2、具有良好的商业信誉和健全的财务会计制度；</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3、具有履行合同所必需的设备和专业技术能力；</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4、有依法缴纳税收和社会保障资金的良好记录；</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5、参加政府采购活动前三年内，在经营活动中没有重大违法记录。</w:t>
      </w:r>
    </w:p>
    <w:p>
      <w:pPr>
        <w:tabs>
          <w:tab w:val="left" w:pos="0"/>
        </w:tabs>
        <w:spacing w:line="360" w:lineRule="auto"/>
        <w:ind w:left="105" w:firstLine="210" w:firstLineChars="100"/>
        <w:contextualSpacing/>
        <w:rPr>
          <w:szCs w:val="24"/>
        </w:rPr>
      </w:pPr>
      <w:r>
        <w:rPr>
          <w:rFonts w:hint="eastAsia"/>
          <w:szCs w:val="24"/>
        </w:rPr>
        <w:t>（二）特定条件</w:t>
      </w:r>
    </w:p>
    <w:p>
      <w:pPr>
        <w:snapToGrid w:val="0"/>
        <w:spacing w:line="360" w:lineRule="auto"/>
        <w:ind w:firstLine="420" w:firstLineChars="200"/>
        <w:rPr>
          <w:rFonts w:ascii="宋体" w:hAnsi="宋体" w:cs="宋体"/>
          <w:szCs w:val="21"/>
        </w:rPr>
      </w:pPr>
      <w:r>
        <w:rPr>
          <w:rFonts w:hint="eastAsia" w:ascii="宋体" w:hAnsi="宋体" w:cs="宋体"/>
          <w:szCs w:val="21"/>
        </w:rPr>
        <w:t>1、项目经理须具有园林绿化专业中级及以上职称；</w:t>
      </w:r>
    </w:p>
    <w:p>
      <w:pPr>
        <w:snapToGrid w:val="0"/>
        <w:spacing w:line="360" w:lineRule="auto"/>
        <w:ind w:firstLine="420" w:firstLineChars="200"/>
        <w:rPr>
          <w:rFonts w:ascii="宋体" w:hAnsi="宋体" w:cs="宋体"/>
          <w:szCs w:val="21"/>
        </w:rPr>
      </w:pPr>
      <w:r>
        <w:rPr>
          <w:rFonts w:hint="eastAsia" w:ascii="宋体" w:hAnsi="宋体" w:cs="宋体"/>
          <w:szCs w:val="21"/>
        </w:rPr>
        <w:t>（必须为本单位在职职工，并缴纳社会养老保险（注：投标人须提供拟派的项目负责人在2019年3月以后（含3月）连续六个月的社保证明，如投标人未提供，资格审查不予通过）；</w:t>
      </w:r>
    </w:p>
    <w:p>
      <w:pPr>
        <w:snapToGrid w:val="0"/>
        <w:spacing w:line="360" w:lineRule="auto"/>
        <w:ind w:firstLine="420" w:firstLineChars="200"/>
        <w:rPr>
          <w:rFonts w:ascii="宋体" w:hAnsi="宋体" w:cs="宋体"/>
          <w:szCs w:val="21"/>
        </w:rPr>
      </w:pPr>
      <w:r>
        <w:rPr>
          <w:rFonts w:hint="eastAsia" w:ascii="宋体" w:hAnsi="宋体" w:cs="宋体"/>
          <w:szCs w:val="21"/>
        </w:rPr>
        <w:t>2、本项目不接受联合体；</w:t>
      </w:r>
    </w:p>
    <w:p>
      <w:pPr>
        <w:snapToGrid w:val="0"/>
        <w:spacing w:line="360" w:lineRule="auto"/>
        <w:ind w:firstLine="420" w:firstLineChars="200"/>
      </w:pPr>
      <w:r>
        <w:rPr>
          <w:rFonts w:hint="eastAsia" w:ascii="宋体" w:hAnsi="宋体" w:cs="宋体"/>
          <w:szCs w:val="21"/>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投标人需提供相关证明资料）。</w:t>
      </w:r>
    </w:p>
    <w:p>
      <w:pPr>
        <w:widowControl/>
        <w:spacing w:line="440" w:lineRule="exact"/>
        <w:jc w:val="left"/>
        <w:rPr>
          <w:rFonts w:ascii="宋体" w:hAnsi="宋体" w:cs="宋体"/>
          <w:b/>
          <w:bCs/>
          <w:kern w:val="0"/>
          <w:szCs w:val="21"/>
        </w:rPr>
      </w:pPr>
      <w:bookmarkStart w:id="4" w:name="_Toc435088063"/>
      <w:r>
        <w:rPr>
          <w:rFonts w:hint="eastAsia" w:ascii="宋体" w:hAnsi="宋体" w:cs="宋体"/>
          <w:b/>
          <w:bCs/>
          <w:kern w:val="0"/>
          <w:szCs w:val="21"/>
        </w:rPr>
        <w:t>七、招标文件的发售：</w:t>
      </w:r>
    </w:p>
    <w:p>
      <w:pPr>
        <w:snapToGrid w:val="0"/>
        <w:spacing w:line="360" w:lineRule="auto"/>
        <w:ind w:firstLine="420" w:firstLineChars="200"/>
        <w:jc w:val="left"/>
        <w:rPr>
          <w:rFonts w:ascii="宋体" w:hAnsi="宋体" w:cs="宋体"/>
        </w:rPr>
      </w:pPr>
      <w:r>
        <w:rPr>
          <w:rFonts w:hint="eastAsia" w:ascii="宋体" w:hAnsi="宋体" w:cs="宋体"/>
        </w:rPr>
        <w:t>1、发售时间：公告发布日起至 2019年</w:t>
      </w:r>
      <w:r>
        <w:rPr>
          <w:rFonts w:hint="eastAsia" w:ascii="宋体" w:hAnsi="宋体" w:cs="宋体"/>
          <w:lang w:val="en-US" w:eastAsia="zh-CN"/>
        </w:rPr>
        <w:t>12</w:t>
      </w:r>
      <w:r>
        <w:rPr>
          <w:rFonts w:hint="eastAsia" w:ascii="宋体" w:hAnsi="宋体" w:cs="宋体"/>
        </w:rPr>
        <w:t>月</w:t>
      </w:r>
      <w:r>
        <w:rPr>
          <w:rFonts w:hint="eastAsia" w:ascii="宋体" w:hAnsi="宋体" w:cs="宋体"/>
          <w:lang w:val="en-US" w:eastAsia="zh-CN"/>
        </w:rPr>
        <w:t>09</w:t>
      </w:r>
      <w:r>
        <w:rPr>
          <w:rFonts w:hint="eastAsia" w:ascii="宋体" w:hAnsi="宋体" w:cs="宋体"/>
        </w:rPr>
        <w:t>日（节假日除外），上午：9:00时-11:00时 ；下午14:00时-16:00时；</w:t>
      </w:r>
    </w:p>
    <w:p>
      <w:pPr>
        <w:snapToGrid w:val="0"/>
        <w:spacing w:line="360" w:lineRule="auto"/>
        <w:ind w:firstLine="420" w:firstLineChars="200"/>
        <w:jc w:val="left"/>
        <w:rPr>
          <w:rFonts w:ascii="宋体" w:hAnsi="宋体" w:cs="宋体"/>
        </w:rPr>
      </w:pPr>
      <w:r>
        <w:rPr>
          <w:rFonts w:hint="eastAsia" w:ascii="宋体" w:hAnsi="宋体" w:cs="宋体"/>
        </w:rPr>
        <w:t>2、发售地点：宁波工建工程造价咨询有限公司（宁海县兴工三路69号二楼）；</w:t>
      </w:r>
    </w:p>
    <w:p>
      <w:pPr>
        <w:snapToGrid w:val="0"/>
        <w:spacing w:line="360" w:lineRule="auto"/>
        <w:ind w:firstLine="420" w:firstLineChars="200"/>
        <w:jc w:val="left"/>
        <w:rPr>
          <w:rFonts w:ascii="宋体" w:hAnsi="宋体" w:cs="宋体"/>
        </w:rPr>
      </w:pPr>
      <w:r>
        <w:rPr>
          <w:rFonts w:hint="eastAsia" w:ascii="宋体" w:hAnsi="宋体" w:cs="宋体"/>
        </w:rPr>
        <w:t>售价：招标文件每套500元人民币，售后不退。如需邮购，请与宁波工建工程造价咨询有限公司联系。联系人：王洋/周聪燕  联系电话（传真）：0574-65250961 本公司不对邮寄过程中的遗失负责。</w:t>
      </w:r>
    </w:p>
    <w:p>
      <w:pPr>
        <w:widowControl/>
        <w:spacing w:line="360" w:lineRule="auto"/>
        <w:ind w:firstLine="310" w:firstLineChars="147"/>
        <w:jc w:val="left"/>
        <w:rPr>
          <w:rFonts w:ascii="宋体" w:hAnsi="宋体" w:cs="宋体"/>
          <w:kern w:val="0"/>
          <w:szCs w:val="21"/>
        </w:rPr>
      </w:pPr>
      <w:r>
        <w:rPr>
          <w:rFonts w:hint="eastAsia" w:ascii="宋体" w:hAnsi="宋体" w:cs="宋体"/>
          <w:b/>
          <w:bCs/>
          <w:kern w:val="0"/>
          <w:szCs w:val="21"/>
        </w:rPr>
        <w:t>购买招标文件时必须提供的资料：</w:t>
      </w:r>
    </w:p>
    <w:p>
      <w:pPr>
        <w:snapToGrid w:val="0"/>
        <w:spacing w:line="360" w:lineRule="auto"/>
        <w:ind w:firstLine="420" w:firstLineChars="200"/>
        <w:jc w:val="left"/>
        <w:rPr>
          <w:rFonts w:ascii="宋体" w:hAnsi="宋体" w:cs="宋体"/>
        </w:rPr>
      </w:pPr>
      <w:r>
        <w:rPr>
          <w:rFonts w:hint="eastAsia" w:ascii="宋体" w:hAnsi="宋体" w:cs="宋体"/>
        </w:rPr>
        <w:t xml:space="preserve">1、法定代表人授权书，授权委托代表人身份证； </w:t>
      </w:r>
    </w:p>
    <w:p>
      <w:pPr>
        <w:snapToGrid w:val="0"/>
        <w:spacing w:line="360" w:lineRule="auto"/>
        <w:ind w:firstLine="420" w:firstLineChars="200"/>
        <w:jc w:val="left"/>
        <w:rPr>
          <w:rFonts w:ascii="宋体" w:hAnsi="宋体" w:cs="宋体"/>
        </w:rPr>
      </w:pPr>
      <w:r>
        <w:rPr>
          <w:rFonts w:hint="eastAsia" w:ascii="宋体" w:hAnsi="宋体" w:cs="宋体"/>
        </w:rPr>
        <w:t>2、企业营业执照副本、组织机构代码证</w:t>
      </w:r>
      <w:r>
        <w:rPr>
          <w:rFonts w:hint="eastAsia" w:hAnsi="宋体" w:cs="宋体"/>
          <w:color w:val="000000"/>
        </w:rPr>
        <w:t>（若五证合一的仅需提供营业执照）</w:t>
      </w:r>
      <w:r>
        <w:rPr>
          <w:rFonts w:hint="eastAsia" w:ascii="宋体" w:hAnsi="宋体" w:cs="宋体"/>
        </w:rPr>
        <w:t>；</w:t>
      </w:r>
    </w:p>
    <w:p>
      <w:pPr>
        <w:snapToGrid w:val="0"/>
        <w:spacing w:line="360" w:lineRule="auto"/>
        <w:ind w:firstLine="420" w:firstLineChars="200"/>
        <w:jc w:val="left"/>
        <w:rPr>
          <w:rFonts w:ascii="宋体" w:hAnsi="宋体" w:cs="宋体"/>
        </w:rPr>
      </w:pPr>
      <w:r>
        <w:rPr>
          <w:rFonts w:hint="eastAsia" w:ascii="宋体" w:hAnsi="宋体" w:cs="宋体"/>
        </w:rPr>
        <w:t>3、职称证明；</w:t>
      </w:r>
    </w:p>
    <w:p>
      <w:pPr>
        <w:snapToGrid w:val="0"/>
        <w:spacing w:line="360" w:lineRule="auto"/>
        <w:ind w:firstLine="420" w:firstLineChars="200"/>
        <w:jc w:val="left"/>
        <w:rPr>
          <w:rFonts w:ascii="宋体" w:hAnsi="宋体" w:cs="宋体"/>
        </w:rPr>
      </w:pPr>
      <w:r>
        <w:rPr>
          <w:rFonts w:hint="eastAsia" w:ascii="宋体" w:hAnsi="宋体" w:cs="宋体"/>
        </w:rPr>
        <w:t>4、联系人及联系方式；</w:t>
      </w:r>
    </w:p>
    <w:p>
      <w:pPr>
        <w:widowControl/>
        <w:spacing w:line="360" w:lineRule="auto"/>
        <w:ind w:firstLine="420"/>
        <w:jc w:val="left"/>
        <w:rPr>
          <w:rFonts w:ascii="宋体" w:hAnsi="宋体" w:cs="宋体"/>
          <w:kern w:val="0"/>
          <w:szCs w:val="21"/>
        </w:rPr>
      </w:pPr>
      <w:r>
        <w:rPr>
          <w:rFonts w:hint="eastAsia" w:ascii="宋体" w:hAnsi="宋体" w:cs="宋体"/>
          <w:kern w:val="0"/>
          <w:szCs w:val="21"/>
        </w:rPr>
        <w:t>以上资料复印件必须加盖公章，如有缺漏，招标代理机构将拒绝接受其报名。</w:t>
      </w:r>
    </w:p>
    <w:p>
      <w:pPr>
        <w:snapToGrid w:val="0"/>
        <w:spacing w:line="440" w:lineRule="exact"/>
        <w:ind w:firstLine="211" w:firstLineChars="100"/>
        <w:rPr>
          <w:rFonts w:ascii="宋体" w:hAnsi="宋体" w:cs="宋体"/>
          <w:szCs w:val="21"/>
        </w:rPr>
      </w:pPr>
      <w:r>
        <w:rPr>
          <w:rFonts w:hint="eastAsia" w:ascii="宋体" w:hAnsi="宋体" w:cs="宋体"/>
          <w:b/>
          <w:bCs/>
          <w:szCs w:val="21"/>
        </w:rPr>
        <w:t>八、投标保证金</w:t>
      </w:r>
      <w:r>
        <w:rPr>
          <w:rFonts w:hint="eastAsia" w:ascii="宋体" w:hAnsi="宋体" w:cs="宋体"/>
          <w:szCs w:val="21"/>
        </w:rPr>
        <w:t>：</w:t>
      </w:r>
    </w:p>
    <w:p>
      <w:pPr>
        <w:snapToGrid w:val="0"/>
        <w:spacing w:line="360" w:lineRule="auto"/>
        <w:ind w:firstLine="420" w:firstLineChars="200"/>
        <w:rPr>
          <w:rFonts w:ascii="宋体" w:hAnsi="宋体" w:cs="宋体"/>
          <w:szCs w:val="21"/>
        </w:rPr>
      </w:pPr>
      <w:r>
        <w:rPr>
          <w:rFonts w:hint="eastAsia" w:ascii="宋体" w:hAnsi="宋体" w:cs="宋体"/>
          <w:szCs w:val="21"/>
        </w:rPr>
        <w:t>投标保证金：</w:t>
      </w:r>
      <w:r>
        <w:rPr>
          <w:rFonts w:hint="eastAsia"/>
          <w:szCs w:val="24"/>
        </w:rPr>
        <w:t>每标段人民币肆万元整（</w:t>
      </w:r>
      <w:r>
        <w:rPr>
          <w:rFonts w:hint="eastAsia" w:ascii="华文仿宋" w:hAnsi="华文仿宋" w:eastAsia="华文仿宋" w:cs="华文仿宋"/>
          <w:szCs w:val="24"/>
        </w:rPr>
        <w:t>￥</w:t>
      </w:r>
      <w:r>
        <w:rPr>
          <w:rFonts w:hint="eastAsia"/>
          <w:szCs w:val="24"/>
        </w:rPr>
        <w:t>40000.00）</w:t>
      </w:r>
      <w:r>
        <w:rPr>
          <w:rFonts w:hint="eastAsia" w:ascii="宋体" w:hAnsi="宋体" w:cs="宋体"/>
          <w:szCs w:val="21"/>
        </w:rPr>
        <w:t>；</w:t>
      </w:r>
    </w:p>
    <w:p>
      <w:pPr>
        <w:snapToGrid w:val="0"/>
        <w:spacing w:line="360" w:lineRule="auto"/>
        <w:ind w:firstLine="420" w:firstLineChars="200"/>
        <w:rPr>
          <w:rFonts w:ascii="宋体" w:hAnsi="宋体" w:cs="宋体"/>
          <w:szCs w:val="21"/>
        </w:rPr>
      </w:pPr>
      <w:r>
        <w:rPr>
          <w:rFonts w:hint="eastAsia" w:ascii="宋体" w:hAnsi="宋体" w:cs="宋体"/>
          <w:szCs w:val="21"/>
        </w:rPr>
        <w:t>保证金收妥抵用(即到帐)截止时间：2019年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23</w:t>
      </w:r>
      <w:r>
        <w:rPr>
          <w:rFonts w:hint="eastAsia" w:ascii="宋体" w:hAnsi="宋体" w:cs="宋体"/>
          <w:szCs w:val="21"/>
        </w:rPr>
        <w:t>日16:00，各单位以转账支票(必须实时清算)、银行汇票、电汇、银行保函形式向宁波工建工程造价咨询有限公司提交；</w:t>
      </w:r>
    </w:p>
    <w:p>
      <w:pPr>
        <w:snapToGrid w:val="0"/>
        <w:spacing w:line="360" w:lineRule="auto"/>
        <w:ind w:firstLine="420" w:firstLineChars="200"/>
        <w:rPr>
          <w:rFonts w:ascii="宋体" w:hAnsi="宋体" w:cs="宋体"/>
          <w:szCs w:val="21"/>
        </w:rPr>
      </w:pPr>
      <w:r>
        <w:rPr>
          <w:rFonts w:hint="eastAsia" w:ascii="宋体" w:hAnsi="宋体" w:cs="宋体"/>
          <w:szCs w:val="21"/>
        </w:rPr>
        <w:t>保证金交纳账户名：宁波工建工程造价咨询有限公司；</w:t>
      </w:r>
    </w:p>
    <w:p>
      <w:pPr>
        <w:snapToGrid w:val="0"/>
        <w:spacing w:line="360" w:lineRule="auto"/>
        <w:ind w:firstLine="420" w:firstLineChars="200"/>
        <w:rPr>
          <w:rFonts w:ascii="宋体" w:hAnsi="宋体" w:cs="宋体"/>
          <w:szCs w:val="21"/>
        </w:rPr>
      </w:pPr>
      <w:r>
        <w:rPr>
          <w:rFonts w:hint="eastAsia" w:ascii="宋体" w:hAnsi="宋体" w:cs="宋体"/>
          <w:szCs w:val="21"/>
        </w:rPr>
        <w:t>开户银行：工行宁海县支行；</w:t>
      </w:r>
    </w:p>
    <w:p>
      <w:pPr>
        <w:snapToGrid w:val="0"/>
        <w:spacing w:line="360" w:lineRule="auto"/>
        <w:ind w:firstLine="420" w:firstLineChars="200"/>
        <w:rPr>
          <w:rFonts w:ascii="宋体" w:hAnsi="宋体" w:cs="宋体"/>
          <w:szCs w:val="21"/>
        </w:rPr>
      </w:pPr>
      <w:r>
        <w:rPr>
          <w:rFonts w:hint="eastAsia" w:ascii="宋体" w:hAnsi="宋体" w:cs="宋体"/>
          <w:szCs w:val="21"/>
        </w:rPr>
        <w:t>帐号：3901330019200195597；</w:t>
      </w:r>
    </w:p>
    <w:p>
      <w:pPr>
        <w:snapToGrid w:val="0"/>
        <w:spacing w:line="360" w:lineRule="auto"/>
        <w:ind w:firstLine="420" w:firstLineChars="200"/>
        <w:rPr>
          <w:rFonts w:ascii="宋体" w:hAnsi="宋体" w:cs="宋体"/>
          <w:szCs w:val="21"/>
        </w:rPr>
      </w:pPr>
      <w:r>
        <w:rPr>
          <w:rFonts w:hint="eastAsia" w:ascii="宋体" w:hAnsi="宋体" w:cs="宋体"/>
          <w:szCs w:val="21"/>
        </w:rPr>
        <w:t>投标人须按规定缴纳保证金，保证金一律由投标人在相应时限内通过投标人公司基本账户缴入。</w:t>
      </w:r>
    </w:p>
    <w:p>
      <w:pPr>
        <w:widowControl/>
        <w:tabs>
          <w:tab w:val="left" w:pos="180"/>
          <w:tab w:val="left" w:pos="360"/>
        </w:tabs>
        <w:adjustRightInd w:val="0"/>
        <w:snapToGrid w:val="0"/>
        <w:spacing w:line="360" w:lineRule="auto"/>
        <w:ind w:left="273" w:leftChars="130" w:firstLine="105" w:firstLineChars="50"/>
        <w:jc w:val="left"/>
        <w:rPr>
          <w:rFonts w:ascii="宋体" w:hAnsi="宋体" w:cs="宋体"/>
        </w:rPr>
      </w:pPr>
      <w:r>
        <w:rPr>
          <w:rFonts w:hint="eastAsia" w:ascii="宋体" w:hAnsi="宋体" w:cs="宋体"/>
          <w:b/>
        </w:rPr>
        <w:t>九、投标截止时间及开标时间</w:t>
      </w:r>
      <w:r>
        <w:rPr>
          <w:rFonts w:hint="eastAsia" w:ascii="宋体" w:hAnsi="宋体" w:cs="宋体"/>
        </w:rPr>
        <w:t>：</w:t>
      </w:r>
      <w:r>
        <w:rPr>
          <w:rFonts w:hint="eastAsia" w:ascii="宋体" w:hAnsi="宋体" w:cs="宋体"/>
          <w:b/>
          <w:bCs/>
        </w:rPr>
        <w:t>2019年</w:t>
      </w:r>
      <w:r>
        <w:rPr>
          <w:rFonts w:hint="eastAsia" w:ascii="宋体" w:hAnsi="宋体" w:cs="宋体"/>
          <w:b/>
          <w:bCs/>
          <w:lang w:val="en-US" w:eastAsia="zh-CN"/>
        </w:rPr>
        <w:t>12</w:t>
      </w:r>
      <w:r>
        <w:rPr>
          <w:rFonts w:hint="eastAsia" w:ascii="宋体" w:hAnsi="宋体" w:cs="宋体"/>
          <w:b/>
          <w:bCs/>
        </w:rPr>
        <w:t>月</w:t>
      </w:r>
      <w:r>
        <w:rPr>
          <w:rFonts w:hint="eastAsia" w:ascii="宋体" w:hAnsi="宋体" w:cs="宋体"/>
          <w:b/>
          <w:bCs/>
          <w:lang w:val="en-US" w:eastAsia="zh-CN"/>
        </w:rPr>
        <w:t>25</w:t>
      </w:r>
      <w:r>
        <w:rPr>
          <w:rFonts w:hint="eastAsia" w:ascii="宋体" w:hAnsi="宋体" w:cs="宋体"/>
          <w:b/>
          <w:bCs/>
        </w:rPr>
        <w:t>日</w:t>
      </w:r>
      <w:r>
        <w:rPr>
          <w:rFonts w:hint="eastAsia" w:ascii="宋体" w:hAnsi="宋体" w:cs="宋体"/>
          <w:b/>
          <w:bCs/>
          <w:lang w:val="en-US" w:eastAsia="zh-CN"/>
        </w:rPr>
        <w:t>09</w:t>
      </w:r>
      <w:r>
        <w:rPr>
          <w:rFonts w:hint="eastAsia" w:ascii="宋体" w:hAnsi="宋体" w:cs="宋体"/>
          <w:b/>
          <w:bCs/>
        </w:rPr>
        <w:t>时（北京时间）</w:t>
      </w:r>
      <w:r>
        <w:rPr>
          <w:rFonts w:hint="eastAsia" w:ascii="宋体" w:hAnsi="宋体" w:cs="宋体"/>
        </w:rPr>
        <w:t>。</w:t>
      </w:r>
    </w:p>
    <w:p>
      <w:pPr>
        <w:snapToGrid w:val="0"/>
        <w:spacing w:line="360" w:lineRule="auto"/>
        <w:ind w:firstLine="420" w:firstLineChars="200"/>
        <w:rPr>
          <w:rFonts w:ascii="宋体" w:hAnsi="宋体" w:cs="宋体"/>
          <w:szCs w:val="21"/>
        </w:rPr>
      </w:pPr>
      <w:r>
        <w:rPr>
          <w:rFonts w:hint="eastAsia" w:ascii="宋体" w:hAnsi="宋体" w:cs="宋体"/>
          <w:szCs w:val="21"/>
        </w:rPr>
        <w:t>十、投标、开标地点：宁海县公共资源交易中心(宁海县桃源街道金水东路5号五楼，详见当天五楼大厅公告)。</w:t>
      </w:r>
    </w:p>
    <w:p>
      <w:pPr>
        <w:widowControl/>
        <w:tabs>
          <w:tab w:val="left" w:pos="180"/>
          <w:tab w:val="left" w:pos="360"/>
        </w:tabs>
        <w:adjustRightInd w:val="0"/>
        <w:snapToGrid w:val="0"/>
        <w:spacing w:line="440" w:lineRule="exact"/>
        <w:ind w:left="273" w:leftChars="130"/>
        <w:jc w:val="left"/>
        <w:rPr>
          <w:rFonts w:ascii="宋体" w:hAnsi="宋体" w:cs="宋体"/>
        </w:rPr>
      </w:pPr>
      <w:r>
        <w:rPr>
          <w:rFonts w:hint="eastAsia" w:ascii="宋体" w:hAnsi="宋体" w:cs="宋体"/>
        </w:rPr>
        <w:t xml:space="preserve"> 十一、投标文件递交方式：密封装袋加盖公章后直接送达现场。</w:t>
      </w:r>
    </w:p>
    <w:p>
      <w:pPr>
        <w:widowControl/>
        <w:tabs>
          <w:tab w:val="left" w:pos="180"/>
          <w:tab w:val="left" w:pos="360"/>
        </w:tabs>
        <w:adjustRightInd w:val="0"/>
        <w:snapToGrid w:val="0"/>
        <w:spacing w:line="440" w:lineRule="exact"/>
        <w:ind w:firstLine="422" w:firstLineChars="200"/>
        <w:rPr>
          <w:rFonts w:ascii="宋体" w:hAnsi="宋体" w:cs="宋体"/>
          <w:b/>
        </w:rPr>
      </w:pPr>
      <w:r>
        <w:rPr>
          <w:rFonts w:hint="eastAsia" w:ascii="宋体" w:hAnsi="宋体" w:cs="宋体"/>
          <w:b/>
        </w:rPr>
        <w:t>十二、本次招标有关信息公告在:宁波政府采购网(http://www.nbzfcg.cn)、宁海县公共资源交易信息网（</w:t>
      </w:r>
      <w:r>
        <w:fldChar w:fldCharType="begin"/>
      </w:r>
      <w:r>
        <w:instrText xml:space="preserve"> HYPERLINK "http://www.nhztb.gov.cn/" </w:instrText>
      </w:r>
      <w:r>
        <w:fldChar w:fldCharType="separate"/>
      </w:r>
      <w:r>
        <w:rPr>
          <w:rFonts w:hint="eastAsia" w:ascii="宋体" w:hAnsi="宋体" w:cs="宋体"/>
          <w:b/>
        </w:rPr>
        <w:t>http://www.nhztb.gov.cn</w:t>
      </w:r>
      <w:r>
        <w:rPr>
          <w:rFonts w:hint="eastAsia" w:ascii="宋体" w:hAnsi="宋体" w:cs="宋体"/>
          <w:b/>
        </w:rPr>
        <w:fldChar w:fldCharType="end"/>
      </w:r>
      <w:r>
        <w:rPr>
          <w:rFonts w:hint="eastAsia" w:ascii="宋体" w:hAnsi="宋体" w:cs="宋体"/>
          <w:b/>
        </w:rPr>
        <w:t>）。</w:t>
      </w:r>
    </w:p>
    <w:p>
      <w:pPr>
        <w:snapToGrid w:val="0"/>
        <w:spacing w:line="400" w:lineRule="exact"/>
        <w:ind w:firstLine="422" w:firstLineChars="200"/>
        <w:rPr>
          <w:rFonts w:ascii="宋体" w:hAnsi="宋体" w:cs="宋体"/>
          <w:b/>
          <w:szCs w:val="21"/>
        </w:rPr>
      </w:pPr>
      <w:r>
        <w:rPr>
          <w:rFonts w:hint="eastAsia" w:ascii="宋体" w:hAnsi="宋体" w:cs="宋体"/>
          <w:b/>
        </w:rPr>
        <w:t>十三、</w:t>
      </w:r>
      <w:r>
        <w:rPr>
          <w:rFonts w:hint="eastAsia" w:ascii="宋体" w:hAnsi="宋体" w:cs="宋体"/>
          <w:b/>
          <w:szCs w:val="21"/>
        </w:rPr>
        <w:t>投标人需按照《浙江省政府采购投标人注册及诚信管理暂行办法》的规定在“浙江政府采购网(http://www.zjzfcg.gov.cn)”政采云平台注册登记的，成为浙江省政府采购注册投标人。如未注册的投标人，请注意注册所需时间。</w:t>
      </w:r>
    </w:p>
    <w:p>
      <w:pPr>
        <w:snapToGrid w:val="0"/>
        <w:spacing w:line="400" w:lineRule="exact"/>
        <w:ind w:firstLine="422" w:firstLineChars="200"/>
        <w:rPr>
          <w:rFonts w:ascii="宋体" w:hAnsi="宋体" w:cs="宋体"/>
          <w:b/>
          <w:szCs w:val="21"/>
        </w:rPr>
      </w:pPr>
      <w:r>
        <w:rPr>
          <w:rFonts w:hint="eastAsia" w:ascii="宋体" w:hAnsi="宋体" w:cs="宋体"/>
          <w:b/>
          <w:szCs w:val="21"/>
        </w:rPr>
        <w:t>十四、落实政策：</w:t>
      </w:r>
    </w:p>
    <w:p>
      <w:pPr>
        <w:snapToGrid w:val="0"/>
        <w:spacing w:line="400" w:lineRule="exact"/>
        <w:ind w:firstLine="420" w:firstLineChars="200"/>
      </w:pPr>
      <w:r>
        <w:rPr>
          <w:rFonts w:hint="eastAsia" w:ascii="宋体" w:hAnsi="宋体" w:cs="宋体"/>
          <w:bCs/>
          <w:szCs w:val="21"/>
        </w:rPr>
        <w:t>《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文）、财库〔2019〕18号和财库〔2019〕19号。</w:t>
      </w:r>
    </w:p>
    <w:p>
      <w:pPr>
        <w:widowControl/>
        <w:spacing w:line="440" w:lineRule="exact"/>
        <w:ind w:firstLine="420" w:firstLineChars="200"/>
        <w:jc w:val="left"/>
        <w:rPr>
          <w:rFonts w:ascii="宋体" w:hAnsi="宋体" w:cs="宋体"/>
        </w:rPr>
      </w:pPr>
      <w:r>
        <w:rPr>
          <w:rFonts w:hint="eastAsia" w:ascii="宋体" w:hAnsi="宋体" w:cs="宋体"/>
        </w:rPr>
        <w:t>十五、联系方式</w:t>
      </w:r>
    </w:p>
    <w:p>
      <w:pPr>
        <w:widowControl/>
        <w:spacing w:line="440" w:lineRule="exact"/>
        <w:ind w:firstLine="420" w:firstLineChars="200"/>
        <w:jc w:val="left"/>
        <w:rPr>
          <w:rFonts w:ascii="宋体" w:hAnsi="宋体" w:cs="宋体"/>
        </w:rPr>
      </w:pPr>
      <w:r>
        <w:rPr>
          <w:rFonts w:hint="eastAsia" w:ascii="宋体" w:hAnsi="宋体" w:cs="宋体"/>
        </w:rPr>
        <w:t xml:space="preserve">  采购人：</w:t>
      </w:r>
      <w:r>
        <w:rPr>
          <w:rFonts w:hint="eastAsia" w:ascii="宋体" w:hAnsi="宋体" w:cs="宋体"/>
          <w:lang w:val="zh-CN"/>
        </w:rPr>
        <w:t>宁海县园林管理中心</w:t>
      </w:r>
    </w:p>
    <w:p>
      <w:pPr>
        <w:widowControl/>
        <w:spacing w:line="440" w:lineRule="exact"/>
        <w:ind w:firstLine="420" w:firstLineChars="200"/>
        <w:jc w:val="left"/>
        <w:rPr>
          <w:rFonts w:ascii="宋体" w:hAnsi="宋体" w:cs="宋体"/>
        </w:rPr>
      </w:pPr>
      <w:r>
        <w:rPr>
          <w:rFonts w:hint="eastAsia" w:ascii="宋体" w:hAnsi="宋体" w:cs="宋体"/>
        </w:rPr>
        <w:t xml:space="preserve">  联系人：杨漂漂</w:t>
      </w:r>
    </w:p>
    <w:p>
      <w:pPr>
        <w:widowControl/>
        <w:spacing w:line="440" w:lineRule="exact"/>
        <w:ind w:firstLine="420" w:firstLineChars="200"/>
        <w:jc w:val="left"/>
        <w:rPr>
          <w:rFonts w:ascii="宋体" w:hAnsi="宋体" w:cs="宋体"/>
        </w:rPr>
      </w:pPr>
      <w:r>
        <w:rPr>
          <w:rFonts w:hint="eastAsia" w:ascii="宋体" w:hAnsi="宋体" w:cs="宋体"/>
        </w:rPr>
        <w:t xml:space="preserve">  联系电话</w:t>
      </w:r>
      <w:r>
        <w:rPr>
          <w:rFonts w:hint="eastAsia" w:hAnsi="宋体"/>
          <w:color w:val="000000"/>
        </w:rPr>
        <w:t>：</w:t>
      </w:r>
      <w:r>
        <w:rPr>
          <w:rFonts w:hint="eastAsia" w:ascii="宋体" w:hAnsi="宋体" w:cs="宋体"/>
          <w:szCs w:val="22"/>
        </w:rPr>
        <w:t xml:space="preserve">0574-59979692 </w:t>
      </w:r>
    </w:p>
    <w:p>
      <w:pPr>
        <w:widowControl/>
        <w:spacing w:line="440" w:lineRule="exact"/>
        <w:ind w:firstLine="420" w:firstLineChars="200"/>
        <w:jc w:val="left"/>
        <w:rPr>
          <w:rFonts w:ascii="宋体" w:hAnsi="宋体" w:cs="宋体"/>
        </w:rPr>
      </w:pPr>
    </w:p>
    <w:p>
      <w:pPr>
        <w:widowControl/>
        <w:spacing w:line="440" w:lineRule="exact"/>
        <w:ind w:firstLine="420" w:firstLineChars="200"/>
        <w:jc w:val="left"/>
        <w:rPr>
          <w:rFonts w:ascii="宋体" w:hAnsi="宋体" w:cs="宋体"/>
        </w:rPr>
      </w:pPr>
      <w:r>
        <w:rPr>
          <w:rFonts w:hint="eastAsia" w:ascii="宋体" w:hAnsi="宋体" w:cs="宋体"/>
        </w:rPr>
        <w:t xml:space="preserve">  代理机构：宁波工建工程造价咨询有限公司</w:t>
      </w:r>
    </w:p>
    <w:p>
      <w:pPr>
        <w:widowControl/>
        <w:spacing w:line="440" w:lineRule="exact"/>
        <w:ind w:firstLine="420" w:firstLineChars="200"/>
        <w:jc w:val="left"/>
        <w:rPr>
          <w:rFonts w:ascii="宋体" w:hAnsi="宋体" w:cs="宋体"/>
        </w:rPr>
      </w:pPr>
      <w:r>
        <w:rPr>
          <w:rFonts w:hint="eastAsia" w:ascii="宋体" w:hAnsi="宋体" w:cs="宋体"/>
        </w:rPr>
        <w:t xml:space="preserve">  地    址：宁海县桃源街道兴工三路69号二楼</w:t>
      </w:r>
    </w:p>
    <w:p>
      <w:pPr>
        <w:widowControl/>
        <w:spacing w:line="440" w:lineRule="exact"/>
        <w:ind w:firstLine="420" w:firstLineChars="200"/>
        <w:jc w:val="left"/>
        <w:rPr>
          <w:rFonts w:ascii="宋体" w:hAnsi="宋体" w:cs="宋体"/>
        </w:rPr>
      </w:pPr>
      <w:r>
        <w:rPr>
          <w:rFonts w:hint="eastAsia" w:ascii="宋体" w:hAnsi="宋体" w:cs="宋体"/>
        </w:rPr>
        <w:t xml:space="preserve">  联 系 人：王洋/周聪燕       </w:t>
      </w:r>
    </w:p>
    <w:p>
      <w:pPr>
        <w:widowControl/>
        <w:spacing w:line="440" w:lineRule="exact"/>
        <w:ind w:firstLine="420" w:firstLineChars="200"/>
        <w:jc w:val="left"/>
        <w:rPr>
          <w:rFonts w:ascii="宋体" w:hAnsi="宋体" w:cs="宋体"/>
        </w:rPr>
      </w:pPr>
      <w:r>
        <w:rPr>
          <w:rFonts w:hint="eastAsia" w:ascii="宋体" w:hAnsi="宋体" w:cs="宋体"/>
        </w:rPr>
        <w:t xml:space="preserve">  联系电话（传真）：0574-65250961</w:t>
      </w:r>
    </w:p>
    <w:p>
      <w:pPr>
        <w:widowControl/>
        <w:spacing w:line="440" w:lineRule="exact"/>
        <w:ind w:firstLine="420" w:firstLineChars="200"/>
        <w:jc w:val="left"/>
        <w:rPr>
          <w:rFonts w:ascii="宋体" w:hAnsi="宋体" w:cs="宋体"/>
        </w:rPr>
      </w:pPr>
    </w:p>
    <w:p>
      <w:pPr>
        <w:widowControl/>
        <w:spacing w:line="440" w:lineRule="exact"/>
        <w:ind w:firstLine="630" w:firstLineChars="300"/>
        <w:jc w:val="left"/>
        <w:rPr>
          <w:rFonts w:ascii="宋体" w:hAnsi="宋体" w:cs="宋体"/>
        </w:rPr>
      </w:pPr>
      <w:r>
        <w:rPr>
          <w:rFonts w:hint="eastAsia" w:ascii="宋体" w:hAnsi="宋体" w:cs="宋体"/>
        </w:rPr>
        <w:t>财政部门：宁海县政府采购管理办公室</w:t>
      </w:r>
    </w:p>
    <w:p>
      <w:pPr>
        <w:widowControl/>
        <w:spacing w:line="440" w:lineRule="exact"/>
        <w:ind w:firstLine="420" w:firstLineChars="200"/>
        <w:jc w:val="left"/>
        <w:rPr>
          <w:rFonts w:ascii="宋体" w:hAnsi="宋体" w:cs="宋体"/>
        </w:rPr>
      </w:pPr>
      <w:r>
        <w:rPr>
          <w:rFonts w:hint="eastAsia" w:ascii="宋体" w:hAnsi="宋体" w:cs="宋体"/>
        </w:rPr>
        <w:t> 地址：宁海县桃源中路218号</w:t>
      </w:r>
    </w:p>
    <w:p>
      <w:pPr>
        <w:widowControl/>
        <w:spacing w:line="440" w:lineRule="exact"/>
        <w:ind w:firstLine="420" w:firstLineChars="200"/>
        <w:jc w:val="left"/>
        <w:rPr>
          <w:rFonts w:ascii="宋体" w:hAnsi="宋体" w:cs="宋体"/>
        </w:rPr>
      </w:pPr>
      <w:r>
        <w:rPr>
          <w:rFonts w:hint="eastAsia" w:ascii="宋体" w:hAnsi="宋体" w:cs="宋体"/>
        </w:rPr>
        <w:t> 联系人：王老师</w:t>
      </w:r>
    </w:p>
    <w:p>
      <w:pPr>
        <w:widowControl/>
        <w:spacing w:line="440" w:lineRule="exact"/>
        <w:ind w:firstLine="630" w:firstLineChars="300"/>
        <w:jc w:val="left"/>
        <w:rPr>
          <w:rFonts w:ascii="宋体" w:hAnsi="宋体" w:cs="宋体"/>
        </w:rPr>
      </w:pPr>
      <w:r>
        <w:rPr>
          <w:rFonts w:hint="eastAsia" w:ascii="宋体" w:hAnsi="宋体" w:cs="宋体"/>
        </w:rPr>
        <w:t>联系电话：0574-65265668</w:t>
      </w:r>
    </w:p>
    <w:p>
      <w:pPr>
        <w:widowControl/>
        <w:spacing w:line="440" w:lineRule="exact"/>
        <w:ind w:firstLine="630" w:firstLineChars="300"/>
        <w:jc w:val="left"/>
        <w:rPr>
          <w:rFonts w:ascii="宋体" w:hAnsi="宋体" w:cs="宋体"/>
        </w:rPr>
      </w:pPr>
    </w:p>
    <w:p>
      <w:pPr>
        <w:widowControl/>
        <w:spacing w:line="440" w:lineRule="exact"/>
        <w:ind w:firstLine="630" w:firstLineChars="300"/>
        <w:jc w:val="left"/>
        <w:rPr>
          <w:rFonts w:ascii="宋体" w:hAnsi="宋体" w:cs="宋体"/>
        </w:rPr>
      </w:pPr>
    </w:p>
    <w:p>
      <w:pPr>
        <w:widowControl/>
        <w:spacing w:line="440" w:lineRule="exact"/>
        <w:ind w:firstLine="630" w:firstLineChars="300"/>
        <w:jc w:val="left"/>
        <w:rPr>
          <w:rFonts w:ascii="宋体" w:hAnsi="宋体" w:cs="宋体"/>
        </w:rPr>
      </w:pPr>
    </w:p>
    <w:p>
      <w:pPr>
        <w:pStyle w:val="42"/>
        <w:rPr>
          <w:rFonts w:ascii="Times New Roman" w:hAnsi="Times New Roman"/>
          <w:w w:val="80"/>
        </w:rPr>
      </w:pPr>
      <w:r>
        <w:rPr>
          <w:rFonts w:hint="eastAsia" w:ascii="Times New Roman" w:hAnsi="Times New Roman"/>
          <w:kern w:val="44"/>
        </w:rPr>
        <w:t>第二章 投标资料表</w:t>
      </w:r>
      <w:bookmarkEnd w:id="4"/>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4"/>
        <w:gridCol w:w="835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tblHeader/>
          <w:jc w:val="center"/>
        </w:trPr>
        <w:tc>
          <w:tcPr>
            <w:tcW w:w="714" w:type="dxa"/>
            <w:tcBorders>
              <w:bottom w:val="single" w:color="auto" w:sz="4" w:space="0"/>
            </w:tcBorders>
            <w:vAlign w:val="center"/>
          </w:tcPr>
          <w:p>
            <w:pPr>
              <w:spacing w:line="340" w:lineRule="exact"/>
              <w:ind w:left="-108" w:right="-113"/>
              <w:contextualSpacing/>
              <w:jc w:val="center"/>
              <w:rPr>
                <w:szCs w:val="24"/>
              </w:rPr>
            </w:pPr>
            <w:r>
              <w:rPr>
                <w:rFonts w:hint="eastAsia"/>
                <w:szCs w:val="24"/>
              </w:rPr>
              <w:t>条款号</w:t>
            </w:r>
          </w:p>
        </w:tc>
        <w:tc>
          <w:tcPr>
            <w:tcW w:w="8358" w:type="dxa"/>
            <w:tcBorders>
              <w:bottom w:val="single" w:color="auto" w:sz="4" w:space="0"/>
            </w:tcBorders>
            <w:vAlign w:val="center"/>
          </w:tcPr>
          <w:p>
            <w:pPr>
              <w:spacing w:line="340" w:lineRule="exact"/>
              <w:contextualSpacing/>
              <w:jc w:val="center"/>
              <w:rPr>
                <w:szCs w:val="24"/>
              </w:rPr>
            </w:pPr>
            <w:r>
              <w:rPr>
                <w:rFonts w:hint="eastAsia"/>
                <w:szCs w:val="24"/>
              </w:rPr>
              <w:t>条款内容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vAlign w:val="center"/>
          </w:tcPr>
          <w:p>
            <w:pPr>
              <w:spacing w:line="340" w:lineRule="exact"/>
              <w:contextualSpacing/>
              <w:jc w:val="center"/>
              <w:rPr>
                <w:szCs w:val="24"/>
              </w:rPr>
            </w:pPr>
            <w:r>
              <w:rPr>
                <w:rFonts w:hint="eastAsia"/>
                <w:szCs w:val="24"/>
              </w:rPr>
              <w:t>说明部分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714" w:type="dxa"/>
            <w:vMerge w:val="restart"/>
            <w:vAlign w:val="center"/>
          </w:tcPr>
          <w:p>
            <w:pPr>
              <w:autoSpaceDE w:val="0"/>
              <w:autoSpaceDN w:val="0"/>
              <w:snapToGrid w:val="0"/>
              <w:spacing w:line="440" w:lineRule="exact"/>
              <w:ind w:left="-95" w:right="-129"/>
              <w:contextualSpacing/>
              <w:jc w:val="center"/>
              <w:rPr>
                <w:szCs w:val="21"/>
              </w:rPr>
            </w:pPr>
            <w:r>
              <w:rPr>
                <w:rFonts w:hint="eastAsia"/>
                <w:szCs w:val="21"/>
              </w:rPr>
              <w:t>1</w:t>
            </w:r>
          </w:p>
        </w:tc>
        <w:tc>
          <w:tcPr>
            <w:tcW w:w="8358" w:type="dxa"/>
            <w:vAlign w:val="center"/>
          </w:tcPr>
          <w:p>
            <w:pPr>
              <w:tabs>
                <w:tab w:val="left" w:pos="1580"/>
                <w:tab w:val="left" w:pos="3436"/>
                <w:tab w:val="left" w:pos="5512"/>
              </w:tabs>
              <w:spacing w:line="440" w:lineRule="exact"/>
              <w:ind w:left="21"/>
              <w:contextualSpacing/>
              <w:rPr>
                <w:szCs w:val="24"/>
              </w:rPr>
            </w:pPr>
            <w:r>
              <w:rPr>
                <w:rFonts w:hint="eastAsia"/>
                <w:szCs w:val="24"/>
              </w:rPr>
              <w:t>采购人：宁海县园林管理中心</w:t>
            </w:r>
          </w:p>
          <w:p>
            <w:pPr>
              <w:tabs>
                <w:tab w:val="left" w:pos="1580"/>
                <w:tab w:val="left" w:pos="3436"/>
                <w:tab w:val="left" w:pos="5512"/>
              </w:tabs>
              <w:spacing w:line="440" w:lineRule="exact"/>
              <w:ind w:left="21"/>
              <w:contextualSpacing/>
              <w:rPr>
                <w:szCs w:val="24"/>
              </w:rPr>
            </w:pPr>
            <w:r>
              <w:rPr>
                <w:rFonts w:hint="eastAsia"/>
                <w:szCs w:val="24"/>
              </w:rPr>
              <w:t>联系人：杨漂漂        联系电话：</w:t>
            </w:r>
            <w:r>
              <w:rPr>
                <w:rFonts w:hint="eastAsia" w:ascii="宋体" w:hAnsi="宋体" w:cs="宋体"/>
                <w:szCs w:val="22"/>
              </w:rPr>
              <w:t xml:space="preserve">0574-59979692 </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714" w:type="dxa"/>
            <w:vMerge w:val="continue"/>
            <w:vAlign w:val="center"/>
          </w:tcPr>
          <w:p>
            <w:pPr>
              <w:autoSpaceDE w:val="0"/>
              <w:autoSpaceDN w:val="0"/>
              <w:snapToGrid w:val="0"/>
              <w:spacing w:line="440" w:lineRule="exact"/>
              <w:ind w:left="-95" w:right="-129"/>
              <w:contextualSpacing/>
              <w:jc w:val="center"/>
              <w:rPr>
                <w:szCs w:val="21"/>
              </w:rPr>
            </w:pPr>
          </w:p>
        </w:tc>
        <w:tc>
          <w:tcPr>
            <w:tcW w:w="8358" w:type="dxa"/>
            <w:vAlign w:val="center"/>
          </w:tcPr>
          <w:p>
            <w:pPr>
              <w:tabs>
                <w:tab w:val="left" w:pos="1580"/>
                <w:tab w:val="left" w:pos="3436"/>
                <w:tab w:val="left" w:pos="5512"/>
              </w:tabs>
              <w:spacing w:line="440" w:lineRule="exact"/>
              <w:ind w:left="21"/>
              <w:contextualSpacing/>
              <w:rPr>
                <w:szCs w:val="24"/>
              </w:rPr>
            </w:pPr>
            <w:r>
              <w:rPr>
                <w:szCs w:val="24"/>
              </w:rPr>
              <w:t>代理机构：</w:t>
            </w:r>
            <w:r>
              <w:rPr>
                <w:rFonts w:hint="eastAsia" w:ascii="宋体" w:hAnsi="宋体" w:cs="宋体"/>
              </w:rPr>
              <w:t>宁波工建工程造价咨询有限公司</w:t>
            </w:r>
          </w:p>
          <w:p>
            <w:pPr>
              <w:tabs>
                <w:tab w:val="left" w:pos="1580"/>
                <w:tab w:val="left" w:pos="3436"/>
                <w:tab w:val="left" w:pos="5512"/>
              </w:tabs>
              <w:spacing w:line="440" w:lineRule="exact"/>
              <w:ind w:left="21"/>
              <w:contextualSpacing/>
              <w:rPr>
                <w:szCs w:val="24"/>
              </w:rPr>
            </w:pPr>
            <w:r>
              <w:rPr>
                <w:szCs w:val="24"/>
              </w:rPr>
              <w:t>联系地址：</w:t>
            </w:r>
            <w:r>
              <w:rPr>
                <w:rFonts w:hint="eastAsia" w:ascii="宋体" w:hAnsi="宋体" w:cs="宋体"/>
              </w:rPr>
              <w:t>宁海县桃源街道兴工三路69号二楼</w:t>
            </w:r>
          </w:p>
          <w:p>
            <w:pPr>
              <w:tabs>
                <w:tab w:val="left" w:pos="1300"/>
              </w:tabs>
              <w:spacing w:line="440" w:lineRule="exact"/>
              <w:ind w:left="21"/>
              <w:contextualSpacing/>
              <w:rPr>
                <w:szCs w:val="24"/>
              </w:rPr>
            </w:pPr>
            <w:r>
              <w:rPr>
                <w:rFonts w:hint="eastAsia"/>
                <w:szCs w:val="24"/>
              </w:rPr>
              <w:t>联系人：王洋</w:t>
            </w:r>
            <w:r>
              <w:rPr>
                <w:rFonts w:hint="eastAsia"/>
                <w:szCs w:val="24"/>
              </w:rPr>
              <w:tab/>
            </w:r>
            <w:r>
              <w:rPr>
                <w:rFonts w:hint="eastAsia"/>
                <w:szCs w:val="24"/>
              </w:rPr>
              <w:t xml:space="preserve">    电话/传真：</w:t>
            </w:r>
            <w:r>
              <w:rPr>
                <w:rFonts w:hint="eastAsia" w:ascii="宋体" w:hAnsi="宋体" w:cs="宋体"/>
              </w:rPr>
              <w:t>0574-65250961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714" w:type="dxa"/>
            <w:tcBorders>
              <w:top w:val="single" w:color="auto" w:sz="4" w:space="0"/>
              <w:bottom w:val="single" w:color="auto" w:sz="2" w:space="0"/>
            </w:tcBorders>
            <w:vAlign w:val="center"/>
          </w:tcPr>
          <w:p>
            <w:pPr>
              <w:spacing w:line="440" w:lineRule="exact"/>
              <w:contextualSpacing/>
              <w:jc w:val="center"/>
              <w:rPr>
                <w:szCs w:val="24"/>
              </w:rPr>
            </w:pPr>
            <w:r>
              <w:rPr>
                <w:rFonts w:hint="eastAsia"/>
                <w:szCs w:val="21"/>
              </w:rPr>
              <w:t>2</w:t>
            </w:r>
          </w:p>
        </w:tc>
        <w:tc>
          <w:tcPr>
            <w:tcW w:w="8358" w:type="dxa"/>
            <w:tcBorders>
              <w:top w:val="single" w:color="auto" w:sz="4" w:space="0"/>
              <w:bottom w:val="single" w:color="auto" w:sz="2" w:space="0"/>
            </w:tcBorders>
            <w:vAlign w:val="center"/>
          </w:tcPr>
          <w:p>
            <w:pPr>
              <w:spacing w:line="440" w:lineRule="exact"/>
              <w:contextualSpacing/>
            </w:pPr>
            <w:r>
              <w:rPr>
                <w:rFonts w:hint="eastAsia"/>
                <w:szCs w:val="24"/>
              </w:rPr>
              <w:t>经批准的本次采购方式：公开招标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vAlign w:val="center"/>
          </w:tcPr>
          <w:p>
            <w:pPr>
              <w:spacing w:line="440" w:lineRule="exact"/>
              <w:contextualSpacing/>
              <w:jc w:val="center"/>
              <w:rPr>
                <w:szCs w:val="24"/>
              </w:rPr>
            </w:pPr>
            <w:r>
              <w:rPr>
                <w:rFonts w:hint="eastAsia"/>
                <w:szCs w:val="24"/>
              </w:rPr>
              <w:t>商务条款资料部分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714" w:type="dxa"/>
            <w:vAlign w:val="center"/>
          </w:tcPr>
          <w:p>
            <w:pPr>
              <w:tabs>
                <w:tab w:val="left" w:pos="1580"/>
                <w:tab w:val="left" w:pos="3436"/>
                <w:tab w:val="left" w:pos="5512"/>
              </w:tabs>
              <w:spacing w:line="440" w:lineRule="exact"/>
              <w:ind w:left="21"/>
              <w:contextualSpacing/>
              <w:rPr>
                <w:szCs w:val="24"/>
              </w:rPr>
            </w:pPr>
            <w:r>
              <w:rPr>
                <w:rFonts w:hint="eastAsia"/>
                <w:szCs w:val="24"/>
              </w:rPr>
              <w:t>▲3</w:t>
            </w:r>
          </w:p>
        </w:tc>
        <w:tc>
          <w:tcPr>
            <w:tcW w:w="8358" w:type="dxa"/>
            <w:vAlign w:val="center"/>
          </w:tcPr>
          <w:p>
            <w:pPr>
              <w:tabs>
                <w:tab w:val="left" w:pos="426"/>
              </w:tabs>
              <w:spacing w:line="440" w:lineRule="exact"/>
              <w:contextualSpacing/>
              <w:rPr>
                <w:szCs w:val="24"/>
              </w:rPr>
            </w:pPr>
            <w:r>
              <w:rPr>
                <w:rFonts w:hint="eastAsia"/>
                <w:szCs w:val="24"/>
              </w:rPr>
              <w:t>本次采购对合格的投标人的专门规定与审查方法：</w:t>
            </w:r>
          </w:p>
          <w:p>
            <w:pPr>
              <w:tabs>
                <w:tab w:val="left" w:pos="426"/>
              </w:tabs>
              <w:spacing w:line="440" w:lineRule="exact"/>
              <w:contextualSpacing/>
              <w:rPr>
                <w:szCs w:val="24"/>
              </w:rPr>
            </w:pPr>
            <w:r>
              <w:rPr>
                <w:rFonts w:hint="eastAsia"/>
                <w:szCs w:val="24"/>
              </w:rPr>
              <w:t>投标人资格要求：投标人参加本次政府采购活动除应当符合《中华人民共和国政府采购法》第二十二条的规定外，还必须具备以下条件：</w:t>
            </w:r>
          </w:p>
          <w:p>
            <w:pPr>
              <w:tabs>
                <w:tab w:val="left" w:pos="426"/>
              </w:tabs>
              <w:spacing w:line="440" w:lineRule="exact"/>
              <w:contextualSpacing/>
              <w:rPr>
                <w:szCs w:val="24"/>
              </w:rPr>
            </w:pPr>
            <w:r>
              <w:rPr>
                <w:rFonts w:hint="eastAsia"/>
                <w:szCs w:val="24"/>
              </w:rPr>
              <w:t>（1）项目经理须具有园林绿化专业中级及以上职称；</w:t>
            </w:r>
          </w:p>
          <w:p>
            <w:pPr>
              <w:tabs>
                <w:tab w:val="left" w:pos="426"/>
              </w:tabs>
              <w:spacing w:line="440" w:lineRule="exact"/>
              <w:contextualSpacing/>
              <w:rPr>
                <w:szCs w:val="24"/>
              </w:rPr>
            </w:pPr>
            <w:r>
              <w:rPr>
                <w:rFonts w:hint="eastAsia"/>
                <w:szCs w:val="24"/>
              </w:rPr>
              <w:t>（必须为本单位在职职工，并缴纳社会养老保险（注：投标人须提供拟派的项目负责人在2019年3月以后（含3月）连续六个月的社保证明，如投标人未提供，资格审查不予通过）；</w:t>
            </w:r>
          </w:p>
          <w:p>
            <w:pPr>
              <w:tabs>
                <w:tab w:val="left" w:pos="426"/>
              </w:tabs>
              <w:spacing w:line="440" w:lineRule="exact"/>
              <w:contextualSpacing/>
              <w:rPr>
                <w:szCs w:val="24"/>
              </w:rPr>
            </w:pPr>
            <w:r>
              <w:rPr>
                <w:rFonts w:hint="eastAsia"/>
                <w:szCs w:val="24"/>
              </w:rPr>
              <w:t>（2）本项目不接受联合体；</w:t>
            </w:r>
          </w:p>
          <w:p>
            <w:pPr>
              <w:tabs>
                <w:tab w:val="left" w:pos="426"/>
              </w:tabs>
              <w:spacing w:line="440" w:lineRule="exact"/>
              <w:contextualSpacing/>
              <w:rPr>
                <w:szCs w:val="24"/>
              </w:rPr>
            </w:pPr>
            <w:r>
              <w:rPr>
                <w:rFonts w:hint="eastAsia"/>
                <w:szCs w:val="24"/>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投标人需提供相关证明资料）。</w:t>
            </w:r>
          </w:p>
          <w:p>
            <w:pPr>
              <w:tabs>
                <w:tab w:val="left" w:pos="1580"/>
                <w:tab w:val="left" w:pos="3436"/>
                <w:tab w:val="left" w:pos="5512"/>
              </w:tabs>
              <w:spacing w:line="440" w:lineRule="exact"/>
              <w:contextualSpacing/>
              <w:rPr>
                <w:szCs w:val="24"/>
              </w:rPr>
            </w:pPr>
            <w:r>
              <w:rPr>
                <w:rFonts w:hint="eastAsia"/>
                <w:szCs w:val="24"/>
              </w:rPr>
              <w:t>资格审查：资格后审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07" w:hRule="atLeast"/>
          <w:jc w:val="center"/>
        </w:trPr>
        <w:tc>
          <w:tcPr>
            <w:tcW w:w="714" w:type="dxa"/>
            <w:tcBorders>
              <w:bottom w:val="single" w:color="auto" w:sz="4" w:space="0"/>
            </w:tcBorders>
            <w:vAlign w:val="center"/>
          </w:tcPr>
          <w:p>
            <w:pPr>
              <w:autoSpaceDE w:val="0"/>
              <w:autoSpaceDN w:val="0"/>
              <w:snapToGrid w:val="0"/>
              <w:spacing w:line="440" w:lineRule="exact"/>
              <w:ind w:left="-95" w:right="-129"/>
              <w:contextualSpacing/>
              <w:jc w:val="center"/>
              <w:rPr>
                <w:szCs w:val="21"/>
              </w:rPr>
            </w:pPr>
            <w:r>
              <w:rPr>
                <w:rFonts w:hint="eastAsia"/>
                <w:szCs w:val="21"/>
              </w:rPr>
              <w:t>▲4</w:t>
            </w:r>
          </w:p>
        </w:tc>
        <w:tc>
          <w:tcPr>
            <w:tcW w:w="8358" w:type="dxa"/>
            <w:tcBorders>
              <w:bottom w:val="single" w:color="auto" w:sz="4" w:space="0"/>
            </w:tcBorders>
            <w:vAlign w:val="center"/>
          </w:tcPr>
          <w:p>
            <w:pPr>
              <w:spacing w:line="440" w:lineRule="exact"/>
              <w:contextualSpacing/>
              <w:rPr>
                <w:szCs w:val="24"/>
              </w:rPr>
            </w:pPr>
            <w:r>
              <w:rPr>
                <w:rFonts w:hint="eastAsia"/>
                <w:szCs w:val="24"/>
              </w:rPr>
              <w:t>（1）</w:t>
            </w:r>
            <w:r>
              <w:rPr>
                <w:szCs w:val="24"/>
              </w:rPr>
              <w:t>付款条件</w:t>
            </w:r>
            <w:r>
              <w:rPr>
                <w:rFonts w:hint="eastAsia"/>
                <w:szCs w:val="24"/>
              </w:rPr>
              <w:t>与方法</w:t>
            </w:r>
            <w:r>
              <w:rPr>
                <w:szCs w:val="24"/>
              </w:rPr>
              <w:t>：</w:t>
            </w:r>
          </w:p>
          <w:p>
            <w:pPr>
              <w:spacing w:line="440" w:lineRule="exact"/>
              <w:contextualSpacing/>
              <w:rPr>
                <w:szCs w:val="24"/>
              </w:rPr>
            </w:pPr>
            <w:r>
              <w:rPr>
                <w:rFonts w:hint="eastAsia"/>
                <w:szCs w:val="24"/>
              </w:rPr>
              <w:t xml:space="preserve">     a. </w:t>
            </w:r>
            <w:r>
              <w:rPr>
                <w:szCs w:val="24"/>
              </w:rPr>
              <w:t>每月按月考核成绩核定当月服务费用，每季度结算一次；</w:t>
            </w:r>
          </w:p>
          <w:p>
            <w:pPr>
              <w:spacing w:line="440" w:lineRule="exact"/>
              <w:contextualSpacing/>
              <w:rPr>
                <w:szCs w:val="24"/>
              </w:rPr>
            </w:pPr>
            <w:r>
              <w:rPr>
                <w:rFonts w:hint="eastAsia"/>
                <w:szCs w:val="24"/>
              </w:rPr>
              <w:t xml:space="preserve">     b. </w:t>
            </w:r>
            <w:r>
              <w:rPr>
                <w:szCs w:val="24"/>
              </w:rPr>
              <w:t>合同续签以此类推结算。</w:t>
            </w:r>
          </w:p>
          <w:p>
            <w:pPr>
              <w:tabs>
                <w:tab w:val="left" w:pos="625"/>
              </w:tabs>
              <w:spacing w:line="440" w:lineRule="exact"/>
              <w:rPr>
                <w:szCs w:val="24"/>
              </w:rPr>
            </w:pPr>
            <w:r>
              <w:rPr>
                <w:rFonts w:hint="eastAsia"/>
                <w:szCs w:val="24"/>
              </w:rPr>
              <w:t>（2）履约保证金：</w:t>
            </w:r>
            <w:r>
              <w:rPr>
                <w:szCs w:val="24"/>
              </w:rPr>
              <w:t>每标段合同价的</w:t>
            </w:r>
            <w:r>
              <w:rPr>
                <w:rFonts w:hint="eastAsia"/>
                <w:szCs w:val="24"/>
              </w:rPr>
              <w:t>5</w:t>
            </w:r>
            <w:r>
              <w:rPr>
                <w:szCs w:val="24"/>
              </w:rPr>
              <w:t>%（若标段工程量超过10%的按实追加履约保证金金额）；履约保证金形式：</w:t>
            </w:r>
            <w:r>
              <w:rPr>
                <w:rFonts w:hint="eastAsia"/>
                <w:szCs w:val="24"/>
              </w:rPr>
              <w:t>现金、银行转账、银行保函。</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714" w:type="dxa"/>
            <w:tcBorders>
              <w:top w:val="single" w:color="auto" w:sz="4" w:space="0"/>
            </w:tcBorders>
            <w:vAlign w:val="center"/>
          </w:tcPr>
          <w:p>
            <w:pPr>
              <w:autoSpaceDE w:val="0"/>
              <w:autoSpaceDN w:val="0"/>
              <w:snapToGrid w:val="0"/>
              <w:spacing w:line="440" w:lineRule="exact"/>
              <w:ind w:left="-95" w:right="-129"/>
              <w:contextualSpacing/>
              <w:jc w:val="center"/>
              <w:rPr>
                <w:szCs w:val="21"/>
              </w:rPr>
            </w:pPr>
            <w:r>
              <w:rPr>
                <w:rFonts w:hint="eastAsia"/>
                <w:szCs w:val="21"/>
              </w:rPr>
              <w:t>▲5</w:t>
            </w:r>
          </w:p>
        </w:tc>
        <w:tc>
          <w:tcPr>
            <w:tcW w:w="8358" w:type="dxa"/>
            <w:tcBorders>
              <w:top w:val="single" w:color="auto" w:sz="4" w:space="0"/>
            </w:tcBorders>
            <w:vAlign w:val="center"/>
          </w:tcPr>
          <w:p>
            <w:pPr>
              <w:spacing w:line="440" w:lineRule="exact"/>
              <w:contextualSpacing/>
              <w:rPr>
                <w:szCs w:val="24"/>
              </w:rPr>
            </w:pPr>
            <w:r>
              <w:rPr>
                <w:rFonts w:hint="eastAsia"/>
                <w:szCs w:val="24"/>
              </w:rPr>
              <w:t>(1) 服务地点：宁海县城区（业主指定地点）；</w:t>
            </w:r>
          </w:p>
          <w:p>
            <w:pPr>
              <w:spacing w:line="440" w:lineRule="exact"/>
              <w:rPr>
                <w:color w:val="FF0000"/>
                <w:szCs w:val="24"/>
              </w:rPr>
            </w:pPr>
            <w:r>
              <w:rPr>
                <w:rFonts w:hint="eastAsia"/>
                <w:szCs w:val="24"/>
              </w:rPr>
              <w:t>(2)</w:t>
            </w:r>
            <w:r>
              <w:rPr>
                <w:szCs w:val="24"/>
              </w:rPr>
              <w:t>服务期限：起始时间以合同签订为准，本服务项目一招暂定3年，合同必须一年一签</w:t>
            </w:r>
            <w:r>
              <w:rPr>
                <w:rFonts w:hint="eastAsia"/>
                <w:szCs w:val="24"/>
              </w:rPr>
              <w:t>；</w:t>
            </w:r>
            <w:r>
              <w:rPr>
                <w:szCs w:val="24"/>
              </w:rPr>
              <w:t>续签合同应符合政府采购预算安排要求，申报政府采购计划，经批准，并经采购人</w:t>
            </w:r>
            <w:r>
              <w:rPr>
                <w:rFonts w:hint="eastAsia"/>
                <w:szCs w:val="24"/>
              </w:rPr>
              <w:t>考核合格</w:t>
            </w:r>
            <w:r>
              <w:rPr>
                <w:szCs w:val="24"/>
              </w:rPr>
              <w:t>同意后，方可续签订下一年度的合同。合同续签后，应经原政府采购代理机构见证并报宁海县政府采购管理办公室备案。</w:t>
            </w:r>
          </w:p>
          <w:p>
            <w:pPr>
              <w:spacing w:line="440" w:lineRule="exact"/>
              <w:contextualSpacing/>
              <w:rPr>
                <w:szCs w:val="24"/>
              </w:rPr>
            </w:pPr>
            <w:r>
              <w:rPr>
                <w:rFonts w:hint="eastAsia"/>
                <w:szCs w:val="24"/>
              </w:rPr>
              <w:t>(3) 服务响应或后期服务：</w:t>
            </w:r>
          </w:p>
          <w:p>
            <w:pPr>
              <w:spacing w:line="440" w:lineRule="exact"/>
              <w:contextualSpacing/>
              <w:rPr>
                <w:szCs w:val="24"/>
              </w:rPr>
            </w:pPr>
            <w:r>
              <w:rPr>
                <w:rFonts w:hint="eastAsia"/>
                <w:szCs w:val="24"/>
              </w:rPr>
              <w:t xml:space="preserve">     a. 服务提供方应在招标人所在区域设立固定服务维护场所，便于在需要时及时安排相关服务；</w:t>
            </w:r>
          </w:p>
          <w:p>
            <w:pPr>
              <w:spacing w:line="440" w:lineRule="exact"/>
              <w:contextualSpacing/>
              <w:rPr>
                <w:szCs w:val="24"/>
              </w:rPr>
            </w:pPr>
            <w:r>
              <w:rPr>
                <w:rFonts w:hint="eastAsia"/>
                <w:szCs w:val="24"/>
              </w:rPr>
              <w:t xml:space="preserve">     b. 服务响应应在接到通知后5分钟内做出响应，20分钟内到达现场。</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vAlign w:val="center"/>
          </w:tcPr>
          <w:p>
            <w:pPr>
              <w:spacing w:line="440" w:lineRule="exact"/>
              <w:contextualSpacing/>
              <w:jc w:val="center"/>
              <w:rPr>
                <w:szCs w:val="24"/>
              </w:rPr>
            </w:pPr>
            <w:r>
              <w:rPr>
                <w:rFonts w:hint="eastAsia"/>
                <w:szCs w:val="24"/>
              </w:rPr>
              <w:t>投标书的编制和递交部分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 w:hRule="atLeast"/>
          <w:jc w:val="center"/>
        </w:trPr>
        <w:tc>
          <w:tcPr>
            <w:tcW w:w="714" w:type="dxa"/>
            <w:vAlign w:val="center"/>
          </w:tcPr>
          <w:p>
            <w:pPr>
              <w:autoSpaceDE w:val="0"/>
              <w:autoSpaceDN w:val="0"/>
              <w:snapToGrid w:val="0"/>
              <w:spacing w:line="440" w:lineRule="exact"/>
              <w:ind w:left="-95" w:right="-129"/>
              <w:contextualSpacing/>
              <w:jc w:val="center"/>
              <w:rPr>
                <w:szCs w:val="21"/>
              </w:rPr>
            </w:pPr>
            <w:r>
              <w:rPr>
                <w:rFonts w:hint="eastAsia"/>
                <w:szCs w:val="21"/>
              </w:rPr>
              <w:t>▲6</w:t>
            </w:r>
          </w:p>
        </w:tc>
        <w:tc>
          <w:tcPr>
            <w:tcW w:w="8358" w:type="dxa"/>
            <w:vAlign w:val="center"/>
          </w:tcPr>
          <w:p>
            <w:pPr>
              <w:tabs>
                <w:tab w:val="left" w:pos="2160"/>
              </w:tabs>
              <w:spacing w:line="440" w:lineRule="exact"/>
              <w:rPr>
                <w:szCs w:val="24"/>
              </w:rPr>
            </w:pPr>
            <w:r>
              <w:rPr>
                <w:szCs w:val="24"/>
              </w:rPr>
              <w:t>投标价格：</w:t>
            </w:r>
          </w:p>
          <w:p>
            <w:pPr>
              <w:tabs>
                <w:tab w:val="left" w:pos="625"/>
              </w:tabs>
              <w:spacing w:line="440" w:lineRule="exact"/>
              <w:rPr>
                <w:szCs w:val="24"/>
              </w:rPr>
            </w:pPr>
            <w:r>
              <w:rPr>
                <w:rFonts w:hint="eastAsia"/>
                <w:szCs w:val="24"/>
              </w:rPr>
              <w:t>（1）报价方式：总价；完成招标内容及要求所提供的服务过程中涉及的所有费用，报服务周期为1年的总价、综合单价；</w:t>
            </w:r>
          </w:p>
          <w:p>
            <w:pPr>
              <w:tabs>
                <w:tab w:val="left" w:pos="625"/>
              </w:tabs>
              <w:spacing w:line="440" w:lineRule="exact"/>
              <w:rPr>
                <w:szCs w:val="24"/>
              </w:rPr>
            </w:pPr>
            <w:r>
              <w:rPr>
                <w:rFonts w:hint="eastAsia"/>
                <w:szCs w:val="24"/>
              </w:rPr>
              <w:t>（2）报价内容：完成招标内容及要求所提供的服务过程中涉及的所有费用；</w:t>
            </w:r>
          </w:p>
          <w:p>
            <w:pPr>
              <w:tabs>
                <w:tab w:val="left" w:pos="625"/>
              </w:tabs>
              <w:spacing w:line="440" w:lineRule="exact"/>
              <w:rPr>
                <w:szCs w:val="24"/>
              </w:rPr>
            </w:pPr>
            <w:r>
              <w:rPr>
                <w:rFonts w:hint="eastAsia"/>
                <w:szCs w:val="24"/>
              </w:rPr>
              <w:t>（3）报价限制：本项目各标段最高限价见招标文件“第四部分 评标办法”；</w:t>
            </w:r>
          </w:p>
          <w:p>
            <w:pPr>
              <w:tabs>
                <w:tab w:val="left" w:pos="625"/>
              </w:tabs>
              <w:spacing w:line="440" w:lineRule="exact"/>
              <w:rPr>
                <w:szCs w:val="24"/>
              </w:rPr>
            </w:pPr>
            <w:r>
              <w:rPr>
                <w:rFonts w:hint="eastAsia"/>
                <w:szCs w:val="24"/>
              </w:rPr>
              <w:t>（4）计量单位：按照招标内容要求分项分部计量；</w:t>
            </w:r>
          </w:p>
          <w:p>
            <w:pPr>
              <w:tabs>
                <w:tab w:val="left" w:pos="625"/>
              </w:tabs>
              <w:spacing w:line="440" w:lineRule="exact"/>
              <w:rPr>
                <w:szCs w:val="24"/>
              </w:rPr>
            </w:pPr>
            <w:r>
              <w:rPr>
                <w:rFonts w:hint="eastAsia"/>
                <w:szCs w:val="24"/>
              </w:rPr>
              <w:t>（5）报价货币：一律以人民币计算。</w:t>
            </w:r>
          </w:p>
          <w:p>
            <w:pPr>
              <w:tabs>
                <w:tab w:val="left" w:pos="625"/>
              </w:tabs>
              <w:spacing w:line="440" w:lineRule="exact"/>
              <w:rPr>
                <w:szCs w:val="24"/>
              </w:rPr>
            </w:pPr>
            <w:r>
              <w:rPr>
                <w:rFonts w:hint="eastAsia"/>
                <w:szCs w:val="24"/>
              </w:rPr>
              <w:t>工作量（数量）增减变更：</w:t>
            </w:r>
          </w:p>
          <w:p>
            <w:pPr>
              <w:tabs>
                <w:tab w:val="left" w:pos="625"/>
              </w:tabs>
              <w:spacing w:line="440" w:lineRule="exact"/>
              <w:rPr>
                <w:szCs w:val="24"/>
              </w:rPr>
            </w:pPr>
            <w:r>
              <w:rPr>
                <w:rFonts w:hint="eastAsia"/>
                <w:szCs w:val="24"/>
              </w:rPr>
              <w:t>（1）如养护数量发生变更，采购人根据各标段的综合单价和联系单，按实计算；</w:t>
            </w:r>
          </w:p>
          <w:p>
            <w:pPr>
              <w:tabs>
                <w:tab w:val="left" w:pos="625"/>
              </w:tabs>
              <w:spacing w:line="440" w:lineRule="exact"/>
              <w:rPr>
                <w:szCs w:val="24"/>
              </w:rPr>
            </w:pPr>
            <w:r>
              <w:rPr>
                <w:rFonts w:hint="eastAsia"/>
                <w:szCs w:val="24"/>
              </w:rPr>
              <w:t>（2）因国家调整最低工资标准，巡查、保洁人员费用也应作相应调整，并报相关部门备案；</w:t>
            </w:r>
          </w:p>
          <w:p>
            <w:pPr>
              <w:tabs>
                <w:tab w:val="left" w:pos="625"/>
              </w:tabs>
              <w:spacing w:line="440" w:lineRule="exact"/>
              <w:rPr>
                <w:szCs w:val="24"/>
              </w:rPr>
            </w:pPr>
            <w:r>
              <w:rPr>
                <w:rFonts w:hint="eastAsia"/>
                <w:szCs w:val="24"/>
              </w:rPr>
              <w:t>（3）在养护期间养护标准上调的，应按最新的养护标准进行养护。</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18" w:hRule="atLeast"/>
          <w:jc w:val="center"/>
        </w:trPr>
        <w:tc>
          <w:tcPr>
            <w:tcW w:w="714" w:type="dxa"/>
            <w:vAlign w:val="center"/>
          </w:tcPr>
          <w:p>
            <w:pPr>
              <w:autoSpaceDE w:val="0"/>
              <w:autoSpaceDN w:val="0"/>
              <w:snapToGrid w:val="0"/>
              <w:spacing w:line="440" w:lineRule="exact"/>
              <w:ind w:left="-95" w:right="-129"/>
              <w:contextualSpacing/>
              <w:jc w:val="center"/>
              <w:rPr>
                <w:szCs w:val="21"/>
              </w:rPr>
            </w:pPr>
            <w:r>
              <w:rPr>
                <w:rFonts w:hint="eastAsia"/>
                <w:szCs w:val="21"/>
              </w:rPr>
              <w:t>▲7</w:t>
            </w:r>
          </w:p>
        </w:tc>
        <w:tc>
          <w:tcPr>
            <w:tcW w:w="8358" w:type="dxa"/>
            <w:vAlign w:val="center"/>
          </w:tcPr>
          <w:p>
            <w:pPr>
              <w:autoSpaceDE w:val="0"/>
              <w:autoSpaceDN w:val="0"/>
              <w:snapToGrid w:val="0"/>
              <w:spacing w:line="440" w:lineRule="exact"/>
              <w:contextualSpacing/>
              <w:rPr>
                <w:color w:val="FF0000"/>
                <w:szCs w:val="24"/>
              </w:rPr>
            </w:pPr>
            <w:r>
              <w:rPr>
                <w:rFonts w:hint="eastAsia"/>
                <w:szCs w:val="24"/>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714" w:type="dxa"/>
            <w:vAlign w:val="center"/>
          </w:tcPr>
          <w:p>
            <w:pPr>
              <w:autoSpaceDE w:val="0"/>
              <w:autoSpaceDN w:val="0"/>
              <w:snapToGrid w:val="0"/>
              <w:spacing w:line="440" w:lineRule="exact"/>
              <w:ind w:left="-95" w:right="-129"/>
              <w:contextualSpacing/>
              <w:jc w:val="center"/>
              <w:rPr>
                <w:szCs w:val="21"/>
              </w:rPr>
            </w:pPr>
            <w:r>
              <w:rPr>
                <w:rFonts w:hint="eastAsia"/>
                <w:szCs w:val="21"/>
              </w:rPr>
              <w:t>▲8</w:t>
            </w:r>
          </w:p>
        </w:tc>
        <w:tc>
          <w:tcPr>
            <w:tcW w:w="8358" w:type="dxa"/>
            <w:vAlign w:val="center"/>
          </w:tcPr>
          <w:p>
            <w:pPr>
              <w:spacing w:line="440" w:lineRule="exact"/>
              <w:contextualSpacing/>
              <w:rPr>
                <w:szCs w:val="24"/>
              </w:rPr>
            </w:pPr>
            <w:r>
              <w:rPr>
                <w:rFonts w:hint="eastAsia"/>
                <w:szCs w:val="24"/>
              </w:rPr>
              <w:t>投标保证金金额：每标段人民币肆万元整（</w:t>
            </w:r>
            <w:r>
              <w:rPr>
                <w:rFonts w:hint="eastAsia" w:ascii="华文仿宋" w:hAnsi="华文仿宋" w:eastAsia="华文仿宋" w:cs="华文仿宋"/>
                <w:szCs w:val="24"/>
              </w:rPr>
              <w:t>￥</w:t>
            </w:r>
            <w:r>
              <w:rPr>
                <w:rFonts w:hint="eastAsia"/>
                <w:szCs w:val="24"/>
              </w:rPr>
              <w:t>40000.00）</w:t>
            </w:r>
          </w:p>
          <w:p>
            <w:pPr>
              <w:spacing w:line="440" w:lineRule="exact"/>
              <w:ind w:firstLine="420" w:firstLineChars="200"/>
              <w:contextualSpacing/>
              <w:rPr>
                <w:szCs w:val="24"/>
              </w:rPr>
            </w:pPr>
            <w:r>
              <w:rPr>
                <w:rFonts w:hint="eastAsia"/>
                <w:szCs w:val="24"/>
              </w:rPr>
              <w:t>中标人的投标保证金在签订合同，在支付招标服务费后退还。未中标人的投标保证金在中标通知书发出之日起５个工作日内退还；</w:t>
            </w:r>
          </w:p>
          <w:p>
            <w:pPr>
              <w:spacing w:line="440" w:lineRule="exact"/>
              <w:ind w:firstLine="420" w:firstLineChars="200"/>
              <w:contextualSpacing/>
              <w:rPr>
                <w:szCs w:val="24"/>
              </w:rPr>
            </w:pPr>
            <w:r>
              <w:rPr>
                <w:rFonts w:hint="eastAsia"/>
                <w:szCs w:val="24"/>
              </w:rPr>
              <w:t>投标保证金形式：</w:t>
            </w:r>
            <w:r>
              <w:rPr>
                <w:rFonts w:hint="eastAsia" w:ascii="宋体" w:hAnsi="宋体" w:cs="宋体"/>
                <w:szCs w:val="21"/>
              </w:rPr>
              <w:t>各单位以转账支票(必须实时清算)、银行汇票、电汇、银行保函形式向宁波工建工程造价咨询有限公司提交</w:t>
            </w:r>
            <w:r>
              <w:t>。</w:t>
            </w:r>
          </w:p>
          <w:p>
            <w:pPr>
              <w:spacing w:line="440" w:lineRule="exact"/>
              <w:contextualSpacing/>
              <w:rPr>
                <w:b/>
              </w:rPr>
            </w:pPr>
            <w:r>
              <w:rPr>
                <w:rFonts w:hint="eastAsia"/>
                <w:b/>
              </w:rPr>
              <w:t>投标保证金必须于2019</w:t>
            </w:r>
            <w:r>
              <w:rPr>
                <w:b/>
              </w:rPr>
              <w:t>年</w:t>
            </w:r>
            <w:r>
              <w:rPr>
                <w:rFonts w:hint="eastAsia"/>
                <w:b/>
                <w:lang w:val="en-US" w:eastAsia="zh-CN"/>
              </w:rPr>
              <w:t>12</w:t>
            </w:r>
            <w:r>
              <w:rPr>
                <w:rFonts w:hint="eastAsia"/>
                <w:b/>
              </w:rPr>
              <w:t>月</w:t>
            </w:r>
            <w:r>
              <w:rPr>
                <w:rFonts w:hint="eastAsia"/>
                <w:b/>
                <w:lang w:val="en-US" w:eastAsia="zh-CN"/>
              </w:rPr>
              <w:t>23</w:t>
            </w:r>
            <w:r>
              <w:rPr>
                <w:rFonts w:hint="eastAsia"/>
                <w:b/>
              </w:rPr>
              <w:t>日16</w:t>
            </w:r>
            <w:r>
              <w:rPr>
                <w:b/>
              </w:rPr>
              <w:t>：00前确认</w:t>
            </w:r>
            <w:r>
              <w:rPr>
                <w:rFonts w:hint="eastAsia"/>
                <w:b/>
              </w:rPr>
              <w:t>入账，未在上述时间内确认入账的投标人将被拒绝。</w:t>
            </w:r>
          </w:p>
          <w:p>
            <w:pPr>
              <w:spacing w:line="440" w:lineRule="exact"/>
              <w:ind w:firstLine="420" w:firstLineChars="200"/>
              <w:contextualSpacing/>
              <w:rPr>
                <w:rFonts w:ascii="宋体" w:hAnsi="宋体" w:cs="宋体"/>
                <w:szCs w:val="21"/>
              </w:rPr>
            </w:pPr>
            <w:r>
              <w:rPr>
                <w:szCs w:val="24"/>
              </w:rPr>
              <w:t>开户银行：</w:t>
            </w:r>
            <w:r>
              <w:rPr>
                <w:rFonts w:hint="eastAsia" w:ascii="宋体" w:hAnsi="宋体" w:cs="宋体"/>
                <w:szCs w:val="21"/>
              </w:rPr>
              <w:t>宁波工建工程造价咨询有限公司</w:t>
            </w:r>
          </w:p>
          <w:p>
            <w:pPr>
              <w:spacing w:line="440" w:lineRule="exact"/>
              <w:ind w:firstLine="420" w:firstLineChars="200"/>
              <w:contextualSpacing/>
              <w:rPr>
                <w:rFonts w:ascii="宋体" w:hAnsi="宋体" w:cs="宋体"/>
                <w:szCs w:val="21"/>
              </w:rPr>
            </w:pPr>
            <w:r>
              <w:rPr>
                <w:rFonts w:hint="eastAsia" w:ascii="宋体" w:hAnsi="宋体" w:cs="宋体"/>
                <w:szCs w:val="21"/>
              </w:rPr>
              <w:t>开户银行：工行宁海县支行</w:t>
            </w:r>
          </w:p>
          <w:p>
            <w:pPr>
              <w:spacing w:line="440" w:lineRule="exact"/>
              <w:ind w:firstLine="420" w:firstLineChars="200"/>
              <w:contextualSpacing/>
              <w:rPr>
                <w:szCs w:val="24"/>
              </w:rPr>
            </w:pPr>
            <w:r>
              <w:rPr>
                <w:rFonts w:hint="eastAsia" w:ascii="宋体" w:hAnsi="宋体" w:cs="宋体"/>
                <w:szCs w:val="21"/>
              </w:rPr>
              <w:t>银行账号：3901330019200195597</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24" w:hRule="atLeast"/>
          <w:jc w:val="center"/>
        </w:trPr>
        <w:tc>
          <w:tcPr>
            <w:tcW w:w="714" w:type="dxa"/>
            <w:vAlign w:val="center"/>
          </w:tcPr>
          <w:p>
            <w:pPr>
              <w:autoSpaceDE w:val="0"/>
              <w:autoSpaceDN w:val="0"/>
              <w:snapToGrid w:val="0"/>
              <w:spacing w:line="440" w:lineRule="exact"/>
              <w:ind w:left="-95" w:right="-129"/>
              <w:contextualSpacing/>
              <w:jc w:val="center"/>
              <w:rPr>
                <w:szCs w:val="21"/>
              </w:rPr>
            </w:pPr>
            <w:r>
              <w:rPr>
                <w:rFonts w:hint="eastAsia"/>
                <w:szCs w:val="21"/>
              </w:rPr>
              <w:t>▲9</w:t>
            </w:r>
          </w:p>
        </w:tc>
        <w:tc>
          <w:tcPr>
            <w:tcW w:w="8358" w:type="dxa"/>
            <w:vAlign w:val="center"/>
          </w:tcPr>
          <w:p>
            <w:pPr>
              <w:autoSpaceDE w:val="0"/>
              <w:autoSpaceDN w:val="0"/>
              <w:snapToGrid w:val="0"/>
              <w:spacing w:line="440" w:lineRule="exact"/>
              <w:contextualSpacing/>
              <w:rPr>
                <w:szCs w:val="24"/>
              </w:rPr>
            </w:pPr>
            <w:r>
              <w:rPr>
                <w:rFonts w:hint="eastAsia" w:ascii="宋体" w:hAnsi="宋体" w:cs="宋体"/>
                <w:szCs w:val="21"/>
              </w:rPr>
              <w:t>投标文件组成：投标文件由</w:t>
            </w:r>
            <w:r>
              <w:rPr>
                <w:rFonts w:hint="eastAsia" w:ascii="宋体" w:hAnsi="宋体" w:cs="宋体"/>
                <w:b/>
                <w:bCs/>
                <w:szCs w:val="21"/>
                <w:u w:val="single"/>
              </w:rPr>
              <w:t>资格审查文件、</w:t>
            </w:r>
            <w:r>
              <w:rPr>
                <w:rFonts w:hint="eastAsia" w:ascii="宋体" w:hAnsi="宋体" w:cs="宋体"/>
                <w:b/>
                <w:szCs w:val="21"/>
                <w:u w:val="single"/>
              </w:rPr>
              <w:t>报价文件、</w:t>
            </w:r>
            <w:r>
              <w:rPr>
                <w:rFonts w:hint="eastAsia" w:ascii="宋体" w:hAnsi="宋体" w:cs="宋体"/>
                <w:b/>
                <w:bCs/>
                <w:szCs w:val="21"/>
                <w:u w:val="single"/>
              </w:rPr>
              <w:t>商务</w:t>
            </w:r>
            <w:r>
              <w:rPr>
                <w:rFonts w:hint="eastAsia" w:ascii="宋体" w:hAnsi="宋体" w:cs="宋体"/>
                <w:b/>
                <w:szCs w:val="21"/>
                <w:u w:val="single"/>
              </w:rPr>
              <w:t>技术文件</w:t>
            </w:r>
            <w:r>
              <w:rPr>
                <w:rFonts w:hint="eastAsia" w:ascii="宋体" w:hAnsi="宋体" w:cs="宋体"/>
                <w:szCs w:val="21"/>
              </w:rPr>
              <w:t>组成，资格审查文件、报价文件、商务技术文件应分别密封装订。</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30" w:hRule="atLeast"/>
          <w:jc w:val="center"/>
        </w:trPr>
        <w:tc>
          <w:tcPr>
            <w:tcW w:w="714" w:type="dxa"/>
            <w:vAlign w:val="center"/>
          </w:tcPr>
          <w:p>
            <w:pPr>
              <w:autoSpaceDE w:val="0"/>
              <w:autoSpaceDN w:val="0"/>
              <w:snapToGrid w:val="0"/>
              <w:spacing w:line="440" w:lineRule="exact"/>
              <w:ind w:left="-95" w:right="-129"/>
              <w:contextualSpacing/>
              <w:jc w:val="center"/>
              <w:rPr>
                <w:szCs w:val="21"/>
              </w:rPr>
            </w:pPr>
            <w:r>
              <w:rPr>
                <w:rFonts w:hint="eastAsia"/>
                <w:szCs w:val="21"/>
              </w:rPr>
              <w:t>▲10</w:t>
            </w:r>
          </w:p>
        </w:tc>
        <w:tc>
          <w:tcPr>
            <w:tcW w:w="8358" w:type="dxa"/>
            <w:vAlign w:val="center"/>
          </w:tcPr>
          <w:p>
            <w:pPr>
              <w:autoSpaceDE w:val="0"/>
              <w:autoSpaceDN w:val="0"/>
              <w:snapToGrid w:val="0"/>
              <w:spacing w:line="440" w:lineRule="exact"/>
              <w:contextualSpacing/>
              <w:rPr>
                <w:szCs w:val="24"/>
                <w:u w:val="single"/>
              </w:rPr>
            </w:pPr>
            <w:r>
              <w:rPr>
                <w:rFonts w:hint="eastAsia"/>
                <w:szCs w:val="24"/>
              </w:rPr>
              <w:t>投标文件份数：</w:t>
            </w:r>
            <w:r>
              <w:rPr>
                <w:rFonts w:hint="eastAsia" w:ascii="宋体" w:hAnsi="宋体" w:cs="宋体"/>
                <w:szCs w:val="21"/>
              </w:rPr>
              <w:t>资格审查文件</w:t>
            </w:r>
            <w:r>
              <w:rPr>
                <w:rFonts w:hint="eastAsia"/>
                <w:szCs w:val="24"/>
              </w:rPr>
              <w:t>：</w:t>
            </w:r>
            <w:r>
              <w:rPr>
                <w:rFonts w:hint="eastAsia"/>
                <w:szCs w:val="24"/>
                <w:u w:val="single"/>
              </w:rPr>
              <w:t>正本一份，副本六份；</w:t>
            </w:r>
          </w:p>
          <w:p>
            <w:pPr>
              <w:autoSpaceDE w:val="0"/>
              <w:autoSpaceDN w:val="0"/>
              <w:snapToGrid w:val="0"/>
              <w:spacing w:line="440" w:lineRule="exact"/>
              <w:ind w:firstLine="1459" w:firstLineChars="695"/>
              <w:contextualSpacing/>
              <w:rPr>
                <w:szCs w:val="24"/>
                <w:u w:val="single"/>
              </w:rPr>
            </w:pPr>
            <w:r>
              <w:rPr>
                <w:rFonts w:hint="eastAsia" w:ascii="宋体" w:hAnsi="宋体" w:cs="宋体"/>
                <w:szCs w:val="21"/>
              </w:rPr>
              <w:t>商务技术文件</w:t>
            </w:r>
            <w:r>
              <w:rPr>
                <w:rFonts w:hint="eastAsia"/>
                <w:szCs w:val="24"/>
              </w:rPr>
              <w:t>：</w:t>
            </w:r>
            <w:r>
              <w:rPr>
                <w:rFonts w:hint="eastAsia"/>
                <w:szCs w:val="24"/>
                <w:u w:val="single"/>
              </w:rPr>
              <w:t>正本一份，副本六份；</w:t>
            </w:r>
          </w:p>
          <w:p>
            <w:pPr>
              <w:autoSpaceDE w:val="0"/>
              <w:autoSpaceDN w:val="0"/>
              <w:snapToGrid w:val="0"/>
              <w:spacing w:line="440" w:lineRule="exact"/>
              <w:ind w:firstLine="1459" w:firstLineChars="695"/>
              <w:contextualSpacing/>
              <w:rPr>
                <w:szCs w:val="24"/>
                <w:u w:val="single"/>
              </w:rPr>
            </w:pPr>
            <w:r>
              <w:rPr>
                <w:rFonts w:hint="eastAsia"/>
                <w:szCs w:val="24"/>
              </w:rPr>
              <w:t>报价文件：</w:t>
            </w:r>
            <w:r>
              <w:rPr>
                <w:rFonts w:hint="eastAsia"/>
                <w:szCs w:val="24"/>
                <w:u w:val="single"/>
              </w:rPr>
              <w:t>正本一份，副本六份。</w:t>
            </w:r>
          </w:p>
          <w:p>
            <w:pPr>
              <w:autoSpaceDE w:val="0"/>
              <w:autoSpaceDN w:val="0"/>
              <w:snapToGrid w:val="0"/>
              <w:spacing w:line="440" w:lineRule="exact"/>
              <w:contextualSpacing/>
              <w:rPr>
                <w:szCs w:val="24"/>
              </w:rPr>
            </w:pPr>
            <w:r>
              <w:rPr>
                <w:rFonts w:hint="eastAsia"/>
                <w:szCs w:val="24"/>
              </w:rPr>
              <w:t>投标人必须将报价文件（正本、副本）单独装袋按要求密封做好标记，将商务技术文件（正本、副本）单独装袋按要求密封做好标记，将</w:t>
            </w:r>
            <w:r>
              <w:rPr>
                <w:rFonts w:hint="eastAsia" w:ascii="宋体" w:hAnsi="宋体" w:cs="宋体"/>
                <w:szCs w:val="21"/>
              </w:rPr>
              <w:t>资格审查文件</w:t>
            </w:r>
            <w:r>
              <w:rPr>
                <w:rFonts w:hint="eastAsia"/>
                <w:szCs w:val="24"/>
              </w:rPr>
              <w:t>（正本、副本）单独装袋按要求密封做好标记，不符合规定的为无效投标。</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29" w:hRule="atLeast"/>
          <w:jc w:val="center"/>
        </w:trPr>
        <w:tc>
          <w:tcPr>
            <w:tcW w:w="714" w:type="dxa"/>
            <w:tcBorders>
              <w:bottom w:val="single" w:color="auto" w:sz="2" w:space="0"/>
            </w:tcBorders>
            <w:vAlign w:val="center"/>
          </w:tcPr>
          <w:p>
            <w:pPr>
              <w:autoSpaceDE w:val="0"/>
              <w:autoSpaceDN w:val="0"/>
              <w:snapToGrid w:val="0"/>
              <w:spacing w:line="440" w:lineRule="exact"/>
              <w:ind w:left="-95" w:right="-129"/>
              <w:contextualSpacing/>
              <w:jc w:val="center"/>
              <w:rPr>
                <w:szCs w:val="21"/>
              </w:rPr>
            </w:pPr>
            <w:r>
              <w:rPr>
                <w:rFonts w:hint="eastAsia"/>
                <w:szCs w:val="21"/>
              </w:rPr>
              <w:t>11</w:t>
            </w:r>
          </w:p>
        </w:tc>
        <w:tc>
          <w:tcPr>
            <w:tcW w:w="8358" w:type="dxa"/>
            <w:tcBorders>
              <w:bottom w:val="single" w:color="auto" w:sz="2" w:space="0"/>
            </w:tcBorders>
            <w:vAlign w:val="center"/>
          </w:tcPr>
          <w:p>
            <w:pPr>
              <w:autoSpaceDE w:val="0"/>
              <w:autoSpaceDN w:val="0"/>
              <w:snapToGrid w:val="0"/>
              <w:spacing w:line="440" w:lineRule="exact"/>
              <w:contextualSpacing/>
              <w:rPr>
                <w:szCs w:val="24"/>
              </w:rPr>
            </w:pPr>
            <w:r>
              <w:rPr>
                <w:rFonts w:hint="eastAsia"/>
                <w:szCs w:val="24"/>
              </w:rPr>
              <w:t>投标文件提交时间及投标截至时间：2019年</w:t>
            </w:r>
            <w:r>
              <w:rPr>
                <w:rFonts w:hint="eastAsia"/>
                <w:szCs w:val="24"/>
                <w:lang w:val="en-US" w:eastAsia="zh-CN"/>
              </w:rPr>
              <w:t>12</w:t>
            </w:r>
            <w:r>
              <w:rPr>
                <w:rFonts w:hint="eastAsia"/>
                <w:szCs w:val="24"/>
              </w:rPr>
              <w:t>月</w:t>
            </w:r>
            <w:r>
              <w:rPr>
                <w:rFonts w:hint="eastAsia"/>
                <w:szCs w:val="24"/>
                <w:lang w:val="en-US" w:eastAsia="zh-CN"/>
              </w:rPr>
              <w:t>25</w:t>
            </w:r>
            <w:r>
              <w:rPr>
                <w:rFonts w:hint="eastAsia"/>
                <w:szCs w:val="24"/>
              </w:rPr>
              <w:t>日</w:t>
            </w:r>
            <w:r>
              <w:rPr>
                <w:rFonts w:hint="eastAsia"/>
                <w:szCs w:val="24"/>
                <w:lang w:val="en-US" w:eastAsia="zh-CN"/>
              </w:rPr>
              <w:t>09</w:t>
            </w:r>
            <w:r>
              <w:rPr>
                <w:rFonts w:hint="eastAsia"/>
                <w:szCs w:val="24"/>
              </w:rPr>
              <w:t>时(北京时间)</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 w:hRule="atLeast"/>
          <w:jc w:val="center"/>
        </w:trPr>
        <w:tc>
          <w:tcPr>
            <w:tcW w:w="714" w:type="dxa"/>
            <w:tcBorders>
              <w:top w:val="single" w:color="auto" w:sz="2" w:space="0"/>
              <w:bottom w:val="single" w:color="auto" w:sz="2" w:space="0"/>
            </w:tcBorders>
            <w:vAlign w:val="center"/>
          </w:tcPr>
          <w:p>
            <w:pPr>
              <w:autoSpaceDE w:val="0"/>
              <w:autoSpaceDN w:val="0"/>
              <w:snapToGrid w:val="0"/>
              <w:spacing w:line="440" w:lineRule="exact"/>
              <w:ind w:left="-95" w:right="-129"/>
              <w:contextualSpacing/>
              <w:jc w:val="center"/>
              <w:rPr>
                <w:szCs w:val="21"/>
              </w:rPr>
            </w:pPr>
            <w:r>
              <w:rPr>
                <w:rFonts w:hint="eastAsia"/>
                <w:szCs w:val="21"/>
              </w:rPr>
              <w:t>12</w:t>
            </w:r>
          </w:p>
        </w:tc>
        <w:tc>
          <w:tcPr>
            <w:tcW w:w="8358" w:type="dxa"/>
            <w:tcBorders>
              <w:top w:val="single" w:color="auto" w:sz="2" w:space="0"/>
              <w:bottom w:val="single" w:color="auto" w:sz="2" w:space="0"/>
            </w:tcBorders>
            <w:vAlign w:val="center"/>
          </w:tcPr>
          <w:p>
            <w:pPr>
              <w:autoSpaceDE w:val="0"/>
              <w:autoSpaceDN w:val="0"/>
              <w:snapToGrid w:val="0"/>
              <w:spacing w:line="440" w:lineRule="exact"/>
              <w:contextualSpacing/>
              <w:rPr>
                <w:szCs w:val="24"/>
              </w:rPr>
            </w:pPr>
            <w:r>
              <w:rPr>
                <w:rFonts w:hint="eastAsia"/>
                <w:szCs w:val="24"/>
              </w:rPr>
              <w:t>开标时间：2019年</w:t>
            </w:r>
            <w:r>
              <w:rPr>
                <w:rFonts w:hint="eastAsia"/>
                <w:szCs w:val="24"/>
                <w:lang w:val="en-US" w:eastAsia="zh-CN"/>
              </w:rPr>
              <w:t>12</w:t>
            </w:r>
            <w:r>
              <w:rPr>
                <w:rFonts w:hint="eastAsia"/>
                <w:szCs w:val="24"/>
              </w:rPr>
              <w:t>月</w:t>
            </w:r>
            <w:r>
              <w:rPr>
                <w:rFonts w:hint="eastAsia"/>
                <w:szCs w:val="24"/>
                <w:lang w:val="en-US" w:eastAsia="zh-CN"/>
              </w:rPr>
              <w:t>25</w:t>
            </w:r>
            <w:r>
              <w:rPr>
                <w:rFonts w:hint="eastAsia"/>
                <w:szCs w:val="24"/>
              </w:rPr>
              <w:t>日</w:t>
            </w:r>
            <w:r>
              <w:rPr>
                <w:rFonts w:hint="eastAsia"/>
                <w:szCs w:val="24"/>
                <w:lang w:val="en-US" w:eastAsia="zh-CN"/>
              </w:rPr>
              <w:t>09</w:t>
            </w:r>
            <w:r>
              <w:rPr>
                <w:rFonts w:hint="eastAsia"/>
                <w:szCs w:val="24"/>
              </w:rPr>
              <w:t>时(北京时间)</w:t>
            </w:r>
          </w:p>
          <w:p>
            <w:pPr>
              <w:tabs>
                <w:tab w:val="left" w:pos="0"/>
              </w:tabs>
              <w:autoSpaceDE w:val="0"/>
              <w:autoSpaceDN w:val="0"/>
              <w:snapToGrid w:val="0"/>
              <w:spacing w:line="440" w:lineRule="exact"/>
              <w:contextualSpacing/>
              <w:rPr>
                <w:szCs w:val="24"/>
              </w:rPr>
            </w:pPr>
            <w:r>
              <w:rPr>
                <w:rFonts w:hint="eastAsia"/>
                <w:szCs w:val="24"/>
              </w:rPr>
              <w:t>开标地点：宁海县公共资源交易中心（宁海县桃源街道金水东路5号五楼），具体开标室见当日公告栏，投标人可以派授权代表出席开标会议。</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30" w:hRule="atLeast"/>
          <w:jc w:val="center"/>
        </w:trPr>
        <w:tc>
          <w:tcPr>
            <w:tcW w:w="714" w:type="dxa"/>
            <w:tcBorders>
              <w:top w:val="single" w:color="auto" w:sz="2" w:space="0"/>
              <w:bottom w:val="single" w:color="auto" w:sz="4" w:space="0"/>
            </w:tcBorders>
            <w:vAlign w:val="center"/>
          </w:tcPr>
          <w:p>
            <w:pPr>
              <w:autoSpaceDE w:val="0"/>
              <w:autoSpaceDN w:val="0"/>
              <w:snapToGrid w:val="0"/>
              <w:spacing w:line="440" w:lineRule="exact"/>
              <w:ind w:left="-95" w:right="-129"/>
              <w:contextualSpacing/>
              <w:jc w:val="center"/>
              <w:rPr>
                <w:szCs w:val="21"/>
              </w:rPr>
            </w:pPr>
            <w:r>
              <w:rPr>
                <w:rFonts w:hint="eastAsia"/>
                <w:szCs w:val="21"/>
              </w:rPr>
              <w:t>13</w:t>
            </w:r>
          </w:p>
        </w:tc>
        <w:tc>
          <w:tcPr>
            <w:tcW w:w="8358" w:type="dxa"/>
            <w:tcBorders>
              <w:top w:val="single" w:color="auto" w:sz="2" w:space="0"/>
              <w:bottom w:val="single" w:color="auto" w:sz="4" w:space="0"/>
            </w:tcBorders>
            <w:vAlign w:val="center"/>
          </w:tcPr>
          <w:p>
            <w:pPr>
              <w:autoSpaceDE w:val="0"/>
              <w:autoSpaceDN w:val="0"/>
              <w:snapToGrid w:val="0"/>
              <w:spacing w:line="440" w:lineRule="exact"/>
              <w:ind w:left="877" w:hanging="877"/>
              <w:contextualSpacing/>
              <w:rPr>
                <w:szCs w:val="24"/>
              </w:rPr>
            </w:pPr>
            <w:r>
              <w:rPr>
                <w:rFonts w:hint="eastAsia"/>
                <w:szCs w:val="24"/>
              </w:rPr>
              <w:t>开标顺序：</w:t>
            </w:r>
          </w:p>
          <w:p>
            <w:pPr>
              <w:tabs>
                <w:tab w:val="left" w:pos="2160"/>
              </w:tabs>
              <w:spacing w:line="0" w:lineRule="atLeast"/>
              <w:rPr>
                <w:szCs w:val="24"/>
              </w:rPr>
            </w:pPr>
            <w:r>
              <w:rPr>
                <w:rFonts w:hint="eastAsia"/>
                <w:szCs w:val="24"/>
              </w:rPr>
              <w:t>（1）</w:t>
            </w:r>
            <w:r>
              <w:rPr>
                <w:szCs w:val="24"/>
              </w:rPr>
              <w:t>按照投标的顺序依次开标，按照招标内容分类分段依次唱标</w:t>
            </w:r>
            <w:r>
              <w:rPr>
                <w:rFonts w:hint="eastAsia"/>
                <w:szCs w:val="24"/>
              </w:rPr>
              <w:t>；</w:t>
            </w:r>
          </w:p>
          <w:p>
            <w:pPr>
              <w:autoSpaceDE w:val="0"/>
              <w:autoSpaceDN w:val="0"/>
              <w:snapToGrid w:val="0"/>
              <w:spacing w:line="440" w:lineRule="exact"/>
              <w:ind w:firstLine="420" w:firstLineChars="200"/>
              <w:contextualSpacing/>
              <w:rPr>
                <w:szCs w:val="24"/>
              </w:rPr>
            </w:pPr>
            <w:r>
              <w:rPr>
                <w:szCs w:val="24"/>
              </w:rPr>
              <w:t>开标时，先开商务技术文件</w:t>
            </w:r>
            <w:r>
              <w:rPr>
                <w:rFonts w:hint="eastAsia"/>
                <w:szCs w:val="24"/>
              </w:rPr>
              <w:t>、</w:t>
            </w:r>
            <w:r>
              <w:rPr>
                <w:rFonts w:hint="eastAsia" w:ascii="宋体" w:hAnsi="宋体" w:cs="宋体"/>
                <w:szCs w:val="21"/>
              </w:rPr>
              <w:t>资格审查文件</w:t>
            </w:r>
            <w:r>
              <w:rPr>
                <w:szCs w:val="24"/>
              </w:rPr>
              <w:t>，待商务技术文件</w:t>
            </w:r>
            <w:r>
              <w:rPr>
                <w:rFonts w:hint="eastAsia"/>
                <w:szCs w:val="24"/>
              </w:rPr>
              <w:t>、</w:t>
            </w:r>
            <w:r>
              <w:rPr>
                <w:rFonts w:hint="eastAsia" w:ascii="宋体" w:hAnsi="宋体" w:cs="宋体"/>
                <w:szCs w:val="21"/>
              </w:rPr>
              <w:t>资格审查文件</w:t>
            </w:r>
            <w:r>
              <w:rPr>
                <w:szCs w:val="24"/>
              </w:rPr>
              <w:t>评审结束后开启投标报价文件。如商务技术文件</w:t>
            </w:r>
            <w:r>
              <w:rPr>
                <w:rFonts w:hint="eastAsia"/>
                <w:szCs w:val="24"/>
              </w:rPr>
              <w:t>、</w:t>
            </w:r>
            <w:r>
              <w:rPr>
                <w:rFonts w:hint="eastAsia" w:ascii="宋体" w:hAnsi="宋体" w:cs="宋体"/>
                <w:szCs w:val="21"/>
              </w:rPr>
              <w:t>资格审查文件</w:t>
            </w:r>
            <w:r>
              <w:rPr>
                <w:szCs w:val="24"/>
              </w:rPr>
              <w:t>经评审确定为无效</w:t>
            </w:r>
            <w:r>
              <w:rPr>
                <w:rFonts w:hint="eastAsia"/>
                <w:szCs w:val="24"/>
              </w:rPr>
              <w:t>标</w:t>
            </w:r>
            <w:r>
              <w:rPr>
                <w:szCs w:val="24"/>
              </w:rPr>
              <w:t>的投标单位则不能进行报价文件的评审，作为无效标处理</w:t>
            </w:r>
            <w:r>
              <w:rPr>
                <w:rFonts w:hint="eastAsia"/>
                <w:szCs w:val="24"/>
              </w:rPr>
              <w:t>；</w:t>
            </w:r>
          </w:p>
          <w:p>
            <w:pPr>
              <w:autoSpaceDE w:val="0"/>
              <w:autoSpaceDN w:val="0"/>
              <w:snapToGrid w:val="0"/>
              <w:spacing w:line="440" w:lineRule="exact"/>
              <w:contextualSpacing/>
              <w:rPr>
                <w:szCs w:val="24"/>
              </w:rPr>
            </w:pPr>
            <w:r>
              <w:rPr>
                <w:rFonts w:hint="eastAsia"/>
                <w:szCs w:val="24"/>
              </w:rPr>
              <w:t>（2）由评标委员会推荐中标人数量：每标段1家单位；各标段选择不同的中标人，即投标人获得一个标段中标资格后不参加其它所投标段的综合得分评审及排序。评审顺序按标段序号依次评审。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30" w:hRule="atLeast"/>
          <w:jc w:val="center"/>
        </w:trPr>
        <w:tc>
          <w:tcPr>
            <w:tcW w:w="714" w:type="dxa"/>
            <w:tcBorders>
              <w:top w:val="single" w:color="auto" w:sz="2" w:space="0"/>
              <w:bottom w:val="single" w:color="auto" w:sz="4" w:space="0"/>
            </w:tcBorders>
            <w:vAlign w:val="center"/>
          </w:tcPr>
          <w:p>
            <w:pPr>
              <w:autoSpaceDE w:val="0"/>
              <w:autoSpaceDN w:val="0"/>
              <w:snapToGrid w:val="0"/>
              <w:spacing w:line="440" w:lineRule="exact"/>
              <w:ind w:left="-95" w:right="-129"/>
              <w:contextualSpacing/>
              <w:jc w:val="center"/>
              <w:rPr>
                <w:szCs w:val="21"/>
              </w:rPr>
            </w:pPr>
            <w:r>
              <w:rPr>
                <w:rFonts w:hint="eastAsia"/>
                <w:szCs w:val="21"/>
              </w:rPr>
              <w:t>14</w:t>
            </w:r>
          </w:p>
        </w:tc>
        <w:tc>
          <w:tcPr>
            <w:tcW w:w="8358" w:type="dxa"/>
            <w:tcBorders>
              <w:top w:val="single" w:color="auto" w:sz="2" w:space="0"/>
              <w:bottom w:val="single" w:color="auto" w:sz="4" w:space="0"/>
            </w:tcBorders>
            <w:vAlign w:val="center"/>
          </w:tcPr>
          <w:p>
            <w:pPr>
              <w:numPr>
                <w:ilvl w:val="0"/>
                <w:numId w:val="1"/>
              </w:numPr>
              <w:autoSpaceDE w:val="0"/>
              <w:autoSpaceDN w:val="0"/>
              <w:snapToGrid w:val="0"/>
              <w:spacing w:line="440" w:lineRule="exact"/>
              <w:contextualSpacing/>
              <w:rPr>
                <w:szCs w:val="24"/>
              </w:rPr>
            </w:pPr>
            <w:r>
              <w:rPr>
                <w:rFonts w:hint="eastAsia"/>
                <w:szCs w:val="24"/>
              </w:rPr>
              <w:t>按照采购文件确定的事项、采购内容变更的规定、中标人的投标响应、中标人的投标承诺、中标通知书确定的数量和金额签订合同；</w:t>
            </w:r>
          </w:p>
          <w:p>
            <w:pPr>
              <w:numPr>
                <w:ilvl w:val="0"/>
                <w:numId w:val="1"/>
              </w:numPr>
              <w:autoSpaceDE w:val="0"/>
              <w:autoSpaceDN w:val="0"/>
              <w:snapToGrid w:val="0"/>
              <w:spacing w:line="440" w:lineRule="exact"/>
              <w:contextualSpacing/>
              <w:rPr>
                <w:szCs w:val="24"/>
              </w:rPr>
            </w:pPr>
            <w:r>
              <w:rPr>
                <w:rFonts w:hint="eastAsia"/>
                <w:szCs w:val="24"/>
              </w:rPr>
              <w:t>各标段合同签订以所报综合单价为准，并根据招标文件规定的服务期限及养护面积计算合同总价。（如标段中包含鲜花、巡查、保洁人员、黑麦草套播费用等，该费用应计入到合同总价中）。</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80" w:hRule="atLeast"/>
          <w:jc w:val="center"/>
        </w:trPr>
        <w:tc>
          <w:tcPr>
            <w:tcW w:w="714" w:type="dxa"/>
            <w:tcBorders>
              <w:top w:val="single" w:color="auto" w:sz="2" w:space="0"/>
            </w:tcBorders>
            <w:vAlign w:val="center"/>
          </w:tcPr>
          <w:p>
            <w:pPr>
              <w:autoSpaceDE w:val="0"/>
              <w:autoSpaceDN w:val="0"/>
              <w:snapToGrid w:val="0"/>
              <w:spacing w:line="440" w:lineRule="exact"/>
              <w:ind w:left="-95" w:right="-129"/>
              <w:contextualSpacing/>
              <w:jc w:val="center"/>
              <w:rPr>
                <w:szCs w:val="21"/>
              </w:rPr>
            </w:pPr>
            <w:r>
              <w:rPr>
                <w:rFonts w:hint="eastAsia"/>
                <w:szCs w:val="21"/>
              </w:rPr>
              <w:t>/</w:t>
            </w:r>
          </w:p>
        </w:tc>
        <w:tc>
          <w:tcPr>
            <w:tcW w:w="8358" w:type="dxa"/>
            <w:tcBorders>
              <w:top w:val="single" w:color="auto" w:sz="2" w:space="0"/>
            </w:tcBorders>
            <w:vAlign w:val="center"/>
          </w:tcPr>
          <w:p>
            <w:pPr>
              <w:autoSpaceDE w:val="0"/>
              <w:autoSpaceDN w:val="0"/>
              <w:snapToGrid w:val="0"/>
              <w:spacing w:line="440" w:lineRule="exact"/>
              <w:contextualSpacing/>
              <w:rPr>
                <w:szCs w:val="24"/>
              </w:rPr>
            </w:pPr>
            <w:r>
              <w:rPr>
                <w:rFonts w:hint="eastAsia"/>
                <w:szCs w:val="24"/>
              </w:rPr>
              <w:t>其他：</w:t>
            </w:r>
          </w:p>
          <w:p>
            <w:pPr>
              <w:numPr>
                <w:ilvl w:val="0"/>
                <w:numId w:val="2"/>
              </w:numPr>
              <w:autoSpaceDE w:val="0"/>
              <w:autoSpaceDN w:val="0"/>
              <w:snapToGrid w:val="0"/>
              <w:spacing w:line="440" w:lineRule="exact"/>
              <w:contextualSpacing/>
            </w:pPr>
            <w:r>
              <w:rPr>
                <w:rFonts w:hint="eastAsia"/>
                <w:szCs w:val="24"/>
              </w:rPr>
              <w:t>采购公告与中标公告发布网站：宁海县公共资源交易信息网（http//:www.nhztb.gov.cn）；宁波政府采购网（www.nbzfcg.cn）</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9072" w:type="dxa"/>
            <w:gridSpan w:val="2"/>
            <w:tcBorders>
              <w:top w:val="single" w:color="auto" w:sz="4" w:space="0"/>
              <w:bottom w:val="single" w:color="auto" w:sz="2" w:space="0"/>
            </w:tcBorders>
            <w:vAlign w:val="center"/>
          </w:tcPr>
          <w:p>
            <w:pPr>
              <w:spacing w:line="440" w:lineRule="exact"/>
              <w:contextualSpacing/>
              <w:jc w:val="center"/>
              <w:rPr>
                <w:szCs w:val="24"/>
              </w:rPr>
            </w:pPr>
            <w:r>
              <w:rPr>
                <w:rFonts w:hint="eastAsia"/>
                <w:szCs w:val="24"/>
              </w:rPr>
              <w:t>招标服务费部分</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7" w:hRule="atLeast"/>
          <w:jc w:val="center"/>
        </w:trPr>
        <w:tc>
          <w:tcPr>
            <w:tcW w:w="714" w:type="dxa"/>
            <w:vAlign w:val="center"/>
          </w:tcPr>
          <w:p>
            <w:pPr>
              <w:autoSpaceDE w:val="0"/>
              <w:autoSpaceDN w:val="0"/>
              <w:snapToGrid w:val="0"/>
              <w:spacing w:line="440" w:lineRule="exact"/>
              <w:ind w:left="-95" w:right="-129"/>
              <w:contextualSpacing/>
              <w:jc w:val="center"/>
              <w:rPr>
                <w:szCs w:val="21"/>
              </w:rPr>
            </w:pPr>
            <w:r>
              <w:rPr>
                <w:rFonts w:hint="eastAsia"/>
                <w:szCs w:val="21"/>
              </w:rPr>
              <w:t>15</w:t>
            </w:r>
          </w:p>
        </w:tc>
        <w:tc>
          <w:tcPr>
            <w:tcW w:w="8358" w:type="dxa"/>
            <w:vAlign w:val="center"/>
          </w:tcPr>
          <w:p>
            <w:pPr>
              <w:spacing w:line="440" w:lineRule="exact"/>
              <w:contextualSpacing/>
              <w:rPr>
                <w:szCs w:val="24"/>
              </w:rPr>
            </w:pPr>
            <w:r>
              <w:rPr>
                <w:rFonts w:hint="eastAsia"/>
                <w:szCs w:val="24"/>
              </w:rPr>
              <w:t>（1）中标人与采购人签订合同后，本采购代理机构参照国家发改委发改办价格[2003]857号通知和国家计委计价格[2002]1980号文件的规定的招标费率标准，向中标人收取招标服务费；</w:t>
            </w:r>
          </w:p>
          <w:p>
            <w:pPr>
              <w:spacing w:line="440" w:lineRule="exact"/>
              <w:contextualSpacing/>
              <w:rPr>
                <w:szCs w:val="24"/>
              </w:rPr>
            </w:pPr>
            <w:r>
              <w:rPr>
                <w:rFonts w:hint="eastAsia"/>
                <w:szCs w:val="24"/>
              </w:rPr>
              <w:t>（2）中标人在签订合同后5个工作日内向本招标代理机构支付招标服务费；招标服务费只收现金、银行票汇款、电汇款；</w:t>
            </w:r>
          </w:p>
          <w:p>
            <w:pPr>
              <w:spacing w:line="440" w:lineRule="exact"/>
              <w:contextualSpacing/>
              <w:rPr>
                <w:szCs w:val="24"/>
              </w:rPr>
            </w:pPr>
            <w:r>
              <w:rPr>
                <w:rFonts w:hint="eastAsia"/>
                <w:szCs w:val="24"/>
              </w:rPr>
              <w:t>（3）中标人如未按以上1条和2条规定办理，本招标代理机构有权从其投标保证金中收取，并对不足部分进行追索。</w:t>
            </w:r>
          </w:p>
        </w:tc>
      </w:tr>
    </w:tbl>
    <w:p>
      <w:pPr>
        <w:spacing w:line="440" w:lineRule="exact"/>
        <w:ind w:left="123" w:hanging="123" w:hangingChars="68"/>
        <w:rPr>
          <w:b/>
          <w:sz w:val="18"/>
          <w:szCs w:val="18"/>
        </w:rPr>
      </w:pPr>
      <w:r>
        <w:rPr>
          <w:rFonts w:hint="eastAsia"/>
          <w:b/>
          <w:sz w:val="18"/>
          <w:szCs w:val="18"/>
        </w:rPr>
        <w:t>本表内打有“▲”的条款系实质性条款，任何偏离将导致投标被否决。</w:t>
      </w:r>
    </w:p>
    <w:p>
      <w:pPr>
        <w:pStyle w:val="42"/>
        <w:rPr>
          <w:rFonts w:ascii="Times New Roman" w:hAnsi="Times New Roman"/>
          <w:kern w:val="44"/>
        </w:rPr>
      </w:pPr>
      <w:r>
        <w:rPr>
          <w:rFonts w:ascii="Times New Roman" w:hAnsi="Times New Roman"/>
        </w:rPr>
        <w:br w:type="page"/>
      </w:r>
      <w:bookmarkStart w:id="5" w:name="_Toc435088064"/>
      <w:r>
        <w:rPr>
          <w:rFonts w:hint="eastAsia" w:ascii="Times New Roman" w:hAnsi="Times New Roman"/>
          <w:kern w:val="44"/>
        </w:rPr>
        <w:t>第三章 投标人须知</w:t>
      </w:r>
      <w:bookmarkEnd w:id="5"/>
    </w:p>
    <w:p>
      <w:pPr>
        <w:pStyle w:val="24"/>
        <w:snapToGrid w:val="0"/>
        <w:spacing w:after="120" w:line="360" w:lineRule="auto"/>
        <w:rPr>
          <w:rFonts w:hAnsi="宋体" w:cs="宋体"/>
          <w:b/>
          <w:sz w:val="21"/>
          <w:szCs w:val="21"/>
        </w:rPr>
      </w:pPr>
      <w:bookmarkStart w:id="6" w:name="_Toc336528584"/>
      <w:r>
        <w:rPr>
          <w:rFonts w:hint="eastAsia" w:hAnsi="宋体" w:cs="宋体"/>
          <w:b/>
          <w:sz w:val="21"/>
          <w:szCs w:val="21"/>
        </w:rPr>
        <w:t>一 、总  则</w:t>
      </w:r>
    </w:p>
    <w:p>
      <w:pPr>
        <w:snapToGrid w:val="0"/>
        <w:spacing w:line="360" w:lineRule="auto"/>
        <w:ind w:firstLine="422" w:firstLineChars="200"/>
        <w:jc w:val="left"/>
        <w:outlineLvl w:val="1"/>
        <w:rPr>
          <w:rFonts w:ascii="宋体" w:hAnsi="宋体" w:cs="宋体"/>
          <w:b/>
          <w:szCs w:val="21"/>
        </w:rPr>
      </w:pPr>
      <w:bookmarkStart w:id="7" w:name="_Toc8089"/>
      <w:r>
        <w:rPr>
          <w:rFonts w:hint="eastAsia" w:ascii="宋体" w:hAnsi="宋体" w:cs="宋体"/>
          <w:b/>
          <w:szCs w:val="21"/>
        </w:rPr>
        <w:t>（一） 适用范围</w:t>
      </w:r>
      <w:bookmarkEnd w:id="7"/>
    </w:p>
    <w:p>
      <w:pPr>
        <w:snapToGrid w:val="0"/>
        <w:spacing w:line="360" w:lineRule="auto"/>
        <w:ind w:firstLine="420" w:firstLineChars="200"/>
        <w:jc w:val="left"/>
        <w:rPr>
          <w:rFonts w:ascii="宋体" w:hAnsi="宋体" w:cs="宋体"/>
          <w:szCs w:val="21"/>
        </w:rPr>
      </w:pPr>
      <w:r>
        <w:rPr>
          <w:rFonts w:hint="eastAsia" w:ascii="宋体" w:hAnsi="宋体" w:cs="宋体"/>
          <w:szCs w:val="21"/>
        </w:rPr>
        <w:t>本招标文件适用于</w:t>
      </w:r>
      <w:r>
        <w:rPr>
          <w:rFonts w:hint="eastAsia"/>
          <w:b/>
          <w:bCs/>
          <w:szCs w:val="24"/>
          <w:u w:val="single"/>
        </w:rPr>
        <w:t>宁海城区2020-2022年绿化养护服务项目</w:t>
      </w:r>
      <w:r>
        <w:rPr>
          <w:rFonts w:hint="eastAsia" w:ascii="宋体" w:hAnsi="宋体" w:cs="宋体"/>
          <w:szCs w:val="21"/>
        </w:rPr>
        <w:t>的招标、投标、评标、定标、验收、合同履约、付款等行为（法律、法规另有规定的，从其规定）。</w:t>
      </w:r>
    </w:p>
    <w:p>
      <w:pPr>
        <w:snapToGrid w:val="0"/>
        <w:spacing w:line="360" w:lineRule="auto"/>
        <w:ind w:firstLine="310" w:firstLineChars="147"/>
        <w:jc w:val="left"/>
        <w:outlineLvl w:val="1"/>
        <w:rPr>
          <w:rFonts w:ascii="宋体" w:hAnsi="宋体" w:cs="宋体"/>
          <w:b/>
          <w:szCs w:val="21"/>
        </w:rPr>
      </w:pPr>
      <w:bookmarkStart w:id="8" w:name="_Toc11628"/>
      <w:r>
        <w:rPr>
          <w:rFonts w:hint="eastAsia" w:ascii="宋体" w:hAnsi="宋体" w:cs="宋体"/>
          <w:b/>
          <w:szCs w:val="21"/>
        </w:rPr>
        <w:t>（二）定义</w:t>
      </w:r>
      <w:bookmarkEnd w:id="8"/>
    </w:p>
    <w:p>
      <w:pPr>
        <w:snapToGrid w:val="0"/>
        <w:spacing w:line="360" w:lineRule="auto"/>
        <w:ind w:firstLine="420" w:firstLineChars="200"/>
        <w:jc w:val="left"/>
        <w:rPr>
          <w:rFonts w:ascii="宋体" w:hAnsi="宋体" w:cs="宋体"/>
          <w:szCs w:val="21"/>
        </w:rPr>
      </w:pPr>
      <w:r>
        <w:rPr>
          <w:rFonts w:hint="eastAsia" w:ascii="宋体" w:hAnsi="宋体" w:cs="宋体"/>
          <w:szCs w:val="21"/>
        </w:rPr>
        <w:t>1、招标采购单位系指组织本次招标的招标代理机构（“招标人”）和采购单位；</w:t>
      </w:r>
    </w:p>
    <w:p>
      <w:pPr>
        <w:snapToGrid w:val="0"/>
        <w:spacing w:line="360" w:lineRule="auto"/>
        <w:ind w:firstLine="420" w:firstLineChars="200"/>
        <w:jc w:val="left"/>
        <w:rPr>
          <w:rFonts w:ascii="宋体" w:hAnsi="宋体" w:cs="宋体"/>
          <w:szCs w:val="21"/>
        </w:rPr>
      </w:pPr>
      <w:r>
        <w:rPr>
          <w:rFonts w:hint="eastAsia" w:ascii="宋体" w:hAnsi="宋体" w:cs="宋体"/>
          <w:szCs w:val="21"/>
        </w:rPr>
        <w:t>2、“投标人”系指向招标方提交投标文件的单位；</w:t>
      </w:r>
    </w:p>
    <w:p>
      <w:pPr>
        <w:snapToGrid w:val="0"/>
        <w:spacing w:line="360" w:lineRule="auto"/>
        <w:ind w:firstLine="420" w:firstLineChars="200"/>
        <w:jc w:val="left"/>
        <w:rPr>
          <w:rFonts w:ascii="宋体" w:hAnsi="宋体" w:cs="宋体"/>
          <w:szCs w:val="21"/>
        </w:rPr>
      </w:pPr>
      <w:r>
        <w:rPr>
          <w:rFonts w:hint="eastAsia" w:ascii="宋体" w:hAnsi="宋体" w:cs="宋体"/>
          <w:szCs w:val="21"/>
        </w:rPr>
        <w:t>3、“服务”系指招标文件规定投标人须承担的安装、调试、技术协助、校准、培训、技术指导以及其他类似的义务；</w:t>
      </w:r>
    </w:p>
    <w:p>
      <w:pPr>
        <w:snapToGrid w:val="0"/>
        <w:spacing w:line="360" w:lineRule="auto"/>
        <w:ind w:firstLine="420" w:firstLineChars="200"/>
        <w:jc w:val="left"/>
        <w:rPr>
          <w:rFonts w:ascii="宋体" w:hAnsi="宋体" w:cs="宋体"/>
          <w:szCs w:val="21"/>
        </w:rPr>
      </w:pPr>
      <w:r>
        <w:rPr>
          <w:rFonts w:hint="eastAsia" w:ascii="宋体" w:hAnsi="宋体" w:cs="宋体"/>
          <w:szCs w:val="21"/>
        </w:rPr>
        <w:t>4、“项目”系指投标人按招标文件规定向采购人提供的服务；</w:t>
      </w:r>
    </w:p>
    <w:p>
      <w:pPr>
        <w:snapToGrid w:val="0"/>
        <w:spacing w:line="360" w:lineRule="auto"/>
        <w:ind w:firstLine="420" w:firstLineChars="200"/>
        <w:jc w:val="left"/>
        <w:rPr>
          <w:rFonts w:ascii="宋体" w:hAnsi="宋体" w:cs="宋体"/>
          <w:szCs w:val="21"/>
        </w:rPr>
      </w:pPr>
      <w:r>
        <w:rPr>
          <w:rFonts w:hint="eastAsia" w:ascii="宋体" w:hAnsi="宋体" w:cs="宋体"/>
          <w:szCs w:val="21"/>
        </w:rPr>
        <w:t>5、“书面形式”包括信函、传真、电报等；</w:t>
      </w:r>
    </w:p>
    <w:p>
      <w:pPr>
        <w:snapToGrid w:val="0"/>
        <w:spacing w:line="360" w:lineRule="auto"/>
        <w:ind w:firstLine="420" w:firstLineChars="200"/>
        <w:jc w:val="left"/>
        <w:rPr>
          <w:rFonts w:ascii="宋体" w:hAnsi="宋体" w:cs="宋体"/>
          <w:szCs w:val="21"/>
        </w:rPr>
      </w:pPr>
      <w:r>
        <w:rPr>
          <w:rFonts w:hint="eastAsia" w:ascii="宋体" w:hAnsi="宋体" w:cs="宋体"/>
          <w:szCs w:val="21"/>
        </w:rPr>
        <w:t>6、“</w:t>
      </w:r>
      <w:r>
        <w:rPr>
          <w:rFonts w:hint="eastAsia" w:ascii="宋体" w:hAnsi="宋体" w:cs="宋体"/>
          <w:sz w:val="24"/>
        </w:rPr>
        <w:t>★</w:t>
      </w:r>
      <w:r>
        <w:rPr>
          <w:rFonts w:hint="eastAsia" w:ascii="宋体" w:hAnsi="宋体" w:cs="宋体"/>
          <w:szCs w:val="21"/>
        </w:rPr>
        <w:t>”系指实质性要求条款。</w:t>
      </w:r>
    </w:p>
    <w:p>
      <w:pPr>
        <w:spacing w:line="360" w:lineRule="auto"/>
        <w:ind w:firstLine="211" w:firstLineChars="100"/>
        <w:rPr>
          <w:rFonts w:ascii="宋体" w:hAnsi="宋体" w:cs="宋体"/>
          <w:b/>
          <w:szCs w:val="21"/>
        </w:rPr>
      </w:pPr>
      <w:r>
        <w:rPr>
          <w:rFonts w:hint="eastAsia" w:ascii="宋体" w:hAnsi="宋体" w:cs="宋体"/>
          <w:b/>
          <w:szCs w:val="21"/>
        </w:rPr>
        <w:t>（三）合格的投标人</w:t>
      </w:r>
    </w:p>
    <w:p>
      <w:pPr>
        <w:spacing w:line="360" w:lineRule="auto"/>
        <w:ind w:firstLine="420" w:firstLineChars="200"/>
        <w:rPr>
          <w:rFonts w:ascii="宋体" w:hAnsi="宋体" w:cs="宋体"/>
          <w:szCs w:val="21"/>
        </w:rPr>
      </w:pPr>
      <w:r>
        <w:rPr>
          <w:rFonts w:hint="eastAsia" w:ascii="宋体" w:hAnsi="宋体" w:cs="宋体"/>
          <w:szCs w:val="21"/>
        </w:rPr>
        <w:t>1、 合格的投标人应具备以下条件：</w:t>
      </w:r>
    </w:p>
    <w:p>
      <w:pPr>
        <w:spacing w:line="360" w:lineRule="auto"/>
        <w:ind w:firstLine="420" w:firstLineChars="200"/>
        <w:rPr>
          <w:rFonts w:ascii="宋体" w:hAnsi="宋体" w:cs="宋体"/>
          <w:szCs w:val="21"/>
        </w:rPr>
      </w:pPr>
      <w:r>
        <w:rPr>
          <w:rFonts w:hint="eastAsia" w:ascii="宋体" w:hAnsi="宋体" w:cs="宋体"/>
          <w:szCs w:val="21"/>
        </w:rPr>
        <w:t>1.1 符合《政府采购法》第二十二条第一款规定的关于投标人基本资格条件和采购公告规定的特定条件；</w:t>
      </w:r>
    </w:p>
    <w:p>
      <w:pPr>
        <w:spacing w:line="360" w:lineRule="auto"/>
        <w:ind w:firstLine="420" w:firstLineChars="200"/>
        <w:rPr>
          <w:rFonts w:ascii="宋体" w:hAnsi="宋体" w:cs="宋体"/>
          <w:szCs w:val="21"/>
        </w:rPr>
      </w:pPr>
      <w:r>
        <w:rPr>
          <w:rFonts w:hint="eastAsia" w:ascii="宋体" w:hAnsi="宋体" w:cs="宋体"/>
          <w:szCs w:val="21"/>
        </w:rPr>
        <w:t>1.2 投标人与采购人应无任何直接或间接的关联，包括接受采购人的委托为本次采购项目提供整体设计、规范编制或者项目管理、监理、检测等服务的投标人；</w:t>
      </w:r>
    </w:p>
    <w:p>
      <w:pPr>
        <w:spacing w:line="360" w:lineRule="auto"/>
        <w:ind w:firstLine="420" w:firstLineChars="200"/>
        <w:rPr>
          <w:rFonts w:ascii="宋体" w:hAnsi="宋体" w:cs="宋体"/>
          <w:szCs w:val="21"/>
        </w:rPr>
      </w:pPr>
      <w:r>
        <w:rPr>
          <w:rFonts w:hint="eastAsia" w:ascii="宋体" w:hAnsi="宋体" w:cs="宋体"/>
          <w:szCs w:val="21"/>
        </w:rPr>
        <w:t>1.3 投标方与采购人有下列关系的，系直接或间接的关联，应当回避：</w:t>
      </w:r>
    </w:p>
    <w:p>
      <w:pPr>
        <w:spacing w:line="360" w:lineRule="auto"/>
        <w:ind w:firstLine="420" w:firstLineChars="200"/>
        <w:rPr>
          <w:rFonts w:ascii="宋体" w:hAnsi="宋体" w:cs="宋体"/>
          <w:szCs w:val="21"/>
        </w:rPr>
      </w:pPr>
      <w:r>
        <w:rPr>
          <w:rFonts w:hint="eastAsia" w:ascii="宋体" w:hAnsi="宋体" w:cs="宋体"/>
          <w:szCs w:val="21"/>
        </w:rPr>
        <w:t>（1）参加采购活动前三年内存在劳动关系；</w:t>
      </w:r>
    </w:p>
    <w:p>
      <w:pPr>
        <w:spacing w:line="360" w:lineRule="auto"/>
        <w:ind w:firstLine="420" w:firstLineChars="200"/>
        <w:rPr>
          <w:rFonts w:ascii="宋体" w:hAnsi="宋体" w:cs="宋体"/>
          <w:szCs w:val="21"/>
        </w:rPr>
      </w:pPr>
      <w:r>
        <w:rPr>
          <w:rFonts w:hint="eastAsia" w:ascii="宋体" w:hAnsi="宋体" w:cs="宋体"/>
          <w:szCs w:val="21"/>
        </w:rPr>
        <w:t>（2）参加采购活动前3年内担任过投标方的董事、监事；</w:t>
      </w:r>
    </w:p>
    <w:p>
      <w:pPr>
        <w:spacing w:line="360" w:lineRule="auto"/>
        <w:ind w:firstLine="420" w:firstLineChars="200"/>
        <w:rPr>
          <w:rFonts w:ascii="宋体" w:hAnsi="宋体" w:cs="宋体"/>
          <w:szCs w:val="21"/>
        </w:rPr>
      </w:pPr>
      <w:r>
        <w:rPr>
          <w:rFonts w:hint="eastAsia" w:ascii="宋体" w:hAnsi="宋体" w:cs="宋体"/>
          <w:szCs w:val="21"/>
        </w:rPr>
        <w:t>（3）参加采购活动前3年内是投标方的控股股东或者实际控制人；</w:t>
      </w:r>
    </w:p>
    <w:p>
      <w:pPr>
        <w:spacing w:line="360" w:lineRule="auto"/>
        <w:ind w:firstLine="420" w:firstLineChars="200"/>
        <w:rPr>
          <w:rFonts w:ascii="宋体" w:hAnsi="宋体" w:cs="宋体"/>
          <w:szCs w:val="21"/>
        </w:rPr>
      </w:pPr>
      <w:r>
        <w:rPr>
          <w:rFonts w:hint="eastAsia" w:ascii="宋体" w:hAnsi="宋体" w:cs="宋体"/>
          <w:szCs w:val="21"/>
        </w:rPr>
        <w:t>（4）与投标人的法定代表人或者负责人有夫妻、直系血亲、三代以内旁系血亲或者近姻亲关系；</w:t>
      </w:r>
    </w:p>
    <w:p>
      <w:pPr>
        <w:spacing w:line="360" w:lineRule="auto"/>
        <w:ind w:firstLine="420" w:firstLineChars="200"/>
        <w:rPr>
          <w:rFonts w:ascii="宋体" w:hAnsi="宋体" w:cs="宋体"/>
          <w:szCs w:val="21"/>
        </w:rPr>
      </w:pPr>
      <w:r>
        <w:rPr>
          <w:rFonts w:hint="eastAsia" w:ascii="宋体" w:hAnsi="宋体" w:cs="宋体"/>
          <w:szCs w:val="21"/>
        </w:rPr>
        <w:t>（5）可能影响政府采购活动公平、公正进行的关系；</w:t>
      </w:r>
    </w:p>
    <w:p>
      <w:pPr>
        <w:spacing w:line="360" w:lineRule="auto"/>
        <w:ind w:firstLine="420" w:firstLineChars="200"/>
        <w:rPr>
          <w:rFonts w:ascii="宋体" w:hAnsi="宋体" w:cs="宋体"/>
          <w:szCs w:val="21"/>
        </w:rPr>
      </w:pPr>
      <w:r>
        <w:rPr>
          <w:rFonts w:hint="eastAsia" w:ascii="宋体" w:hAnsi="宋体" w:cs="宋体"/>
          <w:szCs w:val="21"/>
        </w:rPr>
        <w:t>1.4 投标人之间存在下列关联关系情形之一的，不得同时参加同一合同项下的项目投标：</w:t>
      </w:r>
    </w:p>
    <w:p>
      <w:pPr>
        <w:spacing w:line="360" w:lineRule="auto"/>
        <w:ind w:firstLine="420" w:firstLineChars="200"/>
        <w:rPr>
          <w:rFonts w:ascii="宋体" w:hAnsi="宋体" w:cs="宋体"/>
          <w:szCs w:val="21"/>
        </w:rPr>
      </w:pPr>
      <w:r>
        <w:rPr>
          <w:rFonts w:hint="eastAsia" w:ascii="宋体" w:hAnsi="宋体" w:cs="宋体"/>
          <w:szCs w:val="21"/>
        </w:rPr>
        <w:t xml:space="preserve">（1）单位负责人为同一人的两个及两个以上法人； </w:t>
      </w:r>
    </w:p>
    <w:p>
      <w:pPr>
        <w:spacing w:line="360" w:lineRule="auto"/>
        <w:ind w:firstLine="420" w:firstLineChars="200"/>
        <w:rPr>
          <w:rFonts w:ascii="宋体" w:hAnsi="宋体" w:cs="宋体"/>
          <w:szCs w:val="21"/>
        </w:rPr>
      </w:pPr>
      <w:r>
        <w:rPr>
          <w:rFonts w:hint="eastAsia" w:ascii="宋体" w:hAnsi="宋体" w:cs="宋体"/>
          <w:szCs w:val="21"/>
        </w:rPr>
        <w:t xml:space="preserve">（2）有相互投资参股或管理与被管理的母子公司关系的投标人； </w:t>
      </w:r>
    </w:p>
    <w:p>
      <w:pPr>
        <w:spacing w:line="360" w:lineRule="auto"/>
        <w:ind w:firstLine="420" w:firstLineChars="200"/>
        <w:rPr>
          <w:rFonts w:ascii="宋体" w:hAnsi="宋体" w:cs="宋体"/>
          <w:szCs w:val="21"/>
        </w:rPr>
      </w:pPr>
      <w:r>
        <w:rPr>
          <w:rFonts w:hint="eastAsia" w:ascii="宋体" w:hAnsi="宋体" w:cs="宋体"/>
          <w:szCs w:val="21"/>
        </w:rPr>
        <w:t>（3）均为同一家母公司直接或间接持股50%及以上的被投资公司；</w:t>
      </w:r>
    </w:p>
    <w:p>
      <w:pPr>
        <w:spacing w:line="360" w:lineRule="auto"/>
        <w:ind w:firstLine="420" w:firstLineChars="200"/>
        <w:rPr>
          <w:rFonts w:ascii="宋体" w:hAnsi="宋体" w:cs="宋体"/>
          <w:szCs w:val="21"/>
        </w:rPr>
      </w:pPr>
      <w:r>
        <w:rPr>
          <w:rFonts w:hint="eastAsia" w:ascii="宋体" w:hAnsi="宋体" w:cs="宋体"/>
          <w:szCs w:val="21"/>
        </w:rPr>
        <w:t>1.5 一个投标人对一个项目只能提交一个投标文件；</w:t>
      </w:r>
    </w:p>
    <w:p>
      <w:pPr>
        <w:spacing w:line="360" w:lineRule="auto"/>
        <w:ind w:firstLine="420" w:firstLineChars="200"/>
        <w:rPr>
          <w:rFonts w:ascii="宋体" w:hAnsi="宋体" w:cs="宋体"/>
          <w:szCs w:val="21"/>
        </w:rPr>
      </w:pPr>
      <w:r>
        <w:rPr>
          <w:rFonts w:hint="eastAsia" w:ascii="宋体" w:hAnsi="宋体" w:cs="宋体"/>
          <w:szCs w:val="21"/>
        </w:rPr>
        <w:t>1.6 投标人代理人只能接受一个投标方委托参加投标；</w:t>
      </w:r>
    </w:p>
    <w:p>
      <w:pPr>
        <w:spacing w:line="360" w:lineRule="auto"/>
        <w:ind w:firstLine="420" w:firstLineChars="200"/>
        <w:rPr>
          <w:rFonts w:ascii="宋体" w:hAnsi="宋体" w:cs="宋体"/>
          <w:szCs w:val="21"/>
        </w:rPr>
      </w:pPr>
      <w:r>
        <w:rPr>
          <w:rFonts w:hint="eastAsia" w:ascii="宋体" w:hAnsi="宋体" w:cs="宋体"/>
          <w:szCs w:val="21"/>
        </w:rPr>
        <w:t>1.7 如投标人代理人不是法定代表人，须持有《法定代表人授权书》（统一格式详见投标文件格式）。</w:t>
      </w:r>
      <w:bookmarkStart w:id="9" w:name="_Toc29625"/>
    </w:p>
    <w:p>
      <w:pPr>
        <w:spacing w:line="360" w:lineRule="auto"/>
        <w:ind w:firstLine="422" w:firstLineChars="200"/>
        <w:rPr>
          <w:rFonts w:ascii="宋体" w:hAnsi="宋体" w:cs="宋体"/>
          <w:b/>
          <w:szCs w:val="21"/>
        </w:rPr>
      </w:pPr>
      <w:r>
        <w:rPr>
          <w:rFonts w:hint="eastAsia" w:ascii="宋体" w:hAnsi="宋体" w:cs="宋体"/>
          <w:b/>
          <w:szCs w:val="21"/>
        </w:rPr>
        <w:t>（四）招标方式</w:t>
      </w:r>
      <w:bookmarkEnd w:id="9"/>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本次招标采用公开招标方式进行。</w:t>
      </w:r>
    </w:p>
    <w:p>
      <w:pPr>
        <w:snapToGrid w:val="0"/>
        <w:spacing w:line="480" w:lineRule="exact"/>
        <w:ind w:firstLine="413" w:firstLineChars="196"/>
        <w:jc w:val="left"/>
        <w:outlineLvl w:val="1"/>
        <w:rPr>
          <w:rFonts w:ascii="宋体" w:hAnsi="宋体" w:cs="宋体"/>
          <w:b/>
          <w:szCs w:val="21"/>
        </w:rPr>
      </w:pPr>
      <w:bookmarkStart w:id="10" w:name="_Toc13620"/>
      <w:r>
        <w:rPr>
          <w:rFonts w:hint="eastAsia" w:ascii="宋体" w:hAnsi="宋体" w:cs="宋体"/>
          <w:b/>
          <w:szCs w:val="21"/>
        </w:rPr>
        <w:t>（五）投标委托</w:t>
      </w:r>
      <w:bookmarkEnd w:id="10"/>
    </w:p>
    <w:p>
      <w:pPr>
        <w:pStyle w:val="19"/>
        <w:snapToGrid w:val="0"/>
        <w:spacing w:line="480" w:lineRule="exact"/>
        <w:ind w:firstLine="420" w:firstLineChars="200"/>
        <w:jc w:val="left"/>
        <w:rPr>
          <w:rFonts w:hAnsi="宋体" w:cs="宋体"/>
          <w:sz w:val="21"/>
          <w:szCs w:val="21"/>
        </w:rPr>
      </w:pPr>
      <w:r>
        <w:rPr>
          <w:rFonts w:hint="eastAsia" w:hAnsi="宋体" w:cs="宋体"/>
          <w:sz w:val="21"/>
          <w:szCs w:val="21"/>
        </w:rPr>
        <w:t>投标人代表须携带有效身份证件。如投标人代表不是法定代表人，须有法定代表人出具的授权委托书（正本用原件，副本用复印件，格式见第五章）。</w:t>
      </w:r>
    </w:p>
    <w:p>
      <w:pPr>
        <w:snapToGrid w:val="0"/>
        <w:spacing w:line="480" w:lineRule="exact"/>
        <w:ind w:firstLine="470" w:firstLineChars="196"/>
        <w:jc w:val="left"/>
        <w:outlineLvl w:val="1"/>
        <w:rPr>
          <w:rFonts w:ascii="宋体" w:hAnsi="宋体" w:cs="宋体"/>
          <w:b/>
          <w:szCs w:val="21"/>
        </w:rPr>
      </w:pPr>
      <w:bookmarkStart w:id="11" w:name="_Toc18576"/>
      <w:r>
        <w:rPr>
          <w:rFonts w:hint="eastAsia" w:ascii="宋体" w:hAnsi="宋体" w:cs="宋体"/>
          <w:sz w:val="24"/>
        </w:rPr>
        <w:t>★</w:t>
      </w:r>
      <w:r>
        <w:rPr>
          <w:rFonts w:hint="eastAsia" w:ascii="宋体" w:hAnsi="宋体" w:cs="宋体"/>
          <w:b/>
          <w:szCs w:val="21"/>
        </w:rPr>
        <w:t>（六）投标费用</w:t>
      </w:r>
      <w:bookmarkEnd w:id="11"/>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不论投标结果如何，投标人均应自行承担所有与投标有关的全部费用（招标文件有相关规定除外）。</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（七）联合体投标</w:t>
      </w:r>
    </w:p>
    <w:p>
      <w:pPr>
        <w:snapToGrid w:val="0"/>
        <w:spacing w:line="480" w:lineRule="exact"/>
        <w:ind w:firstLine="630" w:firstLineChars="300"/>
        <w:jc w:val="left"/>
        <w:rPr>
          <w:rFonts w:ascii="宋体" w:hAnsi="宋体" w:cs="宋体"/>
          <w:szCs w:val="21"/>
        </w:rPr>
      </w:pPr>
      <w:r>
        <w:rPr>
          <w:rFonts w:hint="eastAsia" w:ascii="宋体" w:hAnsi="宋体" w:cs="宋体"/>
          <w:szCs w:val="21"/>
        </w:rPr>
        <w:t>本项目不接受联合体投标。</w:t>
      </w:r>
    </w:p>
    <w:p>
      <w:pPr>
        <w:snapToGrid w:val="0"/>
        <w:spacing w:line="480" w:lineRule="exact"/>
        <w:ind w:firstLine="413" w:firstLineChars="196"/>
        <w:rPr>
          <w:rFonts w:ascii="宋体" w:hAnsi="宋体" w:cs="宋体"/>
          <w:b/>
          <w:kern w:val="0"/>
          <w:szCs w:val="21"/>
        </w:rPr>
      </w:pPr>
      <w:r>
        <w:rPr>
          <w:rFonts w:hint="eastAsia" w:ascii="宋体" w:hAnsi="宋体" w:cs="宋体"/>
          <w:b/>
          <w:szCs w:val="21"/>
        </w:rPr>
        <w:t>（八）</w:t>
      </w:r>
      <w:r>
        <w:rPr>
          <w:rFonts w:hint="eastAsia" w:ascii="宋体" w:hAnsi="宋体" w:cs="宋体"/>
          <w:b/>
          <w:kern w:val="0"/>
          <w:szCs w:val="21"/>
        </w:rPr>
        <w:t>转包与分包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1、本项目不允许转包；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2、本项目不可以分包。</w:t>
      </w:r>
    </w:p>
    <w:p>
      <w:pPr>
        <w:snapToGrid w:val="0"/>
        <w:spacing w:line="480" w:lineRule="exact"/>
        <w:ind w:firstLine="413" w:firstLineChars="196"/>
        <w:jc w:val="left"/>
        <w:outlineLvl w:val="1"/>
        <w:rPr>
          <w:rFonts w:ascii="宋体" w:hAnsi="宋体" w:cs="宋体"/>
          <w:b/>
          <w:szCs w:val="21"/>
        </w:rPr>
      </w:pPr>
      <w:bookmarkStart w:id="12" w:name="_Toc2114"/>
      <w:r>
        <w:rPr>
          <w:rFonts w:hint="eastAsia" w:ascii="宋体" w:hAnsi="宋体" w:cs="宋体"/>
          <w:b/>
          <w:szCs w:val="21"/>
        </w:rPr>
        <w:t>（九）特别说明</w:t>
      </w:r>
      <w:bookmarkEnd w:id="12"/>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1、</w:t>
      </w:r>
      <w:r>
        <w:rPr>
          <w:rFonts w:hint="eastAsia" w:hAnsi="宋体" w:cs="宋体"/>
          <w:szCs w:val="21"/>
        </w:rPr>
        <w:t>投标人应仔细阅读招标文件的所有内容，按照招标文件的要求提交投标文件，并对所提供的全部资料的真实性承担法律责任；</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2、</w:t>
      </w:r>
      <w:r>
        <w:rPr>
          <w:rFonts w:hint="eastAsia" w:hAnsi="宋体" w:cs="宋体"/>
          <w:szCs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3、</w:t>
      </w:r>
      <w:r>
        <w:rPr>
          <w:rFonts w:hint="eastAsia" w:hAnsi="宋体" w:cs="宋体"/>
          <w:szCs w:val="21"/>
        </w:rPr>
        <w:t>投标人投标所使用的资格、信誉、荣誉、业绩与企业认证必须为本法人所拥有。投标人投标所使用的采购项目实施人员必须为本法人员工（或必须为本法人或控股公司正式员工）；</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4、</w:t>
      </w:r>
      <w:r>
        <w:rPr>
          <w:rFonts w:hint="eastAsia" w:hAnsi="宋体" w:cs="宋体"/>
          <w:szCs w:val="21"/>
        </w:rPr>
        <w:t>单位负责人为同一人或者存在直接控股、管理关系的不同投标人，不得参加同一合同项下的政府采购活动；</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5、</w:t>
      </w:r>
      <w:r>
        <w:rPr>
          <w:rFonts w:hint="eastAsia" w:hAnsi="宋体" w:cs="宋体"/>
          <w:szCs w:val="21"/>
        </w:rPr>
        <w:t>除单一来源采购项目外，为采购项目提供整体设计、规范编制或者项目管理、监理、检测等服务的投标人，不得再参加该采购项目的其他采购活动。</w:t>
      </w:r>
    </w:p>
    <w:p>
      <w:pPr>
        <w:snapToGrid w:val="0"/>
        <w:spacing w:line="480" w:lineRule="exact"/>
        <w:ind w:firstLine="413" w:firstLineChars="196"/>
        <w:jc w:val="left"/>
        <w:outlineLvl w:val="1"/>
        <w:rPr>
          <w:rFonts w:ascii="宋体" w:hAnsi="宋体" w:cs="宋体"/>
          <w:b/>
          <w:szCs w:val="21"/>
        </w:rPr>
      </w:pPr>
      <w:r>
        <w:rPr>
          <w:rFonts w:hint="eastAsia" w:ascii="宋体" w:hAnsi="宋体" w:cs="宋体"/>
          <w:b/>
          <w:szCs w:val="21"/>
        </w:rPr>
        <w:t>（十）关于分公司投标</w:t>
      </w:r>
    </w:p>
    <w:p>
      <w:pPr>
        <w:widowControl/>
        <w:spacing w:line="480" w:lineRule="exact"/>
        <w:ind w:firstLine="420" w:firstLineChars="200"/>
        <w:jc w:val="left"/>
        <w:rPr>
          <w:rFonts w:hAnsi="宋体" w:cs="宋体"/>
          <w:szCs w:val="21"/>
        </w:rPr>
      </w:pPr>
      <w:r>
        <w:rPr>
          <w:rFonts w:hint="eastAsia" w:hAnsi="宋体" w:cs="宋体"/>
          <w:szCs w:val="21"/>
        </w:rPr>
        <w:t>除银行、保险、石油石化、电力、电信、移动、联通等行业外，分公司投标的，需提供具有法人资格的总公司的营业执照及授权书，授权书须加盖总公司公章。总公司可就本项目或此类项目在一定范围或时间内出具授权书。</w:t>
      </w:r>
    </w:p>
    <w:p>
      <w:pPr>
        <w:pStyle w:val="24"/>
        <w:snapToGrid w:val="0"/>
        <w:spacing w:after="120" w:line="480" w:lineRule="exact"/>
        <w:ind w:left="2" w:leftChars="1" w:firstLine="422" w:firstLineChars="200"/>
        <w:rPr>
          <w:rFonts w:hAnsi="宋体" w:cs="宋体"/>
          <w:b/>
          <w:bCs/>
          <w:sz w:val="21"/>
          <w:szCs w:val="21"/>
        </w:rPr>
      </w:pPr>
      <w:r>
        <w:rPr>
          <w:rFonts w:hint="eastAsia" w:hAnsi="宋体" w:cs="宋体"/>
          <w:b/>
          <w:bCs/>
          <w:sz w:val="21"/>
          <w:szCs w:val="21"/>
        </w:rPr>
        <w:t>（十一）质疑和投诉</w:t>
      </w:r>
    </w:p>
    <w:p>
      <w:pPr>
        <w:widowControl/>
        <w:spacing w:line="480" w:lineRule="exact"/>
        <w:ind w:firstLine="420" w:firstLineChars="200"/>
        <w:jc w:val="left"/>
        <w:rPr>
          <w:rFonts w:hAnsi="宋体" w:cs="宋体"/>
          <w:szCs w:val="21"/>
        </w:rPr>
      </w:pPr>
      <w:bookmarkStart w:id="13" w:name="_Toc6223"/>
      <w:r>
        <w:rPr>
          <w:rFonts w:hint="eastAsia" w:ascii="宋体" w:hAnsi="宋体" w:cs="宋体"/>
          <w:kern w:val="0"/>
          <w:szCs w:val="21"/>
        </w:rPr>
        <w:t>1、</w:t>
      </w:r>
      <w:r>
        <w:rPr>
          <w:rFonts w:hint="eastAsia" w:hAnsi="宋体" w:cs="宋体"/>
          <w:szCs w:val="21"/>
        </w:rPr>
        <w:t>投标人认为采购过程或中标结果使自己的合法权益受到损害的，应当在知道或者应知其利益受损之日起七个工作日内以书面形式向招标采购单位提出质疑。投标人对招标采购单位的质疑答复不满意或者招标采购单位未在规定时间内作出答复的，可以在答复期满后十五个工作日内向同级采购监管部门投诉。质疑、投诉应当采用书面形式，质疑书、投诉书均应明确阐述招标过程、中标结果使自己合法权益受到损害的实质性内容，提供相关事实、依据和证据及其来源或线索，便于有关单位调查、答复和处理，质疑、投诉资料应有法定代表人或其委托代理人签字，并盖投标人公章和注明日期；</w:t>
      </w:r>
    </w:p>
    <w:p>
      <w:pPr>
        <w:widowControl/>
        <w:spacing w:line="480" w:lineRule="exact"/>
        <w:ind w:firstLine="420" w:firstLineChars="200"/>
        <w:jc w:val="left"/>
        <w:rPr>
          <w:rFonts w:hAnsi="宋体" w:cs="宋体"/>
          <w:szCs w:val="21"/>
        </w:rPr>
      </w:pPr>
      <w:r>
        <w:rPr>
          <w:rFonts w:hint="eastAsia" w:ascii="宋体" w:hAnsi="宋体" w:cs="宋体"/>
          <w:kern w:val="0"/>
          <w:szCs w:val="21"/>
        </w:rPr>
        <w:t>2、</w:t>
      </w:r>
      <w:r>
        <w:rPr>
          <w:rFonts w:hint="eastAsia" w:hAnsi="宋体" w:cs="宋体"/>
          <w:szCs w:val="21"/>
        </w:rPr>
        <w:t>购买采购文件的潜在投标人对采购文件有质疑的，应在应知或已知其利益受到损害之日起七个工作日内以书面形式提出，应知或已知其利益受到损害之日的截止时间为采购文件公告期满之日，逾期提出的将不予受理。对采购文件的质疑、投诉应当采用书面形式，质疑书、投诉书均应明确阐述采购文件使自己合法权益受到损害的实质性内容，提供相关事实、依据和证据及其来源或线索，便于有关单位调查、答复和处理，质疑、投诉资料应有法定代表人或其委托代理人签字，并盖投标人公章和注明日期。没有提出异议的投标人将被视为完全认同采购文件；</w:t>
      </w:r>
    </w:p>
    <w:p>
      <w:pPr>
        <w:widowControl/>
        <w:spacing w:line="480" w:lineRule="exact"/>
        <w:ind w:firstLine="420" w:firstLineChars="200"/>
        <w:jc w:val="left"/>
        <w:rPr>
          <w:rFonts w:hAnsi="宋体" w:cs="宋体"/>
          <w:szCs w:val="21"/>
        </w:rPr>
      </w:pPr>
      <w:r>
        <w:rPr>
          <w:rFonts w:hint="eastAsia" w:ascii="宋体" w:hAnsi="宋体" w:cs="宋体"/>
          <w:kern w:val="0"/>
          <w:szCs w:val="21"/>
        </w:rPr>
        <w:t>3、</w:t>
      </w:r>
      <w:r>
        <w:rPr>
          <w:rFonts w:hint="eastAsia" w:hAnsi="宋体" w:cs="宋体"/>
          <w:szCs w:val="21"/>
        </w:rPr>
        <w:t>接收质疑函的相关信息详见第一章《公开招标采购公告》；</w:t>
      </w:r>
    </w:p>
    <w:p>
      <w:pPr>
        <w:widowControl/>
        <w:spacing w:line="480" w:lineRule="exact"/>
        <w:ind w:firstLine="420" w:firstLineChars="200"/>
        <w:jc w:val="left"/>
        <w:rPr>
          <w:rFonts w:hAnsi="宋体" w:cs="宋体"/>
          <w:szCs w:val="21"/>
        </w:rPr>
      </w:pPr>
      <w:r>
        <w:rPr>
          <w:rFonts w:hint="eastAsia" w:ascii="宋体" w:hAnsi="宋体" w:cs="宋体"/>
          <w:kern w:val="0"/>
          <w:szCs w:val="21"/>
        </w:rPr>
        <w:t>4、</w:t>
      </w:r>
      <w:r>
        <w:rPr>
          <w:rFonts w:hint="eastAsia" w:hAnsi="宋体" w:cs="宋体"/>
          <w:szCs w:val="21"/>
        </w:rPr>
        <w:t>投标人需在法定质疑期内一次性提出针对同一采购程序环节的质疑。</w:t>
      </w:r>
    </w:p>
    <w:p>
      <w:pPr>
        <w:pStyle w:val="24"/>
        <w:snapToGrid w:val="0"/>
        <w:spacing w:after="120" w:line="480" w:lineRule="exact"/>
        <w:ind w:firstLine="413" w:firstLineChars="196"/>
        <w:outlineLvl w:val="0"/>
        <w:rPr>
          <w:rFonts w:hAnsi="宋体" w:cs="宋体"/>
          <w:b/>
          <w:sz w:val="21"/>
          <w:szCs w:val="21"/>
        </w:rPr>
      </w:pPr>
      <w:r>
        <w:rPr>
          <w:rFonts w:hint="eastAsia" w:hAnsi="宋体" w:cs="宋体"/>
          <w:b/>
          <w:sz w:val="21"/>
          <w:szCs w:val="21"/>
        </w:rPr>
        <w:t>二  招标文件</w:t>
      </w:r>
      <w:bookmarkEnd w:id="13"/>
    </w:p>
    <w:p>
      <w:pPr>
        <w:snapToGrid w:val="0"/>
        <w:spacing w:line="480" w:lineRule="exact"/>
        <w:ind w:firstLine="413" w:firstLineChars="196"/>
        <w:jc w:val="left"/>
        <w:rPr>
          <w:rFonts w:ascii="宋体" w:hAnsi="宋体" w:cs="宋体"/>
          <w:b/>
          <w:szCs w:val="21"/>
        </w:rPr>
      </w:pPr>
      <w:r>
        <w:rPr>
          <w:rFonts w:hint="eastAsia" w:ascii="宋体" w:hAnsi="宋体" w:cs="宋体"/>
          <w:b/>
          <w:szCs w:val="21"/>
        </w:rPr>
        <w:t>（一）招标文件的构成。本招标文件由以下部分组成：</w:t>
      </w:r>
    </w:p>
    <w:p>
      <w:pPr>
        <w:snapToGrid w:val="0"/>
        <w:spacing w:line="480" w:lineRule="exact"/>
        <w:ind w:firstLine="420" w:firstLineChars="200"/>
        <w:jc w:val="left"/>
        <w:rPr>
          <w:rFonts w:ascii="宋体" w:hAnsi="宋体" w:cs="宋体"/>
          <w:szCs w:val="21"/>
        </w:rPr>
      </w:pPr>
      <w:r>
        <w:rPr>
          <w:rFonts w:hint="eastAsia" w:ascii="宋体" w:hAnsi="宋体" w:cs="宋体"/>
          <w:szCs w:val="21"/>
        </w:rPr>
        <w:t>1、公开招标公告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2、招标需求</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3、投标人须知</w:t>
      </w:r>
    </w:p>
    <w:p>
      <w:pPr>
        <w:snapToGrid w:val="0"/>
        <w:spacing w:line="480" w:lineRule="exact"/>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5、采购合同主要条款</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7、本项目招标文件的澄清、答复、修改、补充的内容</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（二）投标人的风险</w:t>
      </w:r>
    </w:p>
    <w:p>
      <w:pPr>
        <w:pStyle w:val="36"/>
        <w:spacing w:line="480" w:lineRule="exact"/>
        <w:ind w:firstLine="420"/>
        <w:rPr>
          <w:rFonts w:cs="宋体"/>
          <w:sz w:val="21"/>
          <w:szCs w:val="21"/>
        </w:rPr>
      </w:pPr>
      <w:r>
        <w:rPr>
          <w:rFonts w:hint="eastAsia" w:cs="宋体"/>
          <w:sz w:val="21"/>
          <w:szCs w:val="21"/>
        </w:rPr>
        <w:t>投标人没有按照招标文件要求提供全部资料，或者投标人没有对招标文件在各方面作出实质性响应是投标人的风险，并可能导致其投标被拒绝。</w:t>
      </w:r>
    </w:p>
    <w:p>
      <w:pPr>
        <w:pStyle w:val="36"/>
        <w:spacing w:line="480" w:lineRule="exact"/>
        <w:ind w:left="0" w:firstLine="422" w:firstLineChars="200"/>
        <w:rPr>
          <w:rFonts w:cs="宋体"/>
          <w:b/>
          <w:sz w:val="21"/>
          <w:szCs w:val="21"/>
        </w:rPr>
      </w:pPr>
      <w:r>
        <w:rPr>
          <w:rFonts w:hint="eastAsia" w:cs="宋体"/>
          <w:b/>
          <w:sz w:val="21"/>
          <w:szCs w:val="21"/>
        </w:rPr>
        <w:t>（三）招标文件的澄清与修改</w:t>
      </w:r>
    </w:p>
    <w:p>
      <w:pPr>
        <w:pStyle w:val="36"/>
        <w:spacing w:line="480" w:lineRule="exact"/>
        <w:ind w:firstLine="420"/>
        <w:rPr>
          <w:rFonts w:cs="宋体"/>
          <w:sz w:val="21"/>
          <w:szCs w:val="21"/>
        </w:rPr>
      </w:pPr>
      <w:r>
        <w:rPr>
          <w:rFonts w:hint="eastAsia" w:cs="宋体"/>
          <w:sz w:val="21"/>
          <w:szCs w:val="21"/>
        </w:rPr>
        <w:t>1、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pPr>
        <w:pStyle w:val="36"/>
        <w:spacing w:line="480" w:lineRule="exact"/>
        <w:ind w:firstLine="420"/>
        <w:rPr>
          <w:rFonts w:cs="宋体"/>
          <w:sz w:val="21"/>
          <w:szCs w:val="21"/>
        </w:rPr>
      </w:pPr>
      <w:r>
        <w:rPr>
          <w:rFonts w:hint="eastAsia" w:cs="宋体"/>
          <w:sz w:val="21"/>
          <w:szCs w:val="21"/>
        </w:rPr>
        <w:t>2、采购代理机构必须以书面形式答复投标人要求澄清的问题，并将不包含问题来源的答复书面通知所有购买招标文件的投标人；除书面答复以外的其他澄清方式及澄清内容均无效；</w:t>
      </w:r>
    </w:p>
    <w:p>
      <w:pPr>
        <w:pStyle w:val="36"/>
        <w:spacing w:line="480" w:lineRule="exact"/>
        <w:ind w:firstLine="420"/>
        <w:rPr>
          <w:rFonts w:cs="宋体"/>
          <w:sz w:val="21"/>
          <w:szCs w:val="21"/>
        </w:rPr>
      </w:pPr>
      <w:r>
        <w:rPr>
          <w:rFonts w:hint="eastAsia" w:cs="宋体"/>
          <w:sz w:val="21"/>
          <w:szCs w:val="21"/>
        </w:rPr>
        <w:t>3、招标文件澄清、答复、修改、补充的内容为招标文件的组成部分。当招标文件与招标文件的答复、澄清、修改、补充通知就同一内容的表述不一致时，以最后发出的书面文件为准；</w:t>
      </w:r>
    </w:p>
    <w:p>
      <w:pPr>
        <w:pStyle w:val="36"/>
        <w:spacing w:line="480" w:lineRule="exact"/>
        <w:ind w:firstLine="420"/>
        <w:rPr>
          <w:rFonts w:cs="宋体"/>
          <w:sz w:val="21"/>
          <w:szCs w:val="21"/>
        </w:rPr>
      </w:pPr>
      <w:r>
        <w:rPr>
          <w:rFonts w:hint="eastAsia" w:cs="宋体"/>
          <w:sz w:val="21"/>
          <w:szCs w:val="21"/>
        </w:rPr>
        <w:t>4、招标文件的澄清、答复、修改或补充都应该通过本代理机构以法定形式发布，采购人非通过本机构，不得擅自澄清、答复、修改或补充招标文件；</w:t>
      </w:r>
    </w:p>
    <w:p>
      <w:pPr>
        <w:pStyle w:val="36"/>
        <w:spacing w:line="480" w:lineRule="exact"/>
        <w:ind w:firstLine="420"/>
        <w:rPr>
          <w:rFonts w:cs="宋体"/>
          <w:sz w:val="21"/>
          <w:szCs w:val="21"/>
        </w:rPr>
      </w:pPr>
      <w:r>
        <w:rPr>
          <w:rFonts w:hint="eastAsia" w:cs="宋体"/>
          <w:sz w:val="21"/>
          <w:szCs w:val="21"/>
        </w:rPr>
        <w:t>5、延长投标截止时间和开标时间，至少应当在招标文件要求提交投标文件的截止时间三日前书面通知所有招标文件收受人。</w:t>
      </w:r>
    </w:p>
    <w:bookmarkEnd w:id="6"/>
    <w:p>
      <w:pPr>
        <w:pStyle w:val="24"/>
        <w:snapToGrid w:val="0"/>
        <w:spacing w:after="120" w:line="480" w:lineRule="exact"/>
        <w:ind w:firstLine="413" w:firstLineChars="196"/>
        <w:outlineLvl w:val="1"/>
        <w:rPr>
          <w:rFonts w:hAnsi="宋体" w:cs="宋体"/>
          <w:b/>
          <w:sz w:val="21"/>
          <w:szCs w:val="21"/>
        </w:rPr>
      </w:pPr>
      <w:bookmarkStart w:id="14" w:name="_Toc1389"/>
      <w:r>
        <w:rPr>
          <w:rFonts w:hint="eastAsia" w:hAnsi="宋体" w:cs="宋体"/>
          <w:b/>
          <w:sz w:val="21"/>
          <w:szCs w:val="21"/>
        </w:rPr>
        <w:t>三、投标文件的编制</w:t>
      </w:r>
      <w:bookmarkEnd w:id="14"/>
    </w:p>
    <w:p>
      <w:pPr>
        <w:snapToGrid w:val="0"/>
        <w:spacing w:line="480" w:lineRule="exact"/>
        <w:ind w:firstLine="413" w:firstLineChars="196"/>
        <w:jc w:val="left"/>
        <w:outlineLvl w:val="0"/>
        <w:rPr>
          <w:rFonts w:ascii="宋体" w:hAnsi="宋体" w:cs="宋体"/>
          <w:b/>
          <w:szCs w:val="21"/>
        </w:rPr>
      </w:pPr>
      <w:bookmarkStart w:id="15" w:name="_Toc1582"/>
      <w:r>
        <w:rPr>
          <w:rFonts w:hint="eastAsia" w:ascii="宋体" w:hAnsi="宋体" w:cs="宋体"/>
          <w:b/>
          <w:szCs w:val="21"/>
        </w:rPr>
        <w:t>（一）投标文件的组成</w:t>
      </w:r>
      <w:bookmarkEnd w:id="15"/>
    </w:p>
    <w:p>
      <w:pPr>
        <w:snapToGrid w:val="0"/>
        <w:spacing w:line="480" w:lineRule="exact"/>
        <w:ind w:firstLine="420" w:firstLineChars="200"/>
        <w:jc w:val="left"/>
        <w:rPr>
          <w:rFonts w:ascii="宋体" w:hAnsi="宋体" w:cs="宋体"/>
          <w:szCs w:val="21"/>
        </w:rPr>
      </w:pPr>
      <w:r>
        <w:rPr>
          <w:rFonts w:hint="eastAsia" w:ascii="宋体" w:hAnsi="宋体" w:cs="宋体"/>
          <w:szCs w:val="21"/>
        </w:rPr>
        <w:t>投标文件由资格审查文件、商务技术文件、报价文件组成。</w:t>
      </w:r>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1.资格审查文件：</w:t>
      </w:r>
    </w:p>
    <w:p>
      <w:pPr>
        <w:pStyle w:val="36"/>
        <w:spacing w:line="480" w:lineRule="exact"/>
        <w:rPr>
          <w:rFonts w:cs="宋体"/>
          <w:sz w:val="21"/>
          <w:szCs w:val="21"/>
        </w:rPr>
      </w:pPr>
      <w:r>
        <w:rPr>
          <w:rFonts w:hint="eastAsia" w:cs="宋体"/>
          <w:sz w:val="21"/>
          <w:szCs w:val="21"/>
        </w:rPr>
        <w:t>（1）资格条件自查表（格式见附件）；</w:t>
      </w:r>
    </w:p>
    <w:p>
      <w:pPr>
        <w:pStyle w:val="36"/>
        <w:spacing w:line="480" w:lineRule="exact"/>
        <w:rPr>
          <w:rFonts w:cs="宋体"/>
          <w:sz w:val="21"/>
          <w:szCs w:val="21"/>
        </w:rPr>
      </w:pPr>
      <w:r>
        <w:rPr>
          <w:rFonts w:hint="eastAsia" w:cs="宋体"/>
          <w:sz w:val="21"/>
          <w:szCs w:val="21"/>
        </w:rPr>
        <w:t>（2）投标声明书（格式见附件）；</w:t>
      </w:r>
    </w:p>
    <w:p>
      <w:pPr>
        <w:pStyle w:val="36"/>
        <w:spacing w:line="480" w:lineRule="exact"/>
        <w:rPr>
          <w:rFonts w:cs="宋体"/>
          <w:sz w:val="21"/>
          <w:szCs w:val="21"/>
        </w:rPr>
      </w:pPr>
      <w:r>
        <w:rPr>
          <w:rFonts w:hint="eastAsia" w:cs="宋体"/>
          <w:sz w:val="21"/>
          <w:szCs w:val="21"/>
        </w:rPr>
        <w:t>（3）符合《中华人民共和国政府采购法》第二十二条规定的投标人资格条件，提供以下材料（原件备查）（格式见附件）：</w:t>
      </w:r>
    </w:p>
    <w:p>
      <w:pPr>
        <w:snapToGrid w:val="0"/>
        <w:spacing w:line="480" w:lineRule="exact"/>
        <w:ind w:firstLine="630" w:firstLineChars="300"/>
        <w:jc w:val="left"/>
        <w:rPr>
          <w:rFonts w:ascii="宋体" w:hAnsi="宋体" w:cs="宋体"/>
          <w:szCs w:val="21"/>
        </w:rPr>
      </w:pPr>
      <w:r>
        <w:rPr>
          <w:rFonts w:hint="eastAsia" w:ascii="宋体" w:hAnsi="宋体" w:cs="宋体"/>
          <w:szCs w:val="21"/>
        </w:rPr>
        <w:t>a.企业法人营业执照或事业单位法人证书；</w:t>
      </w:r>
    </w:p>
    <w:p>
      <w:pPr>
        <w:snapToGrid w:val="0"/>
        <w:spacing w:line="480" w:lineRule="exact"/>
        <w:ind w:firstLine="630" w:firstLineChars="300"/>
        <w:jc w:val="left"/>
        <w:rPr>
          <w:rFonts w:ascii="宋体" w:hAnsi="宋体" w:cs="宋体"/>
          <w:szCs w:val="21"/>
        </w:rPr>
      </w:pPr>
      <w:r>
        <w:rPr>
          <w:rFonts w:hint="eastAsia" w:ascii="宋体" w:hAnsi="宋体" w:cs="宋体"/>
          <w:szCs w:val="21"/>
        </w:rPr>
        <w:t>b.2018年财务状况报告复印件，其他组织或投标人新成立不足一年，提供银行出具的资信证明材料复印件；</w:t>
      </w:r>
    </w:p>
    <w:p>
      <w:pPr>
        <w:snapToGrid w:val="0"/>
        <w:spacing w:line="480" w:lineRule="exact"/>
        <w:ind w:firstLine="630" w:firstLineChars="300"/>
        <w:jc w:val="left"/>
        <w:rPr>
          <w:rFonts w:ascii="宋体" w:hAnsi="宋体" w:cs="宋体"/>
          <w:szCs w:val="21"/>
        </w:rPr>
      </w:pPr>
      <w:r>
        <w:rPr>
          <w:rFonts w:hint="eastAsia" w:ascii="宋体" w:hAnsi="宋体" w:cs="宋体"/>
          <w:szCs w:val="21"/>
        </w:rPr>
        <w:t>c.2019年开具的缴纳税收的凭据证明材料复印件；如依法免税的，应提供相应文件证明其依法免税；</w:t>
      </w:r>
    </w:p>
    <w:p>
      <w:pPr>
        <w:snapToGrid w:val="0"/>
        <w:spacing w:line="480" w:lineRule="exact"/>
        <w:ind w:firstLine="630" w:firstLineChars="300"/>
        <w:jc w:val="left"/>
        <w:rPr>
          <w:rFonts w:ascii="宋体" w:hAnsi="宋体" w:cs="宋体"/>
          <w:szCs w:val="21"/>
        </w:rPr>
      </w:pPr>
      <w:r>
        <w:rPr>
          <w:rFonts w:hint="eastAsia" w:ascii="宋体" w:hAnsi="宋体" w:cs="宋体"/>
          <w:szCs w:val="21"/>
        </w:rPr>
        <w:t>d.2019年开具的缴纳社会保险的凭据证明材料复印件；如依法不需要缴纳社会保障资的，应提供相应文件证明其依法不需要缴纳社会保障资金；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（4）提供具有履行合同所必需的设备和专业技术能力的书面声明；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（5）提供参加政府采购活动前3年内在经营活动中没有重大违法记录；</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（6）投标人特定资格条件的证明文件；</w:t>
      </w:r>
    </w:p>
    <w:p>
      <w:pPr>
        <w:snapToGrid w:val="0"/>
        <w:spacing w:line="480" w:lineRule="exact"/>
        <w:ind w:firstLine="420" w:firstLineChars="200"/>
        <w:jc w:val="left"/>
        <w:rPr>
          <w:szCs w:val="24"/>
        </w:rPr>
      </w:pPr>
      <w:r>
        <w:rPr>
          <w:rFonts w:hint="eastAsia" w:ascii="宋体" w:hAnsi="宋体" w:cs="宋体"/>
          <w:szCs w:val="21"/>
        </w:rPr>
        <w:t>（7）招标文件要求及投标人认为需要提供的其他资料。</w:t>
      </w:r>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2.商务技术文件：</w:t>
      </w:r>
    </w:p>
    <w:p>
      <w:pPr>
        <w:numPr>
          <w:ilvl w:val="0"/>
          <w:numId w:val="3"/>
        </w:numPr>
        <w:snapToGrid w:val="0"/>
        <w:spacing w:line="480" w:lineRule="exact"/>
        <w:ind w:firstLine="420" w:firstLineChars="200"/>
        <w:jc w:val="left"/>
        <w:rPr>
          <w:rFonts w:ascii="宋体" w:hAnsi="宋体" w:cs="宋体"/>
          <w:szCs w:val="21"/>
        </w:rPr>
      </w:pPr>
      <w:r>
        <w:rPr>
          <w:rFonts w:hint="eastAsia" w:ascii="宋体" w:hAnsi="宋体" w:cs="宋体"/>
          <w:szCs w:val="21"/>
        </w:rPr>
        <w:t>符合性自查表（</w:t>
      </w:r>
      <w:r>
        <w:rPr>
          <w:rFonts w:hint="eastAsia" w:cs="宋体"/>
          <w:szCs w:val="21"/>
        </w:rPr>
        <w:t>格式见附件</w:t>
      </w:r>
      <w:r>
        <w:rPr>
          <w:rFonts w:hint="eastAsia" w:ascii="宋体" w:hAnsi="宋体" w:cs="宋体"/>
          <w:szCs w:val="21"/>
        </w:rPr>
        <w:t>）；</w:t>
      </w:r>
    </w:p>
    <w:p>
      <w:pPr>
        <w:numPr>
          <w:ilvl w:val="0"/>
          <w:numId w:val="3"/>
        </w:numPr>
        <w:snapToGrid w:val="0"/>
        <w:spacing w:line="480" w:lineRule="exact"/>
        <w:ind w:firstLine="420" w:firstLineChars="200"/>
        <w:jc w:val="left"/>
        <w:rPr>
          <w:rFonts w:ascii="宋体" w:hAnsi="宋体" w:cs="宋体"/>
          <w:szCs w:val="21"/>
        </w:rPr>
      </w:pPr>
      <w:r>
        <w:rPr>
          <w:rFonts w:hint="eastAsia" w:ascii="宋体" w:hAnsi="宋体" w:cs="宋体"/>
          <w:szCs w:val="21"/>
        </w:rPr>
        <w:t>投标人响应表（</w:t>
      </w:r>
      <w:r>
        <w:rPr>
          <w:rFonts w:hint="eastAsia" w:cs="宋体"/>
          <w:szCs w:val="21"/>
        </w:rPr>
        <w:t>格式见附件</w:t>
      </w:r>
      <w:r>
        <w:rPr>
          <w:rFonts w:hint="eastAsia" w:ascii="宋体" w:hAnsi="宋体" w:cs="宋体"/>
          <w:szCs w:val="21"/>
        </w:rPr>
        <w:t>）；</w:t>
      </w:r>
    </w:p>
    <w:p>
      <w:pPr>
        <w:numPr>
          <w:ilvl w:val="0"/>
          <w:numId w:val="3"/>
        </w:numPr>
        <w:snapToGrid w:val="0"/>
        <w:spacing w:line="480" w:lineRule="exact"/>
        <w:ind w:firstLine="420" w:firstLineChars="200"/>
        <w:jc w:val="left"/>
        <w:rPr>
          <w:rFonts w:ascii="宋体" w:hAnsi="宋体" w:cs="宋体"/>
          <w:szCs w:val="21"/>
        </w:rPr>
      </w:pPr>
      <w:r>
        <w:rPr>
          <w:rFonts w:hint="eastAsia" w:ascii="宋体" w:hAnsi="宋体" w:cs="宋体"/>
          <w:szCs w:val="21"/>
        </w:rPr>
        <w:t>投标保证金缴纳凭证复印件加盖公章；</w:t>
      </w:r>
    </w:p>
    <w:p>
      <w:pPr>
        <w:numPr>
          <w:ilvl w:val="0"/>
          <w:numId w:val="3"/>
        </w:numPr>
        <w:snapToGrid w:val="0"/>
        <w:spacing w:line="480" w:lineRule="exact"/>
        <w:ind w:firstLine="420" w:firstLineChars="200"/>
        <w:jc w:val="left"/>
        <w:rPr>
          <w:rFonts w:ascii="宋体" w:hAnsi="宋体" w:cs="宋体"/>
          <w:szCs w:val="21"/>
        </w:rPr>
      </w:pPr>
      <w:r>
        <w:rPr>
          <w:rFonts w:hint="eastAsia" w:ascii="宋体" w:hAnsi="宋体" w:cs="宋体"/>
          <w:szCs w:val="21"/>
        </w:rPr>
        <w:t>投标函（</w:t>
      </w:r>
      <w:r>
        <w:rPr>
          <w:rFonts w:hint="eastAsia" w:cs="宋体"/>
          <w:szCs w:val="21"/>
        </w:rPr>
        <w:t>格式见附件</w:t>
      </w:r>
      <w:r>
        <w:rPr>
          <w:rFonts w:hint="eastAsia" w:ascii="宋体" w:hAnsi="宋体" w:cs="宋体"/>
          <w:szCs w:val="21"/>
        </w:rPr>
        <w:t>）；</w:t>
      </w:r>
    </w:p>
    <w:p>
      <w:pPr>
        <w:tabs>
          <w:tab w:val="left" w:pos="1418"/>
        </w:tabs>
        <w:spacing w:line="440" w:lineRule="exact"/>
        <w:ind w:left="420"/>
        <w:contextualSpacing/>
        <w:rPr>
          <w:rFonts w:ascii="宋体" w:hAnsi="宋体" w:cs="宋体"/>
          <w:szCs w:val="21"/>
        </w:rPr>
      </w:pPr>
      <w:r>
        <w:rPr>
          <w:rFonts w:hint="eastAsia"/>
          <w:szCs w:val="24"/>
        </w:rPr>
        <w:t>（5）法定代表人授权书（若投标人代表系法定代表人，无需递交本授权书，必须递交法定代表人身份证复印件，在投标时须提供本人身份证和营业执照副本供查验，否则按无法定代表人授权处理）（格式见附件）；</w:t>
      </w:r>
    </w:p>
    <w:p>
      <w:pPr>
        <w:tabs>
          <w:tab w:val="left" w:pos="1418"/>
        </w:tabs>
        <w:spacing w:line="440" w:lineRule="exact"/>
        <w:ind w:firstLine="420" w:firstLineChars="200"/>
        <w:contextualSpacing/>
        <w:rPr>
          <w:szCs w:val="24"/>
        </w:rPr>
      </w:pPr>
      <w:r>
        <w:rPr>
          <w:rFonts w:hint="eastAsia" w:ascii="宋体" w:hAnsi="宋体" w:cs="宋体"/>
          <w:szCs w:val="21"/>
        </w:rPr>
        <w:t>（6）</w:t>
      </w:r>
      <w:r>
        <w:rPr>
          <w:rFonts w:hint="eastAsia"/>
          <w:szCs w:val="24"/>
        </w:rPr>
        <w:t>服务商务技术条款偏离表（规定格式，见“投标文件格式”部分）；</w:t>
      </w:r>
    </w:p>
    <w:p>
      <w:pPr>
        <w:tabs>
          <w:tab w:val="left" w:pos="1418"/>
        </w:tabs>
        <w:spacing w:line="440" w:lineRule="exact"/>
        <w:ind w:left="420"/>
        <w:contextualSpacing/>
        <w:rPr>
          <w:szCs w:val="24"/>
        </w:rPr>
      </w:pPr>
      <w:r>
        <w:rPr>
          <w:rFonts w:hint="eastAsia" w:ascii="宋体" w:hAnsi="宋体" w:cs="宋体"/>
          <w:szCs w:val="21"/>
        </w:rPr>
        <w:t>（7）</w:t>
      </w:r>
      <w:r>
        <w:rPr>
          <w:rFonts w:hint="eastAsia"/>
          <w:szCs w:val="24"/>
        </w:rPr>
        <w:t>合理化建议（若有，投标人自拟）；</w:t>
      </w:r>
    </w:p>
    <w:p>
      <w:pPr>
        <w:tabs>
          <w:tab w:val="left" w:pos="1418"/>
        </w:tabs>
        <w:spacing w:line="440" w:lineRule="exact"/>
        <w:ind w:left="420"/>
        <w:contextualSpacing/>
        <w:rPr>
          <w:szCs w:val="24"/>
        </w:rPr>
      </w:pPr>
      <w:r>
        <w:rPr>
          <w:rFonts w:hint="eastAsia" w:ascii="宋体" w:hAnsi="宋体" w:cs="宋体"/>
          <w:szCs w:val="21"/>
        </w:rPr>
        <w:t>（8）</w:t>
      </w:r>
      <w:r>
        <w:rPr>
          <w:rFonts w:hint="eastAsia"/>
          <w:szCs w:val="24"/>
        </w:rPr>
        <w:t xml:space="preserve">类似项目业绩表（若有，投标人自拟）；  </w:t>
      </w:r>
    </w:p>
    <w:p>
      <w:pPr>
        <w:tabs>
          <w:tab w:val="left" w:pos="1418"/>
        </w:tabs>
        <w:spacing w:line="440" w:lineRule="exact"/>
        <w:ind w:left="420"/>
        <w:contextualSpacing/>
        <w:rPr>
          <w:szCs w:val="24"/>
        </w:rPr>
      </w:pPr>
      <w:r>
        <w:rPr>
          <w:rFonts w:hint="eastAsia" w:ascii="宋体" w:hAnsi="宋体" w:cs="宋体"/>
          <w:szCs w:val="21"/>
        </w:rPr>
        <w:t>（9）</w:t>
      </w:r>
      <w:r>
        <w:rPr>
          <w:rFonts w:hint="eastAsia"/>
          <w:szCs w:val="24"/>
        </w:rPr>
        <w:t>投标人认为有必要提交的其他技术商务说明文件和资料（投标人自行编制）。</w:t>
      </w:r>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3.报价部分：</w:t>
      </w:r>
    </w:p>
    <w:p>
      <w:pPr>
        <w:snapToGrid w:val="0"/>
        <w:spacing w:line="480" w:lineRule="exact"/>
        <w:ind w:firstLine="420" w:firstLineChars="200"/>
        <w:jc w:val="left"/>
        <w:rPr>
          <w:rFonts w:ascii="宋体" w:hAnsi="宋体" w:cs="宋体"/>
          <w:szCs w:val="21"/>
        </w:rPr>
      </w:pPr>
      <w:r>
        <w:rPr>
          <w:rFonts w:hint="eastAsia"/>
          <w:szCs w:val="24"/>
        </w:rPr>
        <w:t>（</w:t>
      </w:r>
      <w:r>
        <w:rPr>
          <w:rFonts w:hint="eastAsia" w:ascii="宋体" w:hAnsi="宋体" w:cs="宋体"/>
          <w:szCs w:val="21"/>
        </w:rPr>
        <w:t>1）开标一览表（格式见附件）；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w:t>
      </w:r>
      <w:r>
        <w:rPr>
          <w:rFonts w:hint="eastAsia" w:ascii="宋体" w:hAnsi="宋体"/>
          <w:bCs/>
          <w:szCs w:val="21"/>
        </w:rPr>
        <w:t>鲜花、公园巡查、保洁人员</w:t>
      </w:r>
      <w:r>
        <w:rPr>
          <w:rFonts w:hint="eastAsia" w:hAnsi="宋体"/>
          <w:bCs/>
          <w:szCs w:val="21"/>
        </w:rPr>
        <w:t>部分</w:t>
      </w:r>
      <w:r>
        <w:rPr>
          <w:rFonts w:hint="eastAsia" w:ascii="宋体" w:hAnsi="宋体" w:cs="宋体"/>
          <w:szCs w:val="21"/>
        </w:rPr>
        <w:t>投标分项报价表（格式见附件）；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（3）小微企业声明函（如有，附会计事务所出具最近一年的财务审计报告）；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（4）残疾人福利性单位声明函（如有）（格式见附件）；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（5）投标人针对报价需要说明的其他文件和说明（格式自拟）。</w:t>
      </w:r>
    </w:p>
    <w:p>
      <w:pPr>
        <w:snapToGrid w:val="0"/>
        <w:spacing w:line="480" w:lineRule="exact"/>
        <w:ind w:firstLine="422" w:firstLineChars="200"/>
        <w:jc w:val="left"/>
        <w:rPr>
          <w:rFonts w:ascii="宋体" w:hAnsi="宋体" w:cs="宋体"/>
          <w:b/>
          <w:bCs/>
          <w:szCs w:val="21"/>
        </w:rPr>
      </w:pPr>
      <w:bookmarkStart w:id="16" w:name="_Toc156754840"/>
      <w:bookmarkStart w:id="17" w:name="_Toc263083251"/>
      <w:bookmarkStart w:id="18" w:name="_Toc157022441"/>
      <w:bookmarkStart w:id="19" w:name="_Toc435088076"/>
      <w:r>
        <w:rPr>
          <w:rFonts w:hint="eastAsia"/>
          <w:b/>
          <w:bCs/>
        </w:rPr>
        <w:t>以上要求中如有原件备查或以原件为准的，请提交原件（单独包装并注明投标人名称）与投标同时递交，评审结束后退还给投标人。</w:t>
      </w:r>
    </w:p>
    <w:p>
      <w:pPr>
        <w:snapToGrid w:val="0"/>
        <w:spacing w:line="480" w:lineRule="exact"/>
        <w:ind w:firstLine="470" w:firstLineChars="196"/>
        <w:jc w:val="left"/>
        <w:outlineLvl w:val="0"/>
        <w:rPr>
          <w:rFonts w:ascii="宋体" w:hAnsi="宋体" w:cs="宋体"/>
          <w:szCs w:val="21"/>
        </w:rPr>
      </w:pPr>
      <w:r>
        <w:rPr>
          <w:rFonts w:hint="eastAsia" w:ascii="宋体" w:hAnsi="宋体" w:cs="宋体"/>
          <w:sz w:val="24"/>
        </w:rPr>
        <w:t>★</w:t>
      </w:r>
      <w:r>
        <w:rPr>
          <w:rFonts w:hint="eastAsia" w:ascii="宋体" w:hAnsi="宋体" w:cs="宋体"/>
          <w:b/>
          <w:szCs w:val="21"/>
        </w:rPr>
        <w:t>注：法定代表人授权书必须由法定代表人签名并加盖单位公章；投标声明书、投标函、开标一览表必须由法定代表人或授权代表签名并加盖单位公章；其中商务技术文件内容中不得出现与价格有关的描述，否则将做无效标处理。</w:t>
      </w:r>
    </w:p>
    <w:p>
      <w:pPr>
        <w:snapToGrid w:val="0"/>
        <w:spacing w:line="480" w:lineRule="exact"/>
        <w:ind w:firstLine="413" w:firstLineChars="196"/>
        <w:jc w:val="left"/>
        <w:outlineLvl w:val="0"/>
        <w:rPr>
          <w:rFonts w:ascii="宋体" w:hAnsi="宋体" w:cs="宋体"/>
          <w:b/>
          <w:szCs w:val="21"/>
        </w:rPr>
      </w:pPr>
      <w:r>
        <w:rPr>
          <w:rFonts w:hint="eastAsia" w:ascii="宋体" w:hAnsi="宋体" w:cs="宋体"/>
          <w:b/>
          <w:szCs w:val="21"/>
        </w:rPr>
        <w:t>（二）投标文件的语言及计量</w:t>
      </w:r>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480" w:lineRule="exact"/>
        <w:ind w:firstLine="480" w:firstLineChars="200"/>
        <w:jc w:val="left"/>
        <w:rPr>
          <w:rFonts w:ascii="宋体" w:hAnsi="宋体" w:cs="宋体"/>
          <w:b/>
          <w:szCs w:val="21"/>
        </w:rPr>
      </w:pPr>
      <w:r>
        <w:rPr>
          <w:rFonts w:hint="eastAsia" w:ascii="宋体" w:hAnsi="宋体" w:cs="宋体"/>
          <w:sz w:val="24"/>
        </w:rPr>
        <w:t>★</w:t>
      </w: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bookmarkStart w:id="20" w:name="_Toc702"/>
    </w:p>
    <w:bookmarkEnd w:id="20"/>
    <w:p>
      <w:pPr>
        <w:numPr>
          <w:ilvl w:val="0"/>
          <w:numId w:val="4"/>
        </w:numPr>
        <w:tabs>
          <w:tab w:val="left" w:pos="525"/>
        </w:tabs>
        <w:snapToGrid w:val="0"/>
        <w:spacing w:line="480" w:lineRule="exact"/>
        <w:ind w:firstLine="422" w:firstLineChars="200"/>
        <w:jc w:val="left"/>
        <w:rPr>
          <w:rFonts w:ascii="宋体" w:hAnsi="宋体" w:cs="宋体"/>
          <w:b/>
          <w:bCs/>
          <w:szCs w:val="21"/>
        </w:rPr>
      </w:pPr>
      <w:r>
        <w:rPr>
          <w:rFonts w:hint="eastAsia" w:ascii="宋体" w:hAnsi="宋体" w:cs="宋体"/>
          <w:b/>
          <w:bCs/>
          <w:szCs w:val="21"/>
        </w:rPr>
        <w:t>投标报价</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1、投标报价应按采购文件中相关附表格式填写；</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★2、投标报价是履行合同的最终价格，具体详见第三章 投标人须知《前附表》；</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★3、投标文件只允许有一个报价，有选择的或有条件的报价将不予接受。</w:t>
      </w:r>
    </w:p>
    <w:p>
      <w:pPr>
        <w:tabs>
          <w:tab w:val="left" w:pos="525"/>
        </w:tabs>
        <w:snapToGrid w:val="0"/>
        <w:spacing w:line="480" w:lineRule="exact"/>
        <w:ind w:firstLine="422" w:firstLineChars="200"/>
        <w:jc w:val="left"/>
        <w:rPr>
          <w:rFonts w:ascii="宋体" w:hAnsi="宋体" w:cs="宋体"/>
          <w:b/>
          <w:szCs w:val="21"/>
        </w:rPr>
      </w:pPr>
      <w:r>
        <w:rPr>
          <w:rFonts w:hint="eastAsia" w:ascii="宋体" w:hAnsi="宋体" w:cs="宋体"/>
          <w:b/>
          <w:bCs/>
          <w:szCs w:val="21"/>
        </w:rPr>
        <w:t>（四）</w:t>
      </w:r>
      <w:r>
        <w:rPr>
          <w:rFonts w:hint="eastAsia" w:ascii="宋体" w:hAnsi="宋体" w:cs="宋体"/>
          <w:b/>
          <w:szCs w:val="21"/>
        </w:rPr>
        <w:t>投标文件的有效期</w:t>
      </w:r>
    </w:p>
    <w:p>
      <w:pPr>
        <w:tabs>
          <w:tab w:val="left" w:pos="525"/>
        </w:tabs>
        <w:snapToGrid w:val="0"/>
        <w:spacing w:line="480" w:lineRule="exact"/>
        <w:ind w:firstLine="480" w:firstLineChars="200"/>
        <w:jc w:val="left"/>
        <w:rPr>
          <w:rFonts w:ascii="宋体" w:hAnsi="宋体" w:cs="宋体"/>
          <w:kern w:val="0"/>
          <w:szCs w:val="21"/>
        </w:rPr>
      </w:pPr>
      <w:r>
        <w:rPr>
          <w:rFonts w:hint="eastAsia" w:ascii="宋体" w:hAnsi="宋体" w:cs="宋体"/>
          <w:sz w:val="24"/>
        </w:rPr>
        <w:t>★</w:t>
      </w:r>
      <w:r>
        <w:rPr>
          <w:rFonts w:hint="eastAsia" w:ascii="宋体" w:hAnsi="宋体" w:cs="宋体"/>
          <w:kern w:val="0"/>
          <w:szCs w:val="21"/>
        </w:rPr>
        <w:t>1、自投标截止日起</w:t>
      </w:r>
      <w:r>
        <w:rPr>
          <w:rFonts w:hint="eastAsia" w:ascii="宋体" w:hAnsi="宋体" w:cs="宋体"/>
          <w:b/>
          <w:bCs/>
          <w:kern w:val="0"/>
          <w:szCs w:val="21"/>
          <w:u w:val="single"/>
        </w:rPr>
        <w:t xml:space="preserve"> 90 </w:t>
      </w:r>
      <w:r>
        <w:rPr>
          <w:rFonts w:hint="eastAsia" w:ascii="宋体" w:hAnsi="宋体" w:cs="宋体"/>
          <w:kern w:val="0"/>
          <w:szCs w:val="21"/>
        </w:rPr>
        <w:t>天投标文件应保持有效。有效期不足的投标文件将被拒绝；</w:t>
      </w:r>
    </w:p>
    <w:p>
      <w:pPr>
        <w:tabs>
          <w:tab w:val="left" w:pos="525"/>
        </w:tabs>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2、在特殊情况下，招标人可与投标人协商延长投标书的有效期，这种要求和答复均以书面形式进行；</w:t>
      </w:r>
    </w:p>
    <w:p>
      <w:pPr>
        <w:snapToGrid w:val="0"/>
        <w:spacing w:line="480" w:lineRule="exact"/>
        <w:ind w:firstLine="420" w:firstLineChars="200"/>
        <w:jc w:val="left"/>
        <w:outlineLvl w:val="0"/>
        <w:rPr>
          <w:rFonts w:ascii="宋体" w:hAnsi="宋体" w:cs="宋体"/>
          <w:b/>
          <w:szCs w:val="21"/>
        </w:rPr>
      </w:pPr>
      <w:bookmarkStart w:id="21" w:name="_Toc26675"/>
      <w:r>
        <w:rPr>
          <w:rFonts w:hint="eastAsia" w:ascii="宋体" w:hAnsi="宋体" w:cs="宋体"/>
          <w:szCs w:val="21"/>
        </w:rPr>
        <w:t>3、投标人可拒绝接受延期要求而不会导致投标保证金被没收。同意延长有效期的投标人需要相应延长投标保证金的有效期，但不能修改投标文件</w:t>
      </w:r>
      <w:bookmarkEnd w:id="21"/>
      <w:r>
        <w:rPr>
          <w:rFonts w:hint="eastAsia" w:ascii="宋体" w:hAnsi="宋体" w:cs="宋体"/>
          <w:szCs w:val="21"/>
        </w:rPr>
        <w:t>；</w:t>
      </w:r>
    </w:p>
    <w:p>
      <w:pPr>
        <w:snapToGrid w:val="0"/>
        <w:spacing w:line="480" w:lineRule="exact"/>
        <w:ind w:firstLine="420" w:firstLineChars="200"/>
        <w:jc w:val="left"/>
        <w:outlineLvl w:val="0"/>
        <w:rPr>
          <w:rFonts w:ascii="宋体" w:hAnsi="宋体" w:cs="宋体"/>
          <w:b/>
          <w:szCs w:val="21"/>
        </w:rPr>
      </w:pPr>
      <w:bookmarkStart w:id="22" w:name="_Toc29670"/>
      <w:r>
        <w:rPr>
          <w:rFonts w:hint="eastAsia" w:ascii="宋体" w:hAnsi="宋体" w:cs="宋体"/>
          <w:szCs w:val="21"/>
        </w:rPr>
        <w:t>4、中标人的投标文件自开标之日起至合同履行完毕止均应保持有效。</w:t>
      </w:r>
      <w:bookmarkEnd w:id="22"/>
    </w:p>
    <w:p>
      <w:pPr>
        <w:snapToGrid w:val="0"/>
        <w:spacing w:line="480" w:lineRule="exact"/>
        <w:ind w:firstLine="413" w:firstLineChars="196"/>
        <w:jc w:val="left"/>
        <w:outlineLvl w:val="0"/>
        <w:rPr>
          <w:rFonts w:ascii="宋体" w:hAnsi="宋体" w:cs="宋体"/>
          <w:b/>
          <w:szCs w:val="21"/>
        </w:rPr>
      </w:pPr>
      <w:bookmarkStart w:id="23" w:name="_Toc3014"/>
      <w:r>
        <w:rPr>
          <w:rFonts w:hint="eastAsia" w:ascii="宋体" w:hAnsi="宋体" w:cs="宋体"/>
          <w:b/>
          <w:szCs w:val="21"/>
        </w:rPr>
        <w:t>（五）投标保证金</w:t>
      </w:r>
      <w:bookmarkEnd w:id="23"/>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1、投标人须按规定提交投标保证金。否则，其投标将被拒绝；</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2、保证金形式：转账支票（必须实时清算）、银行汇票或电汇；</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3、投标人在投标截止时间前撤回已提交的投标文件的，采购人或者采购代理机构应当自收到投标人书面撤回通知之日起5个工作日内，退还已收取的投标保证金，但因投标人自身原因导致无法及时退还的除外；</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4、采购人或者采购代理机构应当自中标通知书发出之日起5个工作日内退还未中标人的投标保证金，自采购合同签订之日起5个工作日内退还中标人的投标保证金或者转为中标人的履约保证金；</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5、</w:t>
      </w:r>
      <w:r>
        <w:rPr>
          <w:rFonts w:hint="eastAsia"/>
        </w:rPr>
        <w:t>除采购文件规定不予退还保证金的情形外，未中标的投标人，凭保证金收据和开户银行账号办理退款手续，在中标通知书发出后五个工作日内退还；中标投标人支付中标服务费后，凭合同、保证金收据和开户银行账号办理退款手续，自政府采购合同签订之日起5个工作日内退还。投标保证金以网银形式退还公司账户（不计息）。</w:t>
      </w:r>
    </w:p>
    <w:p>
      <w:pPr>
        <w:snapToGrid w:val="0"/>
        <w:spacing w:line="480" w:lineRule="exact"/>
        <w:ind w:firstLine="413" w:firstLineChars="196"/>
        <w:jc w:val="left"/>
        <w:rPr>
          <w:rFonts w:ascii="宋体" w:hAnsi="宋体" w:cs="宋体"/>
          <w:b/>
          <w:bCs/>
          <w:szCs w:val="21"/>
        </w:rPr>
      </w:pPr>
      <w:r>
        <w:rPr>
          <w:rFonts w:hint="eastAsia" w:ascii="宋体" w:hAnsi="宋体" w:cs="宋体"/>
          <w:b/>
          <w:bCs/>
          <w:szCs w:val="21"/>
        </w:rPr>
        <w:t>6、投标人有下列情形之一的，投标保证金将不予退还：</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（1）</w:t>
      </w:r>
      <w:r>
        <w:rPr>
          <w:rFonts w:hint="eastAsia" w:ascii="宋体" w:hAnsi="宋体" w:cs="宋体"/>
          <w:szCs w:val="21"/>
        </w:rPr>
        <w:t>投标人在投标有效期内撤回投标文件的；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（2）</w:t>
      </w:r>
      <w:r>
        <w:rPr>
          <w:rFonts w:hint="eastAsia" w:ascii="宋体" w:hAnsi="宋体" w:cs="宋体"/>
          <w:szCs w:val="21"/>
        </w:rPr>
        <w:t>投标人在投标过程中弄虚作假，提供虚假材料的；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（3）</w:t>
      </w:r>
      <w:r>
        <w:rPr>
          <w:rFonts w:hint="eastAsia" w:ascii="宋体" w:hAnsi="宋体" w:cs="宋体"/>
          <w:szCs w:val="21"/>
        </w:rPr>
        <w:t>中标人无正当理由不与采购人签订合同的；</w:t>
      </w:r>
    </w:p>
    <w:p>
      <w:pPr>
        <w:snapToGrid w:val="0"/>
        <w:spacing w:line="480" w:lineRule="exact"/>
        <w:ind w:firstLine="413" w:firstLineChars="196"/>
        <w:rPr>
          <w:rFonts w:ascii="宋体" w:hAnsi="宋体" w:cs="宋体"/>
          <w:bCs/>
          <w:szCs w:val="21"/>
        </w:rPr>
      </w:pPr>
      <w:r>
        <w:rPr>
          <w:rFonts w:hint="eastAsia" w:ascii="宋体" w:hAnsi="宋体" w:cs="宋体"/>
          <w:b/>
          <w:szCs w:val="21"/>
        </w:rPr>
        <w:t>（4）</w:t>
      </w:r>
      <w:r>
        <w:rPr>
          <w:rFonts w:hint="eastAsia" w:ascii="宋体" w:hAnsi="宋体" w:cs="宋体"/>
          <w:bCs/>
          <w:szCs w:val="21"/>
        </w:rPr>
        <w:t>将中标项目转让给他人或者在投标文件中未说明且未经招标采购单位同意，将中标项目分包给他人的；</w:t>
      </w:r>
    </w:p>
    <w:p>
      <w:pPr>
        <w:snapToGrid w:val="0"/>
        <w:spacing w:line="480" w:lineRule="exact"/>
        <w:ind w:firstLine="413" w:firstLineChars="196"/>
        <w:rPr>
          <w:rFonts w:ascii="宋体" w:hAnsi="宋体" w:cs="宋体"/>
          <w:szCs w:val="21"/>
        </w:rPr>
      </w:pPr>
      <w:r>
        <w:rPr>
          <w:rFonts w:hint="eastAsia" w:ascii="宋体" w:hAnsi="宋体" w:cs="宋体"/>
          <w:b/>
          <w:szCs w:val="21"/>
        </w:rPr>
        <w:t>（5）</w:t>
      </w:r>
      <w:r>
        <w:rPr>
          <w:rFonts w:hint="eastAsia" w:ascii="宋体" w:hAnsi="宋体" w:cs="宋体"/>
          <w:szCs w:val="21"/>
        </w:rPr>
        <w:t>拒绝履行合同义务的；</w:t>
      </w:r>
    </w:p>
    <w:p>
      <w:pPr>
        <w:snapToGrid w:val="0"/>
        <w:spacing w:line="480" w:lineRule="exact"/>
        <w:ind w:firstLine="413" w:firstLineChars="196"/>
        <w:rPr>
          <w:rFonts w:ascii="宋体" w:hAnsi="宋体" w:cs="宋体"/>
          <w:szCs w:val="21"/>
        </w:rPr>
      </w:pPr>
      <w:r>
        <w:rPr>
          <w:rFonts w:hint="eastAsia" w:ascii="宋体" w:hAnsi="宋体" w:cs="宋体"/>
          <w:b/>
          <w:szCs w:val="21"/>
        </w:rPr>
        <w:t>（6）</w:t>
      </w:r>
      <w:r>
        <w:rPr>
          <w:rFonts w:hint="eastAsia" w:ascii="宋体" w:hAnsi="宋体" w:cs="宋体"/>
          <w:szCs w:val="21"/>
        </w:rPr>
        <w:t>其他严重扰乱招投标程序的。</w:t>
      </w:r>
    </w:p>
    <w:p>
      <w:pPr>
        <w:snapToGrid w:val="0"/>
        <w:spacing w:line="480" w:lineRule="exact"/>
        <w:ind w:firstLine="413" w:firstLineChars="196"/>
        <w:jc w:val="left"/>
        <w:outlineLvl w:val="0"/>
        <w:rPr>
          <w:rFonts w:ascii="宋体" w:hAnsi="宋体" w:cs="宋体"/>
          <w:b/>
          <w:szCs w:val="21"/>
        </w:rPr>
      </w:pPr>
      <w:bookmarkStart w:id="24" w:name="_Toc1449"/>
      <w:r>
        <w:rPr>
          <w:rFonts w:hint="eastAsia" w:ascii="宋体" w:hAnsi="宋体" w:cs="宋体"/>
          <w:b/>
          <w:szCs w:val="21"/>
        </w:rPr>
        <w:t>（六）投标文件的签署和份数</w:t>
      </w:r>
      <w:bookmarkEnd w:id="24"/>
    </w:p>
    <w:p>
      <w:pPr>
        <w:snapToGrid w:val="0"/>
        <w:spacing w:line="480" w:lineRule="exact"/>
        <w:ind w:firstLine="411" w:firstLineChars="196"/>
        <w:rPr>
          <w:rFonts w:ascii="宋体" w:hAnsi="宋体" w:cs="宋体"/>
          <w:bCs/>
          <w:szCs w:val="21"/>
        </w:rPr>
      </w:pPr>
      <w:r>
        <w:rPr>
          <w:rFonts w:hint="eastAsia" w:ascii="宋体" w:hAnsi="宋体" w:cs="宋体"/>
          <w:bCs/>
          <w:szCs w:val="21"/>
        </w:rPr>
        <w:t>1、投标人应按本采购文件规定的格式和顺序编制、装订投标文件，投标文件要求有目录并标注页码，投标文件内容不完整、编排混乱导致投标文件被误读、漏读或者查找不到相关内容的，是投标人的责任；</w:t>
      </w:r>
    </w:p>
    <w:p>
      <w:pPr>
        <w:snapToGrid w:val="0"/>
        <w:spacing w:line="480" w:lineRule="exact"/>
        <w:ind w:firstLine="411" w:firstLineChars="196"/>
        <w:rPr>
          <w:rFonts w:ascii="宋体" w:hAnsi="宋体" w:cs="宋体"/>
          <w:b/>
          <w:szCs w:val="21"/>
        </w:rPr>
      </w:pPr>
      <w:r>
        <w:rPr>
          <w:rFonts w:hint="eastAsia" w:ascii="宋体" w:hAnsi="宋体" w:cs="宋体"/>
          <w:bCs/>
          <w:szCs w:val="21"/>
        </w:rPr>
        <w:t>2、投标文件要求正本1份，副本6份装订成册，投标文件的封面应注明“正本”、“副本”字样。</w:t>
      </w:r>
      <w:r>
        <w:rPr>
          <w:rFonts w:hint="eastAsia" w:ascii="宋体" w:hAnsi="宋体" w:cs="宋体"/>
          <w:b/>
          <w:szCs w:val="21"/>
        </w:rPr>
        <w:t>活页装订的投标文件将被拒绝；</w:t>
      </w:r>
    </w:p>
    <w:p>
      <w:pPr>
        <w:snapToGrid w:val="0"/>
        <w:spacing w:line="480" w:lineRule="exact"/>
        <w:ind w:firstLine="413" w:firstLineChars="196"/>
        <w:rPr>
          <w:rFonts w:ascii="宋体" w:hAnsi="宋体" w:cs="宋体"/>
          <w:b/>
          <w:bCs w:val="0"/>
          <w:szCs w:val="21"/>
        </w:rPr>
      </w:pPr>
      <w:r>
        <w:rPr>
          <w:rFonts w:hint="eastAsia" w:ascii="宋体" w:hAnsi="宋体" w:cs="宋体"/>
          <w:b/>
          <w:bCs w:val="0"/>
          <w:szCs w:val="21"/>
        </w:rPr>
        <w:t>资格审查文件、商务技术文件</w:t>
      </w:r>
      <w:r>
        <w:rPr>
          <w:rFonts w:hint="eastAsia" w:ascii="宋体" w:hAnsi="宋体" w:cs="宋体"/>
          <w:b/>
          <w:bCs w:val="0"/>
          <w:szCs w:val="21"/>
          <w:lang w:eastAsia="zh-CN"/>
        </w:rPr>
        <w:t>不分子包，</w:t>
      </w:r>
      <w:r>
        <w:rPr>
          <w:rFonts w:hint="eastAsia" w:ascii="宋体" w:hAnsi="宋体" w:cs="宋体"/>
          <w:b/>
          <w:bCs w:val="0"/>
          <w:szCs w:val="21"/>
        </w:rPr>
        <w:t>投标报价文件按子包分别装订、密封、包装，未按规定装订、密封、包装的投标文件将被拒绝；</w:t>
      </w:r>
    </w:p>
    <w:p>
      <w:pPr>
        <w:snapToGrid w:val="0"/>
        <w:spacing w:line="480" w:lineRule="exact"/>
        <w:ind w:firstLine="411" w:firstLineChars="196"/>
        <w:rPr>
          <w:rFonts w:ascii="宋体" w:hAnsi="宋体" w:cs="宋体"/>
          <w:bCs/>
          <w:szCs w:val="21"/>
        </w:rPr>
      </w:pPr>
      <w:r>
        <w:rPr>
          <w:rFonts w:hint="eastAsia" w:ascii="宋体" w:hAnsi="宋体" w:cs="宋体"/>
          <w:bCs/>
          <w:szCs w:val="21"/>
        </w:rPr>
        <w:t>3、投标文件的正本需打印或用不褪色的墨水填写，投标文件正本除本《投标人须知》中规定的可提供复印件外均须提供原件。副本为正本的复印件。投标文件正、副本内容不一致的，以正本为准；</w:t>
      </w:r>
    </w:p>
    <w:p>
      <w:pPr>
        <w:snapToGrid w:val="0"/>
        <w:spacing w:line="480" w:lineRule="exact"/>
        <w:ind w:firstLine="411" w:firstLineChars="196"/>
        <w:rPr>
          <w:rFonts w:ascii="宋体" w:hAnsi="宋体" w:cs="宋体"/>
          <w:bCs/>
          <w:szCs w:val="21"/>
        </w:rPr>
      </w:pPr>
      <w:r>
        <w:rPr>
          <w:rFonts w:hint="eastAsia" w:ascii="宋体" w:hAnsi="宋体" w:cs="宋体"/>
          <w:bCs/>
          <w:szCs w:val="21"/>
        </w:rPr>
        <w:t>4、投标文件须由投标人在规定位置盖章并由法定代表人或法定代表人的授权委托人签署，投标人应写全称；</w:t>
      </w:r>
    </w:p>
    <w:p>
      <w:pPr>
        <w:snapToGrid w:val="0"/>
        <w:spacing w:line="480" w:lineRule="exact"/>
        <w:ind w:firstLine="411" w:firstLineChars="196"/>
        <w:rPr>
          <w:rFonts w:ascii="宋体" w:hAnsi="宋体" w:cs="宋体"/>
          <w:bCs/>
          <w:szCs w:val="21"/>
        </w:rPr>
      </w:pPr>
      <w:r>
        <w:rPr>
          <w:rFonts w:hint="eastAsia" w:ascii="宋体" w:hAnsi="宋体" w:cs="宋体"/>
          <w:bCs/>
          <w:szCs w:val="21"/>
        </w:rPr>
        <w:t>5、投标文件不得涂改，若有修改错漏处，须加盖单位公章或者法定代表人或授权委托人签字或盖章。投标文件因字迹潦草或表达不清所引起的后果由投标人负责。</w:t>
      </w:r>
    </w:p>
    <w:p>
      <w:pPr>
        <w:snapToGrid w:val="0"/>
        <w:spacing w:line="480" w:lineRule="exact"/>
        <w:ind w:firstLine="310" w:firstLineChars="147"/>
        <w:jc w:val="left"/>
        <w:rPr>
          <w:rFonts w:ascii="宋体" w:hAnsi="宋体" w:cs="宋体"/>
          <w:b/>
          <w:szCs w:val="21"/>
        </w:rPr>
      </w:pPr>
      <w:r>
        <w:rPr>
          <w:rFonts w:hint="eastAsia" w:ascii="宋体" w:hAnsi="宋体" w:cs="宋体"/>
          <w:b/>
          <w:szCs w:val="21"/>
        </w:rPr>
        <w:t>（七）投标文件的包装、递交、修改和撤回</w:t>
      </w:r>
    </w:p>
    <w:p>
      <w:pPr>
        <w:snapToGrid w:val="0"/>
        <w:spacing w:line="480" w:lineRule="exact"/>
        <w:ind w:firstLine="411" w:firstLineChars="196"/>
        <w:rPr>
          <w:rFonts w:ascii="宋体" w:hAnsi="宋体" w:cs="宋体"/>
          <w:bCs/>
          <w:szCs w:val="21"/>
        </w:rPr>
      </w:pPr>
      <w:bookmarkStart w:id="25" w:name="_Toc15401"/>
      <w:r>
        <w:rPr>
          <w:rFonts w:hint="eastAsia" w:ascii="宋体" w:hAnsi="宋体" w:cs="宋体"/>
          <w:bCs/>
          <w:szCs w:val="21"/>
        </w:rPr>
        <w:t>1、投标文件由资格审查文件、报价文件、商务技术文件组成，要求按子包分别装订成册</w:t>
      </w:r>
      <w:r>
        <w:rPr>
          <w:rFonts w:hint="eastAsia" w:ascii="宋体" w:hAnsi="宋体" w:cs="宋体"/>
          <w:szCs w:val="21"/>
        </w:rPr>
        <w:t>。</w:t>
      </w:r>
      <w:r>
        <w:rPr>
          <w:rFonts w:hint="eastAsia" w:ascii="宋体" w:hAnsi="宋体" w:cs="宋体"/>
          <w:bCs/>
          <w:szCs w:val="21"/>
        </w:rPr>
        <w:t>投标文件的包装封面上应注明投标人名称、投标人地址、投标文件名称（资格审查文件、报价文件或商务技术文件）、项目名称、项目编号、子包号，并加盖投标人公章，</w:t>
      </w:r>
      <w:r>
        <w:rPr>
          <w:rFonts w:hint="eastAsia" w:ascii="宋体" w:hAnsi="宋体" w:cs="宋体"/>
          <w:szCs w:val="21"/>
        </w:rPr>
        <w:t>否则，其投标文件将被拒绝；</w:t>
      </w:r>
    </w:p>
    <w:p>
      <w:pPr>
        <w:snapToGrid w:val="0"/>
        <w:spacing w:line="480" w:lineRule="exact"/>
        <w:ind w:firstLine="411" w:firstLineChars="196"/>
        <w:rPr>
          <w:rFonts w:ascii="宋体" w:hAnsi="宋体" w:cs="宋体"/>
          <w:bCs/>
          <w:szCs w:val="21"/>
        </w:rPr>
      </w:pPr>
      <w:r>
        <w:rPr>
          <w:rFonts w:hint="eastAsia" w:ascii="宋体" w:hAnsi="宋体" w:cs="宋体"/>
          <w:bCs/>
          <w:szCs w:val="21"/>
        </w:rPr>
        <w:t>2、未按规定密封或标记的投标文件将被拒绝，由此造成投标文件被误投或提前拆封的风险由投标人承担；</w:t>
      </w:r>
    </w:p>
    <w:p>
      <w:pPr>
        <w:snapToGrid w:val="0"/>
        <w:spacing w:line="480" w:lineRule="exact"/>
        <w:ind w:firstLine="411" w:firstLineChars="196"/>
        <w:rPr>
          <w:rFonts w:ascii="宋体" w:hAnsi="宋体" w:cs="宋体"/>
          <w:bCs/>
          <w:szCs w:val="21"/>
        </w:rPr>
      </w:pPr>
      <w:r>
        <w:rPr>
          <w:rFonts w:hint="eastAsia" w:ascii="宋体" w:hAnsi="宋体" w:cs="宋体"/>
          <w:bCs/>
          <w:szCs w:val="21"/>
        </w:rPr>
        <w:t>3、投标人在投标截止时间前，可以对所递交的投标文件进行补充、修改或者撤回，并书面通知采购人或者采购代理机构。补充、修改的内容应当按照采购文件要求签署、盖章、密封后，作为投标文件的组成部分。</w:t>
      </w:r>
    </w:p>
    <w:bookmarkEnd w:id="25"/>
    <w:p>
      <w:pPr>
        <w:pStyle w:val="19"/>
        <w:snapToGrid w:val="0"/>
        <w:spacing w:line="360" w:lineRule="auto"/>
        <w:ind w:firstLine="413" w:firstLineChars="196"/>
        <w:outlineLvl w:val="1"/>
        <w:rPr>
          <w:rFonts w:ascii="宋体" w:hAnsi="宋体" w:eastAsia="宋体" w:cs="宋体"/>
          <w:b/>
          <w:snapToGrid w:val="0"/>
          <w:sz w:val="21"/>
          <w:szCs w:val="21"/>
        </w:rPr>
      </w:pPr>
      <w:bookmarkStart w:id="26" w:name="_Toc12832"/>
      <w:r>
        <w:rPr>
          <w:rFonts w:hint="eastAsia" w:ascii="宋体" w:hAnsi="宋体" w:eastAsia="宋体" w:cs="宋体"/>
          <w:b/>
          <w:sz w:val="21"/>
          <w:szCs w:val="21"/>
        </w:rPr>
        <w:t>四、开标</w:t>
      </w:r>
      <w:bookmarkEnd w:id="26"/>
    </w:p>
    <w:p>
      <w:pPr>
        <w:pStyle w:val="24"/>
        <w:snapToGrid w:val="0"/>
        <w:spacing w:before="120" w:line="360" w:lineRule="auto"/>
        <w:ind w:firstLine="413" w:firstLineChars="196"/>
        <w:rPr>
          <w:rFonts w:hAnsi="宋体" w:cs="宋体"/>
          <w:b/>
          <w:sz w:val="21"/>
          <w:szCs w:val="21"/>
        </w:rPr>
      </w:pPr>
      <w:r>
        <w:rPr>
          <w:rFonts w:hint="eastAsia" w:hAnsi="宋体" w:cs="宋体"/>
          <w:b/>
          <w:sz w:val="21"/>
          <w:szCs w:val="21"/>
        </w:rPr>
        <w:t>（一）开标准备</w:t>
      </w:r>
    </w:p>
    <w:p>
      <w:pPr>
        <w:pStyle w:val="24"/>
        <w:snapToGrid w:val="0"/>
        <w:spacing w:line="360" w:lineRule="auto"/>
        <w:ind w:firstLine="420" w:firstLineChars="200"/>
        <w:rPr>
          <w:rFonts w:hAnsi="宋体" w:cs="宋体"/>
          <w:bCs/>
          <w:sz w:val="21"/>
          <w:szCs w:val="21"/>
        </w:rPr>
      </w:pPr>
      <w:r>
        <w:rPr>
          <w:rFonts w:hint="eastAsia" w:hAnsi="宋体" w:cs="宋体"/>
          <w:bCs/>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24"/>
        <w:snapToGrid w:val="0"/>
        <w:spacing w:before="120" w:after="120" w:line="360" w:lineRule="auto"/>
        <w:ind w:firstLine="413" w:firstLineChars="196"/>
        <w:rPr>
          <w:rFonts w:hAnsi="宋体" w:cs="宋体"/>
          <w:b/>
          <w:sz w:val="21"/>
          <w:szCs w:val="21"/>
        </w:rPr>
      </w:pPr>
      <w:r>
        <w:rPr>
          <w:rFonts w:hint="eastAsia" w:hAnsi="宋体" w:cs="宋体"/>
          <w:b/>
          <w:sz w:val="21"/>
          <w:szCs w:val="21"/>
        </w:rPr>
        <w:t>（二） 开标程序</w:t>
      </w:r>
    </w:p>
    <w:p>
      <w:pPr>
        <w:spacing w:line="360" w:lineRule="auto"/>
        <w:ind w:left="420"/>
        <w:rPr>
          <w:rFonts w:ascii="宋体" w:hAnsi="宋体" w:cs="宋体"/>
          <w:szCs w:val="21"/>
        </w:rPr>
      </w:pPr>
      <w:r>
        <w:rPr>
          <w:rFonts w:hint="eastAsia" w:ascii="宋体" w:hAnsi="宋体" w:cs="宋体"/>
          <w:szCs w:val="21"/>
        </w:rPr>
        <w:t>1、开标会由采购代理机构主持，主持人宣布开标会议开始；</w:t>
      </w:r>
    </w:p>
    <w:p>
      <w:pPr>
        <w:spacing w:line="360" w:lineRule="auto"/>
        <w:ind w:left="420"/>
        <w:rPr>
          <w:rFonts w:ascii="宋体" w:hAnsi="宋体" w:cs="宋体"/>
          <w:szCs w:val="21"/>
        </w:rPr>
      </w:pPr>
      <w:r>
        <w:rPr>
          <w:rFonts w:hint="eastAsia" w:ascii="宋体" w:hAnsi="宋体" w:cs="宋体"/>
          <w:szCs w:val="21"/>
        </w:rPr>
        <w:t>2、主持人介绍参加开标会的人员名单；</w:t>
      </w:r>
    </w:p>
    <w:p>
      <w:pPr>
        <w:spacing w:line="360" w:lineRule="auto"/>
        <w:ind w:left="420"/>
        <w:rPr>
          <w:rFonts w:ascii="宋体" w:hAnsi="宋体" w:cs="宋体"/>
          <w:szCs w:val="21"/>
        </w:rPr>
      </w:pPr>
      <w:r>
        <w:rPr>
          <w:rFonts w:hint="eastAsia" w:ascii="宋体" w:hAnsi="宋体" w:cs="宋体"/>
          <w:szCs w:val="21"/>
        </w:rPr>
        <w:t>3、主持人宣布评标期间的有关事项，告知应当回避的情形,提请有关人员回避；</w:t>
      </w:r>
    </w:p>
    <w:p>
      <w:pPr>
        <w:spacing w:line="360" w:lineRule="auto"/>
        <w:ind w:left="420"/>
        <w:rPr>
          <w:rFonts w:ascii="宋体" w:hAnsi="宋体" w:cs="宋体"/>
          <w:szCs w:val="21"/>
        </w:rPr>
      </w:pPr>
      <w:r>
        <w:rPr>
          <w:rFonts w:hint="eastAsia" w:ascii="宋体" w:hAnsi="宋体" w:cs="宋体"/>
          <w:szCs w:val="21"/>
        </w:rPr>
        <w:t>4、投标人或其当场推荐的代表检查投标文件密封的完整性并签字确认；</w:t>
      </w:r>
    </w:p>
    <w:p>
      <w:pPr>
        <w:spacing w:line="360" w:lineRule="auto"/>
        <w:ind w:left="420"/>
        <w:rPr>
          <w:rFonts w:ascii="宋体" w:hAnsi="宋体" w:cs="宋体"/>
          <w:szCs w:val="21"/>
        </w:rPr>
      </w:pPr>
      <w:r>
        <w:rPr>
          <w:rFonts w:hint="eastAsia" w:ascii="宋体" w:hAnsi="宋体" w:cs="宋体"/>
          <w:szCs w:val="21"/>
        </w:rPr>
        <w:t>5、按各投标人提交投标文件时间的先后顺序打开资格审查文件、商务技术文件外包装，清点投标文件正本、副本数量；</w:t>
      </w:r>
    </w:p>
    <w:p>
      <w:pPr>
        <w:spacing w:line="360" w:lineRule="auto"/>
        <w:ind w:left="420"/>
        <w:rPr>
          <w:rFonts w:ascii="宋体" w:hAnsi="宋体" w:cs="宋体"/>
          <w:szCs w:val="21"/>
        </w:rPr>
      </w:pPr>
      <w:r>
        <w:rPr>
          <w:rFonts w:hint="eastAsia" w:ascii="宋体" w:hAnsi="宋体" w:cs="宋体"/>
          <w:szCs w:val="21"/>
        </w:rPr>
        <w:t>6、资格审查、符合性检查、技术、资信售后服务及其他分评分结束后，由主持人公布无效投标的投标人名单、投标无效的原因及其他有效投标的评分结果；</w:t>
      </w:r>
    </w:p>
    <w:p>
      <w:pPr>
        <w:spacing w:line="360" w:lineRule="auto"/>
        <w:ind w:left="420"/>
        <w:rPr>
          <w:rFonts w:ascii="宋体" w:hAnsi="宋体" w:cs="宋体"/>
          <w:szCs w:val="21"/>
        </w:rPr>
      </w:pPr>
      <w:r>
        <w:rPr>
          <w:rFonts w:hint="eastAsia" w:ascii="宋体" w:hAnsi="宋体" w:cs="宋体"/>
          <w:szCs w:val="21"/>
        </w:rPr>
        <w:t>7、再开启报价文件，由主持人宣读《开标一览表》中的投标人名称及在其投标文件中承诺的投标报价、交货期（服务期限）等投标内容，以及采购代理机构认为有必要宣读的其他内容；</w:t>
      </w:r>
    </w:p>
    <w:p>
      <w:pPr>
        <w:spacing w:line="360" w:lineRule="auto"/>
        <w:ind w:left="420"/>
        <w:rPr>
          <w:rFonts w:ascii="宋体" w:hAnsi="宋体" w:cs="宋体"/>
          <w:szCs w:val="21"/>
        </w:rPr>
      </w:pPr>
      <w:r>
        <w:rPr>
          <w:rFonts w:hint="eastAsia" w:ascii="宋体" w:hAnsi="宋体" w:cs="宋体"/>
          <w:szCs w:val="21"/>
        </w:rPr>
        <w:t>8、采购代理机构做开标记录, 同时由记录人、监督人当场签字确认；</w:t>
      </w:r>
    </w:p>
    <w:p>
      <w:pPr>
        <w:spacing w:line="360" w:lineRule="auto"/>
        <w:ind w:left="420"/>
        <w:rPr>
          <w:rFonts w:ascii="宋体" w:hAnsi="宋体" w:cs="宋体"/>
          <w:szCs w:val="21"/>
        </w:rPr>
      </w:pPr>
      <w:r>
        <w:rPr>
          <w:rFonts w:hint="eastAsia" w:ascii="宋体" w:hAnsi="宋体" w:cs="宋体"/>
          <w:szCs w:val="21"/>
        </w:rPr>
        <w:t>9、评审结束后，主持人公布中标候选投标人名单，及采购人最终确定中标或成交投标人名单的时间和公告方式等；</w:t>
      </w:r>
    </w:p>
    <w:p>
      <w:pPr>
        <w:spacing w:line="360" w:lineRule="auto"/>
        <w:ind w:left="420"/>
        <w:rPr>
          <w:rFonts w:ascii="宋体" w:hAnsi="宋体" w:cs="宋体"/>
          <w:szCs w:val="21"/>
        </w:rPr>
      </w:pPr>
      <w:r>
        <w:rPr>
          <w:rFonts w:hint="eastAsia" w:ascii="宋体" w:hAnsi="宋体" w:cs="宋体"/>
          <w:szCs w:val="21"/>
        </w:rPr>
        <w:t>10、开标会议结束。</w:t>
      </w:r>
    </w:p>
    <w:p>
      <w:pPr>
        <w:pStyle w:val="24"/>
        <w:snapToGrid w:val="0"/>
        <w:spacing w:before="120" w:after="120" w:line="360" w:lineRule="auto"/>
        <w:ind w:left="772" w:leftChars="267" w:hanging="211" w:hangingChars="100"/>
        <w:outlineLvl w:val="1"/>
        <w:rPr>
          <w:rFonts w:hAnsi="宋体" w:cs="宋体"/>
          <w:b/>
          <w:sz w:val="21"/>
          <w:szCs w:val="21"/>
        </w:rPr>
      </w:pPr>
      <w:bookmarkStart w:id="27" w:name="_Toc22883"/>
      <w:r>
        <w:rPr>
          <w:rFonts w:hint="eastAsia" w:hAnsi="宋体" w:cs="宋体"/>
          <w:b/>
          <w:sz w:val="21"/>
          <w:szCs w:val="21"/>
        </w:rPr>
        <w:t>五、评标</w:t>
      </w:r>
      <w:bookmarkEnd w:id="27"/>
    </w:p>
    <w:p>
      <w:pPr>
        <w:pStyle w:val="24"/>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（一）组建评标委员会</w:t>
      </w:r>
    </w:p>
    <w:p>
      <w:pPr>
        <w:pStyle w:val="24"/>
        <w:snapToGrid w:val="0"/>
        <w:spacing w:before="120" w:after="120" w:line="360" w:lineRule="auto"/>
        <w:ind w:firstLine="420" w:firstLineChars="200"/>
        <w:rPr>
          <w:rFonts w:hAnsi="宋体" w:cs="宋体"/>
          <w:sz w:val="21"/>
          <w:szCs w:val="21"/>
        </w:rPr>
      </w:pPr>
      <w:r>
        <w:rPr>
          <w:rFonts w:hint="eastAsia" w:hAnsi="宋体" w:cs="宋体"/>
          <w:sz w:val="21"/>
          <w:szCs w:val="21"/>
        </w:rPr>
        <w:t>本项目评标委员会按照相关法律规定组成。</w:t>
      </w:r>
    </w:p>
    <w:p>
      <w:pPr>
        <w:pStyle w:val="24"/>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（二）评标的方式</w:t>
      </w:r>
    </w:p>
    <w:p>
      <w:pPr>
        <w:pStyle w:val="24"/>
        <w:snapToGrid w:val="0"/>
        <w:spacing w:before="120" w:after="120" w:line="360" w:lineRule="auto"/>
        <w:ind w:firstLine="420" w:firstLineChars="200"/>
        <w:rPr>
          <w:rFonts w:hAnsi="宋体" w:cs="宋体"/>
          <w:sz w:val="21"/>
          <w:szCs w:val="21"/>
        </w:rPr>
      </w:pPr>
      <w:r>
        <w:rPr>
          <w:rFonts w:hint="eastAsia" w:hAnsi="宋体" w:cs="宋体"/>
          <w:sz w:val="21"/>
          <w:szCs w:val="21"/>
        </w:rPr>
        <w:t>本项目评标的依据为采购文件和投标文件。</w:t>
      </w:r>
    </w:p>
    <w:p>
      <w:pPr>
        <w:pStyle w:val="24"/>
        <w:snapToGrid w:val="0"/>
        <w:spacing w:before="120" w:after="120" w:line="360" w:lineRule="auto"/>
        <w:ind w:left="690" w:leftChars="228" w:hanging="211" w:hangingChars="100"/>
        <w:rPr>
          <w:rFonts w:hAnsi="宋体" w:cs="宋体"/>
          <w:b/>
          <w:sz w:val="21"/>
          <w:szCs w:val="21"/>
        </w:rPr>
      </w:pPr>
      <w:r>
        <w:rPr>
          <w:rFonts w:hint="eastAsia" w:hAnsi="宋体" w:cs="宋体"/>
          <w:b/>
          <w:sz w:val="21"/>
          <w:szCs w:val="21"/>
        </w:rPr>
        <w:t>（三）</w:t>
      </w:r>
      <w:r>
        <w:rPr>
          <w:rFonts w:hint="eastAsia" w:hAnsi="宋体" w:cs="宋体"/>
          <w:b/>
          <w:bCs/>
          <w:sz w:val="21"/>
          <w:szCs w:val="21"/>
        </w:rPr>
        <w:t>评标程序</w:t>
      </w:r>
    </w:p>
    <w:p>
      <w:pPr>
        <w:spacing w:line="360" w:lineRule="auto"/>
        <w:ind w:firstLine="420" w:firstLineChars="200"/>
        <w:rPr>
          <w:rFonts w:ascii="宋体" w:hAnsi="宋体" w:cs="宋体"/>
          <w:b/>
          <w:szCs w:val="21"/>
        </w:rPr>
      </w:pPr>
      <w:r>
        <w:rPr>
          <w:rFonts w:hint="eastAsia" w:ascii="宋体" w:hAnsi="宋体" w:cs="宋体"/>
          <w:szCs w:val="21"/>
        </w:rPr>
        <w:t>1.</w:t>
      </w:r>
      <w:r>
        <w:rPr>
          <w:rFonts w:hint="eastAsia" w:ascii="宋体" w:hAnsi="宋体" w:cs="宋体"/>
          <w:b/>
          <w:szCs w:val="21"/>
        </w:rPr>
        <w:t>资格条件审查</w:t>
      </w:r>
    </w:p>
    <w:p>
      <w:pPr>
        <w:spacing w:line="360" w:lineRule="auto"/>
        <w:ind w:firstLine="522" w:firstLineChars="249"/>
        <w:rPr>
          <w:rFonts w:ascii="宋体" w:hAnsi="宋体" w:cs="宋体"/>
          <w:szCs w:val="21"/>
        </w:rPr>
      </w:pPr>
      <w:r>
        <w:rPr>
          <w:rFonts w:hint="eastAsia" w:ascii="宋体" w:hAnsi="宋体" w:cs="宋体"/>
          <w:szCs w:val="21"/>
        </w:rPr>
        <w:t>由采购人或代理机构对投标人的资格进行审查。</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spacing w:line="360" w:lineRule="auto"/>
              <w:jc w:val="center"/>
              <w:rPr>
                <w:rFonts w:ascii="宋体" w:hAnsi="宋体" w:cs="宋体"/>
                <w:szCs w:val="21"/>
              </w:rPr>
            </w:pPr>
            <w:r>
              <w:rPr>
                <w:rFonts w:hint="eastAsia" w:ascii="宋体" w:hAnsi="宋体" w:cs="宋体"/>
                <w:szCs w:val="21"/>
              </w:rPr>
              <w:t>审查类别</w:t>
            </w:r>
          </w:p>
        </w:tc>
        <w:tc>
          <w:tcPr>
            <w:tcW w:w="7584" w:type="dxa"/>
          </w:tcPr>
          <w:p>
            <w:pPr>
              <w:spacing w:line="360" w:lineRule="auto"/>
              <w:jc w:val="center"/>
              <w:rPr>
                <w:rFonts w:ascii="宋体" w:hAns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restart"/>
            <w:vAlign w:val="center"/>
          </w:tcPr>
          <w:p>
            <w:pPr>
              <w:spacing w:line="360" w:lineRule="auto"/>
              <w:jc w:val="center"/>
              <w:rPr>
                <w:rFonts w:ascii="宋体" w:hAnsi="宋体" w:cs="宋体"/>
                <w:szCs w:val="21"/>
              </w:rPr>
            </w:pPr>
            <w:r>
              <w:rPr>
                <w:rFonts w:hint="eastAsia" w:ascii="宋体" w:hAnsi="宋体" w:cs="宋体"/>
                <w:szCs w:val="21"/>
              </w:rPr>
              <w:t>资格条件审查</w:t>
            </w:r>
          </w:p>
        </w:tc>
        <w:tc>
          <w:tcPr>
            <w:tcW w:w="7584" w:type="dxa"/>
          </w:tcPr>
          <w:p>
            <w:pPr>
              <w:spacing w:line="360" w:lineRule="auto"/>
              <w:rPr>
                <w:rFonts w:ascii="宋体" w:hAnsi="宋体" w:cs="宋体"/>
                <w:szCs w:val="21"/>
              </w:rPr>
            </w:pPr>
            <w:r>
              <w:rPr>
                <w:rFonts w:hint="eastAsia" w:ascii="宋体" w:hAnsi="宋体" w:cs="宋体"/>
                <w:szCs w:val="21"/>
              </w:rPr>
              <w:t>（一）符合《中华人民共和国政府采购法》第二十二条规定的投标人资格条件；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宋体" w:hAnsi="宋体" w:cs="宋体"/>
                <w:szCs w:val="21"/>
              </w:rPr>
            </w:pPr>
          </w:p>
        </w:tc>
        <w:tc>
          <w:tcPr>
            <w:tcW w:w="7584" w:type="dxa"/>
          </w:tcPr>
          <w:p>
            <w:pPr>
              <w:spacing w:line="360" w:lineRule="auto"/>
              <w:rPr>
                <w:rFonts w:ascii="宋体" w:hAnsi="宋体" w:cs="宋体"/>
                <w:szCs w:val="21"/>
              </w:rPr>
            </w:pPr>
            <w:r>
              <w:rPr>
                <w:rFonts w:hint="eastAsia" w:ascii="宋体" w:hAnsi="宋体" w:cs="宋体"/>
                <w:szCs w:val="21"/>
              </w:rPr>
              <w:t>（二）项目经理须具有园林绿化专业中级及以上职称；</w:t>
            </w:r>
          </w:p>
          <w:p>
            <w:pPr>
              <w:spacing w:line="360" w:lineRule="auto"/>
              <w:rPr>
                <w:rFonts w:ascii="宋体" w:hAnsi="宋体" w:cs="宋体"/>
                <w:szCs w:val="21"/>
              </w:rPr>
            </w:pPr>
            <w:r>
              <w:rPr>
                <w:rFonts w:hint="eastAsia" w:ascii="宋体" w:hAnsi="宋体" w:cs="宋体"/>
                <w:szCs w:val="21"/>
              </w:rPr>
              <w:t>（必须为本单位在职职工，并缴纳社会养老保险（注：投标人须提供拟派的项目负责人在2019年3月以后（含3月）连续六个月的社保证明，如投标人未提供，资格审查不予通过））；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宋体" w:hAnsi="宋体" w:cs="宋体"/>
                <w:szCs w:val="21"/>
              </w:rPr>
            </w:pPr>
          </w:p>
        </w:tc>
        <w:tc>
          <w:tcPr>
            <w:tcW w:w="7584" w:type="dxa"/>
          </w:tcPr>
          <w:p>
            <w:pPr>
              <w:spacing w:line="360" w:lineRule="auto"/>
              <w:rPr>
                <w:rFonts w:ascii="宋体" w:hAnsi="宋体" w:cs="宋体"/>
                <w:szCs w:val="21"/>
              </w:rPr>
            </w:pPr>
            <w:r>
              <w:rPr>
                <w:rFonts w:hint="eastAsia" w:ascii="宋体" w:hAnsi="宋体" w:cs="宋体"/>
                <w:szCs w:val="21"/>
              </w:rPr>
              <w:t>（三）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宋体" w:hAnsi="宋体" w:cs="宋体"/>
                <w:szCs w:val="21"/>
              </w:rPr>
            </w:pPr>
          </w:p>
        </w:tc>
        <w:tc>
          <w:tcPr>
            <w:tcW w:w="7584" w:type="dxa"/>
          </w:tcPr>
          <w:p>
            <w:pPr>
              <w:spacing w:line="360" w:lineRule="auto"/>
              <w:rPr>
                <w:rFonts w:ascii="宋体" w:hAnsi="宋体" w:cs="宋体"/>
                <w:szCs w:val="21"/>
              </w:rPr>
            </w:pPr>
            <w:r>
              <w:rPr>
                <w:rFonts w:hint="eastAsia" w:ascii="宋体" w:hAnsi="宋体" w:cs="宋体"/>
                <w:szCs w:val="21"/>
              </w:rPr>
              <w:t>（四）</w:t>
            </w:r>
            <w:r>
              <w:rPr>
                <w:rFonts w:hint="eastAsia" w:ascii="宋体" w:hAnsi="宋体"/>
                <w:szCs w:val="21"/>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宋体" w:hAnsi="宋体" w:cs="宋体"/>
                <w:szCs w:val="21"/>
              </w:rPr>
            </w:pPr>
          </w:p>
        </w:tc>
        <w:tc>
          <w:tcPr>
            <w:tcW w:w="7584" w:type="dxa"/>
          </w:tcPr>
          <w:p>
            <w:pPr>
              <w:spacing w:line="360" w:lineRule="auto"/>
              <w:rPr>
                <w:rFonts w:ascii="宋体" w:hAnsi="宋体" w:cs="宋体"/>
                <w:szCs w:val="21"/>
              </w:rPr>
            </w:pPr>
            <w:r>
              <w:rPr>
                <w:rFonts w:hint="eastAsia" w:ascii="宋体" w:hAnsi="宋体" w:cs="宋体"/>
                <w:szCs w:val="21"/>
              </w:rPr>
              <w:t>（五）本项目不接受联合体投标；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spacing w:line="360" w:lineRule="auto"/>
              <w:rPr>
                <w:rFonts w:ascii="宋体" w:hAnsi="宋体" w:cs="宋体"/>
                <w:szCs w:val="21"/>
              </w:rPr>
            </w:pPr>
          </w:p>
        </w:tc>
        <w:tc>
          <w:tcPr>
            <w:tcW w:w="7584" w:type="dxa"/>
          </w:tcPr>
          <w:p>
            <w:pPr>
              <w:spacing w:line="360" w:lineRule="auto"/>
              <w:rPr>
                <w:rFonts w:ascii="宋体" w:hAnsi="宋体" w:cs="宋体"/>
                <w:szCs w:val="21"/>
              </w:rPr>
            </w:pPr>
            <w:r>
              <w:rPr>
                <w:rFonts w:hint="eastAsia" w:ascii="宋体" w:hAnsi="宋体" w:cs="宋体"/>
                <w:szCs w:val="21"/>
              </w:rPr>
              <w:t>（六）采购文件要求的其他资格条件（如有）；</w:t>
            </w:r>
          </w:p>
        </w:tc>
      </w:tr>
    </w:tbl>
    <w:p>
      <w:pPr>
        <w:spacing w:line="360" w:lineRule="auto"/>
        <w:ind w:firstLine="422" w:firstLineChars="200"/>
        <w:rPr>
          <w:rFonts w:ascii="宋体" w:hAnsi="宋体" w:cs="宋体"/>
          <w:b/>
          <w:szCs w:val="21"/>
        </w:rPr>
      </w:pPr>
      <w:r>
        <w:rPr>
          <w:rFonts w:hint="eastAsia" w:ascii="宋体" w:hAnsi="宋体" w:cs="宋体"/>
          <w:b/>
          <w:szCs w:val="21"/>
        </w:rPr>
        <w:t>2.符合性审查</w:t>
      </w:r>
    </w:p>
    <w:p>
      <w:pPr>
        <w:spacing w:line="360" w:lineRule="auto"/>
        <w:ind w:firstLine="420" w:firstLineChars="200"/>
        <w:rPr>
          <w:rFonts w:ascii="宋体" w:hAnsi="宋体" w:cs="宋体"/>
          <w:szCs w:val="21"/>
        </w:rPr>
      </w:pPr>
      <w:r>
        <w:rPr>
          <w:rFonts w:hint="eastAsia" w:ascii="宋体" w:hAnsi="宋体" w:cs="宋体"/>
          <w:kern w:val="0"/>
          <w:szCs w:val="21"/>
        </w:rPr>
        <w:t>评标委员会应当对符合资格的投标人的投标文件进行符合性审查，以确定其是否满足采购文件的实质性要求。</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tcPr>
          <w:p>
            <w:pPr>
              <w:jc w:val="center"/>
              <w:rPr>
                <w:rFonts w:ascii="宋体" w:hAnsi="宋体" w:cs="宋体"/>
                <w:szCs w:val="21"/>
              </w:rPr>
            </w:pPr>
            <w:r>
              <w:rPr>
                <w:rFonts w:hint="eastAsia" w:ascii="宋体" w:hAnsi="宋体" w:cs="宋体"/>
                <w:szCs w:val="21"/>
              </w:rPr>
              <w:t>审查类别</w:t>
            </w:r>
          </w:p>
        </w:tc>
        <w:tc>
          <w:tcPr>
            <w:tcW w:w="7573" w:type="dxa"/>
          </w:tcPr>
          <w:p>
            <w:pPr>
              <w:jc w:val="center"/>
              <w:rPr>
                <w:rFonts w:ascii="宋体" w:hAns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32" w:type="dxa"/>
            <w:vMerge w:val="restart"/>
            <w:vAlign w:val="center"/>
          </w:tcPr>
          <w:p>
            <w:pPr>
              <w:jc w:val="center"/>
              <w:rPr>
                <w:rFonts w:ascii="宋体" w:hAnsi="宋体" w:cs="宋体"/>
                <w:szCs w:val="21"/>
              </w:rPr>
            </w:pPr>
            <w:r>
              <w:rPr>
                <w:rFonts w:hint="eastAsia" w:ascii="宋体" w:hAnsi="宋体" w:cs="宋体"/>
                <w:szCs w:val="21"/>
              </w:rPr>
              <w:t>符合性审查</w:t>
            </w:r>
          </w:p>
        </w:tc>
        <w:tc>
          <w:tcPr>
            <w:tcW w:w="7573" w:type="dxa"/>
            <w:vAlign w:val="center"/>
          </w:tcPr>
          <w:p>
            <w:pPr>
              <w:tabs>
                <w:tab w:val="left" w:pos="612"/>
              </w:tabs>
              <w:spacing w:beforeLines="50" w:afterLines="50"/>
              <w:rPr>
                <w:rFonts w:ascii="宋体" w:hAnsi="宋体" w:cs="宋体"/>
                <w:szCs w:val="21"/>
              </w:rPr>
            </w:pPr>
            <w:r>
              <w:rPr>
                <w:rFonts w:hint="eastAsia" w:ascii="宋体" w:hAnsi="宋体" w:cs="宋体"/>
                <w:szCs w:val="21"/>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宋体" w:hAnsi="宋体" w:cs="宋体"/>
                <w:szCs w:val="21"/>
              </w:rPr>
            </w:pPr>
          </w:p>
        </w:tc>
        <w:tc>
          <w:tcPr>
            <w:tcW w:w="7573" w:type="dxa"/>
            <w:vAlign w:val="center"/>
          </w:tcPr>
          <w:p>
            <w:pPr>
              <w:tabs>
                <w:tab w:val="left" w:pos="612"/>
              </w:tabs>
              <w:spacing w:beforeLines="50" w:afterLines="50"/>
              <w:rPr>
                <w:rFonts w:ascii="宋体" w:hAnsi="宋体" w:cs="宋体"/>
                <w:szCs w:val="21"/>
              </w:rPr>
            </w:pPr>
            <w:r>
              <w:rPr>
                <w:rFonts w:hint="eastAsia" w:ascii="宋体" w:hAnsi="宋体" w:cs="宋体"/>
                <w:szCs w:val="21"/>
              </w:rPr>
              <w:t xml:space="preserve">投标人按采购文件要求缴纳投标保证金的；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宋体" w:hAnsi="宋体" w:cs="宋体"/>
                <w:szCs w:val="21"/>
              </w:rPr>
            </w:pPr>
          </w:p>
        </w:tc>
        <w:tc>
          <w:tcPr>
            <w:tcW w:w="7573" w:type="dxa"/>
            <w:vAlign w:val="center"/>
          </w:tcPr>
          <w:p>
            <w:pPr>
              <w:tabs>
                <w:tab w:val="left" w:pos="612"/>
              </w:tabs>
              <w:spacing w:beforeLines="50" w:afterLines="50"/>
              <w:rPr>
                <w:rFonts w:ascii="宋体" w:hAnsi="宋体" w:cs="宋体"/>
                <w:szCs w:val="21"/>
              </w:rPr>
            </w:pPr>
            <w:r>
              <w:rPr>
                <w:rFonts w:hint="eastAsia" w:ascii="宋体" w:hAnsi="宋体" w:cs="宋体"/>
                <w:szCs w:val="21"/>
              </w:rPr>
              <w:t>按照采购文件规定要求签署、盖章且投标文件有法定代表人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szCs w:val="21"/>
              </w:rPr>
              <w:t>，或</w:t>
            </w:r>
            <w:r>
              <w:rPr>
                <w:rFonts w:hint="eastAsia" w:ascii="宋体" w:hAnsi="宋体" w:cs="宋体"/>
                <w:szCs w:val="21"/>
                <w:lang w:eastAsia="zh-TW"/>
              </w:rPr>
              <w:t>签署</w:t>
            </w:r>
            <w:r>
              <w:rPr>
                <w:rFonts w:hint="eastAsia" w:ascii="宋体" w:hAnsi="宋体" w:cs="宋体"/>
                <w:szCs w:val="21"/>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宋体" w:hAnsi="宋体" w:cs="宋体"/>
                <w:szCs w:val="21"/>
              </w:rPr>
            </w:pPr>
          </w:p>
        </w:tc>
        <w:tc>
          <w:tcPr>
            <w:tcW w:w="7573" w:type="dxa"/>
            <w:vAlign w:val="center"/>
          </w:tcPr>
          <w:p>
            <w:pPr>
              <w:tabs>
                <w:tab w:val="left" w:pos="612"/>
              </w:tabs>
              <w:spacing w:beforeLines="50" w:afterLines="50"/>
              <w:rPr>
                <w:rFonts w:ascii="宋体" w:hAnsi="宋体" w:cs="宋体"/>
                <w:kern w:val="0"/>
                <w:szCs w:val="21"/>
              </w:rPr>
            </w:pPr>
            <w:r>
              <w:rPr>
                <w:rFonts w:hint="eastAsia" w:ascii="宋体" w:hAnsi="宋体" w:cs="宋体"/>
                <w:szCs w:val="21"/>
              </w:rPr>
              <w:t>投标文件完全满足采购文件的实质性条款（即标注</w:t>
            </w:r>
            <w:r>
              <w:rPr>
                <w:rFonts w:hint="eastAsia" w:ascii="宋体" w:hAnsi="宋体" w:cs="宋体"/>
                <w:sz w:val="24"/>
              </w:rPr>
              <w:t>★</w:t>
            </w:r>
            <w:r>
              <w:rPr>
                <w:rFonts w:hint="eastAsia" w:ascii="宋体" w:hAnsi="宋体" w:cs="宋体"/>
                <w:szCs w:val="21"/>
              </w:rPr>
              <w:t>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宋体" w:hAnsi="宋体" w:cs="宋体"/>
                <w:szCs w:val="21"/>
              </w:rPr>
            </w:pPr>
          </w:p>
        </w:tc>
        <w:tc>
          <w:tcPr>
            <w:tcW w:w="7573" w:type="dxa"/>
            <w:vAlign w:val="center"/>
          </w:tcPr>
          <w:p>
            <w:pPr>
              <w:spacing w:beforeLines="50" w:afterLines="50"/>
              <w:rPr>
                <w:rFonts w:ascii="宋体" w:hAnsi="宋体" w:cs="宋体"/>
                <w:szCs w:val="21"/>
              </w:rPr>
            </w:pPr>
            <w:r>
              <w:rPr>
                <w:rFonts w:hint="eastAsia" w:ascii="宋体" w:hAnsi="宋体" w:cs="宋体"/>
                <w:szCs w:val="21"/>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宋体" w:hAnsi="宋体" w:cs="宋体"/>
                <w:szCs w:val="21"/>
              </w:rPr>
            </w:pPr>
          </w:p>
        </w:tc>
        <w:tc>
          <w:tcPr>
            <w:tcW w:w="7573" w:type="dxa"/>
            <w:vAlign w:val="center"/>
          </w:tcPr>
          <w:p>
            <w:pPr>
              <w:spacing w:beforeLines="50" w:afterLines="50"/>
              <w:rPr>
                <w:rFonts w:ascii="宋体" w:hAnsi="宋体" w:cs="宋体"/>
                <w:szCs w:val="21"/>
              </w:rPr>
            </w:pPr>
            <w:r>
              <w:rPr>
                <w:rFonts w:hint="eastAsia" w:ascii="宋体" w:hAnsi="宋体" w:cs="宋体"/>
                <w:szCs w:val="21"/>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宋体" w:hAnsi="宋体" w:cs="宋体"/>
                <w:szCs w:val="21"/>
              </w:rPr>
            </w:pPr>
          </w:p>
        </w:tc>
        <w:tc>
          <w:tcPr>
            <w:tcW w:w="7573" w:type="dxa"/>
            <w:vAlign w:val="center"/>
          </w:tcPr>
          <w:p>
            <w:pPr>
              <w:spacing w:beforeLines="50" w:afterLines="50"/>
              <w:rPr>
                <w:rFonts w:ascii="宋体" w:hAnsi="宋体" w:cs="宋体"/>
                <w:szCs w:val="21"/>
              </w:rPr>
            </w:pPr>
            <w:r>
              <w:rPr>
                <w:rFonts w:hint="eastAsia" w:ascii="宋体" w:hAnsi="宋体" w:cs="宋体"/>
                <w:szCs w:val="21"/>
              </w:rPr>
              <w:t>按照采购文件要求提供其他证明材料（如有）；</w:t>
            </w:r>
          </w:p>
        </w:tc>
      </w:tr>
    </w:tbl>
    <w:p>
      <w:pPr>
        <w:spacing w:line="360" w:lineRule="auto"/>
        <w:rPr>
          <w:rFonts w:ascii="宋体" w:hAnsi="宋体" w:cs="宋体"/>
          <w:b/>
          <w:szCs w:val="21"/>
        </w:rPr>
      </w:pPr>
    </w:p>
    <w:p>
      <w:pPr>
        <w:spacing w:line="360" w:lineRule="auto"/>
        <w:ind w:firstLine="422" w:firstLineChars="200"/>
        <w:rPr>
          <w:rFonts w:ascii="宋体" w:hAnsi="宋体" w:cs="宋体"/>
          <w:b/>
          <w:szCs w:val="21"/>
        </w:rPr>
      </w:pPr>
      <w:r>
        <w:rPr>
          <w:rFonts w:hint="eastAsia" w:ascii="宋体" w:hAnsi="宋体" w:cs="宋体"/>
          <w:b/>
          <w:szCs w:val="21"/>
        </w:rPr>
        <w:t>3.详细评审</w:t>
      </w:r>
    </w:p>
    <w:p>
      <w:pPr>
        <w:spacing w:line="360" w:lineRule="auto"/>
        <w:ind w:firstLine="420" w:firstLineChars="200"/>
        <w:rPr>
          <w:rFonts w:ascii="宋体" w:hAnsi="宋体" w:cs="宋体"/>
          <w:kern w:val="0"/>
          <w:szCs w:val="21"/>
        </w:rPr>
      </w:pPr>
      <w:r>
        <w:rPr>
          <w:rFonts w:hint="eastAsia" w:ascii="宋体" w:hAnsi="宋体" w:cs="宋体"/>
          <w:kern w:val="0"/>
          <w:szCs w:val="21"/>
        </w:rPr>
        <w:t>评标委员会对资格审查、符合性审查合格的投标文件，依照本办法对投标文件作进一步评审、比较。评标委员会成员经过阅标、审标和询标，对各投标人进行打分；</w:t>
      </w:r>
    </w:p>
    <w:p>
      <w:pPr>
        <w:spacing w:line="360" w:lineRule="auto"/>
        <w:ind w:firstLine="420" w:firstLineChars="200"/>
        <w:rPr>
          <w:rFonts w:ascii="宋体" w:hAnsi="宋体" w:cs="宋体"/>
          <w:kern w:val="0"/>
          <w:szCs w:val="21"/>
        </w:rPr>
      </w:pPr>
      <w:r>
        <w:rPr>
          <w:rFonts w:hint="eastAsia" w:ascii="宋体" w:hAnsi="宋体" w:cs="宋体"/>
          <w:kern w:val="0"/>
          <w:szCs w:val="21"/>
        </w:rPr>
        <w:t>评委打分参照本部分《</w:t>
      </w:r>
      <w:r>
        <w:rPr>
          <w:rFonts w:hint="eastAsia"/>
          <w:szCs w:val="24"/>
        </w:rPr>
        <w:t>宁海城区2020-2022年绿化养护服务项目</w:t>
      </w:r>
      <w:r>
        <w:rPr>
          <w:rFonts w:hint="eastAsia" w:ascii="宋体" w:hAnsi="宋体" w:cs="宋体"/>
          <w:kern w:val="0"/>
          <w:szCs w:val="21"/>
        </w:rPr>
        <w:t>评分表》。由各评标委员会成员根据投标人的投标文件及相关澄清文件，进行独立打分。评委打分采用记名方式，取算术平均分（小数点后保留一位小数）。对明显畸高、畸低的评分（其总评分偏离平均分30%以上的），评标委员会主任委员提醒相关评审人员进行复核或书面说明理由。</w:t>
      </w:r>
    </w:p>
    <w:p>
      <w:pPr>
        <w:snapToGrid w:val="0"/>
        <w:spacing w:beforeLines="50" w:line="360" w:lineRule="auto"/>
        <w:ind w:firstLine="413" w:firstLineChars="196"/>
        <w:outlineLvl w:val="2"/>
        <w:rPr>
          <w:rFonts w:ascii="宋体" w:hAnsi="宋体" w:cs="宋体"/>
          <w:b/>
          <w:szCs w:val="21"/>
        </w:rPr>
      </w:pPr>
      <w:bookmarkStart w:id="28" w:name="_Toc13921"/>
      <w:r>
        <w:rPr>
          <w:rFonts w:hint="eastAsia" w:ascii="宋体" w:hAnsi="宋体" w:cs="宋体"/>
          <w:b/>
          <w:szCs w:val="21"/>
        </w:rPr>
        <w:t>4.投标无效的情形</w:t>
      </w:r>
      <w:bookmarkEnd w:id="28"/>
    </w:p>
    <w:p>
      <w:pPr>
        <w:snapToGrid w:val="0"/>
        <w:spacing w:line="360" w:lineRule="auto"/>
        <w:ind w:firstLine="420" w:firstLineChars="200"/>
        <w:rPr>
          <w:rFonts w:ascii="宋体" w:hAnsi="宋体" w:cs="宋体"/>
          <w:bCs/>
          <w:szCs w:val="21"/>
        </w:rPr>
      </w:pPr>
      <w:r>
        <w:rPr>
          <w:rFonts w:hint="eastAsia" w:ascii="宋体" w:hAnsi="宋体" w:cs="宋体"/>
          <w:bCs/>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9"/>
        <w:snapToGrid w:val="0"/>
        <w:spacing w:line="360" w:lineRule="auto"/>
        <w:ind w:left="420" w:firstLine="0"/>
        <w:rPr>
          <w:rFonts w:ascii="宋体" w:hAnsi="宋体" w:eastAsia="宋体" w:cs="宋体"/>
          <w:b/>
          <w:bCs/>
          <w:sz w:val="21"/>
          <w:szCs w:val="21"/>
        </w:rPr>
      </w:pPr>
      <w:r>
        <w:rPr>
          <w:rFonts w:hint="eastAsia" w:ascii="宋体" w:hAnsi="宋体" w:eastAsia="宋体" w:cs="宋体"/>
          <w:b/>
          <w:bCs/>
          <w:sz w:val="21"/>
          <w:szCs w:val="21"/>
        </w:rPr>
        <w:t>在资格审查中，如发现下列情形之一的，投标文件将被视为无效：</w:t>
      </w:r>
    </w:p>
    <w:p>
      <w:pPr>
        <w:numPr>
          <w:ilvl w:val="0"/>
          <w:numId w:val="5"/>
        </w:numPr>
        <w:snapToGrid w:val="0"/>
        <w:spacing w:line="360" w:lineRule="auto"/>
        <w:ind w:firstLine="411" w:firstLineChars="196"/>
        <w:rPr>
          <w:rFonts w:ascii="宋体" w:hAnsi="宋体" w:cs="宋体"/>
          <w:szCs w:val="21"/>
        </w:rPr>
      </w:pPr>
      <w:r>
        <w:rPr>
          <w:rFonts w:hint="eastAsia" w:ascii="宋体" w:hAnsi="宋体" w:cs="宋体"/>
          <w:szCs w:val="21"/>
        </w:rPr>
        <w:t>资格证明文件不全的，或者不符合采购文件标明的资格要求的；</w:t>
      </w:r>
    </w:p>
    <w:p>
      <w:pPr>
        <w:pStyle w:val="19"/>
        <w:snapToGrid w:val="0"/>
        <w:spacing w:line="360" w:lineRule="auto"/>
        <w:ind w:left="420" w:firstLine="0"/>
        <w:rPr>
          <w:rFonts w:ascii="宋体" w:hAnsi="宋体" w:eastAsia="宋体" w:cs="宋体"/>
          <w:b/>
          <w:bCs/>
          <w:sz w:val="21"/>
          <w:szCs w:val="21"/>
        </w:rPr>
      </w:pPr>
      <w:r>
        <w:rPr>
          <w:rFonts w:hint="eastAsia" w:ascii="宋体" w:hAnsi="宋体" w:eastAsia="宋体" w:cs="宋体"/>
          <w:b/>
          <w:bCs/>
          <w:sz w:val="21"/>
          <w:szCs w:val="21"/>
        </w:rPr>
        <w:t>在符合性审查和商务评审时，如发现下列情形之一的，投标文件将被视为无效：</w:t>
      </w:r>
    </w:p>
    <w:p>
      <w:pPr>
        <w:snapToGrid w:val="0"/>
        <w:spacing w:line="360" w:lineRule="auto"/>
        <w:ind w:firstLine="411" w:firstLineChars="196"/>
        <w:rPr>
          <w:rFonts w:ascii="宋体" w:hAnsi="宋体" w:cs="宋体"/>
          <w:bCs/>
          <w:kern w:val="0"/>
          <w:szCs w:val="21"/>
        </w:rPr>
      </w:pPr>
      <w:r>
        <w:rPr>
          <w:rFonts w:hint="eastAsia" w:ascii="宋体" w:hAnsi="宋体" w:cs="宋体"/>
          <w:szCs w:val="21"/>
        </w:rPr>
        <w:t>（1）投标文件无法定代表人签字,或未</w:t>
      </w:r>
      <w:r>
        <w:rPr>
          <w:rFonts w:hint="eastAsia" w:ascii="宋体" w:hAnsi="宋体" w:cs="宋体"/>
          <w:bCs/>
          <w:kern w:val="0"/>
          <w:szCs w:val="21"/>
        </w:rPr>
        <w:t>提供法定代表人授权委托书、投标声明书或者填写项目不齐全的；</w:t>
      </w:r>
    </w:p>
    <w:p>
      <w:pPr>
        <w:snapToGrid w:val="0"/>
        <w:spacing w:line="360" w:lineRule="auto"/>
        <w:ind w:firstLine="411" w:firstLineChars="196"/>
        <w:rPr>
          <w:rFonts w:ascii="宋体" w:hAnsi="宋体" w:cs="宋体"/>
          <w:szCs w:val="21"/>
        </w:rPr>
      </w:pPr>
      <w:r>
        <w:rPr>
          <w:rFonts w:hint="eastAsia" w:ascii="宋体" w:hAnsi="宋体" w:cs="宋体"/>
          <w:szCs w:val="21"/>
        </w:rPr>
        <w:t xml:space="preserve">（2）投标代表人未能出具身份证明或与法定代表人授权委托人身份不符的； </w:t>
      </w:r>
    </w:p>
    <w:p>
      <w:pPr>
        <w:pStyle w:val="19"/>
        <w:snapToGrid w:val="0"/>
        <w:spacing w:line="360" w:lineRule="auto"/>
        <w:ind w:firstLine="411" w:firstLineChars="196"/>
        <w:rPr>
          <w:rFonts w:ascii="宋体" w:hAnsi="宋体" w:eastAsia="宋体" w:cs="宋体"/>
          <w:snapToGrid w:val="0"/>
          <w:sz w:val="21"/>
          <w:szCs w:val="21"/>
        </w:rPr>
      </w:pPr>
      <w:r>
        <w:rPr>
          <w:rFonts w:hint="eastAsia" w:ascii="宋体" w:hAnsi="宋体" w:eastAsia="宋体" w:cs="宋体"/>
          <w:sz w:val="21"/>
          <w:szCs w:val="21"/>
        </w:rPr>
        <w:t>（</w:t>
      </w:r>
      <w:r>
        <w:rPr>
          <w:rFonts w:hint="eastAsia" w:ascii="宋体" w:hAnsi="宋体" w:eastAsia="宋体" w:cs="宋体"/>
          <w:snapToGrid w:val="0"/>
          <w:sz w:val="21"/>
          <w:szCs w:val="21"/>
        </w:rPr>
        <w:t>3）</w:t>
      </w:r>
      <w:r>
        <w:rPr>
          <w:rFonts w:hint="eastAsia" w:ascii="宋体" w:hAnsi="宋体" w:eastAsia="宋体" w:cs="宋体"/>
          <w:sz w:val="21"/>
          <w:szCs w:val="21"/>
        </w:rPr>
        <w:t>投标文件格式不规范、项目不齐全或者内容虚假的；</w:t>
      </w:r>
    </w:p>
    <w:p>
      <w:pPr>
        <w:pStyle w:val="19"/>
        <w:snapToGrid w:val="0"/>
        <w:spacing w:line="360" w:lineRule="auto"/>
        <w:ind w:firstLine="411" w:firstLineChars="196"/>
        <w:rPr>
          <w:rFonts w:ascii="宋体" w:hAnsi="宋体" w:eastAsia="宋体" w:cs="宋体"/>
          <w:snapToGrid w:val="0"/>
          <w:sz w:val="21"/>
          <w:szCs w:val="21"/>
        </w:rPr>
      </w:pPr>
      <w:r>
        <w:rPr>
          <w:rFonts w:hint="eastAsia" w:ascii="宋体" w:hAnsi="宋体" w:eastAsia="宋体" w:cs="宋体"/>
          <w:sz w:val="21"/>
          <w:szCs w:val="21"/>
        </w:rPr>
        <w:t>（4）投标文件的实质性内容未使用中文表述、意思表述不明确、前后矛盾或者使用计量单位不符合采购文件要求的（经评标委员会认定并允许其当场更正的笔误除外）；</w:t>
      </w:r>
    </w:p>
    <w:p>
      <w:pPr>
        <w:pStyle w:val="19"/>
        <w:snapToGrid w:val="0"/>
        <w:spacing w:line="360" w:lineRule="auto"/>
        <w:ind w:firstLine="413" w:firstLineChars="196"/>
        <w:rPr>
          <w:rFonts w:ascii="宋体" w:hAnsi="宋体" w:eastAsia="宋体" w:cs="宋体"/>
          <w:b/>
          <w:snapToGrid w:val="0"/>
          <w:sz w:val="21"/>
          <w:szCs w:val="21"/>
        </w:rPr>
      </w:pPr>
      <w:r>
        <w:rPr>
          <w:rFonts w:hint="eastAsia" w:ascii="宋体" w:hAnsi="宋体" w:eastAsia="宋体" w:cs="宋体"/>
          <w:b/>
          <w:sz w:val="21"/>
          <w:szCs w:val="21"/>
        </w:rPr>
        <w:t>（</w:t>
      </w:r>
      <w:r>
        <w:rPr>
          <w:rFonts w:hint="eastAsia" w:ascii="宋体" w:hAnsi="宋体" w:eastAsia="宋体" w:cs="宋体"/>
          <w:b/>
          <w:snapToGrid w:val="0"/>
          <w:sz w:val="21"/>
          <w:szCs w:val="21"/>
        </w:rPr>
        <w:t>5）投标有效期、交货时间、质保期等商务条款不能满足采购文件要求的；</w:t>
      </w:r>
    </w:p>
    <w:p>
      <w:pPr>
        <w:pStyle w:val="19"/>
        <w:snapToGrid w:val="0"/>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（6）未实质性响应采购文件要求或者投标文件有招标方不能接受的附加条件的；</w:t>
      </w:r>
    </w:p>
    <w:p>
      <w:pPr>
        <w:pStyle w:val="19"/>
        <w:snapToGrid w:val="0"/>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（7）未按规定交纳投标保证金的；</w:t>
      </w:r>
    </w:p>
    <w:p>
      <w:pPr>
        <w:pStyle w:val="19"/>
        <w:snapToGrid w:val="0"/>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（8）未按规定签章的；</w:t>
      </w:r>
    </w:p>
    <w:p>
      <w:pPr>
        <w:pStyle w:val="19"/>
        <w:snapToGrid w:val="0"/>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（9）投标文件的关键内容字迹模糊、无法辨认的,或者投标文件中经修正的内容字迹模糊难以辩认或者修改处未按规定签名盖章。</w:t>
      </w:r>
    </w:p>
    <w:p>
      <w:pPr>
        <w:pStyle w:val="19"/>
        <w:snapToGrid w:val="0"/>
        <w:spacing w:line="360" w:lineRule="auto"/>
        <w:ind w:left="420" w:firstLine="0"/>
        <w:rPr>
          <w:rFonts w:ascii="宋体" w:hAnsi="宋体" w:eastAsia="宋体" w:cs="宋体"/>
          <w:b/>
          <w:bCs/>
          <w:sz w:val="21"/>
          <w:szCs w:val="21"/>
        </w:rPr>
      </w:pPr>
      <w:r>
        <w:rPr>
          <w:rFonts w:hint="eastAsia" w:ascii="宋体" w:hAnsi="宋体" w:eastAsia="宋体" w:cs="宋体"/>
          <w:b/>
          <w:bCs/>
          <w:sz w:val="21"/>
          <w:szCs w:val="21"/>
        </w:rPr>
        <w:t>在技术评审时，如发现下列情形之一的，投标文件将被视为无效：</w:t>
      </w:r>
    </w:p>
    <w:p>
      <w:pPr>
        <w:pStyle w:val="19"/>
        <w:snapToGrid w:val="0"/>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（1）未提供或未如实提供投标货物或服务的技术参数，或者投标文件标明的响应或偏离与事实不符或虚假投标的；</w:t>
      </w:r>
    </w:p>
    <w:p>
      <w:pPr>
        <w:pStyle w:val="19"/>
        <w:snapToGrid w:val="0"/>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napToGrid w:val="0"/>
          <w:sz w:val="21"/>
          <w:szCs w:val="21"/>
        </w:rPr>
        <w:t>明显不符合采购文件要求的规格型号、质量标准，或者与</w:t>
      </w:r>
      <w:r>
        <w:rPr>
          <w:rFonts w:hint="eastAsia" w:ascii="宋体" w:hAnsi="宋体" w:eastAsia="宋体" w:cs="宋体"/>
          <w:sz w:val="21"/>
          <w:szCs w:val="21"/>
        </w:rPr>
        <w:t>采购文件中标“</w:t>
      </w:r>
      <w:r>
        <w:rPr>
          <w:rFonts w:hint="eastAsia" w:hAnsi="宋体" w:cs="宋体"/>
        </w:rPr>
        <w:t>★</w:t>
      </w:r>
      <w:r>
        <w:rPr>
          <w:rFonts w:hint="eastAsia" w:ascii="宋体" w:hAnsi="宋体" w:eastAsia="宋体" w:cs="宋体"/>
          <w:sz w:val="21"/>
          <w:szCs w:val="21"/>
        </w:rPr>
        <w:t>”的技术指标、主要功能项目发生实质性偏离的；</w:t>
      </w:r>
    </w:p>
    <w:p>
      <w:pPr>
        <w:pStyle w:val="19"/>
        <w:snapToGrid w:val="0"/>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（3）投标技术方案不明确，存在一个或一个以上备选（替代）投标方案的；</w:t>
      </w:r>
    </w:p>
    <w:p>
      <w:pPr>
        <w:pStyle w:val="19"/>
        <w:snapToGrid w:val="0"/>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（4）与其他参加本次投标投标人的投标文件（技术文件）的文字表述内容相同连续20行以上或者差错相同2处以上的。</w:t>
      </w:r>
    </w:p>
    <w:p>
      <w:pPr>
        <w:pStyle w:val="19"/>
        <w:snapToGrid w:val="0"/>
        <w:spacing w:line="360" w:lineRule="auto"/>
        <w:ind w:left="420" w:firstLine="0"/>
        <w:rPr>
          <w:rFonts w:ascii="宋体" w:hAnsi="宋体" w:eastAsia="宋体" w:cs="宋体"/>
          <w:b/>
          <w:bCs/>
          <w:sz w:val="21"/>
          <w:szCs w:val="21"/>
        </w:rPr>
      </w:pPr>
      <w:r>
        <w:rPr>
          <w:rFonts w:hint="eastAsia" w:ascii="宋体" w:hAnsi="宋体" w:eastAsia="宋体" w:cs="宋体"/>
          <w:b/>
          <w:bCs/>
          <w:sz w:val="21"/>
          <w:szCs w:val="21"/>
        </w:rPr>
        <w:t>在报价评审时，如发现下列情形之一的，投标文件将被视为无效：</w:t>
      </w:r>
    </w:p>
    <w:p>
      <w:pPr>
        <w:spacing w:line="360" w:lineRule="auto"/>
        <w:ind w:firstLine="420" w:firstLineChars="200"/>
        <w:rPr>
          <w:rFonts w:ascii="宋体" w:hAnsi="宋体" w:cs="宋体"/>
          <w:szCs w:val="21"/>
        </w:rPr>
      </w:pPr>
      <w:r>
        <w:rPr>
          <w:rFonts w:hint="eastAsia" w:ascii="宋体" w:hAnsi="宋体" w:cs="宋体"/>
          <w:szCs w:val="21"/>
        </w:rPr>
        <w:t>（1）未采用人民币报价或者未按照采购文件标明的币种报价的；</w:t>
      </w:r>
    </w:p>
    <w:p>
      <w:pPr>
        <w:spacing w:line="360" w:lineRule="auto"/>
        <w:ind w:firstLine="420" w:firstLineChars="200"/>
        <w:rPr>
          <w:rFonts w:ascii="宋体" w:hAnsi="宋体" w:cs="宋体"/>
          <w:szCs w:val="21"/>
        </w:rPr>
      </w:pPr>
      <w:r>
        <w:rPr>
          <w:rFonts w:hint="eastAsia" w:ascii="宋体" w:hAnsi="宋体" w:cs="宋体"/>
          <w:szCs w:val="21"/>
        </w:rPr>
        <w:t>（2）报价超出最高限价，或者超出采购预算金额(自主创新产品除外)，采购人不能支付的；</w:t>
      </w:r>
    </w:p>
    <w:p>
      <w:pPr>
        <w:spacing w:line="360" w:lineRule="auto"/>
        <w:ind w:firstLine="420" w:firstLineChars="200"/>
        <w:rPr>
          <w:rFonts w:ascii="宋体" w:hAnsi="宋体" w:cs="宋体"/>
          <w:szCs w:val="21"/>
        </w:rPr>
      </w:pPr>
      <w:r>
        <w:rPr>
          <w:rFonts w:hint="eastAsia" w:ascii="宋体" w:hAnsi="宋体" w:cs="宋体"/>
          <w:szCs w:val="21"/>
        </w:rPr>
        <w:t>（3）投标报价具有选择性；</w:t>
      </w:r>
    </w:p>
    <w:p>
      <w:pPr>
        <w:spacing w:line="360" w:lineRule="auto"/>
        <w:ind w:firstLine="420" w:firstLineChars="200"/>
        <w:rPr>
          <w:rFonts w:ascii="宋体" w:hAnsi="宋体" w:cs="宋体"/>
          <w:szCs w:val="21"/>
        </w:rPr>
      </w:pPr>
      <w:r>
        <w:rPr>
          <w:rFonts w:hint="eastAsia" w:ascii="宋体" w:hAnsi="宋体" w:cs="宋体"/>
          <w:szCs w:val="21"/>
        </w:rPr>
        <w:t>（4）投标报价中出现重大缺项、漏项；</w:t>
      </w:r>
    </w:p>
    <w:p>
      <w:pPr>
        <w:spacing w:line="360" w:lineRule="auto"/>
        <w:ind w:firstLine="420" w:firstLineChars="200"/>
        <w:rPr>
          <w:rFonts w:ascii="宋体" w:hAnsi="宋体" w:cs="宋体"/>
          <w:szCs w:val="21"/>
        </w:rPr>
      </w:pPr>
      <w:r>
        <w:rPr>
          <w:rFonts w:hint="eastAsia" w:ascii="宋体" w:hAnsi="宋体" w:cs="宋体"/>
          <w:szCs w:val="21"/>
        </w:rPr>
        <w:t>（5）评标委员会认为投标人的报价明显低于其他通过符合性审查投标人的报价，有可能影响产品质量或者不能诚信履约的，且不能在评标现场合理时间内提供相关证明材料说明其报价的合理性的。</w:t>
      </w:r>
    </w:p>
    <w:p>
      <w:pPr>
        <w:pStyle w:val="19"/>
        <w:snapToGrid w:val="0"/>
        <w:spacing w:line="360" w:lineRule="auto"/>
        <w:ind w:left="420" w:firstLine="0"/>
        <w:rPr>
          <w:rFonts w:ascii="宋体" w:hAnsi="宋体" w:eastAsia="宋体" w:cs="宋体"/>
          <w:b/>
          <w:sz w:val="21"/>
          <w:szCs w:val="21"/>
        </w:rPr>
      </w:pPr>
      <w:r>
        <w:rPr>
          <w:rFonts w:hint="eastAsia" w:ascii="宋体" w:hAnsi="宋体" w:eastAsia="宋体" w:cs="宋体"/>
          <w:b/>
          <w:sz w:val="21"/>
          <w:szCs w:val="21"/>
        </w:rPr>
        <w:t>法律、法规和采购文件规定的其他无效情形。</w:t>
      </w:r>
    </w:p>
    <w:p>
      <w:pPr>
        <w:snapToGrid w:val="0"/>
        <w:spacing w:line="360" w:lineRule="auto"/>
        <w:ind w:firstLine="422" w:firstLineChars="200"/>
        <w:rPr>
          <w:rFonts w:ascii="宋体" w:hAnsi="宋体" w:cs="宋体"/>
          <w:b/>
          <w:szCs w:val="21"/>
        </w:rPr>
      </w:pPr>
      <w:r>
        <w:rPr>
          <w:rFonts w:hint="eastAsia" w:ascii="宋体" w:hAnsi="宋体" w:cs="宋体"/>
          <w:b/>
          <w:szCs w:val="21"/>
        </w:rPr>
        <w:t>（四）澄清问题的形式</w:t>
      </w:r>
    </w:p>
    <w:p>
      <w:pPr>
        <w:spacing w:line="360" w:lineRule="auto"/>
        <w:ind w:firstLine="420" w:firstLineChars="200"/>
        <w:rPr>
          <w:rFonts w:ascii="宋体" w:hAnsi="宋体" w:cs="宋体"/>
          <w:b/>
          <w:bCs/>
          <w:szCs w:val="21"/>
        </w:rPr>
      </w:pPr>
      <w:r>
        <w:rPr>
          <w:rFonts w:hint="eastAsia" w:ascii="宋体" w:hAnsi="宋体" w:cs="宋体"/>
          <w:szCs w:val="21"/>
        </w:rPr>
        <w:t>对于投标文件中含义不明确、同类问题表述不一致或者有明显文字和计算错误的内容，</w:t>
      </w:r>
      <w:r>
        <w:rPr>
          <w:rFonts w:hint="eastAsia" w:ascii="宋体" w:hAnsi="宋体" w:cs="宋体"/>
          <w:b/>
          <w:bCs/>
          <w:szCs w:val="21"/>
        </w:rPr>
        <w:t>评标委员会应当以书面形式要求投标人作出必要的澄清、说明或者补正。</w:t>
      </w:r>
      <w:r>
        <w:rPr>
          <w:rFonts w:hint="eastAsia" w:ascii="宋体" w:hAnsi="宋体" w:cs="宋体"/>
          <w:szCs w:val="21"/>
        </w:rPr>
        <w:t>投标人的澄清、说明或者补正应当采用书面形式，并加盖公章，或者由法定代表人或其授权的代表签字。</w:t>
      </w:r>
      <w:r>
        <w:rPr>
          <w:rFonts w:hint="eastAsia" w:ascii="宋体" w:hAnsi="宋体" w:cs="宋体"/>
          <w:b/>
          <w:bCs/>
          <w:szCs w:val="21"/>
        </w:rPr>
        <w:t>投标人的澄清、说明或者补正不得超出投标文件的范围或者改变投标文件的实质性内容。</w:t>
      </w:r>
    </w:p>
    <w:p>
      <w:pPr>
        <w:pStyle w:val="24"/>
        <w:snapToGrid w:val="0"/>
        <w:spacing w:before="120" w:after="120" w:line="360" w:lineRule="auto"/>
        <w:ind w:left="690" w:leftChars="228" w:hanging="211" w:hangingChars="100"/>
        <w:rPr>
          <w:rFonts w:hAnsi="宋体" w:cs="宋体"/>
          <w:b/>
          <w:sz w:val="21"/>
          <w:szCs w:val="21"/>
        </w:rPr>
      </w:pPr>
      <w:r>
        <w:rPr>
          <w:rFonts w:hint="eastAsia" w:hAnsi="宋体" w:cs="宋体"/>
          <w:b/>
          <w:bCs/>
          <w:sz w:val="21"/>
          <w:szCs w:val="21"/>
        </w:rPr>
        <w:t>（五）</w:t>
      </w:r>
      <w:r>
        <w:rPr>
          <w:rFonts w:hint="eastAsia" w:hAnsi="宋体" w:cs="宋体"/>
          <w:b/>
          <w:sz w:val="21"/>
          <w:szCs w:val="21"/>
        </w:rPr>
        <w:t>错误修正</w:t>
      </w:r>
    </w:p>
    <w:p>
      <w:pPr>
        <w:snapToGrid w:val="0"/>
        <w:spacing w:line="360" w:lineRule="auto"/>
        <w:ind w:firstLine="420" w:firstLineChars="200"/>
        <w:rPr>
          <w:rFonts w:ascii="宋体" w:hAnsi="宋体" w:cs="宋体"/>
          <w:szCs w:val="21"/>
        </w:rPr>
      </w:pPr>
      <w:r>
        <w:rPr>
          <w:rFonts w:hint="eastAsia" w:ascii="宋体" w:hAnsi="宋体" w:cs="宋体"/>
          <w:szCs w:val="21"/>
        </w:rPr>
        <w:t>投标文件报价出现前后不一致的，除采购文件另有规定外，按照下列规定修正：</w:t>
      </w:r>
    </w:p>
    <w:p>
      <w:pPr>
        <w:snapToGrid w:val="0"/>
        <w:spacing w:line="360" w:lineRule="auto"/>
        <w:ind w:firstLine="420" w:firstLineChars="200"/>
        <w:rPr>
          <w:rFonts w:ascii="宋体" w:hAnsi="宋体" w:cs="宋体"/>
          <w:szCs w:val="21"/>
        </w:rPr>
      </w:pPr>
      <w:r>
        <w:rPr>
          <w:rFonts w:hint="eastAsia" w:ascii="宋体" w:hAnsi="宋体" w:cs="宋体"/>
          <w:szCs w:val="21"/>
        </w:rPr>
        <w:t>1、投标文件中开标一览表（报价表）内容与投标文件中相应内容不一致的，以开标一览表（报价表）为准；</w:t>
      </w:r>
    </w:p>
    <w:p>
      <w:pPr>
        <w:snapToGrid w:val="0"/>
        <w:spacing w:line="360" w:lineRule="auto"/>
        <w:ind w:firstLine="420" w:firstLineChars="200"/>
        <w:rPr>
          <w:rFonts w:ascii="宋体" w:hAnsi="宋体" w:cs="宋体"/>
          <w:szCs w:val="21"/>
        </w:rPr>
      </w:pPr>
      <w:r>
        <w:rPr>
          <w:rFonts w:hint="eastAsia" w:ascii="宋体" w:hAnsi="宋体" w:cs="宋体"/>
          <w:szCs w:val="21"/>
        </w:rPr>
        <w:t>2、大写金额和小写金额不一致的，以大写金额为准；</w:t>
      </w:r>
    </w:p>
    <w:p>
      <w:pPr>
        <w:snapToGrid w:val="0"/>
        <w:spacing w:line="360" w:lineRule="auto"/>
        <w:ind w:firstLine="420" w:firstLineChars="200"/>
        <w:rPr>
          <w:rFonts w:ascii="宋体" w:hAnsi="宋体" w:cs="宋体"/>
          <w:szCs w:val="21"/>
        </w:rPr>
      </w:pPr>
      <w:r>
        <w:rPr>
          <w:rFonts w:hint="eastAsia" w:ascii="宋体" w:hAnsi="宋体" w:cs="宋体"/>
          <w:szCs w:val="21"/>
        </w:rPr>
        <w:t>3、单价金额小数点或者百分比有明显错位的，以开标一览表的总价为准，并修改单价；</w:t>
      </w:r>
    </w:p>
    <w:p>
      <w:pPr>
        <w:snapToGrid w:val="0"/>
        <w:spacing w:line="360" w:lineRule="auto"/>
        <w:ind w:firstLine="420" w:firstLineChars="200"/>
        <w:rPr>
          <w:rFonts w:ascii="宋体" w:hAnsi="宋体" w:cs="宋体"/>
          <w:szCs w:val="21"/>
        </w:rPr>
      </w:pPr>
      <w:r>
        <w:rPr>
          <w:rFonts w:hint="eastAsia" w:ascii="宋体" w:hAnsi="宋体" w:cs="宋体"/>
          <w:szCs w:val="21"/>
        </w:rPr>
        <w:t>4、总价金额与按单价汇总金额不一致的，以单价金额计算结果为准。</w:t>
      </w:r>
    </w:p>
    <w:p>
      <w:pPr>
        <w:snapToGrid w:val="0"/>
        <w:spacing w:line="360" w:lineRule="auto"/>
        <w:ind w:firstLine="422" w:firstLineChars="200"/>
        <w:rPr>
          <w:rFonts w:ascii="宋体" w:hAnsi="宋体" w:cs="宋体"/>
          <w:b/>
          <w:bCs/>
          <w:szCs w:val="21"/>
        </w:rPr>
      </w:pPr>
      <w:r>
        <w:rPr>
          <w:rFonts w:hint="eastAsia" w:ascii="宋体" w:hAnsi="宋体" w:cs="宋体"/>
          <w:b/>
          <w:bCs/>
          <w:szCs w:val="21"/>
        </w:rPr>
        <w:t>同时出现两种以上不一致的，按照前款规定的顺序修正。修正后的报价经投标人确认后产生约束力，投标人不确认的，其投标无效。</w:t>
      </w:r>
    </w:p>
    <w:p>
      <w:pPr>
        <w:pStyle w:val="24"/>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（六）评标原则和评标办法</w:t>
      </w:r>
    </w:p>
    <w:p>
      <w:pPr>
        <w:pStyle w:val="24"/>
        <w:snapToGrid w:val="0"/>
        <w:spacing w:before="120" w:after="120" w:line="360" w:lineRule="auto"/>
        <w:ind w:firstLine="420" w:firstLineChars="200"/>
        <w:rPr>
          <w:rFonts w:hAnsi="宋体" w:cs="宋体"/>
          <w:sz w:val="21"/>
          <w:szCs w:val="21"/>
        </w:rPr>
      </w:pPr>
      <w:r>
        <w:rPr>
          <w:rFonts w:hint="eastAsia" w:hAnsi="宋体" w:cs="宋体"/>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4"/>
        <w:snapToGrid w:val="0"/>
        <w:spacing w:before="120" w:after="120" w:line="360" w:lineRule="auto"/>
        <w:ind w:firstLine="420" w:firstLineChars="200"/>
        <w:rPr>
          <w:rFonts w:hAnsi="宋体" w:cs="宋体"/>
          <w:sz w:val="21"/>
          <w:szCs w:val="21"/>
        </w:rPr>
      </w:pPr>
      <w:r>
        <w:rPr>
          <w:rFonts w:hint="eastAsia" w:hAnsi="宋体" w:cs="宋体"/>
          <w:sz w:val="21"/>
          <w:szCs w:val="21"/>
        </w:rPr>
        <w:t>2、评标办法。本项目评标办法是</w:t>
      </w:r>
      <w:r>
        <w:rPr>
          <w:rFonts w:hint="eastAsia" w:hAnsi="宋体" w:cs="宋体"/>
          <w:sz w:val="21"/>
          <w:szCs w:val="21"/>
          <w:u w:val="single"/>
        </w:rPr>
        <w:t xml:space="preserve"> 综合评分法 </w:t>
      </w:r>
      <w:r>
        <w:rPr>
          <w:rFonts w:hint="eastAsia" w:hAnsi="宋体" w:cs="宋体"/>
          <w:sz w:val="21"/>
          <w:szCs w:val="21"/>
        </w:rPr>
        <w:t>，具体评标内容及评分标准等详见《第四章：评标办法及评分标准》。</w:t>
      </w:r>
    </w:p>
    <w:p>
      <w:pPr>
        <w:pStyle w:val="24"/>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（七）评审专家有下列情形之一的，受到邀请应主动提出回避，采购当事人也可以要求该评审专家回避：</w:t>
      </w:r>
    </w:p>
    <w:p>
      <w:pPr>
        <w:spacing w:line="360" w:lineRule="auto"/>
        <w:ind w:firstLine="420" w:firstLineChars="200"/>
        <w:rPr>
          <w:rFonts w:ascii="宋体" w:hAnsi="宋体" w:cs="宋体"/>
          <w:szCs w:val="21"/>
        </w:rPr>
      </w:pPr>
      <w:r>
        <w:rPr>
          <w:rFonts w:hint="eastAsia" w:ascii="宋体" w:hAnsi="宋体" w:cs="宋体"/>
          <w:szCs w:val="21"/>
        </w:rPr>
        <w:t>1、本人、配偶或直系亲属3年内曾在参加该采购项目的投标人中任职（包括一般工作）或担任顾问，或与参加该采购项目的投标人发生过法律纠纷；</w:t>
      </w:r>
    </w:p>
    <w:p>
      <w:pPr>
        <w:spacing w:line="360" w:lineRule="auto"/>
        <w:ind w:firstLine="420" w:firstLineChars="200"/>
        <w:rPr>
          <w:rFonts w:ascii="宋体" w:hAnsi="宋体" w:cs="宋体"/>
          <w:szCs w:val="21"/>
        </w:rPr>
      </w:pPr>
      <w:r>
        <w:rPr>
          <w:rFonts w:hint="eastAsia" w:ascii="宋体" w:hAnsi="宋体" w:cs="宋体"/>
          <w:szCs w:val="21"/>
        </w:rPr>
        <w:t>2、任职单位与采购人或参加该采购项目投标人存在行政隶属关系；</w:t>
      </w:r>
    </w:p>
    <w:p>
      <w:pPr>
        <w:spacing w:line="360" w:lineRule="auto"/>
        <w:ind w:firstLine="420" w:firstLineChars="200"/>
        <w:rPr>
          <w:rFonts w:ascii="宋体" w:hAnsi="宋体" w:cs="宋体"/>
          <w:szCs w:val="21"/>
        </w:rPr>
      </w:pPr>
      <w:r>
        <w:rPr>
          <w:rFonts w:hint="eastAsia" w:ascii="宋体" w:hAnsi="宋体" w:cs="宋体"/>
          <w:szCs w:val="21"/>
        </w:rPr>
        <w:t>3、曾经参加过该采购项目的进口产品或采购文件、采购需求、采购方式的论证和咨询服务工作；</w:t>
      </w:r>
    </w:p>
    <w:p>
      <w:pPr>
        <w:spacing w:line="360" w:lineRule="auto"/>
        <w:ind w:firstLine="420" w:firstLineChars="200"/>
        <w:rPr>
          <w:rFonts w:ascii="宋体" w:hAnsi="宋体" w:cs="宋体"/>
          <w:szCs w:val="21"/>
        </w:rPr>
      </w:pPr>
      <w:r>
        <w:rPr>
          <w:rFonts w:hint="eastAsia" w:ascii="宋体" w:hAnsi="宋体" w:cs="宋体"/>
          <w:szCs w:val="21"/>
        </w:rPr>
        <w:t>4、是参加该采购项目投标人的上级主管部门、控股或参股单位的工作人员，或与该投标人存在其他经济利益关系；</w:t>
      </w:r>
    </w:p>
    <w:p>
      <w:pPr>
        <w:spacing w:line="360" w:lineRule="auto"/>
        <w:ind w:firstLine="420" w:firstLineChars="200"/>
        <w:rPr>
          <w:rFonts w:ascii="宋体" w:hAnsi="宋体" w:cs="宋体"/>
          <w:szCs w:val="21"/>
        </w:rPr>
      </w:pPr>
      <w:r>
        <w:rPr>
          <w:rFonts w:hint="eastAsia" w:ascii="宋体" w:hAnsi="宋体" w:cs="宋体"/>
          <w:szCs w:val="21"/>
        </w:rPr>
        <w:t>5、评审委员会成员之间具有配偶、近亲属关系；</w:t>
      </w:r>
    </w:p>
    <w:p>
      <w:pPr>
        <w:spacing w:line="360" w:lineRule="auto"/>
        <w:ind w:firstLine="420" w:firstLineChars="200"/>
        <w:rPr>
          <w:rFonts w:ascii="宋体" w:hAnsi="宋体" w:cs="宋体"/>
          <w:szCs w:val="21"/>
        </w:rPr>
      </w:pPr>
      <w:r>
        <w:rPr>
          <w:rFonts w:hint="eastAsia" w:ascii="宋体" w:hAnsi="宋体" w:cs="宋体"/>
          <w:szCs w:val="21"/>
        </w:rPr>
        <w:t>6、同一单位的评审专家在同一项目评审委员会成员中超过一名；</w:t>
      </w:r>
    </w:p>
    <w:p>
      <w:pPr>
        <w:spacing w:line="360" w:lineRule="auto"/>
        <w:ind w:firstLine="420" w:firstLineChars="200"/>
        <w:rPr>
          <w:rFonts w:ascii="宋体" w:hAnsi="宋体" w:cs="宋体"/>
          <w:szCs w:val="21"/>
        </w:rPr>
      </w:pPr>
      <w:r>
        <w:rPr>
          <w:rFonts w:hint="eastAsia" w:ascii="宋体" w:hAnsi="宋体" w:cs="宋体"/>
          <w:szCs w:val="21"/>
        </w:rPr>
        <w:t>7、法律、法规、规章规定应当回避以及其他可能影响公正评审的。</w:t>
      </w:r>
    </w:p>
    <w:p>
      <w:pPr>
        <w:spacing w:line="360" w:lineRule="auto"/>
        <w:ind w:firstLine="422" w:firstLineChars="200"/>
        <w:rPr>
          <w:rFonts w:ascii="宋体" w:hAnsi="宋体" w:cs="宋体"/>
          <w:szCs w:val="21"/>
        </w:rPr>
      </w:pPr>
      <w:r>
        <w:rPr>
          <w:rFonts w:hint="eastAsia" w:ascii="宋体" w:hAnsi="宋体" w:cs="宋体"/>
          <w:b/>
          <w:szCs w:val="21"/>
        </w:rPr>
        <w:t>（八）评标委员会判断投标文件的有效性、合格性和响应情况，仅依据投标人所递交一切文件的真实表述，不受与本项目无直接关联的外部信息、传言而影响自身的专业判断。</w:t>
      </w:r>
    </w:p>
    <w:p>
      <w:pPr>
        <w:pStyle w:val="24"/>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24"/>
        <w:tabs>
          <w:tab w:val="left" w:pos="630"/>
        </w:tabs>
        <w:snapToGrid w:val="0"/>
        <w:spacing w:before="120" w:after="120" w:line="360" w:lineRule="auto"/>
        <w:ind w:firstLine="413" w:firstLineChars="196"/>
        <w:rPr>
          <w:rFonts w:hAnsi="宋体" w:cs="宋体"/>
          <w:b/>
          <w:sz w:val="21"/>
          <w:szCs w:val="21"/>
        </w:rPr>
      </w:pPr>
      <w:r>
        <w:rPr>
          <w:rFonts w:hint="eastAsia" w:hAnsi="宋体" w:cs="宋体"/>
          <w:b/>
          <w:sz w:val="21"/>
          <w:szCs w:val="21"/>
        </w:rPr>
        <w:t>（十）评标过程的监控</w:t>
      </w:r>
    </w:p>
    <w:p>
      <w:pPr>
        <w:pStyle w:val="24"/>
        <w:snapToGrid w:val="0"/>
        <w:spacing w:before="120" w:after="120" w:line="360" w:lineRule="auto"/>
        <w:ind w:firstLine="420"/>
        <w:rPr>
          <w:rFonts w:hAnsi="宋体" w:cs="宋体"/>
          <w:sz w:val="21"/>
          <w:szCs w:val="21"/>
        </w:rPr>
      </w:pPr>
      <w:r>
        <w:rPr>
          <w:rFonts w:hint="eastAsia" w:hAnsi="宋体" w:cs="宋体"/>
          <w:sz w:val="21"/>
          <w:szCs w:val="21"/>
        </w:rPr>
        <w:t>1、本项目评标过程实行全程录音、录像监控，投标人在评标过程中所进行的试图影响评标结果的不公正活动，可能导致其投标被拒绝；</w:t>
      </w:r>
    </w:p>
    <w:p>
      <w:pPr>
        <w:pStyle w:val="24"/>
        <w:snapToGrid w:val="0"/>
        <w:spacing w:before="120" w:after="120" w:line="360" w:lineRule="auto"/>
        <w:ind w:firstLine="420"/>
        <w:rPr>
          <w:rFonts w:hAnsi="宋体" w:cs="宋体"/>
          <w:b/>
          <w:sz w:val="21"/>
          <w:szCs w:val="21"/>
        </w:rPr>
      </w:pPr>
      <w:r>
        <w:rPr>
          <w:rFonts w:hint="eastAsia" w:hAnsi="宋体" w:cs="宋体"/>
          <w:sz w:val="21"/>
          <w:szCs w:val="21"/>
        </w:rPr>
        <w:t>2、开标后到中标通知书发出之前，所有涉及评标委员会名单以及对投标文件的澄清、评价、比较等情况，评标委员会成员、采购人和采购代理机构的有关人员均不得向投标人或其他无关人员透露。</w:t>
      </w:r>
      <w:bookmarkStart w:id="29" w:name="_Toc317685590"/>
      <w:bookmarkStart w:id="30" w:name="_Toc16897"/>
    </w:p>
    <w:p>
      <w:pPr>
        <w:pStyle w:val="24"/>
        <w:snapToGrid w:val="0"/>
        <w:spacing w:before="120" w:after="120" w:line="360" w:lineRule="auto"/>
        <w:ind w:left="772" w:leftChars="267" w:hanging="211" w:hangingChars="100"/>
        <w:outlineLvl w:val="1"/>
        <w:rPr>
          <w:rFonts w:hAnsi="宋体" w:cs="宋体"/>
          <w:b/>
          <w:sz w:val="21"/>
          <w:szCs w:val="21"/>
        </w:rPr>
      </w:pPr>
      <w:r>
        <w:rPr>
          <w:rFonts w:hint="eastAsia" w:hAnsi="宋体" w:cs="宋体"/>
          <w:b/>
          <w:sz w:val="21"/>
          <w:szCs w:val="21"/>
        </w:rPr>
        <w:t>六、采购方式变更</w:t>
      </w:r>
      <w:bookmarkEnd w:id="29"/>
      <w:bookmarkEnd w:id="30"/>
    </w:p>
    <w:p>
      <w:pPr>
        <w:pStyle w:val="41"/>
        <w:widowControl w:val="0"/>
        <w:snapToGrid w:val="0"/>
        <w:spacing w:beforeLines="50" w:beforeAutospacing="0" w:afterLines="50" w:afterAutospacing="0" w:line="360" w:lineRule="auto"/>
        <w:ind w:firstLine="420" w:firstLineChars="200"/>
        <w:jc w:val="both"/>
        <w:rPr>
          <w:rFonts w:ascii="宋体" w:hAnsi="宋体" w:cs="宋体"/>
          <w:sz w:val="21"/>
          <w:szCs w:val="21"/>
        </w:rPr>
      </w:pPr>
      <w:r>
        <w:rPr>
          <w:rFonts w:hint="eastAsia" w:ascii="宋体" w:hAnsi="宋体" w:cs="宋体"/>
          <w:kern w:val="2"/>
          <w:sz w:val="21"/>
          <w:szCs w:val="21"/>
        </w:rPr>
        <w:t>政府采购的国内公开招标，采购响应截至时间至或评审期间，出现参与采购响应或者对采购文件作出实质性响应的投标人不足3家的情况，则请示主管部门后再定。</w:t>
      </w:r>
    </w:p>
    <w:p>
      <w:pPr>
        <w:pStyle w:val="24"/>
        <w:snapToGrid w:val="0"/>
        <w:spacing w:before="120" w:after="120" w:line="360" w:lineRule="auto"/>
        <w:ind w:left="772" w:leftChars="267" w:hanging="211" w:hangingChars="100"/>
        <w:outlineLvl w:val="1"/>
        <w:rPr>
          <w:rFonts w:hAnsi="宋体" w:cs="宋体"/>
          <w:b/>
          <w:sz w:val="21"/>
          <w:szCs w:val="21"/>
        </w:rPr>
      </w:pPr>
      <w:bookmarkStart w:id="31" w:name="_Toc9029"/>
      <w:r>
        <w:rPr>
          <w:rFonts w:hint="eastAsia" w:hAnsi="宋体" w:cs="宋体"/>
          <w:b/>
          <w:sz w:val="21"/>
          <w:szCs w:val="21"/>
        </w:rPr>
        <w:t>七、定标</w:t>
      </w:r>
      <w:bookmarkEnd w:id="31"/>
    </w:p>
    <w:p>
      <w:pPr>
        <w:pStyle w:val="24"/>
        <w:snapToGrid w:val="0"/>
        <w:spacing w:line="360" w:lineRule="auto"/>
        <w:ind w:firstLine="413" w:firstLineChars="196"/>
        <w:rPr>
          <w:rFonts w:hAnsi="宋体" w:cs="宋体"/>
          <w:b/>
          <w:bCs/>
          <w:sz w:val="21"/>
          <w:szCs w:val="21"/>
        </w:rPr>
      </w:pPr>
      <w:r>
        <w:rPr>
          <w:rFonts w:hint="eastAsia" w:hAnsi="宋体" w:cs="宋体"/>
          <w:b/>
          <w:bCs/>
          <w:sz w:val="21"/>
          <w:szCs w:val="21"/>
        </w:rPr>
        <w:t>（一）确定中标投标人。本项目由采购人（或采购人事先授权评标委员会）确定中标投标人。</w:t>
      </w:r>
    </w:p>
    <w:p>
      <w:pPr>
        <w:pStyle w:val="24"/>
        <w:snapToGrid w:val="0"/>
        <w:spacing w:before="120" w:after="120" w:line="360" w:lineRule="auto"/>
        <w:ind w:firstLine="420"/>
        <w:rPr>
          <w:rFonts w:hAnsi="宋体" w:cs="宋体"/>
          <w:sz w:val="21"/>
          <w:szCs w:val="21"/>
        </w:rPr>
      </w:pPr>
      <w:r>
        <w:rPr>
          <w:rFonts w:hint="eastAsia" w:hAnsi="宋体" w:cs="宋体"/>
          <w:sz w:val="21"/>
          <w:szCs w:val="21"/>
        </w:rPr>
        <w:t>1、采购代理机构应当在评标结束后2个工作日内将评标报告送采购人；</w:t>
      </w:r>
    </w:p>
    <w:p>
      <w:pPr>
        <w:pStyle w:val="24"/>
        <w:snapToGrid w:val="0"/>
        <w:spacing w:before="120" w:after="120" w:line="360" w:lineRule="auto"/>
        <w:ind w:firstLine="420"/>
        <w:rPr>
          <w:rFonts w:hAnsi="宋体" w:cs="宋体"/>
          <w:sz w:val="21"/>
          <w:szCs w:val="21"/>
        </w:rPr>
      </w:pPr>
      <w:r>
        <w:rPr>
          <w:rFonts w:hint="eastAsia" w:hAnsi="宋体" w:cs="宋体"/>
          <w:sz w:val="21"/>
          <w:szCs w:val="21"/>
        </w:rPr>
        <w:t>2、采购人应当自收到评标报告之日起5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pStyle w:val="24"/>
        <w:snapToGrid w:val="0"/>
        <w:spacing w:before="120" w:after="120" w:line="360" w:lineRule="auto"/>
        <w:ind w:firstLine="420"/>
        <w:rPr>
          <w:rFonts w:hAnsi="宋体" w:cs="宋体"/>
          <w:sz w:val="21"/>
          <w:szCs w:val="21"/>
        </w:rPr>
      </w:pPr>
      <w:r>
        <w:rPr>
          <w:rFonts w:hint="eastAsia" w:hAnsi="宋体" w:cs="宋体"/>
          <w:sz w:val="21"/>
          <w:szCs w:val="21"/>
        </w:rPr>
        <w:t>3、采购人依法确定中标人后2个工作日内，采购代理机构以书面形式发出《中标通知书》,并同时在相关网站上发布中标公告。不在中标名单之列者即为落标人，采购代理机构不再以其它方式另行通知；</w:t>
      </w:r>
    </w:p>
    <w:p>
      <w:pPr>
        <w:snapToGrid w:val="0"/>
        <w:spacing w:line="360" w:lineRule="auto"/>
        <w:ind w:firstLine="420" w:firstLineChars="200"/>
        <w:rPr>
          <w:rFonts w:ascii="宋体" w:hAnsi="宋体" w:cs="宋体"/>
          <w:szCs w:val="21"/>
        </w:rPr>
      </w:pPr>
      <w:r>
        <w:rPr>
          <w:rFonts w:hint="eastAsia" w:ascii="宋体" w:hAnsi="宋体" w:cs="宋体"/>
          <w:szCs w:val="21"/>
        </w:rPr>
        <w:t>4、各参加政府采购活动的投标人认为该中标结果和采购过程等使自己的权益受到损害的，可以自本公告期限届满之日（自本公告发布之日起至第2日24时止）起7个工作日内，以书面形式向采购人提出质疑。质疑投标人对采购人、采购代理机构的答复不满意或者采购人、采购代理机构未在规定的时间内作出答复的，可以再答复期满后十五个工作日内向同级政府采购监督管理部门投诉。</w:t>
      </w:r>
    </w:p>
    <w:p>
      <w:pPr>
        <w:pStyle w:val="24"/>
        <w:snapToGrid w:val="0"/>
        <w:spacing w:before="120" w:after="120" w:line="360" w:lineRule="auto"/>
        <w:ind w:firstLine="211" w:firstLineChars="100"/>
        <w:outlineLvl w:val="1"/>
        <w:rPr>
          <w:rFonts w:hAnsi="宋体" w:cs="宋体"/>
          <w:b/>
          <w:sz w:val="21"/>
          <w:szCs w:val="21"/>
        </w:rPr>
      </w:pPr>
      <w:bookmarkStart w:id="32" w:name="_Toc17747"/>
      <w:r>
        <w:rPr>
          <w:rFonts w:hint="eastAsia" w:hAnsi="宋体" w:cs="宋体"/>
          <w:b/>
          <w:sz w:val="21"/>
          <w:szCs w:val="21"/>
        </w:rPr>
        <w:t>八、合同授予</w:t>
      </w:r>
      <w:bookmarkEnd w:id="32"/>
    </w:p>
    <w:p>
      <w:pPr>
        <w:snapToGrid w:val="0"/>
        <w:spacing w:line="360" w:lineRule="auto"/>
        <w:ind w:firstLine="413" w:firstLineChars="196"/>
        <w:rPr>
          <w:rFonts w:ascii="宋体" w:hAnsi="宋体" w:cs="宋体"/>
          <w:b/>
          <w:bCs/>
          <w:szCs w:val="21"/>
        </w:rPr>
      </w:pPr>
      <w:r>
        <w:rPr>
          <w:rFonts w:hint="eastAsia" w:ascii="宋体" w:hAnsi="宋体" w:cs="宋体"/>
          <w:b/>
          <w:bCs/>
          <w:szCs w:val="21"/>
        </w:rPr>
        <w:t>（一）签订合同</w:t>
      </w:r>
    </w:p>
    <w:p>
      <w:pPr>
        <w:snapToGrid w:val="0"/>
        <w:spacing w:line="360" w:lineRule="auto"/>
        <w:ind w:firstLine="420" w:firstLineChars="200"/>
        <w:rPr>
          <w:rFonts w:ascii="宋体" w:hAnsi="宋体" w:cs="宋体"/>
          <w:szCs w:val="21"/>
        </w:rPr>
      </w:pPr>
      <w:r>
        <w:rPr>
          <w:rFonts w:hint="eastAsia" w:ascii="宋体" w:hAnsi="宋体" w:cs="宋体"/>
          <w:szCs w:val="21"/>
        </w:rPr>
        <w:t>1、采购人与中标投标人应当在《中标通知书》发出之日起</w:t>
      </w:r>
      <w:r>
        <w:rPr>
          <w:rFonts w:hint="eastAsia" w:ascii="宋体" w:hAnsi="宋体" w:cs="宋体"/>
          <w:b/>
          <w:szCs w:val="21"/>
          <w:u w:val="single"/>
        </w:rPr>
        <w:t>30</w:t>
      </w:r>
      <w:r>
        <w:rPr>
          <w:rFonts w:hint="eastAsia" w:ascii="宋体" w:hAnsi="宋体" w:cs="宋体"/>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rPr>
          <w:rFonts w:ascii="宋体" w:hAnsi="宋体" w:cs="宋体"/>
          <w:szCs w:val="21"/>
        </w:rPr>
      </w:pPr>
      <w:r>
        <w:rPr>
          <w:rFonts w:hint="eastAsia" w:ascii="宋体" w:hAnsi="宋体" w:cs="宋体"/>
          <w:szCs w:val="21"/>
        </w:rPr>
        <w:t>2、中标投标人拖延、拒签合同的，将被扣罚投标保证金并取消中标资格。</w:t>
      </w:r>
    </w:p>
    <w:p>
      <w:pPr>
        <w:pStyle w:val="24"/>
        <w:snapToGrid w:val="0"/>
        <w:spacing w:before="120" w:after="120" w:line="360" w:lineRule="auto"/>
        <w:ind w:firstLine="413" w:firstLineChars="196"/>
        <w:rPr>
          <w:rFonts w:hAnsi="宋体" w:cs="宋体"/>
          <w:b/>
          <w:sz w:val="21"/>
          <w:szCs w:val="21"/>
        </w:rPr>
      </w:pPr>
      <w:r>
        <w:rPr>
          <w:rFonts w:hint="eastAsia" w:hAnsi="宋体" w:cs="宋体"/>
          <w:b/>
          <w:sz w:val="21"/>
          <w:szCs w:val="21"/>
        </w:rPr>
        <w:t>（二）履约保证金及质量保金</w:t>
      </w:r>
    </w:p>
    <w:p>
      <w:pPr>
        <w:pStyle w:val="24"/>
        <w:snapToGrid w:val="0"/>
        <w:spacing w:before="120" w:after="120" w:line="360" w:lineRule="auto"/>
        <w:ind w:firstLine="420" w:firstLineChars="200"/>
        <w:rPr>
          <w:rFonts w:hAnsi="宋体" w:cs="宋体"/>
          <w:sz w:val="21"/>
          <w:szCs w:val="21"/>
        </w:rPr>
      </w:pPr>
      <w:r>
        <w:rPr>
          <w:rFonts w:hint="eastAsia" w:hAnsi="宋体" w:cs="宋体"/>
          <w:sz w:val="21"/>
          <w:szCs w:val="21"/>
        </w:rPr>
        <w:t>1、签订合同前，中标投标人应按采购文件确定的履约保证金金额，向采购人交纳履约保证金，否则将没收中标投标人的全部投标保证金；</w:t>
      </w:r>
    </w:p>
    <w:p>
      <w:pPr>
        <w:pStyle w:val="24"/>
        <w:snapToGrid w:val="0"/>
        <w:spacing w:before="120" w:after="120" w:line="360" w:lineRule="auto"/>
        <w:ind w:firstLine="420" w:firstLineChars="200"/>
        <w:rPr>
          <w:rFonts w:hAnsi="宋体" w:cs="宋体"/>
          <w:sz w:val="21"/>
          <w:szCs w:val="21"/>
        </w:rPr>
      </w:pPr>
      <w:r>
        <w:rPr>
          <w:rFonts w:hint="eastAsia" w:hAnsi="宋体" w:cs="宋体"/>
          <w:sz w:val="21"/>
          <w:szCs w:val="21"/>
        </w:rPr>
        <w:t>2、签订合同后，如中标投标人不按双方合同约定履约，则没收其全部履约保证金，履约保证金不足以赔偿损失的，按实际损失赔偿。</w:t>
      </w:r>
    </w:p>
    <w:p>
      <w:pPr>
        <w:pStyle w:val="24"/>
        <w:snapToGrid w:val="0"/>
        <w:spacing w:before="120" w:after="120" w:line="360" w:lineRule="auto"/>
        <w:ind w:firstLine="211" w:firstLineChars="100"/>
        <w:outlineLvl w:val="1"/>
        <w:rPr>
          <w:rFonts w:hAnsi="宋体" w:cs="宋体"/>
          <w:b/>
          <w:sz w:val="21"/>
          <w:szCs w:val="21"/>
        </w:rPr>
      </w:pPr>
      <w:bookmarkStart w:id="33" w:name="_Toc8588"/>
      <w:bookmarkStart w:id="34" w:name="_Toc2054"/>
      <w:r>
        <w:rPr>
          <w:rFonts w:hint="eastAsia" w:hAnsi="宋体" w:cs="宋体"/>
          <w:b/>
          <w:sz w:val="21"/>
          <w:szCs w:val="21"/>
        </w:rPr>
        <w:t>九、履约验收</w:t>
      </w:r>
      <w:bookmarkEnd w:id="33"/>
    </w:p>
    <w:p>
      <w:pPr>
        <w:snapToGrid w:val="0"/>
        <w:spacing w:line="360" w:lineRule="auto"/>
        <w:ind w:firstLine="420" w:firstLineChars="200"/>
        <w:rPr>
          <w:rFonts w:ascii="宋体" w:hAnsi="宋体" w:cs="宋体"/>
          <w:b/>
          <w:szCs w:val="21"/>
        </w:rPr>
      </w:pPr>
      <w:r>
        <w:rPr>
          <w:rFonts w:hint="eastAsia" w:ascii="宋体" w:hAnsi="宋体" w:cs="宋体"/>
          <w:szCs w:val="21"/>
        </w:rPr>
        <w:t>采购人负责对中标投标人的履约行为进行验收。</w:t>
      </w:r>
    </w:p>
    <w:p>
      <w:pPr>
        <w:pStyle w:val="24"/>
        <w:snapToGrid w:val="0"/>
        <w:spacing w:before="120" w:after="120" w:line="360" w:lineRule="auto"/>
        <w:ind w:firstLine="211" w:firstLineChars="100"/>
        <w:outlineLvl w:val="1"/>
        <w:rPr>
          <w:rFonts w:hAnsi="宋体" w:cs="宋体"/>
          <w:b/>
          <w:sz w:val="21"/>
          <w:szCs w:val="21"/>
        </w:rPr>
      </w:pPr>
      <w:r>
        <w:rPr>
          <w:rFonts w:hint="eastAsia" w:hAnsi="宋体" w:cs="宋体"/>
          <w:b/>
          <w:sz w:val="21"/>
          <w:szCs w:val="21"/>
        </w:rPr>
        <w:t>十、特别说明</w:t>
      </w:r>
      <w:bookmarkEnd w:id="34"/>
    </w:p>
    <w:p>
      <w:pPr>
        <w:snapToGrid w:val="0"/>
        <w:spacing w:line="360" w:lineRule="auto"/>
        <w:ind w:firstLine="420" w:firstLineChars="200"/>
        <w:rPr>
          <w:rFonts w:ascii="宋体" w:hAnsi="宋体" w:cs="宋体"/>
          <w:szCs w:val="21"/>
        </w:rPr>
      </w:pPr>
      <w:r>
        <w:rPr>
          <w:rFonts w:hint="eastAsia" w:ascii="宋体" w:hAnsi="宋体" w:cs="宋体"/>
          <w:szCs w:val="21"/>
        </w:rPr>
        <w:t>1、政府采购活动中有关中小企业的相关规定（采购进口产品的项目不适用）；</w:t>
      </w:r>
    </w:p>
    <w:p>
      <w:pPr>
        <w:snapToGrid w:val="0"/>
        <w:spacing w:line="360" w:lineRule="auto"/>
        <w:ind w:firstLine="420" w:firstLineChars="200"/>
        <w:rPr>
          <w:rFonts w:ascii="宋体" w:hAnsi="宋体" w:cs="宋体"/>
          <w:szCs w:val="21"/>
        </w:rPr>
      </w:pPr>
      <w:r>
        <w:rPr>
          <w:rFonts w:hint="eastAsia" w:ascii="宋体" w:hAnsi="宋体" w:cs="宋体"/>
          <w:szCs w:val="21"/>
        </w:rPr>
        <w:t>1.1 参加政府采购活动的中小企业（含中型、小型、微型企业，其他地方同）应当同时符合以下条件：</w:t>
      </w:r>
    </w:p>
    <w:p>
      <w:pPr>
        <w:snapToGrid w:val="0"/>
        <w:spacing w:line="360" w:lineRule="auto"/>
        <w:ind w:firstLine="420" w:firstLineChars="200"/>
        <w:rPr>
          <w:rFonts w:ascii="宋体" w:hAnsi="宋体" w:cs="宋体"/>
          <w:szCs w:val="21"/>
        </w:rPr>
      </w:pPr>
      <w:r>
        <w:rPr>
          <w:rFonts w:hint="eastAsia" w:ascii="宋体" w:hAnsi="宋体" w:cs="宋体"/>
          <w:szCs w:val="21"/>
        </w:rPr>
        <w:t>（一）符合中小企业划分标准（具体见工信部联企业[2011]300号）；</w:t>
      </w:r>
    </w:p>
    <w:p>
      <w:pPr>
        <w:snapToGrid w:val="0"/>
        <w:spacing w:line="360" w:lineRule="auto"/>
        <w:ind w:firstLine="420" w:firstLineChars="200"/>
        <w:rPr>
          <w:rFonts w:ascii="宋体" w:hAnsi="宋体" w:cs="宋体"/>
          <w:szCs w:val="21"/>
        </w:rPr>
      </w:pPr>
      <w:r>
        <w:rPr>
          <w:rFonts w:hint="eastAsia" w:ascii="宋体" w:hAnsi="宋体" w:cs="宋体"/>
          <w:szCs w:val="21"/>
        </w:rPr>
        <w:t>（二）提供本企业制造的货物、承担的工程或者服务，或者提供其他中小企业制造的货物。本项所称货物不包括使用大型企业注册商标的货物；</w:t>
      </w:r>
    </w:p>
    <w:p>
      <w:pPr>
        <w:snapToGrid w:val="0"/>
        <w:spacing w:line="360" w:lineRule="auto"/>
        <w:ind w:firstLine="420" w:firstLineChars="200"/>
        <w:rPr>
          <w:rFonts w:ascii="宋体" w:hAnsi="宋体" w:cs="宋体"/>
          <w:szCs w:val="21"/>
        </w:rPr>
      </w:pPr>
      <w:r>
        <w:rPr>
          <w:rFonts w:hint="eastAsia" w:ascii="宋体" w:hAnsi="宋体" w:cs="宋体"/>
          <w:szCs w:val="21"/>
        </w:rPr>
        <w:t>（三）小型、微型企业提供中型企业制造的货物的，视同为中型企业；</w:t>
      </w:r>
    </w:p>
    <w:p>
      <w:pPr>
        <w:snapToGrid w:val="0"/>
        <w:spacing w:line="360" w:lineRule="auto"/>
        <w:ind w:firstLine="420" w:firstLineChars="200"/>
        <w:rPr>
          <w:rFonts w:ascii="宋体" w:hAnsi="宋体" w:cs="宋体"/>
          <w:szCs w:val="21"/>
        </w:rPr>
      </w:pPr>
      <w:r>
        <w:rPr>
          <w:rFonts w:hint="eastAsia" w:ascii="宋体" w:hAnsi="宋体" w:cs="宋体"/>
          <w:szCs w:val="21"/>
        </w:rPr>
        <w:t>1.2 参加政府采购活动的中小企业应当提供《中小企业声明函》；</w:t>
      </w:r>
    </w:p>
    <w:p>
      <w:pPr>
        <w:snapToGrid w:val="0"/>
        <w:spacing w:line="360" w:lineRule="auto"/>
        <w:ind w:firstLine="420" w:firstLineChars="200"/>
        <w:rPr>
          <w:rFonts w:ascii="宋体" w:hAnsi="宋体" w:cs="宋体"/>
          <w:szCs w:val="21"/>
        </w:rPr>
      </w:pPr>
      <w:r>
        <w:rPr>
          <w:rFonts w:hint="eastAsia" w:ascii="宋体" w:hAnsi="宋体" w:cs="宋体"/>
          <w:szCs w:val="21"/>
        </w:rPr>
        <w:t>1.3 对于非专门面向中小企业的项目，对小型和微型企业产品的价格应给予6%-10%的扣除，用扣除后的价格参与评审。具体扣除比例见第四章评标办法及评分标准（如有）；</w:t>
      </w:r>
    </w:p>
    <w:p>
      <w:pPr>
        <w:snapToGrid w:val="0"/>
        <w:spacing w:line="360" w:lineRule="auto"/>
        <w:ind w:firstLine="420" w:firstLineChars="200"/>
        <w:rPr>
          <w:rFonts w:ascii="宋体" w:hAnsi="宋体" w:cs="宋体"/>
          <w:szCs w:val="21"/>
        </w:rPr>
      </w:pPr>
      <w:r>
        <w:rPr>
          <w:rFonts w:hint="eastAsia" w:ascii="宋体" w:hAnsi="宋体" w:cs="宋体"/>
          <w:szCs w:val="21"/>
        </w:rPr>
        <w:t>1.4 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line="360" w:lineRule="auto"/>
        <w:ind w:firstLine="420" w:firstLineChars="200"/>
        <w:rPr>
          <w:rFonts w:ascii="宋体" w:hAnsi="宋体" w:cs="宋体"/>
          <w:szCs w:val="21"/>
        </w:rPr>
      </w:pPr>
      <w:r>
        <w:rPr>
          <w:rFonts w:hint="eastAsia" w:ascii="宋体" w:hAnsi="宋体" w:cs="宋体"/>
          <w:szCs w:val="21"/>
        </w:rPr>
        <w:t>1.5如果在采购活动过程中相关采购当事人对投标人“中小企业”资格有异议的，投标人应当向采购代理机构和采购监管部门提供由第三方机构审计确认的财务会计报告和劳动部门提供的年度社会保障基金缴纳清单，或者相关行业主管部门出具的“中小企业”资格确认证明；</w:t>
      </w:r>
    </w:p>
    <w:p>
      <w:pPr>
        <w:snapToGrid w:val="0"/>
        <w:spacing w:line="360" w:lineRule="auto"/>
        <w:ind w:firstLine="420" w:firstLineChars="200"/>
        <w:rPr>
          <w:rFonts w:ascii="宋体" w:hAnsi="宋体" w:cs="宋体"/>
          <w:szCs w:val="21"/>
        </w:rPr>
      </w:pPr>
      <w:r>
        <w:rPr>
          <w:rFonts w:hint="eastAsia" w:ascii="宋体" w:hAnsi="宋体" w:cs="宋体"/>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480" w:lineRule="exact"/>
        <w:ind w:firstLine="420" w:firstLineChars="200"/>
        <w:rPr>
          <w:rFonts w:ascii="宋体" w:hAnsi="宋体" w:cs="宋体"/>
          <w:szCs w:val="21"/>
        </w:rPr>
      </w:pPr>
      <w:r>
        <w:rPr>
          <w:rFonts w:hint="eastAsia" w:ascii="宋体" w:hAnsi="宋体" w:cs="宋体"/>
          <w:szCs w:val="21"/>
          <w:lang w:val="zh-CN"/>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附后），并对声明的真实性负责。</w:t>
      </w:r>
    </w:p>
    <w:p>
      <w:pPr>
        <w:pStyle w:val="24"/>
        <w:snapToGrid w:val="0"/>
        <w:spacing w:after="120"/>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24"/>
        <w:snapToGrid w:val="0"/>
        <w:spacing w:after="120"/>
        <w:jc w:val="center"/>
        <w:outlineLvl w:val="0"/>
        <w:rPr>
          <w:rFonts w:hAnsi="宋体" w:cs="宋体"/>
          <w:b/>
          <w:sz w:val="30"/>
          <w:szCs w:val="30"/>
        </w:rPr>
      </w:pPr>
    </w:p>
    <w:p>
      <w:pPr>
        <w:pStyle w:val="42"/>
        <w:rPr>
          <w:rFonts w:ascii="Times New Roman" w:hAnsi="Times New Roman"/>
          <w:kern w:val="44"/>
        </w:rPr>
      </w:pPr>
      <w:r>
        <w:rPr>
          <w:rFonts w:hint="eastAsia" w:ascii="Times New Roman" w:hAnsi="Times New Roman"/>
          <w:kern w:val="44"/>
        </w:rPr>
        <w:t>第四章 评标</w:t>
      </w:r>
      <w:bookmarkEnd w:id="16"/>
      <w:bookmarkEnd w:id="17"/>
      <w:bookmarkEnd w:id="18"/>
      <w:r>
        <w:rPr>
          <w:rFonts w:hint="eastAsia" w:ascii="Times New Roman" w:hAnsi="Times New Roman"/>
          <w:kern w:val="44"/>
        </w:rPr>
        <w:t>办法及标准</w:t>
      </w:r>
      <w:bookmarkEnd w:id="19"/>
    </w:p>
    <w:p>
      <w:pPr>
        <w:snapToGrid w:val="0"/>
        <w:spacing w:line="480" w:lineRule="exact"/>
        <w:ind w:firstLine="630" w:firstLineChars="300"/>
        <w:rPr>
          <w:rFonts w:ascii="宋体" w:hAnsi="宋体" w:cs="宋体"/>
          <w:szCs w:val="21"/>
        </w:rPr>
      </w:pPr>
      <w:bookmarkStart w:id="35" w:name="_Toc372870917"/>
      <w:r>
        <w:rPr>
          <w:rFonts w:hint="eastAsia" w:ascii="宋体" w:hAnsi="宋体" w:cs="宋体"/>
          <w:szCs w:val="21"/>
        </w:rPr>
        <w:t>本办法严格遵照《中华人民共和国政府采购法》、《政府采购货物和服务招标投标管理办法》、《中华人民共和国政府采购法实施条例》等规定，结合项目所在地政府有关政府采购规定和项目的实际情况制定。本次采购为非专门面向中小企业，本次评标将对中小企业声明函满足采购文件要求的小型和微型企业产品的价格给予6%的扣除，对联合体投标（如有）中小企业声明函满足采购文件要求的小型和微型企业产品的价格给予2%的扣除，用扣除后的价格参与评审。</w:t>
      </w:r>
    </w:p>
    <w:p>
      <w:pPr>
        <w:snapToGrid w:val="0"/>
        <w:spacing w:line="480" w:lineRule="exact"/>
        <w:ind w:firstLine="422" w:firstLineChars="200"/>
        <w:rPr>
          <w:rFonts w:ascii="宋体" w:hAnsi="宋体" w:cs="宋体"/>
          <w:b/>
          <w:szCs w:val="21"/>
        </w:rPr>
      </w:pPr>
      <w:r>
        <w:rPr>
          <w:rFonts w:hint="eastAsia" w:ascii="宋体" w:hAnsi="宋体" w:cs="宋体"/>
          <w:b/>
          <w:szCs w:val="21"/>
        </w:rPr>
        <w:t>一、总则</w:t>
      </w:r>
    </w:p>
    <w:p>
      <w:pPr>
        <w:snapToGrid w:val="0"/>
        <w:spacing w:line="480" w:lineRule="exact"/>
        <w:ind w:firstLine="420" w:firstLineChars="200"/>
        <w:rPr>
          <w:rFonts w:ascii="宋体" w:hAns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napToGrid w:val="0"/>
        <w:spacing w:line="480" w:lineRule="exact"/>
        <w:ind w:firstLine="422" w:firstLineChars="200"/>
        <w:rPr>
          <w:rFonts w:ascii="宋体" w:hAnsi="宋体" w:cs="宋体"/>
          <w:b/>
          <w:szCs w:val="21"/>
        </w:rPr>
      </w:pPr>
      <w:r>
        <w:rPr>
          <w:rFonts w:hint="eastAsia" w:ascii="宋体" w:hAnsi="宋体" w:cs="宋体"/>
          <w:b/>
          <w:szCs w:val="21"/>
        </w:rPr>
        <w:t>二、评标组织</w:t>
      </w:r>
    </w:p>
    <w:p>
      <w:pPr>
        <w:snapToGrid w:val="0"/>
        <w:spacing w:line="480" w:lineRule="exact"/>
        <w:ind w:firstLine="420" w:firstLineChars="200"/>
        <w:rPr>
          <w:rFonts w:ascii="宋体" w:hAnsi="宋体" w:cs="宋体"/>
          <w:szCs w:val="21"/>
        </w:rPr>
      </w:pPr>
      <w:r>
        <w:rPr>
          <w:rFonts w:hint="eastAsia" w:ascii="宋体" w:hAnsi="宋体" w:cs="宋体"/>
          <w:szCs w:val="21"/>
        </w:rPr>
        <w:t>评标委员会：依法组建评标委员会。评标委员会由采购人、技术、经济方面专家等有关人员组成。</w:t>
      </w:r>
    </w:p>
    <w:p>
      <w:pPr>
        <w:snapToGrid w:val="0"/>
        <w:spacing w:line="480" w:lineRule="exact"/>
        <w:ind w:firstLine="422" w:firstLineChars="200"/>
        <w:rPr>
          <w:rFonts w:ascii="宋体" w:hAnsi="宋体" w:cs="宋体"/>
          <w:b/>
          <w:szCs w:val="21"/>
        </w:rPr>
      </w:pPr>
      <w:r>
        <w:rPr>
          <w:rFonts w:hint="eastAsia" w:ascii="宋体" w:hAnsi="宋体" w:cs="宋体"/>
          <w:b/>
          <w:szCs w:val="21"/>
        </w:rPr>
        <w:t>三、评标程序</w:t>
      </w:r>
    </w:p>
    <w:p>
      <w:pPr>
        <w:spacing w:line="360" w:lineRule="exact"/>
        <w:ind w:firstLine="378" w:firstLineChars="180"/>
        <w:rPr>
          <w:rFonts w:ascii="宋体" w:hAnsi="宋体"/>
        </w:rPr>
      </w:pPr>
      <w:r>
        <w:rPr>
          <w:rFonts w:hint="eastAsia" w:ascii="宋体" w:hAnsi="宋体"/>
        </w:rPr>
        <w:t>详见第三章《投标人须知》</w:t>
      </w:r>
    </w:p>
    <w:p>
      <w:pPr>
        <w:snapToGrid w:val="0"/>
        <w:spacing w:line="480" w:lineRule="exact"/>
        <w:ind w:firstLine="422" w:firstLineChars="200"/>
        <w:rPr>
          <w:rFonts w:ascii="宋体" w:hAnsi="宋体" w:cs="宋体"/>
          <w:b/>
          <w:szCs w:val="21"/>
        </w:rPr>
      </w:pPr>
      <w:r>
        <w:rPr>
          <w:rFonts w:hint="eastAsia" w:ascii="宋体" w:hAnsi="宋体" w:cs="宋体"/>
          <w:b/>
          <w:szCs w:val="21"/>
        </w:rPr>
        <w:t>四、评标过程</w:t>
      </w:r>
    </w:p>
    <w:p>
      <w:pPr>
        <w:spacing w:line="360" w:lineRule="exact"/>
        <w:ind w:firstLine="378" w:firstLineChars="180"/>
        <w:rPr>
          <w:rFonts w:ascii="宋体" w:hAnsi="宋体" w:cs="宋体"/>
          <w:szCs w:val="21"/>
        </w:rPr>
      </w:pPr>
      <w:r>
        <w:rPr>
          <w:rFonts w:hint="eastAsia" w:ascii="宋体" w:hAnsi="宋体"/>
        </w:rPr>
        <w:t>详见第三章《投标人须知》</w:t>
      </w:r>
    </w:p>
    <w:p>
      <w:pPr>
        <w:snapToGrid w:val="0"/>
        <w:spacing w:line="440" w:lineRule="exact"/>
        <w:ind w:firstLine="422" w:firstLineChars="200"/>
        <w:rPr>
          <w:b/>
          <w:szCs w:val="24"/>
        </w:rPr>
      </w:pPr>
      <w:r>
        <w:rPr>
          <w:rFonts w:hint="eastAsia" w:ascii="宋体" w:hAnsi="宋体" w:cs="宋体"/>
          <w:b/>
          <w:szCs w:val="21"/>
        </w:rPr>
        <w:t>五、</w:t>
      </w:r>
      <w:r>
        <w:rPr>
          <w:rFonts w:hint="eastAsia"/>
          <w:b/>
          <w:szCs w:val="24"/>
        </w:rPr>
        <w:t>采购预算</w:t>
      </w:r>
      <w:bookmarkEnd w:id="35"/>
    </w:p>
    <w:p>
      <w:pPr>
        <w:snapToGrid w:val="0"/>
        <w:spacing w:line="440" w:lineRule="exact"/>
        <w:ind w:firstLine="420" w:firstLineChars="200"/>
        <w:rPr>
          <w:szCs w:val="24"/>
        </w:rPr>
      </w:pPr>
      <w:bookmarkStart w:id="36" w:name="_Toc372870918"/>
      <w:bookmarkStart w:id="37" w:name="_Toc263083253"/>
      <w:bookmarkStart w:id="38" w:name="_Toc250837976"/>
      <w:bookmarkStart w:id="39" w:name="_Toc303892528"/>
      <w:r>
        <w:rPr>
          <w:rFonts w:hint="eastAsia"/>
          <w:szCs w:val="24"/>
        </w:rPr>
        <w:t>本项目采购预算为：一标段：绿化养护部分人民币1518697元/年（综合单价7.58元/m².年），鲜花、黑麦草套播、公园巡查、保洁人员等费用部分人民币2096776元/年；二标段：绿化养护部分人民币1711166元/年（综合单价7.44元/m².年），鲜花、黑麦草套播、红叶石楠柱修剪补助、公园巡查、保洁人员等费用部分人民币1582684元/年；三标段：绿化养护部分人民币1661034元/年（综合单价7.62元/m².年），鲜花、黑麦草套播、樱花精细养护、公园巡查、保洁人员等费用部分人民币1599252元/年；四标段：绿化养护部分人民币1160653元/年（综合单价7.40元/m².年），鲜花、黑麦草套播、公园巡查、保洁人员等费用部分人民币1497020元/年；五标段：绿化养护部分人民币1535597元/年（综合单价7.06元/m².年），鲜花、黑麦草套播、红叶石楠柱修剪补助等费用部分人民币1040998元/年；六标段：绿化养护部分人民币1739355元/年（综合单价7.43元/m².年），鲜花、黑麦草套播、红叶石楠柱修剪补助、公园巡查、保洁人员等费用部分人民币637634元/年；七标段：人民币1417283元/年（综合单价7.51元/m².年），鲜花、黑麦草套播、公园巡查、保洁人员等费用部分人民币795024元/年。本项目服务周期三年，投标报价超出预算的，不予推荐其中标。</w:t>
      </w:r>
    </w:p>
    <w:p>
      <w:pPr>
        <w:snapToGrid w:val="0"/>
        <w:spacing w:line="440" w:lineRule="exact"/>
        <w:ind w:firstLine="422" w:firstLineChars="200"/>
        <w:rPr>
          <w:b/>
          <w:bCs/>
          <w:szCs w:val="24"/>
        </w:rPr>
      </w:pPr>
    </w:p>
    <w:p>
      <w:pPr>
        <w:snapToGrid w:val="0"/>
        <w:spacing w:line="440" w:lineRule="exact"/>
        <w:ind w:firstLine="422" w:firstLineChars="200"/>
        <w:rPr>
          <w:b/>
          <w:bCs/>
          <w:szCs w:val="24"/>
        </w:rPr>
      </w:pPr>
      <w:r>
        <w:rPr>
          <w:rFonts w:hint="eastAsia"/>
          <w:b/>
          <w:bCs/>
          <w:szCs w:val="24"/>
        </w:rPr>
        <w:t>六、中标人数量</w:t>
      </w:r>
      <w:bookmarkEnd w:id="36"/>
    </w:p>
    <w:p>
      <w:pPr>
        <w:snapToGrid w:val="0"/>
        <w:spacing w:line="440" w:lineRule="exact"/>
        <w:ind w:firstLine="420" w:firstLineChars="200"/>
        <w:rPr>
          <w:szCs w:val="24"/>
        </w:rPr>
      </w:pPr>
      <w:r>
        <w:rPr>
          <w:rFonts w:hint="eastAsia"/>
          <w:szCs w:val="24"/>
        </w:rPr>
        <w:t>以标段为单位进行评审，各标段依序评审，即从标段一至标段七依次评审；各标段选择不同的中标人，即投标人获得一个标段中标资格后不再参加其它所投标段的综合得分评审及排序。</w:t>
      </w:r>
    </w:p>
    <w:p>
      <w:pPr>
        <w:snapToGrid w:val="0"/>
        <w:spacing w:line="440" w:lineRule="exact"/>
        <w:ind w:firstLine="422" w:firstLineChars="200"/>
        <w:rPr>
          <w:b/>
          <w:bCs/>
          <w:szCs w:val="24"/>
        </w:rPr>
      </w:pPr>
      <w:bookmarkStart w:id="40" w:name="_Toc372870919"/>
      <w:r>
        <w:rPr>
          <w:rFonts w:hint="eastAsia"/>
          <w:b/>
          <w:bCs/>
          <w:szCs w:val="24"/>
        </w:rPr>
        <w:t>七、评标细则</w:t>
      </w:r>
      <w:bookmarkEnd w:id="37"/>
      <w:bookmarkEnd w:id="38"/>
      <w:bookmarkEnd w:id="39"/>
      <w:bookmarkEnd w:id="40"/>
    </w:p>
    <w:p>
      <w:pPr>
        <w:snapToGrid w:val="0"/>
        <w:spacing w:line="440" w:lineRule="exact"/>
        <w:ind w:firstLine="420" w:firstLineChars="200"/>
        <w:rPr>
          <w:szCs w:val="24"/>
        </w:rPr>
      </w:pPr>
      <w:r>
        <w:rPr>
          <w:rFonts w:hint="eastAsia"/>
          <w:szCs w:val="24"/>
        </w:rPr>
        <w:t>对初步审查、商务评审、服务技术评审合格者进行评分。</w:t>
      </w:r>
    </w:p>
    <w:p>
      <w:pPr>
        <w:snapToGrid w:val="0"/>
        <w:spacing w:line="440" w:lineRule="exact"/>
        <w:ind w:firstLine="420" w:firstLineChars="200"/>
        <w:rPr>
          <w:szCs w:val="24"/>
        </w:rPr>
      </w:pPr>
      <w:r>
        <w:rPr>
          <w:rFonts w:hint="eastAsia"/>
          <w:szCs w:val="24"/>
        </w:rPr>
        <w:t>评审顺序依为初步审查、商务条件评审、服务技术与能力评审、价格评审、最终评分；评审过程中出现不合格时，不再进行下个程序评审，其投标报价也不进入价格评审范围。</w:t>
      </w:r>
    </w:p>
    <w:p>
      <w:pPr>
        <w:snapToGrid w:val="0"/>
        <w:spacing w:line="440" w:lineRule="exact"/>
        <w:ind w:firstLine="420" w:firstLineChars="200"/>
        <w:rPr>
          <w:szCs w:val="24"/>
        </w:rPr>
      </w:pPr>
      <w:r>
        <w:rPr>
          <w:rFonts w:hint="eastAsia"/>
          <w:szCs w:val="24"/>
        </w:rPr>
        <w:t>有关价格评审不合格、商务评审不合格、服务技术与能力不合格的补充评审标准：</w:t>
      </w:r>
    </w:p>
    <w:p>
      <w:pPr>
        <w:snapToGrid w:val="0"/>
        <w:spacing w:line="440" w:lineRule="exact"/>
        <w:ind w:firstLine="420" w:firstLineChars="200"/>
        <w:rPr>
          <w:szCs w:val="24"/>
        </w:rPr>
      </w:pPr>
      <w:r>
        <w:rPr>
          <w:rFonts w:hint="eastAsia"/>
          <w:szCs w:val="24"/>
        </w:rPr>
        <w:t>为防止恶意竞争、围标、串标等违法违规行为，评标委员会将对该投标报价进行严格核算与评审，投标人须积极配合，若发现价格不合理、价格严重偏离、价格错漏、报价缺项等不规范报价，将被作为低于成本报价予以否决，其投标报价也不进入价格评审范围。</w:t>
      </w:r>
    </w:p>
    <w:p>
      <w:pPr>
        <w:snapToGrid w:val="0"/>
        <w:spacing w:line="440" w:lineRule="exact"/>
        <w:ind w:firstLine="420" w:firstLineChars="200"/>
        <w:rPr>
          <w:szCs w:val="24"/>
        </w:rPr>
      </w:pPr>
      <w:r>
        <w:rPr>
          <w:rFonts w:hint="eastAsia"/>
          <w:szCs w:val="24"/>
        </w:rPr>
        <w:t>标有“＊”的技术、商务条款负偏离的均为不合格。</w:t>
      </w:r>
    </w:p>
    <w:p>
      <w:pPr>
        <w:snapToGrid w:val="0"/>
        <w:spacing w:line="440" w:lineRule="exact"/>
        <w:ind w:firstLine="420" w:firstLineChars="200"/>
        <w:rPr>
          <w:szCs w:val="24"/>
        </w:rPr>
      </w:pPr>
      <w:r>
        <w:rPr>
          <w:rFonts w:hint="eastAsia"/>
          <w:szCs w:val="24"/>
        </w:rPr>
        <w:t>每位评委对各投标人的服务商务技术评审因素独立逐栏打分，每栏分值不得超出本栏规定的分值范围；各评分因素分值保留小数点后一位。</w:t>
      </w:r>
    </w:p>
    <w:p>
      <w:pPr>
        <w:snapToGrid w:val="0"/>
        <w:spacing w:line="440" w:lineRule="exact"/>
        <w:ind w:left="420" w:leftChars="200"/>
        <w:rPr>
          <w:szCs w:val="24"/>
        </w:rPr>
      </w:pPr>
      <w:r>
        <w:rPr>
          <w:rFonts w:hint="eastAsia"/>
          <w:szCs w:val="24"/>
        </w:rPr>
        <w:t>商务技术得分：</w:t>
      </w:r>
    </w:p>
    <w:p>
      <w:pPr>
        <w:snapToGrid w:val="0"/>
        <w:spacing w:line="440" w:lineRule="exact"/>
        <w:ind w:firstLine="420" w:firstLineChars="200"/>
        <w:rPr>
          <w:szCs w:val="24"/>
        </w:rPr>
      </w:pPr>
      <w:r>
        <w:rPr>
          <w:rFonts w:hint="eastAsia"/>
          <w:szCs w:val="24"/>
        </w:rPr>
        <w:t>评标委员会所有成员对投标人的服务商务技术评分之和为投标人的商务技术得分，以四舍五入法整合到小数点后一位。</w:t>
      </w:r>
    </w:p>
    <w:p>
      <w:pPr>
        <w:snapToGrid w:val="0"/>
        <w:spacing w:line="440" w:lineRule="exact"/>
        <w:ind w:firstLine="420" w:firstLineChars="200"/>
        <w:rPr>
          <w:szCs w:val="24"/>
        </w:rPr>
      </w:pPr>
      <w:r>
        <w:rPr>
          <w:rFonts w:hint="eastAsia"/>
          <w:szCs w:val="24"/>
        </w:rPr>
        <w:t>价格得分：</w:t>
      </w:r>
    </w:p>
    <w:p>
      <w:pPr>
        <w:snapToGrid w:val="0"/>
        <w:spacing w:line="440" w:lineRule="exact"/>
        <w:ind w:firstLine="420" w:firstLineChars="200"/>
        <w:rPr>
          <w:szCs w:val="24"/>
        </w:rPr>
      </w:pPr>
      <w:r>
        <w:rPr>
          <w:rFonts w:hint="eastAsia"/>
          <w:szCs w:val="24"/>
        </w:rPr>
        <w:t>依据价格得分计算公式计算投标人各标段价格得分，以四舍五入法整合到小数点后一位。</w:t>
      </w:r>
    </w:p>
    <w:p>
      <w:pPr>
        <w:snapToGrid w:val="0"/>
        <w:spacing w:line="440" w:lineRule="exact"/>
        <w:ind w:left="210" w:leftChars="100" w:firstLine="210" w:firstLineChars="100"/>
        <w:rPr>
          <w:szCs w:val="24"/>
        </w:rPr>
      </w:pPr>
      <w:r>
        <w:rPr>
          <w:rFonts w:hint="eastAsia"/>
          <w:szCs w:val="24"/>
        </w:rPr>
        <w:t>综合得分：</w:t>
      </w:r>
    </w:p>
    <w:p>
      <w:pPr>
        <w:snapToGrid w:val="0"/>
        <w:spacing w:line="440" w:lineRule="exact"/>
        <w:ind w:firstLine="420" w:firstLineChars="200"/>
        <w:rPr>
          <w:szCs w:val="24"/>
        </w:rPr>
      </w:pPr>
      <w:r>
        <w:rPr>
          <w:rFonts w:hint="eastAsia"/>
          <w:szCs w:val="24"/>
        </w:rPr>
        <w:t>投标人的所投标段的综合得分为：所投标段服务商务技术得分算术平均值与所投标段价格得分之和，以四舍五入法整合到小数点后一位。</w:t>
      </w:r>
    </w:p>
    <w:p>
      <w:pPr>
        <w:snapToGrid w:val="0"/>
        <w:spacing w:line="440" w:lineRule="exact"/>
        <w:ind w:firstLine="420" w:firstLineChars="200"/>
        <w:rPr>
          <w:szCs w:val="24"/>
        </w:rPr>
      </w:pPr>
      <w:r>
        <w:rPr>
          <w:rFonts w:hint="eastAsia"/>
          <w:szCs w:val="24"/>
        </w:rPr>
        <w:t>结果排序：</w:t>
      </w:r>
    </w:p>
    <w:p>
      <w:pPr>
        <w:snapToGrid w:val="0"/>
        <w:spacing w:line="440" w:lineRule="exact"/>
        <w:ind w:firstLine="420" w:firstLineChars="200"/>
        <w:rPr>
          <w:szCs w:val="24"/>
        </w:rPr>
      </w:pPr>
      <w:r>
        <w:rPr>
          <w:rFonts w:hint="eastAsia"/>
          <w:szCs w:val="24"/>
        </w:rPr>
        <w:t>根据投标人的所投标段综合得分由高到低的方式列出各个标段中标候选人排定顺序，如遇总得分相同的，按投标报价由低到高顺序的排名确定中标候选人，如又遇投标报价相同的，则按技术分得分由高到低顺序的排名确定中标候选人，如技术分得分也相同，则抽签确定排名，先抽中的排名在先。</w:t>
      </w:r>
    </w:p>
    <w:p>
      <w:pPr>
        <w:snapToGrid w:val="0"/>
        <w:spacing w:line="440" w:lineRule="exact"/>
        <w:ind w:firstLine="420" w:firstLineChars="200"/>
        <w:rPr>
          <w:szCs w:val="24"/>
        </w:rPr>
      </w:pPr>
      <w:r>
        <w:rPr>
          <w:rFonts w:hint="eastAsia"/>
          <w:szCs w:val="24"/>
        </w:rPr>
        <w:t>中标候选人名单：评标委员会依据各标段评审结果排序，列出中标候选人排序名单。</w:t>
      </w:r>
    </w:p>
    <w:p>
      <w:pPr>
        <w:snapToGrid w:val="0"/>
        <w:spacing w:line="440" w:lineRule="exact"/>
        <w:ind w:firstLine="422" w:firstLineChars="200"/>
        <w:rPr>
          <w:b/>
          <w:bCs/>
          <w:szCs w:val="24"/>
        </w:rPr>
      </w:pPr>
      <w:bookmarkStart w:id="41" w:name="_Toc372870920"/>
      <w:r>
        <w:rPr>
          <w:rFonts w:hint="eastAsia"/>
          <w:b/>
          <w:bCs/>
          <w:szCs w:val="24"/>
        </w:rPr>
        <w:t>八、推荐中标人</w:t>
      </w:r>
      <w:bookmarkEnd w:id="41"/>
    </w:p>
    <w:p>
      <w:pPr>
        <w:snapToGrid w:val="0"/>
        <w:spacing w:line="440" w:lineRule="exact"/>
        <w:ind w:firstLine="420" w:firstLineChars="200"/>
        <w:rPr>
          <w:szCs w:val="24"/>
        </w:rPr>
      </w:pPr>
      <w:r>
        <w:rPr>
          <w:rFonts w:hint="eastAsia"/>
          <w:szCs w:val="24"/>
        </w:rPr>
        <w:t>评标委员会依据各标段中标候选人名单，依次依序推荐各标段排名在前符合“中标人数量”规定的中标候选人为本标段推荐中标人。</w:t>
      </w:r>
    </w:p>
    <w:p>
      <w:pPr>
        <w:snapToGrid w:val="0"/>
        <w:spacing w:line="440" w:lineRule="exact"/>
        <w:ind w:firstLine="420" w:firstLineChars="200"/>
        <w:rPr>
          <w:szCs w:val="24"/>
        </w:rPr>
      </w:pPr>
      <w:bookmarkStart w:id="42" w:name="_Toc372870921"/>
      <w:bookmarkStart w:id="43" w:name="_Toc303892530"/>
      <w:r>
        <w:rPr>
          <w:rFonts w:hint="eastAsia"/>
          <w:szCs w:val="24"/>
        </w:rPr>
        <w:t>九、有效投标</w:t>
      </w:r>
      <w:bookmarkEnd w:id="42"/>
      <w:bookmarkEnd w:id="43"/>
    </w:p>
    <w:p>
      <w:pPr>
        <w:snapToGrid w:val="0"/>
        <w:spacing w:line="440" w:lineRule="exact"/>
        <w:ind w:firstLine="420" w:firstLineChars="200"/>
        <w:rPr>
          <w:szCs w:val="24"/>
        </w:rPr>
      </w:pPr>
      <w:r>
        <w:rPr>
          <w:rFonts w:hint="eastAsia"/>
          <w:szCs w:val="24"/>
        </w:rPr>
        <w:t>有效投标：通过初步审查、服务商务技术评审合格并且投标报价符合评审范围的投标。</w:t>
      </w:r>
    </w:p>
    <w:p>
      <w:pPr>
        <w:snapToGrid w:val="0"/>
        <w:spacing w:line="440" w:lineRule="exact"/>
        <w:ind w:firstLine="420" w:firstLineChars="200"/>
        <w:rPr>
          <w:szCs w:val="24"/>
        </w:rPr>
      </w:pPr>
      <w:bookmarkStart w:id="44" w:name="_Toc303892532"/>
      <w:bookmarkStart w:id="45" w:name="_Toc372870922"/>
      <w:r>
        <w:rPr>
          <w:rFonts w:hint="eastAsia"/>
          <w:szCs w:val="24"/>
        </w:rPr>
        <w:t>十、价格评审</w:t>
      </w:r>
      <w:bookmarkEnd w:id="44"/>
      <w:bookmarkEnd w:id="45"/>
    </w:p>
    <w:p>
      <w:pPr>
        <w:snapToGrid w:val="0"/>
        <w:spacing w:line="440" w:lineRule="exact"/>
        <w:ind w:firstLine="420" w:firstLineChars="200"/>
        <w:rPr>
          <w:szCs w:val="24"/>
        </w:rPr>
      </w:pPr>
      <w:r>
        <w:rPr>
          <w:rFonts w:hint="eastAsia"/>
          <w:szCs w:val="24"/>
        </w:rPr>
        <w:t>价格评审基准价格与价格评审：有效投标中的标段最低投标报价为该标段基准价格，其投标价格分得满分。其余投标价格分得分计算按照下列评审得分公式计算，以四舍五入方法整合到小数点后一位。</w:t>
      </w:r>
    </w:p>
    <w:p>
      <w:pPr>
        <w:snapToGrid w:val="0"/>
        <w:spacing w:line="440" w:lineRule="exact"/>
        <w:ind w:firstLine="420" w:firstLineChars="200"/>
        <w:rPr>
          <w:szCs w:val="24"/>
        </w:rPr>
      </w:pPr>
      <w:r>
        <w:rPr>
          <w:rFonts w:hint="eastAsia"/>
          <w:szCs w:val="24"/>
        </w:rPr>
        <w:t>标段投标价格得分=基准价÷标段投标价×价格权重分。</w:t>
      </w:r>
    </w:p>
    <w:p>
      <w:pPr>
        <w:snapToGrid w:val="0"/>
        <w:spacing w:line="440" w:lineRule="exact"/>
        <w:ind w:firstLine="420" w:firstLineChars="200"/>
        <w:rPr>
          <w:szCs w:val="24"/>
        </w:rPr>
      </w:pPr>
      <w:r>
        <w:rPr>
          <w:rFonts w:hint="eastAsia"/>
          <w:szCs w:val="24"/>
        </w:rPr>
        <w:t>标段投标价格得分以四舍五入方法整合到小数点后一位。</w:t>
      </w:r>
    </w:p>
    <w:p>
      <w:pPr>
        <w:snapToGrid w:val="0"/>
        <w:spacing w:line="440" w:lineRule="exact"/>
        <w:ind w:firstLine="420" w:firstLineChars="200"/>
        <w:rPr>
          <w:szCs w:val="24"/>
        </w:rPr>
      </w:pPr>
      <w:bookmarkStart w:id="46" w:name="_Toc372870923"/>
      <w:bookmarkStart w:id="47" w:name="_Toc303892533"/>
      <w:r>
        <w:rPr>
          <w:rFonts w:hint="eastAsia"/>
          <w:szCs w:val="24"/>
        </w:rPr>
        <w:t>十一、服务商务技术评审</w:t>
      </w:r>
      <w:bookmarkEnd w:id="46"/>
      <w:bookmarkEnd w:id="47"/>
    </w:p>
    <w:p>
      <w:pPr>
        <w:snapToGrid w:val="0"/>
        <w:spacing w:line="440" w:lineRule="exact"/>
        <w:ind w:firstLine="420" w:firstLineChars="200"/>
        <w:rPr>
          <w:szCs w:val="24"/>
        </w:rPr>
      </w:pPr>
      <w:r>
        <w:rPr>
          <w:rFonts w:hint="eastAsia"/>
          <w:szCs w:val="24"/>
        </w:rPr>
        <w:t>评标委员会将对各投标人的服务商务技术进行综合评审，包括：企业资质、项目经理、管理人员、服务人员、机械设备、工具装备、配套场所、后备苗木、管理制度、考核制度、质量管理、养护计划、养护措施、养护实绩、服务承诺、质量保证等；商务响应情况（对招标人提出的商务要求的实质性响应应答）。</w:t>
      </w:r>
    </w:p>
    <w:p>
      <w:pPr>
        <w:snapToGrid w:val="0"/>
        <w:spacing w:line="440" w:lineRule="exact"/>
        <w:ind w:firstLine="420" w:firstLineChars="200"/>
        <w:rPr>
          <w:szCs w:val="24"/>
        </w:rPr>
      </w:pPr>
      <w:r>
        <w:rPr>
          <w:rFonts w:hint="eastAsia"/>
          <w:szCs w:val="24"/>
        </w:rPr>
        <w:t>投标人应递交相应的书面材料，未递交有关资料的将视为未响应评审要求，将扣除相应评分，是投标人风险。</w:t>
      </w:r>
    </w:p>
    <w:p>
      <w:pPr>
        <w:snapToGrid w:val="0"/>
        <w:spacing w:line="440" w:lineRule="exact"/>
        <w:ind w:firstLine="420" w:firstLineChars="200"/>
        <w:rPr>
          <w:szCs w:val="24"/>
        </w:rPr>
      </w:pPr>
      <w:r>
        <w:rPr>
          <w:rFonts w:hint="eastAsia"/>
          <w:szCs w:val="24"/>
        </w:rPr>
        <w:t>投标人应全面细致地对本项目评审因素进行应答，必要时携带原件以提供评标委员会审查。</w:t>
      </w:r>
    </w:p>
    <w:p>
      <w:pPr>
        <w:snapToGrid w:val="0"/>
        <w:spacing w:line="440" w:lineRule="exact"/>
        <w:ind w:firstLine="420" w:firstLineChars="200"/>
        <w:rPr>
          <w:szCs w:val="24"/>
        </w:rPr>
      </w:pPr>
      <w:bookmarkStart w:id="48" w:name="_Toc372870925"/>
      <w:r>
        <w:rPr>
          <w:rFonts w:hint="eastAsia"/>
          <w:szCs w:val="24"/>
        </w:rPr>
        <w:t>十二、其他</w:t>
      </w:r>
      <w:bookmarkEnd w:id="48"/>
    </w:p>
    <w:p>
      <w:pPr>
        <w:snapToGrid w:val="0"/>
        <w:spacing w:line="440" w:lineRule="exact"/>
        <w:ind w:firstLine="420" w:firstLineChars="200"/>
        <w:rPr>
          <w:szCs w:val="24"/>
        </w:rPr>
      </w:pPr>
      <w:r>
        <w:rPr>
          <w:rFonts w:hint="eastAsia"/>
          <w:szCs w:val="24"/>
        </w:rPr>
        <w:t>如出现招标文件及评标办法未及事宜，由评标小组将依据有关法律法规及规章执行处置。</w:t>
      </w:r>
    </w:p>
    <w:p>
      <w:pPr>
        <w:snapToGrid w:val="0"/>
        <w:spacing w:line="440" w:lineRule="exact"/>
        <w:ind w:firstLine="420" w:firstLineChars="200"/>
        <w:rPr>
          <w:szCs w:val="24"/>
        </w:rPr>
      </w:pPr>
      <w:bookmarkStart w:id="49" w:name="_Toc250837981"/>
      <w:bookmarkStart w:id="50" w:name="_Toc263083256"/>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p>
      <w:pPr>
        <w:snapToGrid w:val="0"/>
        <w:spacing w:line="440" w:lineRule="exact"/>
        <w:ind w:firstLine="420" w:firstLineChars="200"/>
        <w:rPr>
          <w:szCs w:val="24"/>
        </w:rPr>
      </w:pPr>
    </w:p>
    <w:bookmarkEnd w:id="49"/>
    <w:bookmarkEnd w:id="50"/>
    <w:p>
      <w:pPr>
        <w:spacing w:line="360" w:lineRule="auto"/>
        <w:jc w:val="center"/>
        <w:rPr>
          <w:rFonts w:eastAsia="黑体"/>
          <w:b/>
          <w:sz w:val="28"/>
          <w:szCs w:val="28"/>
        </w:rPr>
      </w:pPr>
      <w:bookmarkStart w:id="51" w:name="_Toc157022442"/>
      <w:bookmarkStart w:id="52" w:name="_Toc146800983"/>
      <w:bookmarkStart w:id="53" w:name="_Toc263083257"/>
      <w:r>
        <w:rPr>
          <w:rFonts w:hint="eastAsia" w:ascii="宋体" w:hAnsi="宋体" w:cs="宋体"/>
          <w:b/>
          <w:bCs/>
          <w:sz w:val="28"/>
          <w:szCs w:val="28"/>
        </w:rPr>
        <w:t>宁海城区2020-2022年绿化养护服务项目评分标准</w:t>
      </w:r>
    </w:p>
    <w:p>
      <w:pPr>
        <w:spacing w:line="320" w:lineRule="exact"/>
        <w:ind w:right="162"/>
        <w:jc w:val="left"/>
        <w:rPr>
          <w:szCs w:val="24"/>
        </w:rPr>
      </w:pPr>
      <w:r>
        <w:rPr>
          <w:szCs w:val="24"/>
        </w:rPr>
        <w:t>标段</w:t>
      </w:r>
      <w:r>
        <w:rPr>
          <w:rFonts w:hint="eastAsia"/>
          <w:szCs w:val="24"/>
        </w:rPr>
        <w:t>一</w:t>
      </w:r>
      <w:r>
        <w:rPr>
          <w:szCs w:val="24"/>
        </w:rPr>
        <w:t>至标段</w:t>
      </w:r>
      <w:r>
        <w:rPr>
          <w:rFonts w:hint="eastAsia"/>
          <w:szCs w:val="24"/>
        </w:rPr>
        <w:t>七</w:t>
      </w:r>
    </w:p>
    <w:tbl>
      <w:tblPr>
        <w:tblStyle w:val="46"/>
        <w:tblW w:w="9525" w:type="dxa"/>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trPr>
        <w:tc>
          <w:tcPr>
            <w:tcW w:w="9525" w:type="dxa"/>
            <w:gridSpan w:val="2"/>
            <w:tcBorders>
              <w:left w:val="single" w:color="auto" w:sz="4" w:space="0"/>
              <w:right w:val="single" w:color="auto" w:sz="2" w:space="0"/>
            </w:tcBorders>
            <w:vAlign w:val="center"/>
          </w:tcPr>
          <w:p>
            <w:pPr>
              <w:spacing w:line="320" w:lineRule="exact"/>
              <w:ind w:right="162"/>
              <w:jc w:val="center"/>
              <w:rPr>
                <w:szCs w:val="21"/>
              </w:rPr>
            </w:pPr>
            <w:r>
              <w:rPr>
                <w:szCs w:val="21"/>
              </w:rPr>
              <w:t>评分项及分值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8" w:hRule="atLeast"/>
        </w:trPr>
        <w:tc>
          <w:tcPr>
            <w:tcW w:w="570" w:type="dxa"/>
            <w:vMerge w:val="restart"/>
            <w:tcBorders>
              <w:left w:val="single" w:color="auto" w:sz="4" w:space="0"/>
              <w:right w:val="single" w:color="auto" w:sz="2" w:space="0"/>
            </w:tcBorders>
            <w:vAlign w:val="center"/>
          </w:tcPr>
          <w:p>
            <w:pPr>
              <w:spacing w:line="320" w:lineRule="exact"/>
              <w:ind w:right="162"/>
              <w:jc w:val="center"/>
              <w:rPr>
                <w:szCs w:val="21"/>
              </w:rPr>
            </w:pPr>
            <w:r>
              <w:rPr>
                <w:szCs w:val="21"/>
              </w:rPr>
              <w:t>技术</w:t>
            </w:r>
            <w:r>
              <w:rPr>
                <w:rFonts w:hint="eastAsia"/>
                <w:szCs w:val="21"/>
              </w:rPr>
              <w:t>商务</w:t>
            </w:r>
          </w:p>
          <w:p>
            <w:pPr>
              <w:spacing w:line="320" w:lineRule="exact"/>
              <w:ind w:right="162"/>
              <w:jc w:val="center"/>
              <w:rPr>
                <w:szCs w:val="21"/>
                <w:highlight w:val="yellow"/>
              </w:rPr>
            </w:pPr>
            <w:r>
              <w:rPr>
                <w:rFonts w:hint="eastAsia"/>
                <w:szCs w:val="21"/>
              </w:rPr>
              <w:t>资信分80</w:t>
            </w:r>
            <w:r>
              <w:rPr>
                <w:szCs w:val="21"/>
              </w:rPr>
              <w:t>分</w:t>
            </w:r>
          </w:p>
        </w:tc>
        <w:tc>
          <w:tcPr>
            <w:tcW w:w="8955" w:type="dxa"/>
            <w:tcBorders>
              <w:top w:val="single" w:color="auto" w:sz="2" w:space="0"/>
              <w:left w:val="single" w:color="auto" w:sz="2" w:space="0"/>
              <w:bottom w:val="single" w:color="auto" w:sz="2" w:space="0"/>
              <w:right w:val="single" w:color="auto" w:sz="2" w:space="0"/>
            </w:tcBorders>
            <w:vAlign w:val="center"/>
          </w:tcPr>
          <w:p>
            <w:pPr>
              <w:numPr>
                <w:ilvl w:val="0"/>
                <w:numId w:val="6"/>
              </w:numPr>
              <w:spacing w:line="276" w:lineRule="auto"/>
              <w:ind w:right="162"/>
              <w:jc w:val="left"/>
              <w:rPr>
                <w:szCs w:val="21"/>
              </w:rPr>
            </w:pPr>
            <w:r>
              <w:rPr>
                <w:szCs w:val="21"/>
              </w:rPr>
              <w:t>各项管理制度与内部考核细则</w:t>
            </w:r>
            <w:r>
              <w:rPr>
                <w:rFonts w:hint="eastAsia"/>
                <w:szCs w:val="21"/>
              </w:rPr>
              <w:t>（9分）</w:t>
            </w:r>
            <w:r>
              <w:rPr>
                <w:szCs w:val="21"/>
              </w:rPr>
              <w:tab/>
            </w:r>
          </w:p>
          <w:p>
            <w:pPr>
              <w:numPr>
                <w:ilvl w:val="0"/>
                <w:numId w:val="7"/>
              </w:numPr>
              <w:spacing w:line="276" w:lineRule="auto"/>
              <w:ind w:right="162"/>
              <w:jc w:val="left"/>
              <w:rPr>
                <w:rFonts w:ascii="宋体" w:hAnsi="宋体" w:cs="宋体"/>
                <w:szCs w:val="21"/>
              </w:rPr>
            </w:pPr>
            <w:r>
              <w:rPr>
                <w:rFonts w:hint="eastAsia" w:ascii="宋体" w:hAnsi="宋体" w:cs="宋体"/>
                <w:szCs w:val="21"/>
              </w:rPr>
              <w:t>依据</w:t>
            </w:r>
            <w:r>
              <w:rPr>
                <w:rFonts w:hint="eastAsia" w:ascii="宋体" w:hAnsi="宋体" w:cs="FangSong_GB2312,Bold"/>
                <w:bCs/>
                <w:szCs w:val="21"/>
              </w:rPr>
              <w:t>考核要求制定切实可行的考核办法</w:t>
            </w:r>
            <w:r>
              <w:rPr>
                <w:rFonts w:hint="eastAsia" w:hAnsi="宋体" w:cs="宋体"/>
                <w:szCs w:val="21"/>
              </w:rPr>
              <w:t>等方面内容进行</w:t>
            </w:r>
            <w:r>
              <w:rPr>
                <w:rFonts w:hint="eastAsia" w:ascii="宋体" w:hAnsi="宋体" w:cs="宋体"/>
                <w:szCs w:val="21"/>
              </w:rPr>
              <w:t>评比，由评委酌情打分。（3分）</w:t>
            </w:r>
          </w:p>
          <w:p>
            <w:pPr>
              <w:numPr>
                <w:ilvl w:val="0"/>
                <w:numId w:val="7"/>
              </w:numPr>
              <w:spacing w:line="276" w:lineRule="auto"/>
              <w:ind w:right="162"/>
              <w:jc w:val="left"/>
              <w:rPr>
                <w:rFonts w:ascii="宋体" w:hAnsi="宋体" w:cs="宋体"/>
                <w:szCs w:val="21"/>
              </w:rPr>
            </w:pPr>
            <w:r>
              <w:rPr>
                <w:rFonts w:hint="eastAsia" w:ascii="宋体" w:hAnsi="宋体" w:cs="宋体"/>
                <w:szCs w:val="21"/>
              </w:rPr>
              <w:t>针对全年度具体养护方案（月度、季度、年度）、是否切合实际、养护目标、针对性、关注点等方</w:t>
            </w:r>
            <w:r>
              <w:rPr>
                <w:rFonts w:hint="eastAsia" w:hAnsi="宋体" w:cs="宋体"/>
                <w:szCs w:val="21"/>
              </w:rPr>
              <w:t>面内容进行</w:t>
            </w:r>
            <w:r>
              <w:rPr>
                <w:rFonts w:hint="eastAsia" w:ascii="宋体" w:hAnsi="宋体" w:cs="宋体"/>
                <w:szCs w:val="21"/>
              </w:rPr>
              <w:t>评比，由评委酌情打分。（3分）</w:t>
            </w:r>
          </w:p>
          <w:p>
            <w:pPr>
              <w:spacing w:line="276" w:lineRule="auto"/>
              <w:ind w:right="162"/>
              <w:jc w:val="left"/>
              <w:rPr>
                <w:szCs w:val="21"/>
                <w:highlight w:val="yellow"/>
              </w:rPr>
            </w:pPr>
            <w:r>
              <w:rPr>
                <w:rFonts w:hint="eastAsia" w:ascii="宋体" w:hAnsi="宋体" w:cs="宋体"/>
                <w:szCs w:val="21"/>
              </w:rPr>
              <w:t>（3）拟成立考核组织、针对考核结果制定切实可行的补救措施和奖罚办法</w:t>
            </w:r>
            <w:r>
              <w:rPr>
                <w:rFonts w:hint="eastAsia" w:hAnsi="宋体" w:cs="宋体"/>
                <w:szCs w:val="21"/>
              </w:rPr>
              <w:t>等方面内容进行</w:t>
            </w:r>
            <w:r>
              <w:rPr>
                <w:rFonts w:hint="eastAsia" w:ascii="宋体" w:hAnsi="宋体" w:cs="宋体"/>
                <w:szCs w:val="21"/>
              </w:rPr>
              <w:t>评比，由评委酌情打分。（3分）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8"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szCs w:val="21"/>
              </w:rPr>
            </w:pPr>
            <w:r>
              <w:rPr>
                <w:rFonts w:hint="eastAsia" w:ascii="宋体" w:hAnsi="宋体" w:cs="宋体"/>
                <w:szCs w:val="21"/>
              </w:rPr>
              <w:t>2、养护管理措施（6分）</w:t>
            </w:r>
            <w:r>
              <w:rPr>
                <w:szCs w:val="21"/>
              </w:rPr>
              <w:tab/>
            </w:r>
          </w:p>
          <w:p>
            <w:pPr>
              <w:spacing w:line="276" w:lineRule="auto"/>
              <w:ind w:right="162"/>
              <w:jc w:val="left"/>
              <w:rPr>
                <w:rFonts w:ascii="宋体" w:hAnsi="宋体" w:cs="宋体"/>
                <w:szCs w:val="21"/>
              </w:rPr>
            </w:pPr>
            <w:r>
              <w:rPr>
                <w:rFonts w:hint="eastAsia" w:ascii="宋体" w:hAnsi="宋体" w:cs="宋体"/>
                <w:szCs w:val="21"/>
              </w:rPr>
              <w:t>（1）养护管理体系完善、有保障，养护管理制度、规程齐全</w:t>
            </w:r>
            <w:r>
              <w:rPr>
                <w:rFonts w:hint="eastAsia" w:hAnsi="宋体" w:cs="宋体"/>
                <w:szCs w:val="21"/>
              </w:rPr>
              <w:t>等方面内容进行</w:t>
            </w:r>
            <w:r>
              <w:rPr>
                <w:rFonts w:hint="eastAsia" w:ascii="宋体" w:hAnsi="宋体" w:cs="宋体"/>
                <w:szCs w:val="21"/>
              </w:rPr>
              <w:t>评比，由评委酌情打分。（3分）</w:t>
            </w:r>
          </w:p>
          <w:p>
            <w:pPr>
              <w:spacing w:line="276" w:lineRule="auto"/>
              <w:ind w:right="162"/>
              <w:jc w:val="left"/>
              <w:rPr>
                <w:szCs w:val="21"/>
                <w:highlight w:val="yellow"/>
              </w:rPr>
            </w:pPr>
            <w:r>
              <w:rPr>
                <w:rFonts w:hint="eastAsia" w:ascii="宋体" w:hAnsi="宋体" w:cs="宋体"/>
                <w:szCs w:val="21"/>
              </w:rPr>
              <w:t>（2）是否有养护管理房，管理用房的面积、设施完善程度</w:t>
            </w:r>
            <w:r>
              <w:rPr>
                <w:rFonts w:hint="eastAsia" w:hAnsi="宋体" w:cs="宋体"/>
                <w:szCs w:val="21"/>
              </w:rPr>
              <w:t>等方面内容进行</w:t>
            </w:r>
            <w:r>
              <w:rPr>
                <w:rFonts w:hint="eastAsia" w:ascii="宋体" w:hAnsi="宋体" w:cs="宋体"/>
                <w:szCs w:val="21"/>
              </w:rPr>
              <w:t>评比，由评委酌情打分。（3分）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8"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szCs w:val="21"/>
              </w:rPr>
            </w:pPr>
            <w:r>
              <w:rPr>
                <w:rFonts w:hint="eastAsia" w:ascii="宋体" w:hAnsi="宋体" w:cs="宋体"/>
                <w:szCs w:val="21"/>
              </w:rPr>
              <w:t>3、</w:t>
            </w:r>
            <w:r>
              <w:rPr>
                <w:szCs w:val="21"/>
              </w:rPr>
              <w:t>养护</w:t>
            </w:r>
            <w:r>
              <w:rPr>
                <w:rFonts w:hint="eastAsia"/>
                <w:szCs w:val="21"/>
              </w:rPr>
              <w:t>质量承诺</w:t>
            </w:r>
            <w:r>
              <w:rPr>
                <w:szCs w:val="21"/>
              </w:rPr>
              <w:t>与执行保证</w:t>
            </w:r>
            <w:r>
              <w:rPr>
                <w:rFonts w:hint="eastAsia"/>
                <w:szCs w:val="21"/>
              </w:rPr>
              <w:t>（6分）</w:t>
            </w:r>
            <w:r>
              <w:rPr>
                <w:szCs w:val="21"/>
              </w:rPr>
              <w:tab/>
            </w:r>
          </w:p>
          <w:p>
            <w:pPr>
              <w:spacing w:line="276" w:lineRule="auto"/>
              <w:ind w:right="162"/>
              <w:jc w:val="left"/>
              <w:rPr>
                <w:szCs w:val="21"/>
                <w:highlight w:val="yellow"/>
              </w:rPr>
            </w:pPr>
            <w:r>
              <w:rPr>
                <w:rFonts w:hint="eastAsia"/>
                <w:szCs w:val="21"/>
              </w:rPr>
              <w:t>养护质量</w:t>
            </w:r>
            <w:r>
              <w:rPr>
                <w:szCs w:val="21"/>
              </w:rPr>
              <w:t>保证</w:t>
            </w:r>
            <w:r>
              <w:rPr>
                <w:rFonts w:hint="eastAsia"/>
                <w:szCs w:val="21"/>
              </w:rPr>
              <w:t>承诺</w:t>
            </w:r>
            <w:r>
              <w:rPr>
                <w:szCs w:val="21"/>
              </w:rPr>
              <w:t>、措施力度、软硬件条件、监督考核</w:t>
            </w:r>
            <w:r>
              <w:rPr>
                <w:rFonts w:hint="eastAsia" w:hAnsi="宋体" w:cs="宋体"/>
                <w:szCs w:val="21"/>
              </w:rPr>
              <w:t>等方面内容进行</w:t>
            </w:r>
            <w:r>
              <w:rPr>
                <w:rFonts w:hint="eastAsia" w:ascii="宋体" w:hAnsi="宋体" w:cs="宋体"/>
                <w:szCs w:val="21"/>
              </w:rPr>
              <w:t>评比，由评委酌情打分。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9"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szCs w:val="21"/>
              </w:rPr>
            </w:pPr>
            <w:r>
              <w:rPr>
                <w:rFonts w:hint="eastAsia" w:ascii="宋体" w:hAnsi="宋体" w:cs="宋体"/>
                <w:szCs w:val="21"/>
              </w:rPr>
              <w:t>4、</w:t>
            </w:r>
            <w:r>
              <w:rPr>
                <w:rFonts w:hint="eastAsia"/>
                <w:szCs w:val="21"/>
              </w:rPr>
              <w:t>养护重点、难点，解决方法及措施（6分）</w:t>
            </w:r>
          </w:p>
          <w:p>
            <w:pPr>
              <w:spacing w:line="276" w:lineRule="auto"/>
              <w:ind w:right="162"/>
              <w:jc w:val="left"/>
              <w:rPr>
                <w:szCs w:val="21"/>
              </w:rPr>
            </w:pPr>
            <w:r>
              <w:rPr>
                <w:rFonts w:hint="eastAsia"/>
                <w:szCs w:val="21"/>
              </w:rPr>
              <w:t>针对养护区域的重点、难点分析，并对重点、难点提出</w:t>
            </w:r>
            <w:r>
              <w:rPr>
                <w:rFonts w:hint="eastAsia" w:ascii="宋体" w:hAnsi="宋体" w:cs="宋体"/>
                <w:szCs w:val="21"/>
              </w:rPr>
              <w:t>有针对性、突出性的解决方法及措施，评委酌情打分。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szCs w:val="21"/>
              </w:rPr>
            </w:pPr>
            <w:r>
              <w:rPr>
                <w:rFonts w:hint="eastAsia" w:ascii="宋体" w:hAnsi="宋体" w:cs="宋体"/>
                <w:szCs w:val="21"/>
              </w:rPr>
              <w:t>5、</w:t>
            </w:r>
            <w:r>
              <w:rPr>
                <w:rFonts w:hint="eastAsia"/>
                <w:szCs w:val="21"/>
              </w:rPr>
              <w:t>用药方案（3分）</w:t>
            </w:r>
          </w:p>
          <w:p>
            <w:pPr>
              <w:spacing w:line="276" w:lineRule="auto"/>
              <w:ind w:right="162"/>
              <w:jc w:val="left"/>
              <w:rPr>
                <w:rFonts w:ascii="宋体" w:hAnsi="宋体" w:cs="宋体"/>
                <w:szCs w:val="21"/>
              </w:rPr>
            </w:pPr>
            <w:r>
              <w:rPr>
                <w:rFonts w:hint="eastAsia"/>
                <w:szCs w:val="21"/>
              </w:rPr>
              <w:t>根据投标人提供的养护用药方案的合理性、科学性进行综合评议，</w:t>
            </w:r>
            <w:r>
              <w:rPr>
                <w:rFonts w:hint="eastAsia" w:ascii="宋体" w:hAnsi="宋体" w:cs="宋体"/>
                <w:szCs w:val="21"/>
              </w:rPr>
              <w:t>评委酌情打分。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6" w:hRule="atLeast"/>
        </w:trPr>
        <w:tc>
          <w:tcPr>
            <w:tcW w:w="570" w:type="dxa"/>
            <w:vMerge w:val="continue"/>
            <w:tcBorders>
              <w:left w:val="single" w:color="auto" w:sz="4" w:space="0"/>
              <w:right w:val="single" w:color="auto" w:sz="2" w:space="0"/>
            </w:tcBorders>
            <w:vAlign w:val="center"/>
          </w:tcPr>
          <w:p>
            <w:pPr>
              <w:spacing w:line="320" w:lineRule="exact"/>
              <w:ind w:right="162"/>
              <w:jc w:val="center"/>
              <w:rPr>
                <w:szCs w:val="21"/>
                <w:highlight w:val="yellow"/>
              </w:rPr>
            </w:pPr>
          </w:p>
        </w:tc>
        <w:tc>
          <w:tcPr>
            <w:tcW w:w="8955" w:type="dxa"/>
            <w:tcBorders>
              <w:top w:val="single" w:color="auto" w:sz="2" w:space="0"/>
              <w:left w:val="single" w:color="auto" w:sz="2" w:space="0"/>
              <w:right w:val="single" w:color="auto" w:sz="2" w:space="0"/>
            </w:tcBorders>
            <w:vAlign w:val="center"/>
          </w:tcPr>
          <w:p>
            <w:pPr>
              <w:spacing w:line="276" w:lineRule="auto"/>
              <w:ind w:right="162"/>
              <w:jc w:val="left"/>
              <w:rPr>
                <w:szCs w:val="21"/>
              </w:rPr>
            </w:pPr>
            <w:r>
              <w:rPr>
                <w:rFonts w:hint="eastAsia" w:ascii="宋体" w:hAnsi="宋体" w:cs="宋体"/>
                <w:szCs w:val="21"/>
              </w:rPr>
              <w:t>6、整体人员管理方案（6分）</w:t>
            </w:r>
          </w:p>
          <w:p>
            <w:pPr>
              <w:spacing w:line="276" w:lineRule="auto"/>
              <w:ind w:right="162"/>
              <w:jc w:val="left"/>
              <w:rPr>
                <w:szCs w:val="21"/>
              </w:rPr>
            </w:pPr>
            <w:r>
              <w:rPr>
                <w:rFonts w:hint="eastAsia" w:ascii="宋体" w:hAnsi="宋体" w:cs="宋体"/>
                <w:szCs w:val="21"/>
              </w:rPr>
              <w:t>根据人员考核方案、奖惩方案、人员培训方案、合同执行期间的人员数量保障方案、人员安全保障措施、人员管理规范等进行评比，酌情给分。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6" w:hRule="atLeast"/>
        </w:trPr>
        <w:tc>
          <w:tcPr>
            <w:tcW w:w="570" w:type="dxa"/>
            <w:vMerge w:val="continue"/>
            <w:tcBorders>
              <w:left w:val="single" w:color="auto" w:sz="4" w:space="0"/>
              <w:right w:val="single" w:color="auto" w:sz="2" w:space="0"/>
            </w:tcBorders>
            <w:vAlign w:val="center"/>
          </w:tcPr>
          <w:p>
            <w:pPr>
              <w:spacing w:line="320" w:lineRule="exact"/>
              <w:ind w:right="162"/>
              <w:jc w:val="center"/>
              <w:rPr>
                <w:szCs w:val="21"/>
                <w:highlight w:val="yellow"/>
              </w:rPr>
            </w:pPr>
          </w:p>
        </w:tc>
        <w:tc>
          <w:tcPr>
            <w:tcW w:w="8955" w:type="dxa"/>
            <w:tcBorders>
              <w:top w:val="single" w:color="auto" w:sz="2" w:space="0"/>
              <w:left w:val="single" w:color="auto" w:sz="2" w:space="0"/>
              <w:right w:val="single" w:color="auto" w:sz="2" w:space="0"/>
            </w:tcBorders>
            <w:vAlign w:val="center"/>
          </w:tcPr>
          <w:p>
            <w:pPr>
              <w:spacing w:line="276" w:lineRule="auto"/>
              <w:ind w:right="162"/>
              <w:jc w:val="left"/>
              <w:rPr>
                <w:szCs w:val="21"/>
              </w:rPr>
            </w:pPr>
            <w:r>
              <w:rPr>
                <w:rFonts w:hint="eastAsia" w:ascii="宋体" w:hAnsi="宋体" w:cs="宋体"/>
                <w:szCs w:val="21"/>
              </w:rPr>
              <w:t>7、</w:t>
            </w:r>
            <w:r>
              <w:rPr>
                <w:rFonts w:hint="eastAsia"/>
                <w:szCs w:val="21"/>
              </w:rPr>
              <w:t>养护团队人员配置（8分）</w:t>
            </w:r>
          </w:p>
          <w:p>
            <w:pPr>
              <w:spacing w:line="276" w:lineRule="auto"/>
              <w:ind w:right="162"/>
              <w:jc w:val="left"/>
              <w:rPr>
                <w:rFonts w:ascii="宋体" w:hAnsi="宋体"/>
                <w:szCs w:val="21"/>
              </w:rPr>
            </w:pPr>
            <w:r>
              <w:rPr>
                <w:rFonts w:hint="eastAsia"/>
                <w:szCs w:val="21"/>
              </w:rPr>
              <w:t>（</w:t>
            </w:r>
            <w:r>
              <w:rPr>
                <w:rFonts w:hint="eastAsia" w:ascii="宋体" w:hAnsi="宋体" w:cs="宋体"/>
                <w:szCs w:val="21"/>
              </w:rPr>
              <w:t>1</w:t>
            </w:r>
            <w:r>
              <w:rPr>
                <w:rFonts w:hint="eastAsia"/>
                <w:szCs w:val="21"/>
              </w:rPr>
              <w:t>）</w:t>
            </w:r>
            <w:r>
              <w:rPr>
                <w:rFonts w:hint="eastAsia" w:ascii="宋体" w:hAnsi="宋体"/>
                <w:szCs w:val="21"/>
              </w:rPr>
              <w:t>项目经理获得过县级及以上园林部门颁发的“园林绿化先进荣誉”的，得1分。</w:t>
            </w:r>
          </w:p>
          <w:p>
            <w:pPr>
              <w:spacing w:line="276" w:lineRule="auto"/>
              <w:ind w:right="162"/>
              <w:jc w:val="left"/>
              <w:rPr>
                <w:szCs w:val="21"/>
              </w:rPr>
            </w:pPr>
            <w:r>
              <w:rPr>
                <w:rFonts w:hint="eastAsia" w:ascii="宋体" w:hAnsi="宋体"/>
                <w:szCs w:val="21"/>
              </w:rPr>
              <w:t>（2）</w:t>
            </w:r>
            <w:r>
              <w:rPr>
                <w:rFonts w:hint="eastAsia"/>
                <w:szCs w:val="21"/>
              </w:rPr>
              <w:t>管理人员（除项目经理外）：管理人员配备2名及以上具有园林绿化专业</w:t>
            </w:r>
            <w:r>
              <w:rPr>
                <w:szCs w:val="21"/>
              </w:rPr>
              <w:t>中级及以上职称的</w:t>
            </w:r>
            <w:r>
              <w:rPr>
                <w:rFonts w:hint="eastAsia"/>
                <w:szCs w:val="21"/>
              </w:rPr>
              <w:t>，得2分；配备1名具有园林绿化专业</w:t>
            </w:r>
            <w:r>
              <w:rPr>
                <w:szCs w:val="21"/>
              </w:rPr>
              <w:t>中级及以上职称的</w:t>
            </w:r>
            <w:r>
              <w:rPr>
                <w:rFonts w:hint="eastAsia"/>
                <w:szCs w:val="21"/>
              </w:rPr>
              <w:t>，得1分；（以上专业绿化工程师需提供职称证书及投标人为其缴纳的近六个月内社保证明复印件加盖公章编入投标文件，开标时提供原件）。</w:t>
            </w:r>
          </w:p>
          <w:p>
            <w:pPr>
              <w:spacing w:line="276" w:lineRule="auto"/>
              <w:ind w:right="162"/>
              <w:jc w:val="left"/>
              <w:rPr>
                <w:szCs w:val="21"/>
                <w:highlight w:val="yellow"/>
              </w:rPr>
            </w:pPr>
            <w:r>
              <w:rPr>
                <w:rFonts w:hint="eastAsia"/>
                <w:szCs w:val="21"/>
              </w:rPr>
              <w:t>（3）服务人员：根据</w:t>
            </w:r>
            <w:r>
              <w:rPr>
                <w:szCs w:val="21"/>
              </w:rPr>
              <w:t>配置方案（专业人员数量、工种配置等方面进行评审）。</w:t>
            </w:r>
            <w:r>
              <w:rPr>
                <w:rFonts w:hint="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39" w:hRule="atLeast"/>
        </w:trPr>
        <w:tc>
          <w:tcPr>
            <w:tcW w:w="570" w:type="dxa"/>
            <w:vMerge w:val="continue"/>
            <w:tcBorders>
              <w:left w:val="single" w:color="auto" w:sz="4" w:space="0"/>
              <w:right w:val="single" w:color="auto" w:sz="2" w:space="0"/>
            </w:tcBorders>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szCs w:val="21"/>
              </w:rPr>
            </w:pPr>
            <w:r>
              <w:rPr>
                <w:rFonts w:hint="eastAsia" w:ascii="宋体" w:hAnsi="宋体" w:cs="宋体"/>
                <w:szCs w:val="21"/>
              </w:rPr>
              <w:t>8、</w:t>
            </w:r>
            <w:r>
              <w:rPr>
                <w:szCs w:val="21"/>
              </w:rPr>
              <w:t>主要机械设备与工具装备</w:t>
            </w:r>
            <w:r>
              <w:rPr>
                <w:rFonts w:hint="eastAsia"/>
                <w:szCs w:val="21"/>
              </w:rPr>
              <w:t>（9分）</w:t>
            </w:r>
            <w:r>
              <w:rPr>
                <w:szCs w:val="21"/>
              </w:rPr>
              <w:tab/>
            </w:r>
          </w:p>
          <w:p>
            <w:pPr>
              <w:spacing w:line="276" w:lineRule="auto"/>
              <w:ind w:right="162"/>
              <w:jc w:val="left"/>
              <w:rPr>
                <w:rFonts w:ascii="宋体" w:hAnsi="宋体"/>
                <w:szCs w:val="21"/>
              </w:rPr>
            </w:pPr>
            <w:r>
              <w:rPr>
                <w:rFonts w:hint="eastAsia" w:ascii="宋体" w:hAnsi="宋体"/>
                <w:szCs w:val="21"/>
              </w:rPr>
              <w:t>（1）洒水车（容量5立方米及以上）：1辆及以上得2分。</w:t>
            </w:r>
          </w:p>
          <w:p>
            <w:pPr>
              <w:spacing w:line="276" w:lineRule="auto"/>
              <w:ind w:right="162"/>
              <w:jc w:val="left"/>
              <w:rPr>
                <w:rFonts w:ascii="宋体" w:hAnsi="宋体"/>
                <w:szCs w:val="21"/>
              </w:rPr>
            </w:pPr>
            <w:r>
              <w:rPr>
                <w:rFonts w:hint="eastAsia" w:ascii="宋体" w:hAnsi="宋体"/>
                <w:szCs w:val="21"/>
              </w:rPr>
              <w:t>（2）应急抢险用的吊车（5吨及以上）：1辆及以上得2分。</w:t>
            </w:r>
          </w:p>
          <w:p>
            <w:pPr>
              <w:spacing w:line="276" w:lineRule="auto"/>
              <w:ind w:right="162"/>
              <w:jc w:val="left"/>
              <w:rPr>
                <w:rFonts w:ascii="宋体" w:hAnsi="宋体"/>
                <w:szCs w:val="21"/>
              </w:rPr>
            </w:pPr>
            <w:r>
              <w:rPr>
                <w:rFonts w:hint="eastAsia" w:ascii="宋体" w:hAnsi="宋体"/>
                <w:szCs w:val="21"/>
              </w:rPr>
              <w:t>（3）多功能运输车、巡查车：3辆及以上得2分。</w:t>
            </w:r>
          </w:p>
          <w:p>
            <w:pPr>
              <w:spacing w:line="276" w:lineRule="auto"/>
              <w:ind w:right="162"/>
              <w:jc w:val="left"/>
              <w:rPr>
                <w:rFonts w:ascii="宋体" w:hAnsi="宋体"/>
                <w:szCs w:val="21"/>
              </w:rPr>
            </w:pPr>
            <w:r>
              <w:rPr>
                <w:rFonts w:hint="eastAsia" w:ascii="宋体" w:hAnsi="宋体"/>
                <w:szCs w:val="21"/>
              </w:rPr>
              <w:t>（4）其他设备包括：高空修剪机、草坪机、打药机、绿篱机、水泵等，每个得0.5分，最高得3分。</w:t>
            </w:r>
          </w:p>
          <w:p>
            <w:pPr>
              <w:spacing w:line="276" w:lineRule="auto"/>
              <w:ind w:right="162"/>
              <w:jc w:val="left"/>
              <w:rPr>
                <w:szCs w:val="21"/>
                <w:highlight w:val="yellow"/>
              </w:rPr>
            </w:pPr>
            <w:r>
              <w:rPr>
                <w:rFonts w:hint="eastAsia" w:ascii="宋体" w:hAnsi="宋体"/>
                <w:szCs w:val="21"/>
              </w:rPr>
              <w:t>（以上设备提供自有购车发票、有效期内的行驶证及机械设备实景照片，以上资料复印件编入投标文件，开标时提供原件。）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5" w:hRule="atLeast"/>
        </w:trPr>
        <w:tc>
          <w:tcPr>
            <w:tcW w:w="570" w:type="dxa"/>
            <w:vMerge w:val="continue"/>
            <w:tcBorders>
              <w:left w:val="single" w:color="auto" w:sz="4" w:space="0"/>
              <w:right w:val="single" w:color="auto" w:sz="2" w:space="0"/>
            </w:tcBorders>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szCs w:val="21"/>
              </w:rPr>
            </w:pPr>
            <w:r>
              <w:rPr>
                <w:rFonts w:hint="eastAsia" w:ascii="宋体" w:hAnsi="宋体" w:cs="宋体"/>
                <w:szCs w:val="21"/>
              </w:rPr>
              <w:t>9、</w:t>
            </w:r>
            <w:r>
              <w:rPr>
                <w:szCs w:val="21"/>
              </w:rPr>
              <w:t>配套场所作业环境与后备苗木供给情况</w:t>
            </w:r>
            <w:r>
              <w:rPr>
                <w:rFonts w:hint="eastAsia"/>
                <w:szCs w:val="21"/>
              </w:rPr>
              <w:t>（5分）</w:t>
            </w:r>
            <w:r>
              <w:rPr>
                <w:szCs w:val="21"/>
              </w:rPr>
              <w:tab/>
            </w:r>
          </w:p>
          <w:p>
            <w:pPr>
              <w:spacing w:line="276" w:lineRule="auto"/>
              <w:ind w:right="162" w:firstLine="420" w:firstLineChars="200"/>
              <w:jc w:val="left"/>
              <w:rPr>
                <w:color w:val="FF0000"/>
                <w:szCs w:val="21"/>
                <w:highlight w:val="yellow"/>
              </w:rPr>
            </w:pPr>
            <w:r>
              <w:rPr>
                <w:szCs w:val="21"/>
              </w:rPr>
              <w:t>对各投标人拥有</w:t>
            </w:r>
            <w:r>
              <w:rPr>
                <w:rFonts w:hint="eastAsia"/>
                <w:szCs w:val="21"/>
              </w:rPr>
              <w:t>的</w:t>
            </w:r>
            <w:r>
              <w:rPr>
                <w:szCs w:val="21"/>
              </w:rPr>
              <w:t>养护苗圃、堆放场地、拥有自备后备苗木或合作供应点或自有苗木养护基地等（提供证明材料或合作合同）等进行相对评审</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5" w:hRule="atLeast"/>
        </w:trPr>
        <w:tc>
          <w:tcPr>
            <w:tcW w:w="570" w:type="dxa"/>
            <w:vMerge w:val="continue"/>
            <w:tcBorders>
              <w:left w:val="single" w:color="auto" w:sz="4" w:space="0"/>
              <w:right w:val="single" w:color="auto" w:sz="2" w:space="0"/>
            </w:tcBorders>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rPr>
                <w:szCs w:val="21"/>
              </w:rPr>
            </w:pPr>
            <w:r>
              <w:rPr>
                <w:rFonts w:hint="eastAsia" w:ascii="宋体" w:hAnsi="宋体"/>
                <w:szCs w:val="21"/>
              </w:rPr>
              <w:t>10、</w:t>
            </w:r>
            <w:r>
              <w:rPr>
                <w:rFonts w:hint="eastAsia"/>
                <w:szCs w:val="21"/>
              </w:rPr>
              <w:t>特殊时期的应急保障措施（5分）</w:t>
            </w:r>
          </w:p>
          <w:p>
            <w:pPr>
              <w:spacing w:line="276" w:lineRule="auto"/>
              <w:ind w:right="162" w:firstLine="420" w:firstLineChars="200"/>
              <w:jc w:val="left"/>
              <w:rPr>
                <w:szCs w:val="21"/>
              </w:rPr>
            </w:pPr>
            <w:r>
              <w:rPr>
                <w:rFonts w:hint="eastAsia"/>
                <w:szCs w:val="21"/>
              </w:rPr>
              <w:t>投标人针对大型活动、节庆假日、防台防汛期间、创优评优和突击检查、突发事件等特殊时期的应急保障措施进行评议，酌情评分。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8" w:hRule="atLeast"/>
        </w:trPr>
        <w:tc>
          <w:tcPr>
            <w:tcW w:w="570" w:type="dxa"/>
            <w:vMerge w:val="continue"/>
            <w:tcBorders>
              <w:left w:val="single" w:color="auto" w:sz="4" w:space="0"/>
              <w:right w:val="single" w:color="auto" w:sz="2" w:space="0"/>
            </w:tcBorders>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rPr>
                <w:szCs w:val="21"/>
              </w:rPr>
            </w:pPr>
            <w:r>
              <w:rPr>
                <w:rFonts w:hint="eastAsia" w:ascii="宋体" w:hAnsi="宋体" w:cs="宋体"/>
                <w:szCs w:val="21"/>
              </w:rPr>
              <w:t>11、安全生产、文明作业、环保措施（5分）</w:t>
            </w:r>
          </w:p>
          <w:p>
            <w:pPr>
              <w:pStyle w:val="45"/>
              <w:spacing w:line="276" w:lineRule="auto"/>
              <w:ind w:left="0" w:leftChars="0"/>
              <w:rPr>
                <w:szCs w:val="21"/>
              </w:rPr>
            </w:pPr>
            <w:r>
              <w:rPr>
                <w:rFonts w:hint="eastAsia" w:ascii="宋体" w:hAnsi="宋体" w:cs="宋体"/>
                <w:szCs w:val="21"/>
              </w:rPr>
              <w:t>投标人拟对本项目的措施、保证、流程等方案。由各评委针对投标响应进行评议，酌情评分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47"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ind w:right="164"/>
              <w:jc w:val="left"/>
              <w:rPr>
                <w:szCs w:val="21"/>
              </w:rPr>
            </w:pPr>
            <w:r>
              <w:rPr>
                <w:rFonts w:hint="eastAsia" w:ascii="宋体" w:hAnsi="宋体"/>
                <w:szCs w:val="21"/>
              </w:rPr>
              <w:t>12、</w:t>
            </w:r>
            <w:r>
              <w:rPr>
                <w:szCs w:val="21"/>
              </w:rPr>
              <w:t>以往养护</w:t>
            </w:r>
            <w:r>
              <w:rPr>
                <w:rFonts w:hint="eastAsia"/>
                <w:szCs w:val="21"/>
              </w:rPr>
              <w:t>业绩（3分）</w:t>
            </w:r>
            <w:r>
              <w:rPr>
                <w:szCs w:val="21"/>
              </w:rPr>
              <w:tab/>
            </w:r>
          </w:p>
          <w:p>
            <w:pPr>
              <w:spacing w:line="276" w:lineRule="auto"/>
              <w:ind w:right="164" w:firstLine="420" w:firstLineChars="200"/>
              <w:jc w:val="left"/>
              <w:rPr>
                <w:szCs w:val="21"/>
              </w:rPr>
            </w:pPr>
            <w:r>
              <w:rPr>
                <w:szCs w:val="21"/>
              </w:rPr>
              <w:t>投标人</w:t>
            </w:r>
            <w:r>
              <w:rPr>
                <w:rFonts w:hint="eastAsia"/>
                <w:szCs w:val="21"/>
              </w:rPr>
              <w:t>自2016年1月1日起（以合同签订时间为准）单个合同</w:t>
            </w:r>
            <w:r>
              <w:rPr>
                <w:szCs w:val="21"/>
              </w:rPr>
              <w:t>养护面积</w:t>
            </w:r>
            <w:r>
              <w:rPr>
                <w:rFonts w:hint="eastAsia"/>
                <w:szCs w:val="21"/>
              </w:rPr>
              <w:t>在15</w:t>
            </w:r>
            <w:r>
              <w:rPr>
                <w:szCs w:val="21"/>
              </w:rPr>
              <w:t>万平米</w:t>
            </w:r>
            <w:r>
              <w:rPr>
                <w:rFonts w:hint="eastAsia"/>
                <w:szCs w:val="21"/>
              </w:rPr>
              <w:t>（含）以上</w:t>
            </w:r>
            <w:r>
              <w:rPr>
                <w:szCs w:val="21"/>
              </w:rPr>
              <w:t>的</w:t>
            </w:r>
            <w:r>
              <w:rPr>
                <w:rFonts w:hint="eastAsia"/>
                <w:szCs w:val="21"/>
              </w:rPr>
              <w:t>每个</w:t>
            </w:r>
            <w:r>
              <w:rPr>
                <w:szCs w:val="21"/>
              </w:rPr>
              <w:t>得</w:t>
            </w:r>
            <w:r>
              <w:rPr>
                <w:rFonts w:hint="eastAsia"/>
                <w:szCs w:val="21"/>
              </w:rPr>
              <w:t>1.0</w:t>
            </w:r>
            <w:r>
              <w:rPr>
                <w:szCs w:val="21"/>
              </w:rPr>
              <w:t>分</w:t>
            </w:r>
            <w:r>
              <w:rPr>
                <w:rFonts w:hint="eastAsia"/>
                <w:szCs w:val="21"/>
              </w:rPr>
              <w:t>，在5万平方米（含）至15万平方米（不含）的每个得0.5分；本项最高得3.0分</w:t>
            </w:r>
            <w:r>
              <w:rPr>
                <w:szCs w:val="21"/>
              </w:rPr>
              <w:t>（提供</w:t>
            </w:r>
            <w:r>
              <w:rPr>
                <w:rFonts w:hint="eastAsia"/>
                <w:szCs w:val="21"/>
              </w:rPr>
              <w:t>中标通知书（或中标结果公告）及</w:t>
            </w:r>
            <w:r>
              <w:rPr>
                <w:szCs w:val="21"/>
              </w:rPr>
              <w:t>合同复印件</w:t>
            </w:r>
            <w:r>
              <w:rPr>
                <w:rFonts w:hint="eastAsia"/>
                <w:szCs w:val="21"/>
              </w:rPr>
              <w:t>加盖单位公章编入投标文件</w:t>
            </w:r>
            <w:r>
              <w:rPr>
                <w:szCs w:val="21"/>
              </w:rPr>
              <w:t>，原件备查</w:t>
            </w:r>
            <w:r>
              <w:rPr>
                <w:rFonts w:hint="eastAsia"/>
                <w:szCs w:val="21"/>
              </w:rPr>
              <w:t>，否则不得分</w:t>
            </w:r>
            <w:r>
              <w:rPr>
                <w:szCs w:val="21"/>
              </w:rPr>
              <w:t>）。</w:t>
            </w:r>
          </w:p>
          <w:p>
            <w:pPr>
              <w:spacing w:line="276" w:lineRule="auto"/>
              <w:ind w:left="105" w:leftChars="50" w:right="164"/>
              <w:jc w:val="left"/>
              <w:rPr>
                <w:szCs w:val="21"/>
                <w:highlight w:val="yellow"/>
              </w:rPr>
            </w:pPr>
            <w:r>
              <w:rPr>
                <w:rFonts w:hint="eastAsia" w:ascii="Arial" w:hAnsi="宋体" w:cs="Arial"/>
                <w:b/>
                <w:szCs w:val="21"/>
              </w:rPr>
              <w:t>备注：养护业绩要求以</w:t>
            </w:r>
            <w:r>
              <w:rPr>
                <w:rFonts w:ascii="Arial" w:hAnsi="宋体" w:cs="Arial"/>
                <w:b/>
                <w:szCs w:val="21"/>
              </w:rPr>
              <w:t>公开招标（公布在政府采购、国有</w:t>
            </w:r>
            <w:r>
              <w:rPr>
                <w:rFonts w:hint="eastAsia" w:ascii="Arial" w:hAnsi="宋体" w:cs="Arial"/>
                <w:b/>
                <w:szCs w:val="21"/>
              </w:rPr>
              <w:t>招标</w:t>
            </w:r>
            <w:r>
              <w:rPr>
                <w:rFonts w:ascii="Arial" w:hAnsi="宋体" w:cs="Arial"/>
                <w:b/>
                <w:szCs w:val="21"/>
              </w:rPr>
              <w:t>网站或公共资源交易中心）形式的项目</w:t>
            </w:r>
            <w:r>
              <w:rPr>
                <w:rFonts w:hint="eastAsia" w:ascii="Arial" w:hAnsi="宋体" w:cs="Arial"/>
                <w:b/>
                <w:szCs w:val="21"/>
              </w:rPr>
              <w:t>，非公开招标项目业绩不予认可。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9"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rPr>
                <w:rFonts w:ascii="宋体" w:hAnsi="宋体"/>
                <w:szCs w:val="21"/>
              </w:rPr>
            </w:pPr>
            <w:r>
              <w:rPr>
                <w:rFonts w:hint="eastAsia" w:ascii="宋体" w:hAnsi="宋体"/>
                <w:szCs w:val="21"/>
              </w:rPr>
              <w:t>13、</w:t>
            </w:r>
            <w:r>
              <w:rPr>
                <w:rFonts w:hint="eastAsia"/>
                <w:szCs w:val="21"/>
              </w:rPr>
              <w:t>服务便捷性（3分）</w:t>
            </w:r>
            <w:r>
              <w:rPr>
                <w:rFonts w:ascii="宋体" w:hAnsi="宋体"/>
                <w:szCs w:val="21"/>
              </w:rPr>
              <w:tab/>
            </w:r>
          </w:p>
          <w:p>
            <w:pPr>
              <w:spacing w:line="276" w:lineRule="auto"/>
              <w:ind w:firstLine="420" w:firstLineChars="200"/>
              <w:jc w:val="left"/>
              <w:rPr>
                <w:rFonts w:ascii="宋体" w:hAnsi="宋体"/>
                <w:szCs w:val="21"/>
              </w:rPr>
            </w:pPr>
            <w:r>
              <w:rPr>
                <w:rFonts w:hint="eastAsia" w:ascii="宋体" w:hAnsi="宋体" w:cs="宋体"/>
                <w:bCs/>
                <w:szCs w:val="21"/>
              </w:rPr>
              <w:t>投标人已有服务场所的稳定性及服务场所相对本项目服务地点的便捷性等情况进行综合评议。</w:t>
            </w:r>
          </w:p>
          <w:p>
            <w:pPr>
              <w:spacing w:line="276" w:lineRule="auto"/>
              <w:ind w:right="162"/>
              <w:jc w:val="left"/>
              <w:rPr>
                <w:szCs w:val="21"/>
              </w:rPr>
            </w:pPr>
            <w:r>
              <w:rPr>
                <w:rFonts w:hint="eastAsia" w:ascii="宋体" w:hAnsi="宋体"/>
                <w:szCs w:val="21"/>
              </w:rPr>
              <w:t>（提供土地证、产权证或租赁证明等相关证明材料,和相应的平面图、现场照片，开标时随带原件备查）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7" w:hRule="atLeast"/>
        </w:trPr>
        <w:tc>
          <w:tcPr>
            <w:tcW w:w="570" w:type="dxa"/>
            <w:vMerge w:val="continue"/>
            <w:tcBorders>
              <w:left w:val="single" w:color="auto" w:sz="4" w:space="0"/>
              <w:right w:val="single" w:color="auto" w:sz="2" w:space="0"/>
            </w:tcBorders>
            <w:textDirection w:val="tbRlV"/>
            <w:vAlign w:val="center"/>
          </w:tcPr>
          <w:p>
            <w:pPr>
              <w:spacing w:line="320" w:lineRule="exact"/>
              <w:ind w:right="162"/>
              <w:jc w:val="left"/>
              <w:rPr>
                <w:szCs w:val="21"/>
                <w:highlight w:val="yellow"/>
              </w:rPr>
            </w:pP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szCs w:val="21"/>
              </w:rPr>
            </w:pPr>
            <w:r>
              <w:rPr>
                <w:rFonts w:hint="eastAsia" w:ascii="宋体" w:hAnsi="宋体"/>
                <w:szCs w:val="21"/>
              </w:rPr>
              <w:t>14、</w:t>
            </w:r>
            <w:r>
              <w:rPr>
                <w:rFonts w:hint="eastAsia"/>
                <w:szCs w:val="21"/>
              </w:rPr>
              <w:t>投标人荣誉（2分）</w:t>
            </w:r>
            <w:r>
              <w:rPr>
                <w:szCs w:val="21"/>
              </w:rPr>
              <w:tab/>
            </w:r>
          </w:p>
          <w:p>
            <w:pPr>
              <w:tabs>
                <w:tab w:val="right" w:pos="5831"/>
              </w:tabs>
              <w:spacing w:line="276" w:lineRule="auto"/>
              <w:ind w:right="162" w:firstLine="420" w:firstLineChars="200"/>
              <w:jc w:val="left"/>
              <w:rPr>
                <w:rFonts w:ascii="宋体" w:hAnsi="宋体"/>
                <w:szCs w:val="21"/>
              </w:rPr>
            </w:pPr>
            <w:r>
              <w:rPr>
                <w:rFonts w:hint="eastAsia" w:ascii="宋体" w:hAnsi="宋体"/>
                <w:szCs w:val="21"/>
              </w:rPr>
              <w:t>投标人自2016年1月1日以来获得过县级及以上园林部门颁发的“园林绿化（养护）先进单位”的，得1分；投标人承担过的养护项目获得过县级及以上园林绿化养护示范点或同等级及以上园林绿化养护称号的，每获得1次得0.5分，最高得1分。</w:t>
            </w:r>
          </w:p>
          <w:p>
            <w:pPr>
              <w:spacing w:line="276" w:lineRule="auto"/>
              <w:ind w:right="162"/>
              <w:jc w:val="left"/>
              <w:rPr>
                <w:szCs w:val="21"/>
              </w:rPr>
            </w:pPr>
            <w:r>
              <w:rPr>
                <w:rFonts w:hint="eastAsia"/>
                <w:szCs w:val="21"/>
              </w:rPr>
              <w:t>（同一个项目多次获得养护称号的按一个计算，提供获奖文件复印件加盖公章，原件备查</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7" w:hRule="atLeast"/>
        </w:trPr>
        <w:tc>
          <w:tcPr>
            <w:tcW w:w="570" w:type="dxa"/>
            <w:vMerge w:val="continue"/>
            <w:tcBorders>
              <w:left w:val="single" w:color="auto" w:sz="4" w:space="0"/>
              <w:right w:val="single" w:color="auto" w:sz="2" w:space="0"/>
            </w:tcBorders>
            <w:textDirection w:val="tbRlV"/>
            <w:vAlign w:val="center"/>
          </w:tcPr>
          <w:p>
            <w:pPr>
              <w:tabs>
                <w:tab w:val="right" w:pos="5831"/>
              </w:tabs>
              <w:spacing w:line="320" w:lineRule="exact"/>
              <w:ind w:right="162" w:firstLine="420" w:firstLineChars="200"/>
              <w:jc w:val="left"/>
              <w:rPr>
                <w:rFonts w:ascii="宋体" w:hAnsi="宋体"/>
                <w:szCs w:val="21"/>
              </w:rPr>
            </w:pPr>
          </w:p>
        </w:tc>
        <w:tc>
          <w:tcPr>
            <w:tcW w:w="8955" w:type="dxa"/>
            <w:tcBorders>
              <w:top w:val="single" w:color="auto" w:sz="2" w:space="0"/>
              <w:left w:val="single" w:color="auto" w:sz="2" w:space="0"/>
              <w:bottom w:val="single" w:color="auto" w:sz="2" w:space="0"/>
              <w:right w:val="single" w:color="auto" w:sz="2" w:space="0"/>
            </w:tcBorders>
            <w:vAlign w:val="center"/>
          </w:tcPr>
          <w:p>
            <w:pPr>
              <w:tabs>
                <w:tab w:val="right" w:pos="5831"/>
              </w:tabs>
              <w:spacing w:line="276" w:lineRule="auto"/>
              <w:ind w:right="162"/>
              <w:jc w:val="left"/>
              <w:rPr>
                <w:rFonts w:ascii="宋体" w:hAnsi="宋体"/>
                <w:szCs w:val="21"/>
              </w:rPr>
            </w:pPr>
            <w:r>
              <w:rPr>
                <w:rFonts w:hint="eastAsia" w:ascii="宋体" w:hAnsi="宋体"/>
                <w:szCs w:val="21"/>
              </w:rPr>
              <w:t>15、合理化建议或承诺（4分）</w:t>
            </w:r>
          </w:p>
          <w:p>
            <w:pPr>
              <w:tabs>
                <w:tab w:val="right" w:pos="5831"/>
              </w:tabs>
              <w:spacing w:line="276" w:lineRule="auto"/>
              <w:ind w:right="162" w:firstLine="420" w:firstLineChars="200"/>
              <w:jc w:val="left"/>
              <w:rPr>
                <w:rFonts w:ascii="宋体" w:hAnsi="宋体"/>
                <w:szCs w:val="21"/>
              </w:rPr>
            </w:pPr>
            <w:r>
              <w:rPr>
                <w:rFonts w:hint="eastAsia" w:ascii="宋体" w:hAnsi="宋体"/>
                <w:szCs w:val="21"/>
              </w:rPr>
              <w:t>投标人在处理园林垃圾方面具有创新性、可行性方案，且具有相应机械设备的进行综合评议，酌情打分。</w:t>
            </w:r>
          </w:p>
          <w:p>
            <w:pPr>
              <w:tabs>
                <w:tab w:val="right" w:pos="5831"/>
              </w:tabs>
              <w:spacing w:line="276" w:lineRule="auto"/>
              <w:ind w:right="162"/>
              <w:jc w:val="left"/>
              <w:rPr>
                <w:rFonts w:ascii="宋体" w:hAnsi="宋体"/>
                <w:szCs w:val="21"/>
              </w:rPr>
            </w:pPr>
            <w:r>
              <w:rPr>
                <w:rFonts w:hint="eastAsia" w:ascii="宋体" w:hAnsi="宋体"/>
                <w:szCs w:val="21"/>
              </w:rPr>
              <w:t>（以上自有设备提供购置发票及机械设备实景照片，租赁设备的提供有效的租赁合同、原始购置发票及机械设备实景照片，以上资料复印件编入投标文件，开标时提供原件。）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5" w:hRule="atLeast"/>
        </w:trPr>
        <w:tc>
          <w:tcPr>
            <w:tcW w:w="570" w:type="dxa"/>
            <w:tcBorders>
              <w:left w:val="single" w:color="auto" w:sz="4" w:space="0"/>
              <w:right w:val="single" w:color="auto" w:sz="2" w:space="0"/>
            </w:tcBorders>
            <w:vAlign w:val="center"/>
          </w:tcPr>
          <w:p>
            <w:pPr>
              <w:spacing w:line="320" w:lineRule="exact"/>
              <w:ind w:right="162"/>
              <w:jc w:val="center"/>
              <w:rPr>
                <w:szCs w:val="21"/>
              </w:rPr>
            </w:pPr>
            <w:r>
              <w:rPr>
                <w:szCs w:val="21"/>
              </w:rPr>
              <w:t>价格分</w:t>
            </w:r>
            <w:r>
              <w:rPr>
                <w:rFonts w:hint="eastAsia"/>
                <w:szCs w:val="21"/>
              </w:rPr>
              <w:t>20</w:t>
            </w:r>
            <w:r>
              <w:rPr>
                <w:szCs w:val="21"/>
              </w:rPr>
              <w:t>分</w:t>
            </w:r>
          </w:p>
        </w:tc>
        <w:tc>
          <w:tcPr>
            <w:tcW w:w="8955" w:type="dxa"/>
            <w:tcBorders>
              <w:top w:val="single" w:color="auto" w:sz="2" w:space="0"/>
              <w:left w:val="single" w:color="auto" w:sz="2" w:space="0"/>
              <w:bottom w:val="single" w:color="auto" w:sz="2" w:space="0"/>
              <w:right w:val="single" w:color="auto" w:sz="2" w:space="0"/>
            </w:tcBorders>
            <w:vAlign w:val="center"/>
          </w:tcPr>
          <w:p>
            <w:pPr>
              <w:spacing w:line="276" w:lineRule="auto"/>
              <w:ind w:right="162"/>
              <w:jc w:val="left"/>
              <w:rPr>
                <w:szCs w:val="21"/>
              </w:rPr>
            </w:pPr>
            <w:r>
              <w:rPr>
                <w:rFonts w:hint="eastAsia"/>
                <w:szCs w:val="21"/>
              </w:rPr>
              <w:t>参与评审的价格=投标报价-小微企业优惠6%</w:t>
            </w:r>
          </w:p>
          <w:p>
            <w:pPr>
              <w:spacing w:line="276" w:lineRule="auto"/>
              <w:ind w:right="162"/>
              <w:jc w:val="left"/>
              <w:rPr>
                <w:szCs w:val="21"/>
              </w:rPr>
            </w:pPr>
            <w:r>
              <w:rPr>
                <w:szCs w:val="21"/>
              </w:rPr>
              <w:t>基准价=合格投标中的最低投标价格。</w:t>
            </w:r>
          </w:p>
          <w:p>
            <w:pPr>
              <w:spacing w:line="276" w:lineRule="auto"/>
              <w:ind w:right="162"/>
              <w:jc w:val="left"/>
              <w:rPr>
                <w:szCs w:val="21"/>
              </w:rPr>
            </w:pPr>
            <w:r>
              <w:rPr>
                <w:szCs w:val="21"/>
              </w:rPr>
              <w:t>基准报价价格分得满分。</w:t>
            </w:r>
          </w:p>
          <w:p>
            <w:pPr>
              <w:spacing w:line="276" w:lineRule="auto"/>
              <w:ind w:right="162"/>
              <w:jc w:val="left"/>
              <w:rPr>
                <w:szCs w:val="21"/>
              </w:rPr>
            </w:pPr>
            <w:r>
              <w:rPr>
                <w:szCs w:val="21"/>
              </w:rPr>
              <w:t>投标价得分=基准价÷投标价×价格满分分值。</w:t>
            </w:r>
          </w:p>
          <w:p>
            <w:pPr>
              <w:spacing w:line="276" w:lineRule="auto"/>
              <w:ind w:right="162"/>
              <w:jc w:val="left"/>
              <w:rPr>
                <w:szCs w:val="21"/>
              </w:rPr>
            </w:pPr>
            <w:r>
              <w:rPr>
                <w:szCs w:val="21"/>
              </w:rPr>
              <w:t>(投标价得分以四舍五入方法整合到小数点后一位)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0" w:hRule="atLeast"/>
        </w:trPr>
        <w:tc>
          <w:tcPr>
            <w:tcW w:w="9525" w:type="dxa"/>
            <w:gridSpan w:val="2"/>
            <w:tcBorders>
              <w:top w:val="single" w:color="auto" w:sz="4" w:space="0"/>
              <w:left w:val="single" w:color="auto" w:sz="4" w:space="0"/>
              <w:bottom w:val="single" w:color="auto" w:sz="4" w:space="0"/>
              <w:right w:val="single" w:color="auto" w:sz="2" w:space="0"/>
            </w:tcBorders>
            <w:vAlign w:val="center"/>
          </w:tcPr>
          <w:p>
            <w:pPr>
              <w:spacing w:line="320" w:lineRule="exact"/>
              <w:ind w:right="162"/>
              <w:jc w:val="center"/>
              <w:rPr>
                <w:szCs w:val="21"/>
              </w:rPr>
            </w:pPr>
            <w:r>
              <w:rPr>
                <w:szCs w:val="21"/>
              </w:rPr>
              <w:t>总分（满分100分）</w:t>
            </w:r>
          </w:p>
        </w:tc>
      </w:tr>
    </w:tbl>
    <w:p>
      <w:pPr>
        <w:spacing w:line="320" w:lineRule="exact"/>
        <w:ind w:right="162"/>
        <w:jc w:val="left"/>
        <w:rPr>
          <w:szCs w:val="24"/>
        </w:rPr>
      </w:pPr>
    </w:p>
    <w:p>
      <w:pPr>
        <w:spacing w:line="320" w:lineRule="exact"/>
        <w:ind w:right="162"/>
        <w:jc w:val="left"/>
        <w:rPr>
          <w:szCs w:val="24"/>
        </w:rPr>
      </w:pPr>
    </w:p>
    <w:p>
      <w:pPr>
        <w:spacing w:line="320" w:lineRule="exact"/>
        <w:ind w:right="162"/>
        <w:jc w:val="left"/>
        <w:rPr>
          <w:szCs w:val="24"/>
        </w:rPr>
      </w:pPr>
      <w:bookmarkStart w:id="54" w:name="_Toc435088077"/>
    </w:p>
    <w:p>
      <w:pPr>
        <w:spacing w:line="320" w:lineRule="exact"/>
        <w:ind w:right="162"/>
        <w:jc w:val="left"/>
        <w:rPr>
          <w:szCs w:val="24"/>
        </w:rPr>
      </w:pPr>
    </w:p>
    <w:p>
      <w:pPr>
        <w:pStyle w:val="18"/>
        <w:rPr>
          <w:szCs w:val="24"/>
        </w:rPr>
      </w:pPr>
    </w:p>
    <w:p>
      <w:pPr>
        <w:pStyle w:val="18"/>
        <w:rPr>
          <w:szCs w:val="24"/>
        </w:rPr>
      </w:pPr>
    </w:p>
    <w:p>
      <w:pPr>
        <w:pStyle w:val="18"/>
        <w:rPr>
          <w:szCs w:val="24"/>
        </w:rPr>
      </w:pPr>
    </w:p>
    <w:p>
      <w:pPr>
        <w:pStyle w:val="18"/>
        <w:rPr>
          <w:szCs w:val="24"/>
        </w:rPr>
      </w:pPr>
    </w:p>
    <w:p>
      <w:pPr>
        <w:spacing w:line="320" w:lineRule="exact"/>
        <w:ind w:right="162"/>
        <w:jc w:val="left"/>
        <w:rPr>
          <w:szCs w:val="24"/>
        </w:rPr>
      </w:pPr>
    </w:p>
    <w:p>
      <w:pPr>
        <w:pStyle w:val="42"/>
        <w:rPr>
          <w:rFonts w:ascii="Times New Roman" w:hAnsi="Times New Roman"/>
          <w:kern w:val="44"/>
        </w:rPr>
      </w:pPr>
      <w:r>
        <w:rPr>
          <w:rFonts w:hint="eastAsia" w:ascii="Times New Roman" w:hAnsi="Times New Roman"/>
          <w:kern w:val="44"/>
        </w:rPr>
        <w:t>第五章 采购内容及</w:t>
      </w:r>
      <w:bookmarkEnd w:id="51"/>
      <w:bookmarkEnd w:id="52"/>
      <w:r>
        <w:rPr>
          <w:rFonts w:hint="eastAsia" w:ascii="Times New Roman" w:hAnsi="Times New Roman"/>
          <w:kern w:val="44"/>
        </w:rPr>
        <w:t>要求</w:t>
      </w:r>
      <w:bookmarkEnd w:id="53"/>
      <w:bookmarkEnd w:id="54"/>
    </w:p>
    <w:p>
      <w:pPr>
        <w:pStyle w:val="4"/>
        <w:spacing w:before="120" w:after="120" w:line="240" w:lineRule="auto"/>
        <w:jc w:val="center"/>
        <w:rPr>
          <w:rFonts w:ascii="Times New Roman" w:hAnsi="Times New Roman" w:eastAsia="宋体"/>
          <w:b w:val="0"/>
          <w:bCs w:val="0"/>
          <w:sz w:val="21"/>
          <w:szCs w:val="24"/>
        </w:rPr>
      </w:pPr>
      <w:bookmarkStart w:id="55" w:name="_Toc281485983"/>
      <w:bookmarkStart w:id="56" w:name="_Toc263083258"/>
      <w:bookmarkStart w:id="57" w:name="_Toc372870928"/>
      <w:bookmarkStart w:id="58" w:name="_Toc29158565"/>
      <w:bookmarkStart w:id="59" w:name="_Toc263083265"/>
      <w:bookmarkStart w:id="60" w:name="_Toc97372533"/>
      <w:r>
        <w:rPr>
          <w:rFonts w:ascii="Times New Roman" w:hAnsi="Times New Roman" w:eastAsia="宋体"/>
          <w:b w:val="0"/>
          <w:bCs w:val="0"/>
          <w:sz w:val="21"/>
          <w:szCs w:val="24"/>
        </w:rPr>
        <w:t>A．采购内容</w:t>
      </w:r>
      <w:bookmarkEnd w:id="55"/>
      <w:bookmarkEnd w:id="56"/>
      <w:bookmarkEnd w:id="57"/>
    </w:p>
    <w:p>
      <w:pPr>
        <w:pStyle w:val="5"/>
        <w:spacing w:before="0" w:after="0" w:line="480" w:lineRule="exact"/>
        <w:ind w:left="425"/>
        <w:rPr>
          <w:b w:val="0"/>
          <w:bCs w:val="0"/>
          <w:sz w:val="21"/>
          <w:szCs w:val="24"/>
        </w:rPr>
      </w:pPr>
      <w:bookmarkStart w:id="61" w:name="_Toc281485984"/>
      <w:bookmarkStart w:id="62" w:name="_Toc372870929"/>
      <w:r>
        <w:rPr>
          <w:b w:val="0"/>
          <w:bCs w:val="0"/>
          <w:sz w:val="21"/>
          <w:szCs w:val="24"/>
        </w:rPr>
        <w:t>1.1项目名称</w:t>
      </w:r>
      <w:bookmarkEnd w:id="61"/>
      <w:bookmarkEnd w:id="62"/>
      <w:bookmarkStart w:id="63" w:name="_Toc281485985"/>
      <w:bookmarkStart w:id="64" w:name="_Toc372870930"/>
      <w:r>
        <w:rPr>
          <w:rFonts w:hint="eastAsia"/>
          <w:b w:val="0"/>
          <w:bCs w:val="0"/>
          <w:sz w:val="21"/>
          <w:szCs w:val="24"/>
        </w:rPr>
        <w:t>：</w:t>
      </w:r>
    </w:p>
    <w:p>
      <w:pPr>
        <w:pStyle w:val="5"/>
        <w:spacing w:before="0" w:after="0" w:line="480" w:lineRule="exact"/>
        <w:ind w:left="425"/>
        <w:rPr>
          <w:b w:val="0"/>
          <w:bCs w:val="0"/>
          <w:sz w:val="21"/>
          <w:szCs w:val="24"/>
        </w:rPr>
      </w:pPr>
      <w:r>
        <w:rPr>
          <w:rFonts w:hint="eastAsia"/>
          <w:b w:val="0"/>
          <w:bCs w:val="0"/>
          <w:sz w:val="21"/>
          <w:szCs w:val="24"/>
        </w:rPr>
        <w:t>宁海城区2020-2022年绿化养护服务项目</w:t>
      </w:r>
    </w:p>
    <w:p>
      <w:pPr>
        <w:pStyle w:val="5"/>
        <w:spacing w:before="0" w:after="0" w:line="480" w:lineRule="exact"/>
        <w:ind w:left="1778" w:leftChars="201" w:hanging="1356" w:hangingChars="646"/>
        <w:rPr>
          <w:b w:val="0"/>
          <w:bCs w:val="0"/>
          <w:sz w:val="21"/>
          <w:szCs w:val="24"/>
        </w:rPr>
      </w:pPr>
      <w:r>
        <w:rPr>
          <w:b w:val="0"/>
          <w:bCs w:val="0"/>
          <w:sz w:val="21"/>
          <w:szCs w:val="24"/>
        </w:rPr>
        <w:t>1.2服务期限</w:t>
      </w:r>
      <w:bookmarkEnd w:id="63"/>
      <w:r>
        <w:rPr>
          <w:b w:val="0"/>
          <w:bCs w:val="0"/>
          <w:sz w:val="21"/>
          <w:szCs w:val="24"/>
        </w:rPr>
        <w:t>：</w:t>
      </w:r>
      <w:bookmarkEnd w:id="64"/>
    </w:p>
    <w:p>
      <w:pPr>
        <w:spacing w:line="440" w:lineRule="exact"/>
        <w:ind w:left="105" w:leftChars="50" w:firstLine="420" w:firstLineChars="200"/>
        <w:rPr>
          <w:color w:val="FF0000"/>
          <w:szCs w:val="24"/>
        </w:rPr>
      </w:pPr>
      <w:bookmarkStart w:id="65" w:name="_Toc372870931"/>
      <w:bookmarkStart w:id="66" w:name="_Toc281485986"/>
      <w:r>
        <w:rPr>
          <w:szCs w:val="24"/>
        </w:rPr>
        <w:t>起始时间以合同签订为准，本服务项目一招暂定3年，合同必须一年一签。续签合同应符合政府采购预算安排要求，申报政府采购计划，经批准，并经采购人</w:t>
      </w:r>
      <w:r>
        <w:rPr>
          <w:rFonts w:hint="eastAsia"/>
          <w:szCs w:val="24"/>
        </w:rPr>
        <w:t>考核合格</w:t>
      </w:r>
      <w:r>
        <w:rPr>
          <w:szCs w:val="24"/>
        </w:rPr>
        <w:t>同意后，方可续签订下一年度的合同。合同续签后，应经原政府采购代理机构见证并报宁海县政府采购管理办公室备案。</w:t>
      </w:r>
    </w:p>
    <w:p>
      <w:pPr>
        <w:pStyle w:val="5"/>
        <w:spacing w:before="0" w:after="0" w:line="480" w:lineRule="exact"/>
        <w:ind w:left="425"/>
        <w:rPr>
          <w:b w:val="0"/>
          <w:bCs w:val="0"/>
          <w:sz w:val="21"/>
          <w:szCs w:val="24"/>
        </w:rPr>
      </w:pPr>
      <w:r>
        <w:rPr>
          <w:b w:val="0"/>
          <w:bCs w:val="0"/>
          <w:sz w:val="21"/>
          <w:szCs w:val="24"/>
        </w:rPr>
        <w:t>1.3服务内容</w:t>
      </w:r>
      <w:bookmarkEnd w:id="65"/>
      <w:bookmarkEnd w:id="66"/>
      <w:r>
        <w:rPr>
          <w:rFonts w:hint="eastAsia"/>
          <w:b w:val="0"/>
          <w:bCs w:val="0"/>
          <w:sz w:val="21"/>
          <w:szCs w:val="24"/>
        </w:rPr>
        <w:t>：</w:t>
      </w:r>
    </w:p>
    <w:p>
      <w:pPr>
        <w:tabs>
          <w:tab w:val="left" w:pos="0"/>
        </w:tabs>
        <w:spacing w:line="440" w:lineRule="exact"/>
        <w:ind w:firstLine="420" w:firstLineChars="200"/>
        <w:contextualSpacing/>
        <w:rPr>
          <w:bCs/>
          <w:szCs w:val="21"/>
        </w:rPr>
      </w:pPr>
      <w:bookmarkStart w:id="67" w:name="_Toc6253"/>
      <w:r>
        <w:rPr>
          <w:rFonts w:hint="eastAsia"/>
          <w:bCs/>
          <w:szCs w:val="21"/>
        </w:rPr>
        <w:t>养护管理内容：日常巡查管理、绿化养护（整</w:t>
      </w:r>
      <w:r>
        <w:rPr>
          <w:rFonts w:hint="eastAsia" w:asciiTheme="minorEastAsia" w:hAnsiTheme="minorEastAsia" w:cstheme="minorEastAsia"/>
          <w:szCs w:val="21"/>
        </w:rPr>
        <w:t>形修剪、病虫害防治、草坪打孔、割草、除草、浇水、扶正、补植、松土切边、施肥、涂白、支撑、看护、鲜花日常养护等</w:t>
      </w:r>
      <w:r>
        <w:rPr>
          <w:rFonts w:hint="eastAsia"/>
          <w:bCs/>
          <w:szCs w:val="21"/>
        </w:rPr>
        <w:t>）、绿地巡查、保洁、配套设施维护、应急或突发事件处理、抗台防汛、冰冻雪灾、暴雨、重大活动保障等涉及绿化养护、绿地管理等一系列工作。</w:t>
      </w:r>
      <w:bookmarkEnd w:id="67"/>
    </w:p>
    <w:p>
      <w:pPr>
        <w:pStyle w:val="5"/>
        <w:spacing w:before="0" w:after="0" w:line="480" w:lineRule="exact"/>
        <w:ind w:left="425"/>
        <w:rPr>
          <w:b w:val="0"/>
          <w:bCs w:val="0"/>
          <w:sz w:val="21"/>
          <w:szCs w:val="24"/>
        </w:rPr>
      </w:pPr>
      <w:r>
        <w:rPr>
          <w:rFonts w:hint="eastAsia"/>
          <w:b w:val="0"/>
          <w:bCs w:val="0"/>
          <w:sz w:val="21"/>
          <w:szCs w:val="24"/>
        </w:rPr>
        <w:t>1.4</w:t>
      </w:r>
      <w:bookmarkStart w:id="68" w:name="_Toc18535"/>
      <w:r>
        <w:rPr>
          <w:rFonts w:hint="eastAsia"/>
          <w:b w:val="0"/>
          <w:bCs w:val="0"/>
          <w:sz w:val="21"/>
          <w:szCs w:val="24"/>
        </w:rPr>
        <w:t>养护作业人员配备要求：</w:t>
      </w:r>
    </w:p>
    <w:p>
      <w:pPr>
        <w:pStyle w:val="5"/>
        <w:spacing w:before="0" w:after="0" w:line="480" w:lineRule="exact"/>
        <w:ind w:firstLine="420" w:firstLineChars="200"/>
        <w:rPr>
          <w:b w:val="0"/>
          <w:bCs w:val="0"/>
          <w:sz w:val="21"/>
          <w:szCs w:val="24"/>
        </w:rPr>
      </w:pPr>
      <w:r>
        <w:rPr>
          <w:rFonts w:hint="eastAsia"/>
          <w:b w:val="0"/>
          <w:bCs w:val="0"/>
          <w:sz w:val="21"/>
          <w:szCs w:val="24"/>
        </w:rPr>
        <w:t>根据项目情况自行配备必要的养护工作人员，投标文件中须列清所有人员清单、资质、工作经验等相关资料。</w:t>
      </w:r>
      <w:bookmarkEnd w:id="68"/>
    </w:p>
    <w:p>
      <w:pPr>
        <w:pStyle w:val="5"/>
        <w:spacing w:before="0" w:after="0" w:line="480" w:lineRule="exact"/>
        <w:ind w:left="425"/>
        <w:rPr>
          <w:b w:val="0"/>
          <w:bCs w:val="0"/>
          <w:sz w:val="21"/>
          <w:szCs w:val="24"/>
        </w:rPr>
      </w:pPr>
      <w:r>
        <w:rPr>
          <w:rFonts w:hint="eastAsia"/>
          <w:b w:val="0"/>
          <w:bCs w:val="0"/>
          <w:sz w:val="21"/>
          <w:szCs w:val="24"/>
        </w:rPr>
        <w:t>1.5根据每区块养护设施量、养护质量标准及考核标准等，由投标人按要求自行购置（优先考</w:t>
      </w:r>
    </w:p>
    <w:p>
      <w:pPr>
        <w:pStyle w:val="5"/>
        <w:spacing w:before="0" w:after="0" w:line="480" w:lineRule="exact"/>
        <w:rPr>
          <w:b w:val="0"/>
          <w:bCs w:val="0"/>
          <w:sz w:val="21"/>
          <w:szCs w:val="24"/>
        </w:rPr>
      </w:pPr>
      <w:r>
        <w:rPr>
          <w:rFonts w:hint="eastAsia"/>
          <w:b w:val="0"/>
          <w:bCs w:val="0"/>
          <w:sz w:val="21"/>
          <w:szCs w:val="24"/>
        </w:rPr>
        <w:t>虑自行购置）或巡查、作业所需的车辆、机械和设备。投标人应在投标文件中明确拟投入的车辆和设备种类、数量及费用。</w:t>
      </w:r>
    </w:p>
    <w:p>
      <w:pPr>
        <w:pStyle w:val="5"/>
        <w:spacing w:before="0" w:after="0" w:line="480" w:lineRule="exact"/>
        <w:ind w:firstLine="420" w:firstLineChars="200"/>
        <w:rPr>
          <w:b w:val="0"/>
          <w:bCs w:val="0"/>
          <w:sz w:val="21"/>
          <w:szCs w:val="24"/>
        </w:rPr>
      </w:pPr>
      <w:r>
        <w:rPr>
          <w:rFonts w:hint="eastAsia"/>
          <w:b w:val="0"/>
          <w:bCs w:val="0"/>
          <w:sz w:val="21"/>
          <w:szCs w:val="24"/>
        </w:rPr>
        <w:t>1.6投标人须考虑因城市建设等因素而导致的工程数量及养护区域变更或合同无法继续履行等情况，在投标时充分考虑该风险并自行承担因此而造成的一切损失和责任，并服从政策和招标人针对本项目内容的调整方式及管理规定，且不得向招标人提出索赔。</w:t>
      </w:r>
    </w:p>
    <w:p>
      <w:pPr>
        <w:pStyle w:val="5"/>
        <w:spacing w:before="0" w:after="0" w:line="480" w:lineRule="exact"/>
        <w:ind w:firstLine="420" w:firstLineChars="200"/>
      </w:pPr>
      <w:r>
        <w:rPr>
          <w:rFonts w:hint="eastAsia"/>
          <w:b w:val="0"/>
          <w:bCs w:val="0"/>
          <w:sz w:val="21"/>
          <w:szCs w:val="24"/>
        </w:rPr>
        <w:t>*注：如因城市建设等原因，造成合同执行期内养护内容、面积、设施数量的增加或减少，则以实际工作量按中标单价按实结算，投标人不得有异议。</w:t>
      </w:r>
    </w:p>
    <w:p>
      <w:pPr>
        <w:tabs>
          <w:tab w:val="left" w:pos="0"/>
        </w:tabs>
        <w:spacing w:line="440" w:lineRule="exact"/>
        <w:ind w:firstLine="420" w:firstLineChars="200"/>
        <w:contextualSpacing/>
        <w:rPr>
          <w:szCs w:val="24"/>
        </w:rPr>
      </w:pPr>
      <w:r>
        <w:rPr>
          <w:rFonts w:hint="eastAsia"/>
          <w:szCs w:val="24"/>
        </w:rPr>
        <w:t>1.7标段划分</w:t>
      </w:r>
    </w:p>
    <w:tbl>
      <w:tblPr>
        <w:tblStyle w:val="46"/>
        <w:tblpPr w:leftFromText="180" w:rightFromText="180" w:vertAnchor="text" w:horzAnchor="page" w:tblpX="1840" w:tblpY="159"/>
        <w:tblOverlap w:val="never"/>
        <w:tblW w:w="0" w:type="auto"/>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25"/>
        <w:gridCol w:w="2505"/>
        <w:gridCol w:w="1543"/>
        <w:gridCol w:w="381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91" w:hRule="atLeast"/>
        </w:trPr>
        <w:tc>
          <w:tcPr>
            <w:tcW w:w="825" w:type="dxa"/>
            <w:tcBorders>
              <w:top w:val="single" w:color="auto" w:sz="4" w:space="0"/>
              <w:bottom w:val="single" w:color="auto" w:sz="4" w:space="0"/>
            </w:tcBorders>
            <w:vAlign w:val="center"/>
          </w:tcPr>
          <w:p>
            <w:pPr>
              <w:spacing w:line="360" w:lineRule="auto"/>
              <w:ind w:left="-110" w:right="-114"/>
              <w:jc w:val="center"/>
              <w:rPr>
                <w:szCs w:val="24"/>
              </w:rPr>
            </w:pPr>
            <w:bookmarkStart w:id="69" w:name="_Toc372870933"/>
            <w:bookmarkStart w:id="70" w:name="_Toc281485988"/>
            <w:r>
              <w:rPr>
                <w:szCs w:val="24"/>
              </w:rPr>
              <w:t>标段</w:t>
            </w:r>
          </w:p>
        </w:tc>
        <w:tc>
          <w:tcPr>
            <w:tcW w:w="2505" w:type="dxa"/>
            <w:tcBorders>
              <w:top w:val="single" w:color="auto" w:sz="4" w:space="0"/>
              <w:bottom w:val="single" w:color="auto" w:sz="4" w:space="0"/>
            </w:tcBorders>
            <w:vAlign w:val="center"/>
          </w:tcPr>
          <w:p>
            <w:pPr>
              <w:spacing w:line="360" w:lineRule="auto"/>
              <w:ind w:left="-110" w:right="-114"/>
              <w:jc w:val="center"/>
              <w:rPr>
                <w:szCs w:val="24"/>
              </w:rPr>
            </w:pPr>
            <w:r>
              <w:rPr>
                <w:szCs w:val="24"/>
              </w:rPr>
              <w:t>服务项目名称</w:t>
            </w:r>
          </w:p>
        </w:tc>
        <w:tc>
          <w:tcPr>
            <w:tcW w:w="1543" w:type="dxa"/>
            <w:tcBorders>
              <w:top w:val="single" w:color="auto" w:sz="4" w:space="0"/>
              <w:bottom w:val="single" w:color="auto" w:sz="4" w:space="0"/>
            </w:tcBorders>
            <w:vAlign w:val="center"/>
          </w:tcPr>
          <w:p>
            <w:pPr>
              <w:spacing w:line="360" w:lineRule="auto"/>
              <w:ind w:left="-110" w:right="-114"/>
              <w:jc w:val="center"/>
              <w:rPr>
                <w:szCs w:val="24"/>
              </w:rPr>
            </w:pPr>
            <w:r>
              <w:rPr>
                <w:szCs w:val="24"/>
              </w:rPr>
              <w:t>服务范围</w:t>
            </w:r>
          </w:p>
        </w:tc>
        <w:tc>
          <w:tcPr>
            <w:tcW w:w="3812" w:type="dxa"/>
            <w:tcBorders>
              <w:top w:val="single" w:color="auto" w:sz="4" w:space="0"/>
              <w:bottom w:val="single" w:color="auto" w:sz="4" w:space="0"/>
            </w:tcBorders>
            <w:vAlign w:val="center"/>
          </w:tcPr>
          <w:p>
            <w:pPr>
              <w:spacing w:line="360" w:lineRule="auto"/>
              <w:ind w:left="-110" w:right="-114"/>
              <w:jc w:val="center"/>
              <w:rPr>
                <w:szCs w:val="24"/>
              </w:rPr>
            </w:pPr>
            <w:r>
              <w:rPr>
                <w:szCs w:val="24"/>
              </w:rPr>
              <w:t>服务内容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97" w:hRule="atLeast"/>
        </w:trPr>
        <w:tc>
          <w:tcPr>
            <w:tcW w:w="825" w:type="dxa"/>
            <w:tcBorders>
              <w:top w:val="single" w:color="auto" w:sz="4" w:space="0"/>
              <w:bottom w:val="single" w:color="auto" w:sz="4" w:space="0"/>
            </w:tcBorders>
            <w:vAlign w:val="center"/>
          </w:tcPr>
          <w:p>
            <w:pPr>
              <w:spacing w:line="360" w:lineRule="auto"/>
              <w:ind w:left="-110" w:right="-114"/>
              <w:jc w:val="center"/>
              <w:rPr>
                <w:szCs w:val="24"/>
              </w:rPr>
            </w:pPr>
            <w:r>
              <w:rPr>
                <w:rFonts w:hint="eastAsia"/>
                <w:szCs w:val="24"/>
              </w:rPr>
              <w:t>一</w:t>
            </w:r>
          </w:p>
        </w:tc>
        <w:tc>
          <w:tcPr>
            <w:tcW w:w="2505" w:type="dxa"/>
            <w:tcBorders>
              <w:top w:val="single" w:color="auto" w:sz="4" w:space="0"/>
              <w:bottom w:val="single" w:color="auto" w:sz="4" w:space="0"/>
            </w:tcBorders>
            <w:vAlign w:val="center"/>
          </w:tcPr>
          <w:p>
            <w:pPr>
              <w:spacing w:line="360" w:lineRule="auto"/>
              <w:ind w:left="-110" w:right="-114"/>
              <w:jc w:val="center"/>
              <w:rPr>
                <w:szCs w:val="24"/>
              </w:rPr>
            </w:pPr>
            <w:r>
              <w:rPr>
                <w:rFonts w:hint="eastAsia"/>
                <w:szCs w:val="24"/>
              </w:rPr>
              <w:t>一</w:t>
            </w:r>
            <w:r>
              <w:rPr>
                <w:szCs w:val="24"/>
              </w:rPr>
              <w:t>标段绿化养护</w:t>
            </w:r>
          </w:p>
          <w:p>
            <w:pPr>
              <w:spacing w:line="360" w:lineRule="auto"/>
              <w:ind w:left="-110" w:right="-114"/>
              <w:jc w:val="center"/>
              <w:rPr>
                <w:szCs w:val="24"/>
              </w:rPr>
            </w:pPr>
            <w:r>
              <w:rPr>
                <w:szCs w:val="24"/>
              </w:rPr>
              <w:t>（含</w:t>
            </w:r>
            <w:r>
              <w:rPr>
                <w:rFonts w:hint="eastAsia"/>
                <w:color w:val="000000" w:themeColor="text1"/>
                <w:szCs w:val="24"/>
              </w:rPr>
              <w:t>公园巡查、保洁</w:t>
            </w:r>
            <w:r>
              <w:rPr>
                <w:szCs w:val="24"/>
              </w:rPr>
              <w:t>服务）</w:t>
            </w:r>
          </w:p>
        </w:tc>
        <w:tc>
          <w:tcPr>
            <w:tcW w:w="1543" w:type="dxa"/>
            <w:tcBorders>
              <w:top w:val="single" w:color="auto" w:sz="4" w:space="0"/>
              <w:bottom w:val="single" w:color="auto" w:sz="4" w:space="0"/>
            </w:tcBorders>
            <w:vAlign w:val="center"/>
          </w:tcPr>
          <w:p>
            <w:pPr>
              <w:spacing w:line="360" w:lineRule="auto"/>
              <w:ind w:left="-110" w:right="-114"/>
              <w:jc w:val="center"/>
              <w:rPr>
                <w:szCs w:val="24"/>
              </w:rPr>
            </w:pPr>
            <w:r>
              <w:rPr>
                <w:rFonts w:hint="eastAsia"/>
                <w:szCs w:val="24"/>
              </w:rPr>
              <w:t xml:space="preserve"> 200338</w:t>
            </w:r>
            <w:r>
              <w:rPr>
                <w:szCs w:val="24"/>
              </w:rPr>
              <w:t>m²</w:t>
            </w:r>
          </w:p>
        </w:tc>
        <w:tc>
          <w:tcPr>
            <w:tcW w:w="3812" w:type="dxa"/>
            <w:vMerge w:val="restart"/>
            <w:tcBorders>
              <w:top w:val="single" w:color="auto" w:sz="4" w:space="0"/>
            </w:tcBorders>
            <w:vAlign w:val="center"/>
          </w:tcPr>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整形修剪、病虫害防治、草坪打孔、割草、除草、浇水、扶正、补植、松土切边、施肥、涂白、支撑、看护、鲜花日常养护等；</w:t>
            </w:r>
          </w:p>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防台抗台抗旱雨雪冰冻等灾害气候中的绿化管护；</w:t>
            </w:r>
          </w:p>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绿地内招标人所辖设施的维护、清洁；</w:t>
            </w:r>
          </w:p>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花箱、公园保洁，清除树木吊挂杂物，随时清除枯枝叶、断枝和养护作业垃圾；</w:t>
            </w:r>
          </w:p>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公园绿地治安巡查；</w:t>
            </w:r>
          </w:p>
          <w:p>
            <w:pPr>
              <w:spacing w:line="360" w:lineRule="auto"/>
              <w:ind w:left="-110" w:right="-114"/>
              <w:jc w:val="left"/>
              <w:rPr>
                <w:rFonts w:asciiTheme="minorEastAsia" w:hAnsiTheme="minorEastAsia" w:cstheme="minorEastAsia"/>
                <w:szCs w:val="21"/>
              </w:rPr>
            </w:pPr>
            <w:r>
              <w:rPr>
                <w:rFonts w:hint="eastAsia" w:asciiTheme="minorEastAsia" w:hAnsiTheme="minorEastAsia" w:cstheme="minorEastAsia"/>
                <w:szCs w:val="21"/>
              </w:rPr>
              <w:t>双联指挥中心应急情况处置等；</w:t>
            </w:r>
          </w:p>
          <w:p>
            <w:pPr>
              <w:spacing w:line="360" w:lineRule="auto"/>
              <w:ind w:left="-110" w:right="-114"/>
              <w:jc w:val="left"/>
              <w:rPr>
                <w:rFonts w:asciiTheme="minorEastAsia" w:hAnsiTheme="minorEastAsia" w:cstheme="minorEastAsia"/>
                <w:szCs w:val="21"/>
              </w:rPr>
            </w:pPr>
            <w:r>
              <w:rPr>
                <w:rFonts w:hint="eastAsia"/>
                <w:szCs w:val="21"/>
              </w:rPr>
              <w:t>标段区域内的巡查、保洁；</w:t>
            </w:r>
          </w:p>
          <w:p>
            <w:pPr>
              <w:spacing w:line="360" w:lineRule="auto"/>
              <w:ind w:left="-110" w:right="-114"/>
              <w:jc w:val="left"/>
              <w:rPr>
                <w:szCs w:val="24"/>
              </w:rPr>
            </w:pPr>
            <w:r>
              <w:rPr>
                <w:rFonts w:hint="eastAsia" w:asciiTheme="minorEastAsia" w:hAnsiTheme="minorEastAsia" w:cstheme="minorEastAsia"/>
                <w:szCs w:val="21"/>
              </w:rPr>
              <w:t>上级主管部门及园林中心另外布置的其他任务。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33" w:hRule="atLeast"/>
        </w:trPr>
        <w:tc>
          <w:tcPr>
            <w:tcW w:w="825" w:type="dxa"/>
            <w:vAlign w:val="center"/>
          </w:tcPr>
          <w:p>
            <w:pPr>
              <w:spacing w:line="360" w:lineRule="auto"/>
              <w:ind w:left="-110" w:right="-114"/>
              <w:jc w:val="center"/>
              <w:rPr>
                <w:szCs w:val="24"/>
              </w:rPr>
            </w:pPr>
            <w:r>
              <w:rPr>
                <w:rFonts w:hint="eastAsia"/>
                <w:szCs w:val="24"/>
              </w:rPr>
              <w:t>二</w:t>
            </w:r>
          </w:p>
        </w:tc>
        <w:tc>
          <w:tcPr>
            <w:tcW w:w="2505" w:type="dxa"/>
            <w:vAlign w:val="center"/>
          </w:tcPr>
          <w:p>
            <w:pPr>
              <w:spacing w:line="360" w:lineRule="auto"/>
              <w:ind w:left="-110" w:right="-114"/>
              <w:jc w:val="center"/>
              <w:rPr>
                <w:szCs w:val="24"/>
              </w:rPr>
            </w:pPr>
            <w:r>
              <w:rPr>
                <w:rFonts w:hint="eastAsia"/>
                <w:szCs w:val="24"/>
              </w:rPr>
              <w:t>二</w:t>
            </w:r>
            <w:r>
              <w:rPr>
                <w:szCs w:val="24"/>
              </w:rPr>
              <w:t>标段绿化养护</w:t>
            </w:r>
            <w:r>
              <w:rPr>
                <w:szCs w:val="24"/>
              </w:rPr>
              <w:br w:type="textWrapping"/>
            </w:r>
            <w:r>
              <w:rPr>
                <w:szCs w:val="24"/>
              </w:rPr>
              <w:t>（含</w:t>
            </w:r>
            <w:r>
              <w:rPr>
                <w:rFonts w:hint="eastAsia"/>
                <w:color w:val="000000" w:themeColor="text1"/>
                <w:szCs w:val="24"/>
              </w:rPr>
              <w:t>公园巡查、保洁</w:t>
            </w:r>
            <w:r>
              <w:rPr>
                <w:szCs w:val="24"/>
              </w:rPr>
              <w:t>服务）</w:t>
            </w:r>
          </w:p>
        </w:tc>
        <w:tc>
          <w:tcPr>
            <w:tcW w:w="1543" w:type="dxa"/>
            <w:vAlign w:val="center"/>
          </w:tcPr>
          <w:p>
            <w:pPr>
              <w:spacing w:line="360" w:lineRule="auto"/>
              <w:ind w:left="-110" w:right="-114"/>
              <w:jc w:val="center"/>
              <w:rPr>
                <w:szCs w:val="24"/>
              </w:rPr>
            </w:pPr>
            <w:r>
              <w:rPr>
                <w:rFonts w:hint="eastAsia"/>
                <w:szCs w:val="24"/>
              </w:rPr>
              <w:t xml:space="preserve"> 230058</w:t>
            </w:r>
            <w:r>
              <w:rPr>
                <w:szCs w:val="24"/>
              </w:rPr>
              <w:t>m²</w:t>
            </w:r>
          </w:p>
        </w:tc>
        <w:tc>
          <w:tcPr>
            <w:tcW w:w="3812"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41" w:hRule="atLeast"/>
        </w:trPr>
        <w:tc>
          <w:tcPr>
            <w:tcW w:w="825" w:type="dxa"/>
            <w:vAlign w:val="center"/>
          </w:tcPr>
          <w:p>
            <w:pPr>
              <w:spacing w:line="360" w:lineRule="auto"/>
              <w:ind w:left="-110" w:right="-114"/>
              <w:jc w:val="center"/>
              <w:rPr>
                <w:szCs w:val="24"/>
              </w:rPr>
            </w:pPr>
            <w:r>
              <w:rPr>
                <w:rFonts w:hint="eastAsia"/>
                <w:szCs w:val="24"/>
              </w:rPr>
              <w:t>三</w:t>
            </w:r>
          </w:p>
        </w:tc>
        <w:tc>
          <w:tcPr>
            <w:tcW w:w="2505" w:type="dxa"/>
            <w:vAlign w:val="center"/>
          </w:tcPr>
          <w:p>
            <w:pPr>
              <w:spacing w:line="360" w:lineRule="auto"/>
              <w:ind w:left="-110" w:right="-114"/>
              <w:jc w:val="center"/>
              <w:rPr>
                <w:szCs w:val="24"/>
              </w:rPr>
            </w:pPr>
            <w:r>
              <w:rPr>
                <w:rFonts w:hint="eastAsia"/>
                <w:szCs w:val="24"/>
              </w:rPr>
              <w:t>三</w:t>
            </w:r>
            <w:r>
              <w:rPr>
                <w:szCs w:val="24"/>
              </w:rPr>
              <w:t>标段绿化养护</w:t>
            </w:r>
            <w:r>
              <w:rPr>
                <w:szCs w:val="24"/>
              </w:rPr>
              <w:br w:type="textWrapping"/>
            </w:r>
            <w:r>
              <w:rPr>
                <w:szCs w:val="24"/>
              </w:rPr>
              <w:t>（含</w:t>
            </w:r>
            <w:r>
              <w:rPr>
                <w:rFonts w:hint="eastAsia"/>
                <w:color w:val="000000" w:themeColor="text1"/>
                <w:szCs w:val="24"/>
              </w:rPr>
              <w:t>公园巡查、保洁</w:t>
            </w:r>
            <w:r>
              <w:rPr>
                <w:szCs w:val="24"/>
              </w:rPr>
              <w:t>服务）</w:t>
            </w:r>
          </w:p>
        </w:tc>
        <w:tc>
          <w:tcPr>
            <w:tcW w:w="1543" w:type="dxa"/>
            <w:vAlign w:val="center"/>
          </w:tcPr>
          <w:p>
            <w:pPr>
              <w:spacing w:line="360" w:lineRule="auto"/>
              <w:ind w:left="-110" w:right="-114"/>
              <w:jc w:val="center"/>
              <w:rPr>
                <w:szCs w:val="24"/>
              </w:rPr>
            </w:pPr>
            <w:r>
              <w:rPr>
                <w:rFonts w:hint="eastAsia"/>
                <w:szCs w:val="24"/>
              </w:rPr>
              <w:t xml:space="preserve"> 217978</w:t>
            </w:r>
            <w:r>
              <w:rPr>
                <w:szCs w:val="24"/>
              </w:rPr>
              <w:t>m²</w:t>
            </w:r>
          </w:p>
        </w:tc>
        <w:tc>
          <w:tcPr>
            <w:tcW w:w="3812"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72" w:hRule="atLeast"/>
        </w:trPr>
        <w:tc>
          <w:tcPr>
            <w:tcW w:w="825" w:type="dxa"/>
            <w:vAlign w:val="center"/>
          </w:tcPr>
          <w:p>
            <w:pPr>
              <w:spacing w:line="360" w:lineRule="auto"/>
              <w:ind w:left="-110" w:right="-114"/>
              <w:jc w:val="center"/>
              <w:rPr>
                <w:szCs w:val="24"/>
              </w:rPr>
            </w:pPr>
            <w:r>
              <w:rPr>
                <w:rFonts w:hint="eastAsia"/>
                <w:szCs w:val="24"/>
              </w:rPr>
              <w:t>四</w:t>
            </w:r>
          </w:p>
        </w:tc>
        <w:tc>
          <w:tcPr>
            <w:tcW w:w="2505" w:type="dxa"/>
            <w:vAlign w:val="center"/>
          </w:tcPr>
          <w:p>
            <w:pPr>
              <w:spacing w:line="360" w:lineRule="auto"/>
              <w:ind w:left="-110" w:right="-114"/>
              <w:jc w:val="center"/>
              <w:rPr>
                <w:szCs w:val="24"/>
              </w:rPr>
            </w:pPr>
            <w:r>
              <w:rPr>
                <w:rFonts w:hint="eastAsia"/>
                <w:szCs w:val="24"/>
              </w:rPr>
              <w:t>四</w:t>
            </w:r>
            <w:r>
              <w:rPr>
                <w:szCs w:val="24"/>
              </w:rPr>
              <w:t>标段绿化养护</w:t>
            </w:r>
          </w:p>
          <w:p>
            <w:pPr>
              <w:spacing w:line="360" w:lineRule="auto"/>
              <w:ind w:left="-110" w:right="-114"/>
              <w:jc w:val="center"/>
              <w:rPr>
                <w:szCs w:val="24"/>
              </w:rPr>
            </w:pPr>
            <w:r>
              <w:rPr>
                <w:szCs w:val="24"/>
              </w:rPr>
              <w:t>（含</w:t>
            </w:r>
            <w:r>
              <w:rPr>
                <w:rFonts w:hint="eastAsia"/>
                <w:color w:val="000000" w:themeColor="text1"/>
                <w:szCs w:val="24"/>
              </w:rPr>
              <w:t>公园巡查、保洁</w:t>
            </w:r>
            <w:r>
              <w:rPr>
                <w:szCs w:val="24"/>
              </w:rPr>
              <w:t>服务）</w:t>
            </w:r>
          </w:p>
        </w:tc>
        <w:tc>
          <w:tcPr>
            <w:tcW w:w="1543" w:type="dxa"/>
            <w:vAlign w:val="center"/>
          </w:tcPr>
          <w:p>
            <w:pPr>
              <w:spacing w:line="360" w:lineRule="auto"/>
              <w:ind w:left="-110" w:right="-114"/>
              <w:jc w:val="center"/>
              <w:rPr>
                <w:szCs w:val="24"/>
              </w:rPr>
            </w:pPr>
            <w:r>
              <w:rPr>
                <w:rFonts w:hint="eastAsia"/>
                <w:szCs w:val="24"/>
              </w:rPr>
              <w:t xml:space="preserve"> 156891</w:t>
            </w:r>
            <w:r>
              <w:rPr>
                <w:szCs w:val="24"/>
              </w:rPr>
              <w:t>m²</w:t>
            </w:r>
          </w:p>
        </w:tc>
        <w:tc>
          <w:tcPr>
            <w:tcW w:w="3812"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992" w:hRule="atLeast"/>
        </w:trPr>
        <w:tc>
          <w:tcPr>
            <w:tcW w:w="825" w:type="dxa"/>
            <w:vAlign w:val="center"/>
          </w:tcPr>
          <w:p>
            <w:pPr>
              <w:spacing w:line="360" w:lineRule="auto"/>
              <w:ind w:left="-110" w:right="-114"/>
              <w:jc w:val="center"/>
              <w:rPr>
                <w:szCs w:val="24"/>
              </w:rPr>
            </w:pPr>
            <w:r>
              <w:rPr>
                <w:rFonts w:hint="eastAsia"/>
                <w:szCs w:val="24"/>
              </w:rPr>
              <w:t>五</w:t>
            </w:r>
          </w:p>
        </w:tc>
        <w:tc>
          <w:tcPr>
            <w:tcW w:w="2505" w:type="dxa"/>
            <w:vAlign w:val="center"/>
          </w:tcPr>
          <w:p>
            <w:pPr>
              <w:spacing w:line="360" w:lineRule="auto"/>
              <w:ind w:left="-110" w:right="-114"/>
              <w:jc w:val="center"/>
              <w:rPr>
                <w:szCs w:val="24"/>
              </w:rPr>
            </w:pPr>
            <w:r>
              <w:rPr>
                <w:rFonts w:hint="eastAsia"/>
                <w:szCs w:val="24"/>
              </w:rPr>
              <w:t>五</w:t>
            </w:r>
            <w:r>
              <w:rPr>
                <w:szCs w:val="24"/>
              </w:rPr>
              <w:t>标段绿化养护</w:t>
            </w:r>
            <w:r>
              <w:rPr>
                <w:szCs w:val="24"/>
              </w:rPr>
              <w:br w:type="textWrapping"/>
            </w:r>
            <w:r>
              <w:rPr>
                <w:szCs w:val="24"/>
              </w:rPr>
              <w:t>（含</w:t>
            </w:r>
            <w:r>
              <w:rPr>
                <w:rFonts w:hint="eastAsia"/>
                <w:color w:val="000000" w:themeColor="text1"/>
                <w:szCs w:val="24"/>
              </w:rPr>
              <w:t>公园巡查、保洁</w:t>
            </w:r>
            <w:r>
              <w:rPr>
                <w:szCs w:val="24"/>
              </w:rPr>
              <w:t>服务）</w:t>
            </w:r>
          </w:p>
        </w:tc>
        <w:tc>
          <w:tcPr>
            <w:tcW w:w="1543" w:type="dxa"/>
            <w:vAlign w:val="center"/>
          </w:tcPr>
          <w:p>
            <w:pPr>
              <w:spacing w:line="360" w:lineRule="auto"/>
              <w:ind w:left="-110" w:right="-114"/>
              <w:jc w:val="center"/>
              <w:rPr>
                <w:szCs w:val="24"/>
              </w:rPr>
            </w:pPr>
            <w:r>
              <w:rPr>
                <w:rFonts w:hint="eastAsia"/>
                <w:szCs w:val="24"/>
              </w:rPr>
              <w:t xml:space="preserve"> 217571</w:t>
            </w:r>
            <w:r>
              <w:rPr>
                <w:szCs w:val="24"/>
              </w:rPr>
              <w:t>m²</w:t>
            </w:r>
          </w:p>
        </w:tc>
        <w:tc>
          <w:tcPr>
            <w:tcW w:w="3812"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856" w:hRule="atLeast"/>
        </w:trPr>
        <w:tc>
          <w:tcPr>
            <w:tcW w:w="825" w:type="dxa"/>
            <w:vAlign w:val="center"/>
          </w:tcPr>
          <w:p>
            <w:pPr>
              <w:spacing w:line="360" w:lineRule="auto"/>
              <w:ind w:left="-110" w:right="-114"/>
              <w:jc w:val="center"/>
              <w:rPr>
                <w:szCs w:val="24"/>
              </w:rPr>
            </w:pPr>
            <w:r>
              <w:rPr>
                <w:rFonts w:hint="eastAsia"/>
                <w:szCs w:val="24"/>
              </w:rPr>
              <w:t>六</w:t>
            </w:r>
          </w:p>
        </w:tc>
        <w:tc>
          <w:tcPr>
            <w:tcW w:w="2505" w:type="dxa"/>
            <w:vAlign w:val="center"/>
          </w:tcPr>
          <w:p>
            <w:pPr>
              <w:spacing w:line="360" w:lineRule="auto"/>
              <w:ind w:left="-110" w:right="-114"/>
              <w:jc w:val="center"/>
              <w:rPr>
                <w:szCs w:val="24"/>
              </w:rPr>
            </w:pPr>
            <w:r>
              <w:rPr>
                <w:rFonts w:hint="eastAsia"/>
                <w:szCs w:val="24"/>
              </w:rPr>
              <w:t>六</w:t>
            </w:r>
            <w:r>
              <w:rPr>
                <w:szCs w:val="24"/>
              </w:rPr>
              <w:t>标段绿化养护</w:t>
            </w:r>
          </w:p>
          <w:p>
            <w:pPr>
              <w:spacing w:line="360" w:lineRule="auto"/>
              <w:ind w:left="-110" w:right="-114"/>
              <w:jc w:val="center"/>
              <w:rPr>
                <w:szCs w:val="24"/>
              </w:rPr>
            </w:pPr>
            <w:r>
              <w:rPr>
                <w:szCs w:val="24"/>
              </w:rPr>
              <w:t>（含</w:t>
            </w:r>
            <w:r>
              <w:rPr>
                <w:rFonts w:hint="eastAsia"/>
                <w:color w:val="000000" w:themeColor="text1"/>
                <w:szCs w:val="24"/>
              </w:rPr>
              <w:t>公园巡查、保洁</w:t>
            </w:r>
            <w:r>
              <w:rPr>
                <w:szCs w:val="24"/>
              </w:rPr>
              <w:t>服务）</w:t>
            </w:r>
          </w:p>
        </w:tc>
        <w:tc>
          <w:tcPr>
            <w:tcW w:w="1543" w:type="dxa"/>
            <w:vAlign w:val="center"/>
          </w:tcPr>
          <w:p>
            <w:pPr>
              <w:spacing w:line="360" w:lineRule="auto"/>
              <w:ind w:left="-110" w:right="-114"/>
              <w:jc w:val="center"/>
              <w:rPr>
                <w:szCs w:val="24"/>
              </w:rPr>
            </w:pPr>
            <w:r>
              <w:rPr>
                <w:rFonts w:hint="eastAsia"/>
                <w:szCs w:val="24"/>
              </w:rPr>
              <w:t xml:space="preserve"> 234215</w:t>
            </w:r>
            <w:r>
              <w:rPr>
                <w:szCs w:val="24"/>
              </w:rPr>
              <w:t>m²</w:t>
            </w:r>
          </w:p>
        </w:tc>
        <w:tc>
          <w:tcPr>
            <w:tcW w:w="3812"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825" w:type="dxa"/>
            <w:vAlign w:val="center"/>
          </w:tcPr>
          <w:p>
            <w:pPr>
              <w:spacing w:line="360" w:lineRule="auto"/>
              <w:ind w:left="-110" w:right="-114"/>
              <w:jc w:val="center"/>
              <w:rPr>
                <w:szCs w:val="24"/>
              </w:rPr>
            </w:pPr>
            <w:r>
              <w:rPr>
                <w:rFonts w:hint="eastAsia"/>
                <w:szCs w:val="24"/>
              </w:rPr>
              <w:t>七</w:t>
            </w:r>
          </w:p>
        </w:tc>
        <w:tc>
          <w:tcPr>
            <w:tcW w:w="2505" w:type="dxa"/>
            <w:vAlign w:val="center"/>
          </w:tcPr>
          <w:p>
            <w:pPr>
              <w:spacing w:line="360" w:lineRule="auto"/>
              <w:ind w:left="-110" w:right="-114"/>
              <w:jc w:val="center"/>
              <w:rPr>
                <w:szCs w:val="24"/>
              </w:rPr>
            </w:pPr>
            <w:r>
              <w:rPr>
                <w:rFonts w:hint="eastAsia"/>
                <w:szCs w:val="24"/>
              </w:rPr>
              <w:t>七</w:t>
            </w:r>
            <w:r>
              <w:rPr>
                <w:szCs w:val="24"/>
              </w:rPr>
              <w:t>标段绿化养护</w:t>
            </w:r>
          </w:p>
          <w:p>
            <w:pPr>
              <w:spacing w:line="360" w:lineRule="auto"/>
              <w:ind w:left="-110" w:right="-114"/>
              <w:jc w:val="center"/>
              <w:rPr>
                <w:szCs w:val="24"/>
              </w:rPr>
            </w:pPr>
            <w:r>
              <w:rPr>
                <w:szCs w:val="24"/>
              </w:rPr>
              <w:t>（含</w:t>
            </w:r>
            <w:r>
              <w:rPr>
                <w:rFonts w:hint="eastAsia"/>
                <w:color w:val="000000" w:themeColor="text1"/>
                <w:szCs w:val="24"/>
              </w:rPr>
              <w:t>公园巡查、保洁</w:t>
            </w:r>
            <w:r>
              <w:rPr>
                <w:szCs w:val="24"/>
              </w:rPr>
              <w:t>服务）</w:t>
            </w:r>
          </w:p>
        </w:tc>
        <w:tc>
          <w:tcPr>
            <w:tcW w:w="1543" w:type="dxa"/>
            <w:vAlign w:val="center"/>
          </w:tcPr>
          <w:p>
            <w:pPr>
              <w:spacing w:line="360" w:lineRule="auto"/>
              <w:ind w:left="-110" w:right="-114"/>
              <w:jc w:val="center"/>
              <w:rPr>
                <w:szCs w:val="24"/>
              </w:rPr>
            </w:pPr>
            <w:r>
              <w:rPr>
                <w:rFonts w:hint="eastAsia"/>
                <w:szCs w:val="24"/>
              </w:rPr>
              <w:t xml:space="preserve"> 188831</w:t>
            </w:r>
            <w:r>
              <w:rPr>
                <w:szCs w:val="24"/>
              </w:rPr>
              <w:t>m²</w:t>
            </w:r>
          </w:p>
        </w:tc>
        <w:tc>
          <w:tcPr>
            <w:tcW w:w="3812" w:type="dxa"/>
            <w:vMerge w:val="continue"/>
            <w:vAlign w:val="center"/>
          </w:tcPr>
          <w:p>
            <w:pPr>
              <w:spacing w:line="360" w:lineRule="auto"/>
              <w:ind w:left="-110" w:right="-114"/>
              <w:jc w:val="center"/>
              <w:rPr>
                <w:szCs w:val="24"/>
              </w:rPr>
            </w:pPr>
          </w:p>
        </w:tc>
      </w:tr>
    </w:tbl>
    <w:p>
      <w:pPr>
        <w:tabs>
          <w:tab w:val="left" w:pos="0"/>
        </w:tabs>
        <w:spacing w:line="440" w:lineRule="exact"/>
        <w:ind w:firstLine="420" w:firstLineChars="200"/>
        <w:contextualSpacing/>
        <w:rPr>
          <w:szCs w:val="24"/>
        </w:rPr>
      </w:pPr>
      <w:r>
        <w:rPr>
          <w:rFonts w:hint="eastAsia"/>
          <w:szCs w:val="24"/>
        </w:rPr>
        <w:t>1.8执行标准</w:t>
      </w:r>
      <w:bookmarkEnd w:id="69"/>
      <w:bookmarkEnd w:id="70"/>
    </w:p>
    <w:p>
      <w:pPr>
        <w:tabs>
          <w:tab w:val="left" w:pos="1834"/>
        </w:tabs>
        <w:spacing w:line="480" w:lineRule="exact"/>
        <w:ind w:firstLine="420" w:firstLineChars="200"/>
        <w:rPr>
          <w:szCs w:val="24"/>
        </w:rPr>
      </w:pPr>
      <w:r>
        <w:rPr>
          <w:szCs w:val="24"/>
        </w:rPr>
        <w:t>《宁波市城市绿地养护质量等级标准》</w:t>
      </w:r>
    </w:p>
    <w:p>
      <w:pPr>
        <w:tabs>
          <w:tab w:val="left" w:pos="1834"/>
        </w:tabs>
        <w:spacing w:line="480" w:lineRule="exact"/>
        <w:ind w:firstLine="420" w:firstLineChars="200"/>
        <w:rPr>
          <w:szCs w:val="24"/>
        </w:rPr>
      </w:pPr>
      <w:r>
        <w:rPr>
          <w:szCs w:val="24"/>
        </w:rPr>
        <w:t>《宁波市城市绿地养护技术规程》</w:t>
      </w:r>
    </w:p>
    <w:p>
      <w:pPr>
        <w:tabs>
          <w:tab w:val="left" w:pos="1834"/>
        </w:tabs>
        <w:spacing w:line="480" w:lineRule="exact"/>
        <w:ind w:firstLine="420" w:firstLineChars="200"/>
        <w:rPr>
          <w:szCs w:val="24"/>
        </w:rPr>
      </w:pPr>
      <w:r>
        <w:rPr>
          <w:szCs w:val="24"/>
        </w:rPr>
        <w:t>《宁海县绿化养护管理考核实施细则》</w:t>
      </w:r>
    </w:p>
    <w:p>
      <w:pPr>
        <w:tabs>
          <w:tab w:val="left" w:pos="1834"/>
        </w:tabs>
        <w:spacing w:line="480" w:lineRule="exact"/>
        <w:ind w:firstLine="420" w:firstLineChars="200"/>
        <w:rPr>
          <w:szCs w:val="24"/>
        </w:rPr>
      </w:pPr>
      <w:r>
        <w:rPr>
          <w:rFonts w:hint="eastAsia"/>
          <w:szCs w:val="24"/>
        </w:rPr>
        <w:t>《</w:t>
      </w:r>
      <w:r>
        <w:rPr>
          <w:szCs w:val="24"/>
        </w:rPr>
        <w:t>宁波市园林绿化养护定额</w:t>
      </w:r>
      <w:r>
        <w:rPr>
          <w:rFonts w:hint="eastAsia"/>
          <w:szCs w:val="24"/>
        </w:rPr>
        <w:t>》</w:t>
      </w:r>
    </w:p>
    <w:p>
      <w:pPr>
        <w:tabs>
          <w:tab w:val="left" w:pos="0"/>
        </w:tabs>
        <w:spacing w:line="440" w:lineRule="exact"/>
        <w:ind w:firstLine="420" w:firstLineChars="200"/>
        <w:contextualSpacing/>
        <w:rPr>
          <w:szCs w:val="24"/>
        </w:rPr>
      </w:pPr>
      <w:bookmarkStart w:id="71" w:name="_Toc372870934"/>
      <w:bookmarkStart w:id="72" w:name="_Toc281485989"/>
      <w:r>
        <w:rPr>
          <w:rFonts w:hint="eastAsia"/>
          <w:szCs w:val="24"/>
        </w:rPr>
        <w:t>1.9依据法规</w:t>
      </w:r>
      <w:bookmarkEnd w:id="71"/>
      <w:bookmarkEnd w:id="72"/>
    </w:p>
    <w:p>
      <w:pPr>
        <w:tabs>
          <w:tab w:val="left" w:pos="1834"/>
        </w:tabs>
        <w:spacing w:line="480" w:lineRule="exact"/>
        <w:ind w:firstLine="420" w:firstLineChars="200"/>
        <w:rPr>
          <w:szCs w:val="24"/>
        </w:rPr>
      </w:pPr>
      <w:r>
        <w:rPr>
          <w:szCs w:val="24"/>
        </w:rPr>
        <w:t>《城市绿化条例》（国务院100号令）</w:t>
      </w:r>
    </w:p>
    <w:p>
      <w:pPr>
        <w:tabs>
          <w:tab w:val="left" w:pos="1834"/>
        </w:tabs>
        <w:spacing w:line="480" w:lineRule="exact"/>
        <w:ind w:firstLine="420" w:firstLineChars="200"/>
        <w:rPr>
          <w:szCs w:val="24"/>
        </w:rPr>
      </w:pPr>
      <w:r>
        <w:rPr>
          <w:szCs w:val="24"/>
        </w:rPr>
        <w:t>《城市绿线管理办法》（中华人民共和国建设部令第112号）</w:t>
      </w:r>
    </w:p>
    <w:p>
      <w:pPr>
        <w:tabs>
          <w:tab w:val="left" w:pos="1834"/>
        </w:tabs>
        <w:spacing w:line="480" w:lineRule="exact"/>
        <w:ind w:firstLine="420" w:firstLineChars="200"/>
        <w:rPr>
          <w:szCs w:val="24"/>
        </w:rPr>
      </w:pPr>
      <w:r>
        <w:rPr>
          <w:szCs w:val="24"/>
        </w:rPr>
        <w:t>《浙江省城市绿化管理办法》（浙江省政府令第206号）</w:t>
      </w:r>
    </w:p>
    <w:p>
      <w:pPr>
        <w:tabs>
          <w:tab w:val="left" w:pos="1834"/>
        </w:tabs>
        <w:spacing w:line="480" w:lineRule="exact"/>
        <w:ind w:firstLine="420" w:firstLineChars="200"/>
        <w:rPr>
          <w:szCs w:val="24"/>
        </w:rPr>
      </w:pPr>
      <w:r>
        <w:rPr>
          <w:szCs w:val="24"/>
        </w:rPr>
        <w:t>《宁波市城市绿化条例》（宁波市人大公告第38号）</w:t>
      </w:r>
    </w:p>
    <w:p>
      <w:pPr>
        <w:tabs>
          <w:tab w:val="left" w:pos="1834"/>
        </w:tabs>
        <w:spacing w:line="480" w:lineRule="exact"/>
        <w:ind w:firstLine="420" w:firstLineChars="200"/>
        <w:rPr>
          <w:szCs w:val="24"/>
        </w:rPr>
      </w:pPr>
      <w:r>
        <w:rPr>
          <w:szCs w:val="24"/>
        </w:rPr>
        <w:t>《</w:t>
      </w:r>
      <w:r>
        <w:fldChar w:fldCharType="begin"/>
      </w:r>
      <w:r>
        <w:instrText xml:space="preserve"> HYPERLINK "http://www.nbcg.gov.cn/StatuteDocument.aspx?id=1165387292&amp;catid=82&amp;cat_info=StatuteDocument" \t "_blank" </w:instrText>
      </w:r>
      <w:r>
        <w:fldChar w:fldCharType="separate"/>
      </w:r>
      <w:r>
        <w:rPr>
          <w:szCs w:val="24"/>
        </w:rPr>
        <w:t>宁波市居住区绿化管理办法</w:t>
      </w:r>
      <w:r>
        <w:rPr>
          <w:szCs w:val="24"/>
        </w:rPr>
        <w:fldChar w:fldCharType="end"/>
      </w:r>
      <w:r>
        <w:rPr>
          <w:szCs w:val="24"/>
        </w:rPr>
        <w:t>》（甬城管法（2006）1号）</w:t>
      </w:r>
    </w:p>
    <w:p>
      <w:pPr>
        <w:tabs>
          <w:tab w:val="left" w:pos="1834"/>
        </w:tabs>
        <w:spacing w:line="480" w:lineRule="exact"/>
        <w:ind w:firstLine="420" w:firstLineChars="200"/>
        <w:rPr>
          <w:szCs w:val="24"/>
        </w:rPr>
      </w:pPr>
      <w:r>
        <w:rPr>
          <w:szCs w:val="24"/>
        </w:rPr>
        <w:t>《宁波市城市绿地养护质量等级标准》[DB3302／T 1016—2010]</w:t>
      </w:r>
    </w:p>
    <w:p>
      <w:pPr>
        <w:tabs>
          <w:tab w:val="left" w:pos="1834"/>
        </w:tabs>
        <w:spacing w:line="480" w:lineRule="exact"/>
        <w:ind w:firstLine="420" w:firstLineChars="200"/>
        <w:rPr>
          <w:szCs w:val="24"/>
        </w:rPr>
      </w:pPr>
      <w:r>
        <w:rPr>
          <w:szCs w:val="24"/>
        </w:rPr>
        <w:t>《宁波市古树名木保护管理办法》（宁波市人民政府令第116号）</w:t>
      </w:r>
    </w:p>
    <w:p>
      <w:pPr>
        <w:tabs>
          <w:tab w:val="left" w:pos="1834"/>
        </w:tabs>
        <w:spacing w:line="480" w:lineRule="exact"/>
        <w:ind w:firstLine="420" w:firstLineChars="200"/>
        <w:rPr>
          <w:szCs w:val="24"/>
        </w:rPr>
      </w:pPr>
      <w:r>
        <w:rPr>
          <w:szCs w:val="24"/>
        </w:rPr>
        <w:t>《宁波市城市绿地养护技术规程》（甬城管法〔2004〕157号）</w:t>
      </w:r>
    </w:p>
    <w:p>
      <w:pPr>
        <w:tabs>
          <w:tab w:val="left" w:pos="1834"/>
        </w:tabs>
        <w:spacing w:line="480" w:lineRule="exact"/>
        <w:ind w:firstLine="420" w:firstLineChars="200"/>
        <w:rPr>
          <w:szCs w:val="24"/>
        </w:rPr>
      </w:pPr>
      <w:r>
        <w:rPr>
          <w:rFonts w:hint="eastAsia"/>
          <w:szCs w:val="21"/>
        </w:rPr>
        <w:t>注：以上技术规程、标准和办法如有新版本颁布实施的，执行新颁布的版本。</w:t>
      </w:r>
    </w:p>
    <w:p>
      <w:pPr>
        <w:tabs>
          <w:tab w:val="left" w:pos="1834"/>
        </w:tabs>
        <w:spacing w:line="480" w:lineRule="exact"/>
        <w:ind w:firstLine="630" w:firstLineChars="300"/>
        <w:jc w:val="left"/>
        <w:rPr>
          <w:szCs w:val="24"/>
        </w:rPr>
      </w:pPr>
    </w:p>
    <w:p>
      <w:pPr>
        <w:tabs>
          <w:tab w:val="left" w:pos="1834"/>
        </w:tabs>
        <w:spacing w:line="480" w:lineRule="exact"/>
        <w:ind w:left="1701"/>
        <w:rPr>
          <w:szCs w:val="24"/>
        </w:rPr>
      </w:pPr>
    </w:p>
    <w:p>
      <w:pPr>
        <w:tabs>
          <w:tab w:val="left" w:pos="1834"/>
        </w:tabs>
        <w:spacing w:line="480" w:lineRule="exact"/>
        <w:ind w:left="1701"/>
        <w:rPr>
          <w:szCs w:val="24"/>
        </w:rPr>
      </w:pPr>
    </w:p>
    <w:p>
      <w:pPr>
        <w:tabs>
          <w:tab w:val="left" w:pos="1834"/>
        </w:tabs>
        <w:spacing w:line="480" w:lineRule="exact"/>
        <w:ind w:left="1701"/>
        <w:rPr>
          <w:szCs w:val="24"/>
        </w:rPr>
      </w:pPr>
    </w:p>
    <w:p>
      <w:pPr>
        <w:tabs>
          <w:tab w:val="left" w:pos="0"/>
        </w:tabs>
        <w:spacing w:line="440" w:lineRule="exact"/>
        <w:contextualSpacing/>
        <w:rPr>
          <w:szCs w:val="24"/>
        </w:rPr>
      </w:pPr>
      <w:r>
        <w:rPr>
          <w:rFonts w:hint="eastAsia"/>
          <w:szCs w:val="24"/>
        </w:rPr>
        <w:t>1.8标段数据</w:t>
      </w:r>
    </w:p>
    <w:p>
      <w:pPr>
        <w:jc w:val="left"/>
        <w:rPr>
          <w:b/>
          <w:szCs w:val="24"/>
        </w:rPr>
      </w:pPr>
      <w:r>
        <w:rPr>
          <w:rFonts w:hint="eastAsia"/>
          <w:b/>
          <w:szCs w:val="24"/>
        </w:rPr>
        <w:t>标段号：一</w:t>
      </w:r>
    </w:p>
    <w:p>
      <w:pPr>
        <w:rPr>
          <w:szCs w:val="24"/>
        </w:rPr>
      </w:pPr>
      <w:r>
        <w:rPr>
          <w:rFonts w:hint="eastAsia"/>
          <w:szCs w:val="24"/>
        </w:rPr>
        <w:t>1、绿化养护</w:t>
      </w:r>
    </w:p>
    <w:p>
      <w:pPr>
        <w:rPr>
          <w:szCs w:val="24"/>
        </w:rPr>
      </w:pPr>
      <w:r>
        <w:rPr>
          <w:rFonts w:hint="eastAsia"/>
          <w:szCs w:val="24"/>
        </w:rPr>
        <w:t>网格界限：北至东郊路南侧、环城北路南侧、环城西路南侧、与西郊路东南侧（不含人行道），滨溪路北侧（含人行道）</w:t>
      </w:r>
    </w:p>
    <w:tbl>
      <w:tblPr>
        <w:tblStyle w:val="46"/>
        <w:tblW w:w="10185" w:type="dxa"/>
        <w:tblInd w:w="-655" w:type="dxa"/>
        <w:tblLayout w:type="fixed"/>
        <w:tblCellMar>
          <w:top w:w="0" w:type="dxa"/>
          <w:left w:w="0" w:type="dxa"/>
          <w:bottom w:w="0" w:type="dxa"/>
          <w:right w:w="0" w:type="dxa"/>
        </w:tblCellMar>
      </w:tblPr>
      <w:tblGrid>
        <w:gridCol w:w="645"/>
        <w:gridCol w:w="1440"/>
        <w:gridCol w:w="930"/>
        <w:gridCol w:w="870"/>
        <w:gridCol w:w="765"/>
        <w:gridCol w:w="840"/>
        <w:gridCol w:w="780"/>
        <w:gridCol w:w="795"/>
        <w:gridCol w:w="3120"/>
      </w:tblGrid>
      <w:tr>
        <w:tblPrEx>
          <w:tblCellMar>
            <w:top w:w="0" w:type="dxa"/>
            <w:left w:w="0" w:type="dxa"/>
            <w:bottom w:w="0" w:type="dxa"/>
            <w:right w:w="0" w:type="dxa"/>
          </w:tblCellMar>
        </w:tblPrEx>
        <w:trPr>
          <w:trHeight w:val="745"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项目</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名称</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养护类型与级别</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绿地面积（㎡）</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养护单价（元/年）</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（株）</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27" w:hRule="atLeast"/>
        </w:trPr>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绿地养护</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128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徐霞客大道绿地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35033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种花93900株，其中徐霞客大道90000株（花坛10000*6、花箱5000*6株），西门城楼花箱3000（500*6）株，霞客第一步900株（150*6） ；西门城楼春节、“5.19”、国庆鲜花摆放18000盆（6000*3）；徐霞客大道黑麦草套播13000㎡</w:t>
            </w:r>
          </w:p>
        </w:tc>
      </w:tr>
      <w:tr>
        <w:tblPrEx>
          <w:tblCellMar>
            <w:top w:w="0" w:type="dxa"/>
            <w:left w:w="0" w:type="dxa"/>
            <w:bottom w:w="0" w:type="dxa"/>
            <w:right w:w="0" w:type="dxa"/>
          </w:tblCellMar>
        </w:tblPrEx>
        <w:trPr>
          <w:trHeight w:val="660"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徐霞客大道西延线绿地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53505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种花78000株（草花520㎡，25株/㎡，一年六换）；黑麦草套播15879㎡</w:t>
            </w:r>
          </w:p>
        </w:tc>
      </w:tr>
      <w:tr>
        <w:tblPrEx>
          <w:tblCellMar>
            <w:top w:w="0" w:type="dxa"/>
            <w:left w:w="0" w:type="dxa"/>
            <w:bottom w:w="0" w:type="dxa"/>
            <w:right w:w="0" w:type="dxa"/>
          </w:tblCellMar>
        </w:tblPrEx>
        <w:trPr>
          <w:trHeight w:val="452"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烈士陵园绿地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12380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花箱8400（1400*6）株，黑麦草套播3450㎡</w:t>
            </w:r>
          </w:p>
        </w:tc>
      </w:tr>
      <w:tr>
        <w:tblPrEx>
          <w:tblCellMar>
            <w:top w:w="0" w:type="dxa"/>
            <w:left w:w="0" w:type="dxa"/>
            <w:bottom w:w="0" w:type="dxa"/>
            <w:right w:w="0" w:type="dxa"/>
          </w:tblCellMar>
        </w:tblPrEx>
        <w:trPr>
          <w:trHeight w:val="526"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飞凤山公园绿地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26744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春节、“5.19”、国庆鲜花摆放4500盆（1500*3）；黑麦草套播4850㎡</w:t>
            </w:r>
          </w:p>
        </w:tc>
      </w:tr>
      <w:tr>
        <w:tblPrEx>
          <w:tblCellMar>
            <w:top w:w="0" w:type="dxa"/>
            <w:left w:w="0" w:type="dxa"/>
            <w:bottom w:w="0" w:type="dxa"/>
            <w:right w:w="0" w:type="dxa"/>
          </w:tblCellMar>
        </w:tblPrEx>
        <w:trPr>
          <w:trHeight w:val="500"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十里红妆周边绿地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1943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春节、“5.19”、国庆鲜花摆放18000盆（6000*3）</w:t>
            </w:r>
          </w:p>
        </w:tc>
      </w:tr>
      <w:tr>
        <w:tblPrEx>
          <w:tblCellMar>
            <w:top w:w="0" w:type="dxa"/>
            <w:left w:w="0" w:type="dxa"/>
            <w:bottom w:w="0" w:type="dxa"/>
            <w:right w:w="0" w:type="dxa"/>
          </w:tblCellMar>
        </w:tblPrEx>
        <w:trPr>
          <w:trHeight w:val="42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西大街小游园</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公园二级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342"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县府广场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公园二级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700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7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城南小游园</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公园二级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1222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黑麦草套播300㎡</w:t>
            </w:r>
          </w:p>
        </w:tc>
      </w:tr>
      <w:tr>
        <w:tblPrEx>
          <w:tblCellMar>
            <w:top w:w="0" w:type="dxa"/>
            <w:left w:w="0" w:type="dxa"/>
            <w:bottom w:w="0" w:type="dxa"/>
            <w:right w:w="0" w:type="dxa"/>
          </w:tblCellMar>
        </w:tblPrEx>
        <w:trPr>
          <w:trHeight w:val="385"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城东小游园</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公园二级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1990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城东小学旁公厕1140株（190*6）</w:t>
            </w:r>
          </w:p>
        </w:tc>
      </w:tr>
      <w:tr>
        <w:tblPrEx>
          <w:tblCellMar>
            <w:top w:w="0" w:type="dxa"/>
            <w:left w:w="0" w:type="dxa"/>
            <w:bottom w:w="0" w:type="dxa"/>
            <w:right w:w="0" w:type="dxa"/>
          </w:tblCellMar>
        </w:tblPrEx>
        <w:trPr>
          <w:trHeight w:val="32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东观山小游园</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公园二级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800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36"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范家村小游园</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公园二级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7393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59"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兴宁南路</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1500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兴宁南路种花19500株，其中兴宁南路花箱11580株（1930*6），兴宁南路垃圾桶2520株（420*6），老邮电局花箱5400株（900*6）</w:t>
            </w:r>
          </w:p>
        </w:tc>
      </w:tr>
      <w:tr>
        <w:tblPrEx>
          <w:tblCellMar>
            <w:top w:w="0" w:type="dxa"/>
            <w:left w:w="0" w:type="dxa"/>
            <w:bottom w:w="0" w:type="dxa"/>
            <w:right w:w="0" w:type="dxa"/>
          </w:tblCellMar>
        </w:tblPrEx>
        <w:trPr>
          <w:trHeight w:val="504"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兴宁南路（环南中路-纺织东路）</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1016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徐霞客大道西段绿地（北侧）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2681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82"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环城东路绿地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1817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环城东路与环城北路交叉口花箱种花2580株（430*6）</w:t>
            </w:r>
          </w:p>
        </w:tc>
      </w:tr>
      <w:tr>
        <w:tblPrEx>
          <w:tblCellMar>
            <w:top w:w="0" w:type="dxa"/>
            <w:left w:w="0" w:type="dxa"/>
            <w:bottom w:w="0" w:type="dxa"/>
            <w:right w:w="0" w:type="dxa"/>
          </w:tblCellMar>
        </w:tblPrEx>
        <w:trPr>
          <w:trHeight w:val="466"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柔石南路花坛</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5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野马达前绿地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36"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范家桥南端绿地</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2781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1"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跃龙山大桥绿地</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1598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36"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城西小学外绿地</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600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南门新公厕</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175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纺织路公厕旁绿地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261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39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纺织路口花坛</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261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二亩园巷花坛</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177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794"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跃龙山生态厕所绿地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932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跃龙山脚种花2700株，其中跃龙山生态公厕1140株（190*6），跃龙山脚花箱1560株（260*6）</w:t>
            </w:r>
          </w:p>
        </w:tc>
      </w:tr>
      <w:tr>
        <w:tblPrEx>
          <w:tblCellMar>
            <w:top w:w="0" w:type="dxa"/>
            <w:left w:w="0" w:type="dxa"/>
            <w:bottom w:w="0" w:type="dxa"/>
            <w:right w:w="0" w:type="dxa"/>
          </w:tblCellMar>
        </w:tblPrEx>
        <w:trPr>
          <w:trHeight w:val="406"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环南东路绿地</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85"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兴宁南路联合门诊后</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315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东景花园围墙外</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210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上皇畈小区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7654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东角洋小区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徐霞客小区</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3753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老农机宿舍</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北大街农机宿舍</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727"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郁金花园东侧及西北角</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625"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霞金水岸北围墙外</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244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徐霞客大道</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1452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西门城楼周围</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232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纺织东路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1296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108</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568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广玉兰Ø&lt;15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桂花Ø15-25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纺织西路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1440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加杨Ø&gt;25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水杉Ø&gt;25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88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黄山栾树Ø&lt;15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柔石南路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1836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1440" w:type="dxa"/>
            <w:tcBorders>
              <w:top w:val="nil"/>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环南东路</w:t>
            </w:r>
          </w:p>
        </w:tc>
        <w:tc>
          <w:tcPr>
            <w:tcW w:w="930" w:type="dxa"/>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390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三色女贞Ø&lt;15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环南中路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636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环南西路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1956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163</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水杉Ø&gt;25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东大街</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1560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130</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桂花Ø15-25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中大街</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1140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县前街</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192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西大街</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水杉Ø&gt;25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480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环城东路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840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东旺路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852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295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塔山路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816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梧桐Ø&gt;25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桃源南路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1752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146</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1776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240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水杉Ø&gt;25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兴宁南路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756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424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中间隔离带</w:t>
            </w: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马褂木Ø15-25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14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兴宁中路</w:t>
            </w: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合欢Ø&gt;25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1296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马褂木Ø15-25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162</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64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685"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郁金花园西侧及南侧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784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银杏Ø15-25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98</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14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郁金花园北侧</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255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无患子Ø&lt;15</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31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607"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徐霞客大道西延段</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2110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黄山栾树Ø&lt;15</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422</w:t>
            </w: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85"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双水村暗岩渠治理工程</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3948 </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黑麦草套播2900㎡</w:t>
            </w:r>
          </w:p>
        </w:tc>
      </w:tr>
      <w:tr>
        <w:tblPrEx>
          <w:tblCellMar>
            <w:top w:w="0" w:type="dxa"/>
            <w:left w:w="0" w:type="dxa"/>
            <w:bottom w:w="0" w:type="dxa"/>
            <w:right w:w="0" w:type="dxa"/>
          </w:tblCellMar>
        </w:tblPrEx>
        <w:trPr>
          <w:trHeight w:val="3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58</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200338</w:t>
            </w:r>
            <w:r>
              <w:rPr>
                <w:rFonts w:ascii="宋体" w:hAnsi="宋体" w:cs="宋体"/>
                <w:color w:val="000000"/>
                <w:kern w:val="0"/>
                <w:sz w:val="18"/>
                <w:szCs w:val="18"/>
              </w:rPr>
              <w:fldChar w:fldCharType="end"/>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1518697</w:t>
            </w:r>
          </w:p>
        </w:tc>
        <w:tc>
          <w:tcPr>
            <w:tcW w:w="7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2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按预算价1687441下浮10%计算</w:t>
            </w:r>
          </w:p>
        </w:tc>
      </w:tr>
    </w:tbl>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备注：行道树Ø&gt;25计12m2，Ø15-25计8m2，Ø&lt;15计5m2；如绿地面积有误差或增减，则按实计算。</w:t>
      </w:r>
    </w:p>
    <w:p>
      <w:pPr>
        <w:rPr>
          <w:szCs w:val="24"/>
        </w:rPr>
      </w:pPr>
    </w:p>
    <w:p>
      <w:pPr>
        <w:rPr>
          <w:szCs w:val="24"/>
        </w:rPr>
      </w:pPr>
      <w:r>
        <w:rPr>
          <w:rFonts w:hint="eastAsia"/>
          <w:szCs w:val="24"/>
        </w:rPr>
        <w:t>2鲜花、黑麦草套播、公园巡查、保洁人员</w:t>
      </w:r>
    </w:p>
    <w:tbl>
      <w:tblPr>
        <w:tblStyle w:val="46"/>
        <w:tblW w:w="10140" w:type="dxa"/>
        <w:tblInd w:w="-610" w:type="dxa"/>
        <w:tblLayout w:type="fixed"/>
        <w:tblCellMar>
          <w:top w:w="0" w:type="dxa"/>
          <w:left w:w="0" w:type="dxa"/>
          <w:bottom w:w="0" w:type="dxa"/>
          <w:right w:w="0" w:type="dxa"/>
        </w:tblCellMar>
      </w:tblPr>
      <w:tblGrid>
        <w:gridCol w:w="690"/>
        <w:gridCol w:w="2227"/>
        <w:gridCol w:w="1037"/>
        <w:gridCol w:w="1349"/>
        <w:gridCol w:w="937"/>
        <w:gridCol w:w="3900"/>
      </w:tblGrid>
      <w:tr>
        <w:tblPrEx>
          <w:tblCellMar>
            <w:top w:w="0" w:type="dxa"/>
            <w:left w:w="0" w:type="dxa"/>
            <w:bottom w:w="0" w:type="dxa"/>
            <w:right w:w="0" w:type="dxa"/>
          </w:tblCellMar>
        </w:tblPrEx>
        <w:trPr>
          <w:trHeight w:val="611" w:hRule="atLeast"/>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22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3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9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养护经费</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（元/年）</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43" w:hRule="atLeast"/>
        </w:trPr>
        <w:tc>
          <w:tcPr>
            <w:tcW w:w="69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2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鲜花种植</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206220株</w:t>
            </w: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3.0元/株</w:t>
            </w:r>
          </w:p>
        </w:tc>
        <w:tc>
          <w:tcPr>
            <w:tcW w:w="93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748260 </w:t>
            </w:r>
          </w:p>
        </w:tc>
        <w:tc>
          <w:tcPr>
            <w:tcW w:w="390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43" w:hRule="atLeast"/>
        </w:trPr>
        <w:tc>
          <w:tcPr>
            <w:tcW w:w="69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2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鲜花摆放</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40500盆</w:t>
            </w: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3.2元/盆</w:t>
            </w:r>
          </w:p>
        </w:tc>
        <w:tc>
          <w:tcPr>
            <w:tcW w:w="93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90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51"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2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黑麦草套播</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40379㎡</w:t>
            </w: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4.0元/㎡.年</w:t>
            </w:r>
          </w:p>
        </w:tc>
        <w:tc>
          <w:tcPr>
            <w:tcW w:w="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161516 </w:t>
            </w:r>
          </w:p>
        </w:tc>
        <w:tc>
          <w:tcPr>
            <w:tcW w:w="3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0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2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公园巡查人员</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13人</w:t>
            </w: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585000 </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徐霞客大道及西延线8人，飞凤山公园2人，跃龙山公园2人，烈士陵园1人；费用不下浮。</w:t>
            </w:r>
          </w:p>
        </w:tc>
      </w:tr>
      <w:tr>
        <w:tblPrEx>
          <w:tblCellMar>
            <w:top w:w="0" w:type="dxa"/>
            <w:left w:w="0" w:type="dxa"/>
            <w:bottom w:w="0" w:type="dxa"/>
            <w:right w:w="0" w:type="dxa"/>
          </w:tblCellMar>
        </w:tblPrEx>
        <w:trPr>
          <w:trHeight w:val="505"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2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公园保洁人员</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14人</w:t>
            </w: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602000 </w:t>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徐霞客大道4人，徐霞客大道西延线5人，飞凤山公园2人，跃龙山公园3人；费用不下浮。</w:t>
            </w:r>
          </w:p>
        </w:tc>
      </w:tr>
      <w:tr>
        <w:tblPrEx>
          <w:tblCellMar>
            <w:top w:w="0" w:type="dxa"/>
            <w:left w:w="0" w:type="dxa"/>
            <w:bottom w:w="0" w:type="dxa"/>
            <w:right w:w="0" w:type="dxa"/>
          </w:tblCellMar>
        </w:tblPrEx>
        <w:trPr>
          <w:trHeight w:val="462" w:hRule="atLeast"/>
        </w:trPr>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22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3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2096776</w:t>
            </w:r>
            <w:r>
              <w:rPr>
                <w:rFonts w:ascii="宋体" w:hAnsi="宋体" w:cs="宋体"/>
                <w:color w:val="000000"/>
                <w:kern w:val="0"/>
                <w:sz w:val="18"/>
                <w:szCs w:val="18"/>
              </w:rPr>
              <w:fldChar w:fldCharType="end"/>
            </w:r>
          </w:p>
        </w:tc>
        <w:tc>
          <w:tcPr>
            <w:tcW w:w="3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jc w:val="left"/>
        <w:rPr>
          <w:rFonts w:ascii="宋体" w:hAnsi="宋体" w:cs="宋体"/>
          <w:color w:val="000000"/>
          <w:kern w:val="0"/>
          <w:sz w:val="18"/>
          <w:szCs w:val="18"/>
        </w:rPr>
      </w:pPr>
      <w:r>
        <w:rPr>
          <w:rFonts w:hint="eastAsia" w:ascii="宋体" w:hAnsi="宋体" w:cs="宋体"/>
          <w:color w:val="000000"/>
          <w:kern w:val="0"/>
          <w:sz w:val="18"/>
          <w:szCs w:val="18"/>
        </w:rPr>
        <w:t>注：此部分公园巡查、保洁人员报价不得下浮，计入到标段投标总价中。公园巡查人员实行二班制，时间安排6：00-22：00，其中只有1名巡查人员的实行单班制，保洁实行单班制，单班制时间安排6：30-11：00，13：30-17：00；巡查、保洁人员年龄要求男性在60周岁以下、女性在50周岁以下；巡查人员必须严格遵守《公园巡查人员工作守则和岗位职责》相关规定。</w:t>
      </w:r>
    </w:p>
    <w:p>
      <w:pPr>
        <w:rPr>
          <w:b/>
          <w:szCs w:val="24"/>
        </w:rPr>
      </w:pPr>
    </w:p>
    <w:p>
      <w:pPr>
        <w:rPr>
          <w:b/>
          <w:bCs/>
          <w:szCs w:val="24"/>
        </w:rPr>
      </w:pPr>
      <w:r>
        <w:rPr>
          <w:rFonts w:hint="eastAsia"/>
          <w:b/>
          <w:szCs w:val="24"/>
        </w:rPr>
        <w:t>标段号：二</w:t>
      </w:r>
    </w:p>
    <w:p>
      <w:pPr>
        <w:rPr>
          <w:szCs w:val="24"/>
        </w:rPr>
      </w:pPr>
      <w:r>
        <w:rPr>
          <w:rFonts w:hint="eastAsia"/>
          <w:szCs w:val="24"/>
        </w:rPr>
        <w:t>1、绿化养护</w:t>
      </w:r>
    </w:p>
    <w:p>
      <w:pPr>
        <w:rPr>
          <w:szCs w:val="24"/>
        </w:rPr>
      </w:pPr>
      <w:r>
        <w:rPr>
          <w:rFonts w:hint="eastAsia"/>
          <w:szCs w:val="24"/>
        </w:rPr>
        <w:t>网格界限：南至环城北路南侧与东郊路南侧（含人行道）；西至桃源中路东侧与桃源北路东侧（不含人行道）；北至金水东路南侧（不含人行道）</w:t>
      </w:r>
    </w:p>
    <w:tbl>
      <w:tblPr>
        <w:tblStyle w:val="46"/>
        <w:tblW w:w="9585" w:type="dxa"/>
        <w:tblInd w:w="-310" w:type="dxa"/>
        <w:tblLayout w:type="fixed"/>
        <w:tblCellMar>
          <w:top w:w="0" w:type="dxa"/>
          <w:left w:w="0" w:type="dxa"/>
          <w:bottom w:w="0" w:type="dxa"/>
          <w:right w:w="0" w:type="dxa"/>
        </w:tblCellMar>
      </w:tblPr>
      <w:tblGrid>
        <w:gridCol w:w="405"/>
        <w:gridCol w:w="1290"/>
        <w:gridCol w:w="1040"/>
        <w:gridCol w:w="715"/>
        <w:gridCol w:w="561"/>
        <w:gridCol w:w="759"/>
        <w:gridCol w:w="1050"/>
        <w:gridCol w:w="630"/>
        <w:gridCol w:w="3135"/>
      </w:tblGrid>
      <w:tr>
        <w:tblPrEx>
          <w:tblCellMar>
            <w:top w:w="0" w:type="dxa"/>
            <w:left w:w="0" w:type="dxa"/>
            <w:bottom w:w="0" w:type="dxa"/>
            <w:right w:w="0" w:type="dxa"/>
          </w:tblCellMar>
        </w:tblPrEx>
        <w:trPr>
          <w:trHeight w:val="570" w:hRule="atLeast"/>
        </w:trPr>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养护类型与级别</w:t>
            </w:r>
          </w:p>
        </w:tc>
        <w:tc>
          <w:tcPr>
            <w:tcW w:w="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绿地面积（㎡）</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养护单价（元/年）</w:t>
            </w: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数量（株）</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绿地养护</w:t>
            </w:r>
          </w:p>
        </w:tc>
        <w:tc>
          <w:tcPr>
            <w:tcW w:w="1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90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正学公园绿地</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24333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种花13800株，其中绿地5400株（900*6），花箱8400（1400*6）；春节、“5.19”、国庆鲜花摆放15000盆（5000*3）；黑麦草套播7100㎡</w:t>
            </w:r>
          </w:p>
        </w:tc>
      </w:tr>
      <w:tr>
        <w:tblPrEx>
          <w:tblCellMar>
            <w:top w:w="0" w:type="dxa"/>
            <w:left w:w="0" w:type="dxa"/>
            <w:bottom w:w="0" w:type="dxa"/>
            <w:right w:w="0" w:type="dxa"/>
          </w:tblCellMar>
        </w:tblPrEx>
        <w:trPr>
          <w:trHeight w:val="830"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一休公园绿地</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9170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种花15000株（2500*6）；春节、“5.19”、国庆鲜花摆放10500盆（3500*3）；黑麦草套播5170㎡</w:t>
            </w: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杜鹃公园绿地</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2808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90"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华山公园绿地</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42740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春节、“5.19”、国庆鲜花摆放4500盆（1500*3）；黑麦草套播200㎡</w:t>
            </w:r>
          </w:p>
        </w:tc>
      </w:tr>
      <w:tr>
        <w:tblPrEx>
          <w:tblCellMar>
            <w:top w:w="0" w:type="dxa"/>
            <w:left w:w="0" w:type="dxa"/>
            <w:bottom w:w="0" w:type="dxa"/>
            <w:right w:w="0" w:type="dxa"/>
          </w:tblCellMar>
        </w:tblPrEx>
        <w:trPr>
          <w:trHeight w:val="376"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2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华山公园北绿地</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1330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黑麦草套播575㎡</w:t>
            </w: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白峤岭生态公园</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公园二级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10000 </w:t>
            </w:r>
          </w:p>
        </w:tc>
        <w:tc>
          <w:tcPr>
            <w:tcW w:w="5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660"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2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兴海中路（沿海南线-金水路）</w:t>
            </w:r>
          </w:p>
        </w:tc>
        <w:tc>
          <w:tcPr>
            <w:tcW w:w="10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1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44290 </w:t>
            </w:r>
          </w:p>
        </w:tc>
        <w:tc>
          <w:tcPr>
            <w:tcW w:w="56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种花24000株（4000*6），红叶石楠柱260株；黑麦草套播13500㎡</w:t>
            </w:r>
          </w:p>
        </w:tc>
      </w:tr>
      <w:tr>
        <w:tblPrEx>
          <w:tblCellMar>
            <w:top w:w="0" w:type="dxa"/>
            <w:left w:w="0" w:type="dxa"/>
            <w:bottom w:w="0" w:type="dxa"/>
            <w:right w:w="0" w:type="dxa"/>
          </w:tblCellMar>
        </w:tblPrEx>
        <w:trPr>
          <w:trHeight w:val="90"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2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正学东路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1102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396"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丰泽园沿河绿地</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2474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黑麦草套播1200㎡</w:t>
            </w:r>
          </w:p>
        </w:tc>
      </w:tr>
      <w:tr>
        <w:tblPrEx>
          <w:tblCellMar>
            <w:top w:w="0" w:type="dxa"/>
            <w:left w:w="0" w:type="dxa"/>
            <w:bottom w:w="0" w:type="dxa"/>
            <w:right w:w="0" w:type="dxa"/>
          </w:tblCellMar>
        </w:tblPrEx>
        <w:trPr>
          <w:trHeight w:val="370"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时代东路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7441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唐安李周边黑麦草套播2800㎡</w:t>
            </w:r>
          </w:p>
        </w:tc>
      </w:tr>
      <w:tr>
        <w:tblPrEx>
          <w:tblCellMar>
            <w:top w:w="0" w:type="dxa"/>
            <w:left w:w="0" w:type="dxa"/>
            <w:bottom w:w="0" w:type="dxa"/>
            <w:right w:w="0" w:type="dxa"/>
          </w:tblCellMar>
        </w:tblPrEx>
        <w:trPr>
          <w:trHeight w:val="37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2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科创中心</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843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黑麦草套播286㎡</w:t>
            </w:r>
          </w:p>
        </w:tc>
      </w:tr>
      <w:tr>
        <w:tblPrEx>
          <w:tblCellMar>
            <w:top w:w="0" w:type="dxa"/>
            <w:left w:w="0" w:type="dxa"/>
            <w:bottom w:w="0" w:type="dxa"/>
            <w:right w:w="0" w:type="dxa"/>
          </w:tblCellMar>
        </w:tblPrEx>
        <w:trPr>
          <w:trHeight w:val="330"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中山东路绿带</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1120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321"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跃龙***花坛</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173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70"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2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时代东路（丰泽园）</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285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2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外环路（华山嘉园）</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651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华山嘉园南面黑麦草200㎡</w:t>
            </w:r>
          </w:p>
        </w:tc>
      </w:tr>
      <w:tr>
        <w:tblPrEx>
          <w:tblCellMar>
            <w:top w:w="0" w:type="dxa"/>
            <w:left w:w="0" w:type="dxa"/>
            <w:bottom w:w="0" w:type="dxa"/>
            <w:right w:w="0" w:type="dxa"/>
          </w:tblCellMar>
        </w:tblPrEx>
        <w:trPr>
          <w:trHeight w:val="46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2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华山公园（妇保院边）</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40"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2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沿海南线（星海中路-依山郡路口）</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14833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74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兴海路（沿海南线-星海中学）西侧山体</w:t>
            </w:r>
          </w:p>
        </w:tc>
        <w:tc>
          <w:tcPr>
            <w:tcW w:w="10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1763 </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黑麦草套播2500㎡</w:t>
            </w: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岭脚村村口周边</w:t>
            </w:r>
          </w:p>
        </w:tc>
        <w:tc>
          <w:tcPr>
            <w:tcW w:w="10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324 </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种花3000株（500*6）</w:t>
            </w:r>
          </w:p>
        </w:tc>
      </w:tr>
      <w:tr>
        <w:tblPrEx>
          <w:tblCellMar>
            <w:top w:w="0" w:type="dxa"/>
            <w:left w:w="0" w:type="dxa"/>
            <w:bottom w:w="0" w:type="dxa"/>
            <w:right w:w="0" w:type="dxa"/>
          </w:tblCellMar>
        </w:tblPrEx>
        <w:trPr>
          <w:trHeight w:val="57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兴海路阳光浴室东侧</w:t>
            </w:r>
          </w:p>
        </w:tc>
        <w:tc>
          <w:tcPr>
            <w:tcW w:w="10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694 </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怡惠东路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208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华山小学门口</w:t>
            </w: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兴海路阳光浴室前</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230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华山南路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1601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华山北路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星海小学南侧绿地</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671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2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海锦苑东侧绿地</w:t>
            </w:r>
          </w:p>
        </w:tc>
        <w:tc>
          <w:tcPr>
            <w:tcW w:w="104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5822 </w:t>
            </w:r>
          </w:p>
        </w:tc>
        <w:tc>
          <w:tcPr>
            <w:tcW w:w="56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4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公共卫生中心大门口景观绿地</w:t>
            </w:r>
          </w:p>
        </w:tc>
        <w:tc>
          <w:tcPr>
            <w:tcW w:w="10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3628 </w:t>
            </w:r>
          </w:p>
        </w:tc>
        <w:tc>
          <w:tcPr>
            <w:tcW w:w="5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00" w:hRule="atLeast"/>
        </w:trPr>
        <w:tc>
          <w:tcPr>
            <w:tcW w:w="40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2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金水东路和学勉路交叉口绿地</w:t>
            </w:r>
          </w:p>
        </w:tc>
        <w:tc>
          <w:tcPr>
            <w:tcW w:w="104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3000 </w:t>
            </w:r>
          </w:p>
        </w:tc>
        <w:tc>
          <w:tcPr>
            <w:tcW w:w="56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种花19200株（3200*6）；黑麦草套播1240㎡</w:t>
            </w:r>
          </w:p>
        </w:tc>
      </w:tr>
      <w:tr>
        <w:tblPrEx>
          <w:tblCellMar>
            <w:top w:w="0" w:type="dxa"/>
            <w:left w:w="0" w:type="dxa"/>
            <w:bottom w:w="0" w:type="dxa"/>
            <w:right w:w="0" w:type="dxa"/>
          </w:tblCellMar>
        </w:tblPrEx>
        <w:trPr>
          <w:trHeight w:val="47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时代大道与兴海路转角</w:t>
            </w:r>
          </w:p>
        </w:tc>
        <w:tc>
          <w:tcPr>
            <w:tcW w:w="10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934 </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时代东路与兴海路转角种花6600株（1100*6）</w:t>
            </w: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金融中心广场</w:t>
            </w:r>
          </w:p>
        </w:tc>
        <w:tc>
          <w:tcPr>
            <w:tcW w:w="10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811 </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黑麦草套播660㎡</w:t>
            </w: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御华府北侧规划路</w:t>
            </w:r>
          </w:p>
        </w:tc>
        <w:tc>
          <w:tcPr>
            <w:tcW w:w="10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800 </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70"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汇景家园南大门绿化</w:t>
            </w:r>
          </w:p>
        </w:tc>
        <w:tc>
          <w:tcPr>
            <w:tcW w:w="10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800 </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70"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坦坑安置、杜鹃小区</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1842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东海路花坛</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86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东海路16弄</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543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平海路小区</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7937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杨柳小区</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1900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围海新村</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830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五丰社区花坛</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828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淮河路小花坛</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226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园丁楼</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良种场宿舍</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农机局旁宿舍</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中医院宿舍楼</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华苑小区</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中山东苑</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星海小学南侧</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255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榉树Ø&lt;15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东方百合周围</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375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汇景家园小区北侧</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25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30"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兴海路(星海中学边)</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310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129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人民路东段</w:t>
            </w:r>
          </w:p>
        </w:tc>
        <w:tc>
          <w:tcPr>
            <w:tcW w:w="104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1692 </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3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141</w:t>
            </w:r>
          </w:p>
        </w:tc>
        <w:tc>
          <w:tcPr>
            <w:tcW w:w="31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人民路东段隔离带花箱种花53520株（8920*6）</w:t>
            </w:r>
          </w:p>
        </w:tc>
      </w:tr>
      <w:tr>
        <w:tblPrEx>
          <w:tblCellMar>
            <w:top w:w="0" w:type="dxa"/>
            <w:left w:w="0" w:type="dxa"/>
            <w:bottom w:w="0" w:type="dxa"/>
            <w:right w:w="0" w:type="dxa"/>
          </w:tblCellMar>
        </w:tblPrEx>
        <w:trPr>
          <w:trHeight w:val="361" w:hRule="atLeast"/>
        </w:trPr>
        <w:tc>
          <w:tcPr>
            <w:tcW w:w="4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290"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40"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东海路</w:t>
            </w:r>
          </w:p>
        </w:tc>
        <w:tc>
          <w:tcPr>
            <w:tcW w:w="10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2568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214</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396" w:hRule="atLeast"/>
        </w:trPr>
        <w:tc>
          <w:tcPr>
            <w:tcW w:w="4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928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116</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坦坑路</w:t>
            </w:r>
          </w:p>
        </w:tc>
        <w:tc>
          <w:tcPr>
            <w:tcW w:w="10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720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玉河路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432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淮河路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325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靖海路</w:t>
            </w:r>
          </w:p>
        </w:tc>
        <w:tc>
          <w:tcPr>
            <w:tcW w:w="10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85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57</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中山东路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1024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外环东路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1188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12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华山南路</w:t>
            </w:r>
          </w:p>
        </w:tc>
        <w:tc>
          <w:tcPr>
            <w:tcW w:w="104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450 </w:t>
            </w:r>
          </w:p>
        </w:tc>
        <w:tc>
          <w:tcPr>
            <w:tcW w:w="56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1290"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华山北路</w:t>
            </w:r>
          </w:p>
        </w:tc>
        <w:tc>
          <w:tcPr>
            <w:tcW w:w="104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200 </w:t>
            </w:r>
          </w:p>
        </w:tc>
        <w:tc>
          <w:tcPr>
            <w:tcW w:w="56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12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天平路</w:t>
            </w:r>
          </w:p>
        </w:tc>
        <w:tc>
          <w:tcPr>
            <w:tcW w:w="104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760 </w:t>
            </w:r>
          </w:p>
        </w:tc>
        <w:tc>
          <w:tcPr>
            <w:tcW w:w="56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152</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东郊路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350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重阳木Ø&lt;15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学勉路</w:t>
            </w:r>
          </w:p>
        </w:tc>
        <w:tc>
          <w:tcPr>
            <w:tcW w:w="10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390 </w:t>
            </w:r>
          </w:p>
        </w:tc>
        <w:tc>
          <w:tcPr>
            <w:tcW w:w="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无患子Ø&lt;15</w:t>
            </w:r>
          </w:p>
        </w:tc>
        <w:tc>
          <w:tcPr>
            <w:tcW w:w="630" w:type="dxa"/>
            <w:tcBorders>
              <w:top w:val="single" w:color="000000" w:sz="4" w:space="0"/>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31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学勉路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355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宁海中学附近</w:t>
            </w: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65</w:t>
            </w:r>
          </w:p>
        </w:tc>
        <w:tc>
          <w:tcPr>
            <w:tcW w:w="1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学勉路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重阳木Ø&lt;15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金融中心东侧</w:t>
            </w:r>
          </w:p>
        </w:tc>
      </w:tr>
      <w:tr>
        <w:tblPrEx>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环城北路</w:t>
            </w:r>
          </w:p>
        </w:tc>
        <w:tc>
          <w:tcPr>
            <w:tcW w:w="10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2136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178</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64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67</w:t>
            </w:r>
          </w:p>
        </w:tc>
        <w:tc>
          <w:tcPr>
            <w:tcW w:w="12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怡惠东路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248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w:t>
            </w:r>
          </w:p>
        </w:tc>
        <w:tc>
          <w:tcPr>
            <w:tcW w:w="12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 银河东路</w:t>
            </w:r>
          </w:p>
        </w:tc>
        <w:tc>
          <w:tcPr>
            <w:tcW w:w="10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408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155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重阳木Ø&lt;15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69</w:t>
            </w:r>
          </w:p>
        </w:tc>
        <w:tc>
          <w:tcPr>
            <w:tcW w:w="129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云海路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296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华丰路</w:t>
            </w:r>
          </w:p>
        </w:tc>
        <w:tc>
          <w:tcPr>
            <w:tcW w:w="10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400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重阳木Ø15-25</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12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跃龙***周边</w:t>
            </w:r>
          </w:p>
        </w:tc>
        <w:tc>
          <w:tcPr>
            <w:tcW w:w="10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315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63</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51" w:hRule="atLeast"/>
        </w:trPr>
        <w:tc>
          <w:tcPr>
            <w:tcW w:w="4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0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无患子Ø&lt;15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6" w:hRule="atLeast"/>
        </w:trPr>
        <w:tc>
          <w:tcPr>
            <w:tcW w:w="4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72</w:t>
            </w:r>
          </w:p>
        </w:tc>
        <w:tc>
          <w:tcPr>
            <w:tcW w:w="129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汪家路</w:t>
            </w:r>
          </w:p>
        </w:tc>
        <w:tc>
          <w:tcPr>
            <w:tcW w:w="104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976 </w:t>
            </w:r>
          </w:p>
        </w:tc>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无患子Ø15-25</w:t>
            </w:r>
          </w:p>
        </w:tc>
        <w:tc>
          <w:tcPr>
            <w:tcW w:w="63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122</w:t>
            </w:r>
          </w:p>
        </w:tc>
        <w:tc>
          <w:tcPr>
            <w:tcW w:w="31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360" w:hRule="atLeast"/>
        </w:trPr>
        <w:tc>
          <w:tcPr>
            <w:tcW w:w="40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129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人民路东段</w:t>
            </w:r>
          </w:p>
        </w:tc>
        <w:tc>
          <w:tcPr>
            <w:tcW w:w="1040"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1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5562 </w:t>
            </w:r>
          </w:p>
        </w:tc>
        <w:tc>
          <w:tcPr>
            <w:tcW w:w="56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050"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nil"/>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2020年5月31到期，黑麦草套播1200㎡</w:t>
            </w:r>
          </w:p>
        </w:tc>
      </w:tr>
      <w:tr>
        <w:tblPrEx>
          <w:tblCellMar>
            <w:top w:w="0" w:type="dxa"/>
            <w:left w:w="0" w:type="dxa"/>
            <w:bottom w:w="0" w:type="dxa"/>
            <w:right w:w="0" w:type="dxa"/>
          </w:tblCellMar>
        </w:tblPrEx>
        <w:trPr>
          <w:trHeight w:val="390" w:hRule="atLeast"/>
        </w:trPr>
        <w:tc>
          <w:tcPr>
            <w:tcW w:w="4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74</w:t>
            </w:r>
          </w:p>
        </w:tc>
        <w:tc>
          <w:tcPr>
            <w:tcW w:w="2330"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230058</w:t>
            </w:r>
            <w:r>
              <w:rPr>
                <w:rFonts w:ascii="宋体" w:hAnsi="宋体" w:cs="宋体"/>
                <w:color w:val="000000"/>
                <w:kern w:val="0"/>
                <w:sz w:val="18"/>
                <w:szCs w:val="18"/>
              </w:rPr>
              <w:fldChar w:fldCharType="end"/>
            </w:r>
          </w:p>
        </w:tc>
        <w:tc>
          <w:tcPr>
            <w:tcW w:w="5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75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1711166</w:t>
            </w:r>
          </w:p>
        </w:tc>
        <w:tc>
          <w:tcPr>
            <w:tcW w:w="10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1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按预算价1901296下浮10%计算</w:t>
            </w:r>
          </w:p>
        </w:tc>
      </w:tr>
    </w:tbl>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备注：行道树Ø&gt;25计12m2，Ø15-25计8m2，Ø&lt;15计5m2；如绿地面积有误差或增减，则按实计算。</w:t>
      </w:r>
    </w:p>
    <w:p>
      <w:pPr>
        <w:rPr>
          <w:szCs w:val="24"/>
        </w:rPr>
      </w:pPr>
    </w:p>
    <w:p>
      <w:pPr>
        <w:rPr>
          <w:szCs w:val="24"/>
        </w:rPr>
      </w:pPr>
      <w:r>
        <w:rPr>
          <w:rFonts w:hint="eastAsia"/>
          <w:szCs w:val="24"/>
        </w:rPr>
        <w:t>2、鲜花、黑麦草套播、红叶石楠柱修剪补助、公园巡查、保洁人员</w:t>
      </w:r>
    </w:p>
    <w:tbl>
      <w:tblPr>
        <w:tblStyle w:val="46"/>
        <w:tblW w:w="9555" w:type="dxa"/>
        <w:tblInd w:w="-295" w:type="dxa"/>
        <w:tblLayout w:type="fixed"/>
        <w:tblCellMar>
          <w:top w:w="0" w:type="dxa"/>
          <w:left w:w="0" w:type="dxa"/>
          <w:bottom w:w="0" w:type="dxa"/>
          <w:right w:w="0" w:type="dxa"/>
        </w:tblCellMar>
      </w:tblPr>
      <w:tblGrid>
        <w:gridCol w:w="864"/>
        <w:gridCol w:w="1736"/>
        <w:gridCol w:w="1041"/>
        <w:gridCol w:w="1347"/>
        <w:gridCol w:w="851"/>
        <w:gridCol w:w="3716"/>
      </w:tblGrid>
      <w:tr>
        <w:tblPrEx>
          <w:tblCellMar>
            <w:top w:w="0" w:type="dxa"/>
            <w:left w:w="0" w:type="dxa"/>
            <w:bottom w:w="0" w:type="dxa"/>
            <w:right w:w="0" w:type="dxa"/>
          </w:tblCellMar>
        </w:tblPrEx>
        <w:trPr>
          <w:trHeight w:val="474" w:hRule="atLeast"/>
        </w:trPr>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54" w:hRule="atLeast"/>
        </w:trPr>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鲜花种植</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135120株</w:t>
            </w: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3.0元/株</w:t>
            </w:r>
          </w:p>
        </w:tc>
        <w:tc>
          <w:tcPr>
            <w:tcW w:w="85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501360 </w:t>
            </w:r>
          </w:p>
        </w:tc>
        <w:tc>
          <w:tcPr>
            <w:tcW w:w="371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54" w:hRule="atLeast"/>
        </w:trPr>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鲜花摆放</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30000盆</w:t>
            </w: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3.2元/盆</w:t>
            </w:r>
          </w:p>
        </w:tc>
        <w:tc>
          <w:tcPr>
            <w:tcW w:w="85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71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15" w:hRule="atLeast"/>
        </w:trPr>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黑麦草套播</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36631㎡</w:t>
            </w: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4.0元/㎡.年</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146524 </w:t>
            </w:r>
          </w:p>
        </w:tc>
        <w:tc>
          <w:tcPr>
            <w:tcW w:w="3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386" w:hRule="atLeast"/>
        </w:trPr>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红叶石楠柱修剪补助</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3次</w:t>
            </w: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2600元/次.年</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7800 </w:t>
            </w:r>
          </w:p>
        </w:tc>
        <w:tc>
          <w:tcPr>
            <w:tcW w:w="37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红叶石楠柱260株，10元/株，一年修剪三次</w:t>
            </w:r>
          </w:p>
        </w:tc>
      </w:tr>
      <w:tr>
        <w:tblPrEx>
          <w:tblCellMar>
            <w:top w:w="0" w:type="dxa"/>
            <w:left w:w="0" w:type="dxa"/>
            <w:bottom w:w="0" w:type="dxa"/>
            <w:right w:w="0" w:type="dxa"/>
          </w:tblCellMar>
        </w:tblPrEx>
        <w:trPr>
          <w:trHeight w:val="480" w:hRule="atLeast"/>
        </w:trPr>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公园巡查人员</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12人</w:t>
            </w: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540000 </w:t>
            </w:r>
          </w:p>
        </w:tc>
        <w:tc>
          <w:tcPr>
            <w:tcW w:w="3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一休公园2人，正学公园4人，华山公园4人，白峤岭生态公园1人，杜鹃山登山步道入口区1人；费用不下浮。</w:t>
            </w:r>
          </w:p>
        </w:tc>
      </w:tr>
      <w:tr>
        <w:tblPrEx>
          <w:tblCellMar>
            <w:top w:w="0" w:type="dxa"/>
            <w:left w:w="0" w:type="dxa"/>
            <w:bottom w:w="0" w:type="dxa"/>
            <w:right w:w="0" w:type="dxa"/>
          </w:tblCellMar>
        </w:tblPrEx>
        <w:trPr>
          <w:trHeight w:val="480" w:hRule="atLeast"/>
        </w:trPr>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公园保洁</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9人</w:t>
            </w: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387000 </w:t>
            </w:r>
          </w:p>
        </w:tc>
        <w:tc>
          <w:tcPr>
            <w:tcW w:w="3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正学公园2人，一休公园1人，华山公园5人，杜鹃山登山步道入口区1人；费用不下浮。</w:t>
            </w:r>
          </w:p>
        </w:tc>
      </w:tr>
      <w:tr>
        <w:tblPrEx>
          <w:tblCellMar>
            <w:top w:w="0" w:type="dxa"/>
            <w:left w:w="0" w:type="dxa"/>
            <w:bottom w:w="0" w:type="dxa"/>
            <w:right w:w="0" w:type="dxa"/>
          </w:tblCellMar>
        </w:tblPrEx>
        <w:trPr>
          <w:trHeight w:val="352" w:hRule="atLeast"/>
        </w:trPr>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3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1582684</w:t>
            </w:r>
            <w:r>
              <w:rPr>
                <w:rFonts w:ascii="宋体" w:hAnsi="宋体" w:cs="宋体"/>
                <w:color w:val="000000"/>
                <w:kern w:val="0"/>
                <w:sz w:val="18"/>
                <w:szCs w:val="18"/>
              </w:rPr>
              <w:fldChar w:fldCharType="end"/>
            </w:r>
          </w:p>
        </w:tc>
        <w:tc>
          <w:tcPr>
            <w:tcW w:w="37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jc w:val="left"/>
        <w:rPr>
          <w:rFonts w:ascii="宋体" w:hAnsi="宋体" w:cs="宋体"/>
          <w:color w:val="000000"/>
          <w:kern w:val="0"/>
          <w:sz w:val="18"/>
          <w:szCs w:val="18"/>
        </w:rPr>
      </w:pPr>
      <w:r>
        <w:rPr>
          <w:rFonts w:hint="eastAsia" w:ascii="宋体" w:hAnsi="宋体" w:cs="宋体"/>
          <w:color w:val="000000"/>
          <w:kern w:val="0"/>
          <w:sz w:val="18"/>
          <w:szCs w:val="18"/>
        </w:rPr>
        <w:t>注：此部分公园巡查、保洁人员报价不得下浮，计入到标段投标总价中。巡查人员实行二班制，时间安排6：00-22：00，其中只有1名巡查人员的实行单班制，保洁实行单班制，单班制时间安排6：30-11：00，13：30-17：00；巡查、保洁人员年龄要求男性在60周岁以下、女性在50周岁以下；巡查人员必须严格遵守《公园巡查人员工作守则和岗位职责》相关规定。</w:t>
      </w:r>
    </w:p>
    <w:p>
      <w:pPr>
        <w:tabs>
          <w:tab w:val="left" w:pos="1834"/>
        </w:tabs>
        <w:spacing w:line="480" w:lineRule="exact"/>
        <w:jc w:val="left"/>
        <w:rPr>
          <w:b/>
          <w:szCs w:val="24"/>
        </w:rPr>
      </w:pPr>
    </w:p>
    <w:p>
      <w:pPr>
        <w:tabs>
          <w:tab w:val="left" w:pos="1834"/>
        </w:tabs>
        <w:spacing w:line="480" w:lineRule="exact"/>
        <w:jc w:val="left"/>
        <w:rPr>
          <w:b/>
          <w:szCs w:val="24"/>
        </w:rPr>
      </w:pPr>
    </w:p>
    <w:p>
      <w:pPr>
        <w:tabs>
          <w:tab w:val="left" w:pos="1834"/>
        </w:tabs>
        <w:spacing w:line="480" w:lineRule="exact"/>
        <w:jc w:val="left"/>
        <w:rPr>
          <w:b/>
          <w:bCs/>
          <w:szCs w:val="24"/>
        </w:rPr>
      </w:pPr>
      <w:r>
        <w:rPr>
          <w:rFonts w:hint="eastAsia"/>
          <w:b/>
          <w:szCs w:val="24"/>
        </w:rPr>
        <w:t>标段号：三</w:t>
      </w:r>
    </w:p>
    <w:p>
      <w:pPr>
        <w:rPr>
          <w:szCs w:val="24"/>
        </w:rPr>
      </w:pPr>
      <w:r>
        <w:rPr>
          <w:rFonts w:hint="eastAsia"/>
          <w:szCs w:val="24"/>
        </w:rPr>
        <w:t>1、绿化养护</w:t>
      </w:r>
    </w:p>
    <w:p>
      <w:pPr>
        <w:rPr>
          <w:szCs w:val="24"/>
        </w:rPr>
      </w:pPr>
      <w:r>
        <w:rPr>
          <w:rFonts w:hint="eastAsia"/>
          <w:szCs w:val="24"/>
        </w:rPr>
        <w:t>网格界限：南至平安大道（平安东路、平安中路、平安西路）南侧（含人行道），西至桃源北路东侧（不含人行道）</w:t>
      </w:r>
    </w:p>
    <w:tbl>
      <w:tblPr>
        <w:tblStyle w:val="46"/>
        <w:tblW w:w="0" w:type="auto"/>
        <w:tblInd w:w="-310" w:type="dxa"/>
        <w:tblLayout w:type="fixed"/>
        <w:tblCellMar>
          <w:top w:w="0" w:type="dxa"/>
          <w:left w:w="0" w:type="dxa"/>
          <w:bottom w:w="0" w:type="dxa"/>
          <w:right w:w="0" w:type="dxa"/>
        </w:tblCellMar>
      </w:tblPr>
      <w:tblGrid>
        <w:gridCol w:w="585"/>
        <w:gridCol w:w="1466"/>
        <w:gridCol w:w="798"/>
        <w:gridCol w:w="798"/>
        <w:gridCol w:w="881"/>
        <w:gridCol w:w="881"/>
        <w:gridCol w:w="1337"/>
        <w:gridCol w:w="756"/>
        <w:gridCol w:w="2293"/>
      </w:tblGrid>
      <w:tr>
        <w:tblPrEx>
          <w:tblCellMar>
            <w:top w:w="0" w:type="dxa"/>
            <w:left w:w="0" w:type="dxa"/>
            <w:bottom w:w="0" w:type="dxa"/>
            <w:right w:w="0" w:type="dxa"/>
          </w:tblCellMar>
        </w:tblPrEx>
        <w:trPr>
          <w:trHeight w:val="679"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养护类型与级别</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绿地面积（㎡）</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养护单价（元/年）</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w:t>
            </w: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数量（株）</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绿地养护</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71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4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眠牛山公园绿地</w:t>
            </w:r>
          </w:p>
        </w:tc>
        <w:tc>
          <w:tcPr>
            <w:tcW w:w="7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30639 </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种花15900株（2690*6）；黑麦草套播1400㎡；樱花2626株精细养护，75元/株</w:t>
            </w:r>
          </w:p>
        </w:tc>
      </w:tr>
      <w:tr>
        <w:tblPrEx>
          <w:tblCellMar>
            <w:top w:w="0" w:type="dxa"/>
            <w:left w:w="0" w:type="dxa"/>
            <w:bottom w:w="0" w:type="dxa"/>
            <w:right w:w="0" w:type="dxa"/>
          </w:tblCellMar>
        </w:tblPrEx>
        <w:trPr>
          <w:trHeight w:val="7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同三高速游客驿站绿地</w:t>
            </w:r>
          </w:p>
        </w:tc>
        <w:tc>
          <w:tcPr>
            <w:tcW w:w="7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12210 </w:t>
            </w:r>
          </w:p>
        </w:tc>
        <w:tc>
          <w:tcPr>
            <w:tcW w:w="8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高速游客驿站种花1800株（300*6）；黑麦草套播4016㎡</w:t>
            </w:r>
          </w:p>
        </w:tc>
      </w:tr>
      <w:tr>
        <w:tblPrEx>
          <w:tblCellMar>
            <w:top w:w="0" w:type="dxa"/>
            <w:left w:w="0" w:type="dxa"/>
            <w:bottom w:w="0" w:type="dxa"/>
            <w:right w:w="0" w:type="dxa"/>
          </w:tblCellMar>
        </w:tblPrEx>
        <w:trPr>
          <w:trHeight w:val="617"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平安大道（高速出口-临港公路）</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77297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种花62856株（10476*6）；黑麦草套播33000㎡</w:t>
            </w:r>
          </w:p>
        </w:tc>
      </w:tr>
      <w:tr>
        <w:tblPrEx>
          <w:tblCellMar>
            <w:top w:w="0" w:type="dxa"/>
            <w:left w:w="0" w:type="dxa"/>
            <w:bottom w:w="0" w:type="dxa"/>
            <w:right w:w="0" w:type="dxa"/>
          </w:tblCellMar>
        </w:tblPrEx>
        <w:trPr>
          <w:trHeight w:val="53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同三高速宁海互通口</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79455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种花213246株（71082*3）；黑麦草套播36488㎡</w:t>
            </w:r>
          </w:p>
        </w:tc>
      </w:tr>
      <w:tr>
        <w:tblPrEx>
          <w:tblCellMar>
            <w:top w:w="0" w:type="dxa"/>
            <w:left w:w="0" w:type="dxa"/>
            <w:bottom w:w="0" w:type="dxa"/>
            <w:right w:w="0"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梅林外环路绿地</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1035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20"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奥迪4S店东侧及转角绿地</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570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黑麦草套播570㎡</w:t>
            </w:r>
          </w:p>
        </w:tc>
      </w:tr>
      <w:tr>
        <w:tblPrEx>
          <w:tblCellMar>
            <w:top w:w="0" w:type="dxa"/>
            <w:left w:w="0" w:type="dxa"/>
            <w:bottom w:w="0" w:type="dxa"/>
            <w:right w:w="0"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桥头胡街道绿地</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5304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59"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九顷路机非隔离带</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3269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梅岭街道独山路</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426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花园路</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梅桥公路</w:t>
            </w:r>
          </w:p>
        </w:tc>
        <w:tc>
          <w:tcPr>
            <w:tcW w:w="7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2520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315</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1548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桥井中路</w:t>
            </w:r>
          </w:p>
        </w:tc>
        <w:tc>
          <w:tcPr>
            <w:tcW w:w="7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352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444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学士路</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444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中新北街</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720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中新南街</w:t>
            </w:r>
          </w:p>
        </w:tc>
        <w:tc>
          <w:tcPr>
            <w:tcW w:w="7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144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广玉兰Ø&lt;15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万商路</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348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4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建新路</w:t>
            </w:r>
          </w:p>
        </w:tc>
        <w:tc>
          <w:tcPr>
            <w:tcW w:w="79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9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912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76</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4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眠牛山路</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312 </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226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217978</w:t>
            </w:r>
            <w:r>
              <w:rPr>
                <w:rFonts w:ascii="宋体" w:hAnsi="宋体" w:cs="宋体"/>
                <w:color w:val="000000"/>
                <w:kern w:val="0"/>
                <w:sz w:val="18"/>
                <w:szCs w:val="18"/>
              </w:rPr>
              <w:fldChar w:fldCharType="end"/>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1661034</w:t>
            </w:r>
          </w:p>
        </w:tc>
        <w:tc>
          <w:tcPr>
            <w:tcW w:w="13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22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r>
              <w:rPr>
                <w:rFonts w:hint="eastAsia" w:ascii="宋体" w:hAnsi="宋体" w:cs="宋体"/>
                <w:color w:val="000000"/>
                <w:sz w:val="18"/>
                <w:szCs w:val="18"/>
              </w:rPr>
              <w:t>按预算价1845593下浮10%</w:t>
            </w:r>
          </w:p>
        </w:tc>
      </w:tr>
    </w:tbl>
    <w:p>
      <w:pPr>
        <w:jc w:val="left"/>
        <w:rPr>
          <w:rFonts w:ascii="宋体" w:hAnsi="宋体" w:cs="宋体"/>
          <w:color w:val="000000"/>
          <w:kern w:val="0"/>
          <w:sz w:val="18"/>
          <w:szCs w:val="18"/>
        </w:rPr>
      </w:pPr>
      <w:r>
        <w:rPr>
          <w:rFonts w:hint="eastAsia" w:ascii="宋体" w:hAnsi="宋体" w:cs="宋体"/>
          <w:color w:val="000000"/>
          <w:kern w:val="0"/>
          <w:sz w:val="18"/>
          <w:szCs w:val="18"/>
        </w:rPr>
        <w:t>备注：行道树Ø&gt;25计12m2，Ø15-25计8m2，Ø&lt;15计5m2；如绿地面积有误差或增减，则按实计算。</w:t>
      </w:r>
    </w:p>
    <w:p>
      <w:pPr>
        <w:rPr>
          <w:szCs w:val="24"/>
        </w:rPr>
      </w:pPr>
    </w:p>
    <w:p>
      <w:pPr>
        <w:rPr>
          <w:szCs w:val="24"/>
        </w:rPr>
      </w:pPr>
    </w:p>
    <w:p>
      <w:pPr>
        <w:rPr>
          <w:szCs w:val="24"/>
        </w:rPr>
      </w:pPr>
    </w:p>
    <w:p>
      <w:pPr>
        <w:rPr>
          <w:szCs w:val="24"/>
        </w:rPr>
      </w:pPr>
      <w:r>
        <w:rPr>
          <w:rFonts w:hint="eastAsia"/>
          <w:szCs w:val="24"/>
        </w:rPr>
        <w:t>2、鲜花、黑麦草套播、樱花精细养护、公园巡查、保洁人员</w:t>
      </w:r>
    </w:p>
    <w:tbl>
      <w:tblPr>
        <w:tblStyle w:val="46"/>
        <w:tblW w:w="9177" w:type="dxa"/>
        <w:tblInd w:w="-310" w:type="dxa"/>
        <w:tblLayout w:type="fixed"/>
        <w:tblCellMar>
          <w:top w:w="0" w:type="dxa"/>
          <w:left w:w="0" w:type="dxa"/>
          <w:bottom w:w="0" w:type="dxa"/>
          <w:right w:w="0" w:type="dxa"/>
        </w:tblCellMar>
      </w:tblPr>
      <w:tblGrid>
        <w:gridCol w:w="704"/>
        <w:gridCol w:w="1651"/>
        <w:gridCol w:w="1103"/>
        <w:gridCol w:w="1403"/>
        <w:gridCol w:w="803"/>
        <w:gridCol w:w="3513"/>
      </w:tblGrid>
      <w:tr>
        <w:tblPrEx>
          <w:tblCellMar>
            <w:top w:w="0" w:type="dxa"/>
            <w:left w:w="0" w:type="dxa"/>
            <w:bottom w:w="0" w:type="dxa"/>
            <w:right w:w="0" w:type="dxa"/>
          </w:tblCellMar>
        </w:tblPrEx>
        <w:trPr>
          <w:trHeight w:val="729" w:hRule="atLeast"/>
        </w:trPr>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4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8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18"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鲜花种植</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293820株</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3.0元/株</w:t>
            </w: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881406 </w:t>
            </w:r>
          </w:p>
        </w:tc>
        <w:tc>
          <w:tcPr>
            <w:tcW w:w="3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18"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黑麦草套播</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75474㎡</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4.0元/㎡.年</w:t>
            </w: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301896 </w:t>
            </w:r>
          </w:p>
        </w:tc>
        <w:tc>
          <w:tcPr>
            <w:tcW w:w="3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73"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樱花精细养护</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2626株</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75元/株.年</w:t>
            </w: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196950</w:t>
            </w:r>
          </w:p>
        </w:tc>
        <w:tc>
          <w:tcPr>
            <w:tcW w:w="3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18"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公园巡查人员</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2人</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90000 </w:t>
            </w:r>
          </w:p>
        </w:tc>
        <w:tc>
          <w:tcPr>
            <w:tcW w:w="3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眠牛山公园2人，费用不下浮</w:t>
            </w:r>
          </w:p>
        </w:tc>
      </w:tr>
      <w:tr>
        <w:tblPrEx>
          <w:tblCellMar>
            <w:top w:w="0" w:type="dxa"/>
            <w:left w:w="0" w:type="dxa"/>
            <w:bottom w:w="0" w:type="dxa"/>
            <w:right w:w="0" w:type="dxa"/>
          </w:tblCellMar>
        </w:tblPrEx>
        <w:trPr>
          <w:trHeight w:val="418"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公园保洁人员</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3人</w:t>
            </w: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129000 </w:t>
            </w:r>
          </w:p>
        </w:tc>
        <w:tc>
          <w:tcPr>
            <w:tcW w:w="3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眠牛山公园3人，费用不下浮</w:t>
            </w:r>
          </w:p>
        </w:tc>
      </w:tr>
      <w:tr>
        <w:tblPrEx>
          <w:tblCellMar>
            <w:top w:w="0" w:type="dxa"/>
            <w:left w:w="0" w:type="dxa"/>
            <w:bottom w:w="0" w:type="dxa"/>
            <w:right w:w="0" w:type="dxa"/>
          </w:tblCellMar>
        </w:tblPrEx>
        <w:trPr>
          <w:trHeight w:val="428" w:hRule="atLeast"/>
        </w:trPr>
        <w:tc>
          <w:tcPr>
            <w:tcW w:w="7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4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8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1599252</w:t>
            </w:r>
            <w:r>
              <w:rPr>
                <w:rFonts w:ascii="宋体" w:hAnsi="宋体" w:cs="宋体"/>
                <w:color w:val="000000"/>
                <w:kern w:val="0"/>
                <w:sz w:val="18"/>
                <w:szCs w:val="18"/>
              </w:rPr>
              <w:fldChar w:fldCharType="end"/>
            </w:r>
          </w:p>
        </w:tc>
        <w:tc>
          <w:tcPr>
            <w:tcW w:w="35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jc w:val="left"/>
        <w:rPr>
          <w:rFonts w:ascii="宋体" w:hAnsi="宋体" w:cs="宋体"/>
          <w:color w:val="000000"/>
          <w:kern w:val="0"/>
          <w:sz w:val="18"/>
          <w:szCs w:val="18"/>
        </w:rPr>
      </w:pPr>
      <w:r>
        <w:rPr>
          <w:rFonts w:hint="eastAsia" w:ascii="宋体" w:hAnsi="宋体" w:cs="宋体"/>
          <w:color w:val="000000"/>
          <w:kern w:val="0"/>
          <w:sz w:val="18"/>
          <w:szCs w:val="18"/>
        </w:rPr>
        <w:t>注：此部分公园巡查、保洁人员报价不得下浮，计入到标段投标总价中。巡查人员实行二班制，时间安排6：00-22：00，其中只有1名巡查人员的实行单班制，保洁实行单班制，单班制时间安排6：30-11：00，13：30-17：00；巡查、保洁人员年龄要求男性在60周岁以下、女性在50周岁以下；巡查人员必须严格遵守《公园巡查人员工作守则和岗位职责》相关规定。</w:t>
      </w:r>
    </w:p>
    <w:p>
      <w:pPr>
        <w:pStyle w:val="4"/>
        <w:spacing w:before="0" w:after="0" w:line="480" w:lineRule="exact"/>
        <w:rPr>
          <w:rFonts w:ascii="Times New Roman" w:hAnsi="Times New Roman" w:eastAsia="宋体"/>
          <w:sz w:val="21"/>
          <w:szCs w:val="24"/>
        </w:rPr>
      </w:pPr>
    </w:p>
    <w:p>
      <w:pPr>
        <w:jc w:val="left"/>
        <w:rPr>
          <w:rFonts w:ascii="宋体" w:hAnsi="宋体" w:cs="宋体"/>
          <w:color w:val="000000"/>
          <w:w w:val="80"/>
          <w:sz w:val="24"/>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pStyle w:val="3"/>
        <w:rPr>
          <w:szCs w:val="24"/>
        </w:rPr>
      </w:pPr>
    </w:p>
    <w:p>
      <w:pPr>
        <w:rPr>
          <w:szCs w:val="24"/>
        </w:rPr>
      </w:pPr>
    </w:p>
    <w:p>
      <w:pPr>
        <w:pStyle w:val="3"/>
        <w:rPr>
          <w:szCs w:val="24"/>
        </w:rPr>
      </w:pPr>
    </w:p>
    <w:p>
      <w:pPr>
        <w:rPr>
          <w:szCs w:val="24"/>
        </w:rPr>
      </w:pPr>
    </w:p>
    <w:p>
      <w:pPr>
        <w:pStyle w:val="3"/>
        <w:rPr>
          <w:szCs w:val="24"/>
        </w:rPr>
      </w:pPr>
    </w:p>
    <w:p>
      <w:pPr>
        <w:rPr>
          <w:szCs w:val="24"/>
        </w:rPr>
      </w:pPr>
    </w:p>
    <w:p>
      <w:pPr>
        <w:pStyle w:val="3"/>
      </w:pPr>
    </w:p>
    <w:p>
      <w:pPr>
        <w:rPr>
          <w:szCs w:val="24"/>
        </w:rPr>
      </w:pPr>
    </w:p>
    <w:p>
      <w:pPr>
        <w:pStyle w:val="3"/>
        <w:rPr>
          <w:szCs w:val="24"/>
        </w:rPr>
      </w:pPr>
    </w:p>
    <w:p>
      <w:pPr>
        <w:rPr>
          <w:szCs w:val="24"/>
        </w:rPr>
      </w:pPr>
    </w:p>
    <w:p>
      <w:pPr>
        <w:pStyle w:val="3"/>
        <w:rPr>
          <w:szCs w:val="24"/>
        </w:rPr>
      </w:pPr>
    </w:p>
    <w:p>
      <w:pPr>
        <w:rPr>
          <w:szCs w:val="24"/>
        </w:rPr>
      </w:pPr>
    </w:p>
    <w:p>
      <w:pPr>
        <w:pStyle w:val="3"/>
      </w:pPr>
    </w:p>
    <w:p>
      <w:pPr>
        <w:rPr>
          <w:szCs w:val="24"/>
        </w:rPr>
      </w:pPr>
    </w:p>
    <w:p>
      <w:pPr>
        <w:rPr>
          <w:szCs w:val="24"/>
        </w:rPr>
      </w:pPr>
    </w:p>
    <w:p>
      <w:pPr>
        <w:tabs>
          <w:tab w:val="left" w:pos="1834"/>
        </w:tabs>
        <w:spacing w:line="480" w:lineRule="exact"/>
        <w:jc w:val="left"/>
        <w:rPr>
          <w:b/>
          <w:bCs/>
          <w:szCs w:val="24"/>
        </w:rPr>
      </w:pPr>
      <w:r>
        <w:rPr>
          <w:rFonts w:hint="eastAsia"/>
          <w:b/>
          <w:szCs w:val="24"/>
        </w:rPr>
        <w:t>标段号：四</w:t>
      </w:r>
    </w:p>
    <w:p>
      <w:pPr>
        <w:rPr>
          <w:szCs w:val="24"/>
        </w:rPr>
      </w:pPr>
      <w:r>
        <w:rPr>
          <w:rFonts w:hint="eastAsia"/>
          <w:szCs w:val="24"/>
        </w:rPr>
        <w:t>1、绿化养护</w:t>
      </w:r>
    </w:p>
    <w:p>
      <w:pPr>
        <w:rPr>
          <w:szCs w:val="24"/>
        </w:rPr>
      </w:pPr>
      <w:r>
        <w:rPr>
          <w:rFonts w:hint="eastAsia"/>
          <w:szCs w:val="24"/>
        </w:rPr>
        <w:t>网格界限：东至桃源中路东侧（含人行道）；南至环城西路南侧与环城北路南侧（含人行道）；西至外环西路东侧（不含人行道）；北至外环路南侧（不含人行道）</w:t>
      </w:r>
    </w:p>
    <w:tbl>
      <w:tblPr>
        <w:tblStyle w:val="46"/>
        <w:tblW w:w="0" w:type="auto"/>
        <w:tblInd w:w="-490" w:type="dxa"/>
        <w:tblLayout w:type="fixed"/>
        <w:tblCellMar>
          <w:top w:w="0" w:type="dxa"/>
          <w:left w:w="0" w:type="dxa"/>
          <w:bottom w:w="0" w:type="dxa"/>
          <w:right w:w="0" w:type="dxa"/>
        </w:tblCellMar>
      </w:tblPr>
      <w:tblGrid>
        <w:gridCol w:w="535"/>
        <w:gridCol w:w="980"/>
        <w:gridCol w:w="885"/>
        <w:gridCol w:w="795"/>
        <w:gridCol w:w="675"/>
        <w:gridCol w:w="750"/>
        <w:gridCol w:w="900"/>
        <w:gridCol w:w="615"/>
        <w:gridCol w:w="3611"/>
      </w:tblGrid>
      <w:tr>
        <w:tblPrEx>
          <w:tblCellMar>
            <w:top w:w="0" w:type="dxa"/>
            <w:left w:w="0" w:type="dxa"/>
            <w:bottom w:w="0" w:type="dxa"/>
            <w:right w:w="0" w:type="dxa"/>
          </w:tblCellMar>
        </w:tblPrEx>
        <w:trPr>
          <w:trHeight w:val="727"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养护类型与级别</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绿地面积（㎡）</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养护单价（元/年）</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数量（株）</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绿地养护</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1318"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潘天寿广场绿地</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15502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种花21420株，其中潘天寿广场周边花箱种花5220(870*6)株，潘天寿广场绿地12000株（2000*6），青少年宫旁绿地4200株（700*6）；春节、“5.19”、国庆鲜花摆放13500盆（4500*3）；黑麦草套播2630㎡</w:t>
            </w:r>
          </w:p>
        </w:tc>
      </w:tr>
      <w:tr>
        <w:tblPrEx>
          <w:tblCellMar>
            <w:top w:w="0" w:type="dxa"/>
            <w:left w:w="0" w:type="dxa"/>
            <w:bottom w:w="0" w:type="dxa"/>
            <w:right w:w="0" w:type="dxa"/>
          </w:tblCellMar>
        </w:tblPrEx>
        <w:trPr>
          <w:trHeight w:val="656"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徐霞客公园绿地</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27582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春节、“5.19”、国庆鲜花摆放4500盆（1500*3）；黑麦草套播6700㎡</w:t>
            </w: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西苑公园</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7238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黑麦草套播4000㎡</w:t>
            </w: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银菊公园</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4900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黑麦草套播200㎡</w:t>
            </w: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中山中路小游园</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1339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30"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8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中山西路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1175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中山西路隔离带花箱种花38880株（6480*6）</w:t>
            </w:r>
          </w:p>
        </w:tc>
      </w:tr>
      <w:tr>
        <w:tblPrEx>
          <w:tblCellMar>
            <w:top w:w="0" w:type="dxa"/>
            <w:left w:w="0" w:type="dxa"/>
            <w:bottom w:w="0" w:type="dxa"/>
            <w:right w:w="0" w:type="dxa"/>
          </w:tblCellMar>
        </w:tblPrEx>
        <w:trPr>
          <w:trHeight w:val="540"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新十里红妆周边绿地</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9900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黑麦草套播6500㎡</w:t>
            </w:r>
          </w:p>
        </w:tc>
      </w:tr>
      <w:tr>
        <w:tblPrEx>
          <w:tblCellMar>
            <w:top w:w="0" w:type="dxa"/>
            <w:left w:w="0" w:type="dxa"/>
            <w:bottom w:w="0" w:type="dxa"/>
            <w:right w:w="0" w:type="dxa"/>
          </w:tblCellMar>
        </w:tblPrEx>
        <w:trPr>
          <w:trHeight w:val="130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人民路（兴宁中路-桃源路）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7161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种花94800株，其中人民路绿地45000株（7500*6），人民路隔离带花箱46800株（7800*6），跃龙街道门口花箱3000株（500*6）；春节、“5.19”、国庆鲜花摆放11400盆（3800*3）；黑麦草套播800㎡</w:t>
            </w:r>
          </w:p>
        </w:tc>
      </w:tr>
      <w:tr>
        <w:tblPrEx>
          <w:tblCellMar>
            <w:top w:w="0" w:type="dxa"/>
            <w:left w:w="0" w:type="dxa"/>
            <w:bottom w:w="0" w:type="dxa"/>
            <w:right w:w="0" w:type="dxa"/>
          </w:tblCellMar>
        </w:tblPrEx>
        <w:trPr>
          <w:trHeight w:val="481"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西门环岛绿地</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2943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黑麦草套播400㎡</w:t>
            </w: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五街汇街头绿地</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353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中山中路绿带</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740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金泰小区外绿地</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263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西郊路北侧绿地</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680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中山西路34弄</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340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兴宁公厕绿地</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250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589"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车河路与兴宁路交叉口</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1400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红枫路花坛</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118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青竹路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车河社区</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3702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银菊北路小区</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700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松竹新村</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5000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怡惠小区</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2550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正学公寓</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215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金地巷</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330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国税局旁小区</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1430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静苑小区</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300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山河路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300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水杉Ø&gt;25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1188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99</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中山西路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856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98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中山中路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1232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154</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石河路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295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59</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车河路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732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61</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银菊路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415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672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1896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158</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沙朴Ø&gt;25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兴宁中路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2088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174</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1184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148</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84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宁昌西路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825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165</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宁昌路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265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桂花Ø&lt;15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天寿路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2196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183</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135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天寿西路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396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桂花Ø&gt;25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天广路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1308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正学西路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105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480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156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正学路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624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1092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北斗北路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（外环路—人民路）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1568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625" w:hRule="atLeast"/>
        </w:trPr>
        <w:tc>
          <w:tcPr>
            <w:tcW w:w="53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774" w:hRule="atLeast"/>
        </w:trPr>
        <w:tc>
          <w:tcPr>
            <w:tcW w:w="5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气象中路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（外环路—人民路）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2448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204</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气象中路花箱种花12000株（2000*60）</w:t>
            </w:r>
          </w:p>
        </w:tc>
      </w:tr>
      <w:tr>
        <w:tblPrEx>
          <w:tblCellMar>
            <w:top w:w="0" w:type="dxa"/>
            <w:left w:w="0" w:type="dxa"/>
            <w:bottom w:w="0" w:type="dxa"/>
            <w:right w:w="0" w:type="dxa"/>
          </w:tblCellMar>
        </w:tblPrEx>
        <w:trPr>
          <w:trHeight w:val="491"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怡惠路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1024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470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94</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180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白/广玉兰Ø&lt;15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98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人民路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2028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169</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北斗南路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168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24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环城西路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2820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600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水杉Ø15-25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西郊路</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2064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172</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980"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北大街</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1836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法国梧桐Ø&gt;25</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 </w:t>
            </w:r>
          </w:p>
        </w:tc>
        <w:tc>
          <w:tcPr>
            <w:tcW w:w="6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61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桃源中路</w:t>
            </w:r>
          </w:p>
        </w:tc>
        <w:tc>
          <w:tcPr>
            <w:tcW w:w="88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6180 </w:t>
            </w:r>
          </w:p>
        </w:tc>
        <w:tc>
          <w:tcPr>
            <w:tcW w:w="6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515</w:t>
            </w:r>
          </w:p>
        </w:tc>
        <w:tc>
          <w:tcPr>
            <w:tcW w:w="36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河边261株</w:t>
            </w:r>
          </w:p>
        </w:tc>
      </w:tr>
      <w:tr>
        <w:tblPrEx>
          <w:tblCellMar>
            <w:top w:w="0" w:type="dxa"/>
            <w:left w:w="0" w:type="dxa"/>
            <w:bottom w:w="0" w:type="dxa"/>
            <w:right w:w="0" w:type="dxa"/>
          </w:tblCellMar>
        </w:tblPrEx>
        <w:trPr>
          <w:trHeight w:val="591" w:hRule="atLeast"/>
        </w:trPr>
        <w:tc>
          <w:tcPr>
            <w:tcW w:w="535" w:type="dxa"/>
            <w:vMerge w:val="continue"/>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auto"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auto"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600 </w:t>
            </w:r>
          </w:p>
        </w:tc>
        <w:tc>
          <w:tcPr>
            <w:tcW w:w="6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auto"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361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新世纪沿河节点种花9600（1600*6）株；黑麦草套播400㎡</w:t>
            </w: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9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闻裕顺幼儿园旁</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136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龙珠大厦</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银杏Ø&lt;15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银杏Ø&gt;25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9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惠民路(外环路以南)</w:t>
            </w:r>
          </w:p>
        </w:tc>
        <w:tc>
          <w:tcPr>
            <w:tcW w:w="88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288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桂花Ø&lt;15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156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桂花Ø&gt;25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石榴Ø&gt;25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27"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香泡Ø&gt;25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8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白玉兰Ø&gt;25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764" w:hRule="atLeast"/>
        </w:trPr>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98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丁香巷（银海嘉园旁）</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491" w:hRule="atLeast"/>
        </w:trPr>
        <w:tc>
          <w:tcPr>
            <w:tcW w:w="5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98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青竹路</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280 </w:t>
            </w:r>
          </w:p>
        </w:tc>
        <w:tc>
          <w:tcPr>
            <w:tcW w:w="6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珊瑚朴Ø&lt;15</w:t>
            </w:r>
          </w:p>
        </w:tc>
        <w:tc>
          <w:tcPr>
            <w:tcW w:w="61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36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8"/>
                <w:szCs w:val="18"/>
              </w:rPr>
            </w:pPr>
          </w:p>
        </w:tc>
      </w:tr>
      <w:tr>
        <w:tblPrEx>
          <w:tblCellMar>
            <w:top w:w="0" w:type="dxa"/>
            <w:left w:w="0" w:type="dxa"/>
            <w:bottom w:w="0" w:type="dxa"/>
            <w:right w:w="0" w:type="dxa"/>
          </w:tblCellMar>
        </w:tblPrEx>
        <w:trPr>
          <w:trHeight w:val="612" w:hRule="atLeast"/>
        </w:trPr>
        <w:tc>
          <w:tcPr>
            <w:tcW w:w="53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980"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山河路周边地块</w:t>
            </w:r>
          </w:p>
        </w:tc>
        <w:tc>
          <w:tcPr>
            <w:tcW w:w="8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17227 </w:t>
            </w:r>
          </w:p>
        </w:tc>
        <w:tc>
          <w:tcPr>
            <w:tcW w:w="6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00"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000000" w:sz="4" w:space="0"/>
              <w:left w:val="nil"/>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2019年12月7号到期，黑麦草套播8330㎡</w:t>
            </w:r>
          </w:p>
        </w:tc>
      </w:tr>
      <w:tr>
        <w:tblPrEx>
          <w:tblCellMar>
            <w:top w:w="0" w:type="dxa"/>
            <w:left w:w="0" w:type="dxa"/>
            <w:bottom w:w="0" w:type="dxa"/>
            <w:right w:w="0" w:type="dxa"/>
          </w:tblCellMar>
        </w:tblPrEx>
        <w:trPr>
          <w:trHeight w:val="432" w:hRule="atLeast"/>
        </w:trPr>
        <w:tc>
          <w:tcPr>
            <w:tcW w:w="5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186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156891</w:t>
            </w:r>
            <w:r>
              <w:rPr>
                <w:rFonts w:ascii="宋体" w:hAnsi="宋体" w:cs="宋体"/>
                <w:color w:val="000000"/>
                <w:kern w:val="0"/>
                <w:sz w:val="18"/>
                <w:szCs w:val="18"/>
              </w:rPr>
              <w:fldChar w:fldCharType="end"/>
            </w:r>
          </w:p>
        </w:tc>
        <w:tc>
          <w:tcPr>
            <w:tcW w:w="6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1160653</w:t>
            </w:r>
          </w:p>
        </w:tc>
        <w:tc>
          <w:tcPr>
            <w:tcW w:w="9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61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按预算价1289614下浮10%</w:t>
            </w:r>
          </w:p>
        </w:tc>
      </w:tr>
    </w:tbl>
    <w:p>
      <w:pPr>
        <w:jc w:val="left"/>
        <w:rPr>
          <w:rFonts w:ascii="宋体" w:hAnsi="宋体" w:cs="宋体"/>
          <w:color w:val="000000"/>
          <w:kern w:val="0"/>
          <w:sz w:val="18"/>
          <w:szCs w:val="18"/>
        </w:rPr>
      </w:pPr>
      <w:r>
        <w:rPr>
          <w:rFonts w:hint="eastAsia" w:ascii="宋体" w:hAnsi="宋体" w:cs="宋体"/>
          <w:color w:val="000000"/>
          <w:kern w:val="0"/>
          <w:sz w:val="18"/>
          <w:szCs w:val="18"/>
        </w:rPr>
        <w:t>备注：行道树Ø&gt;25计12m2，Ø15-25计8m2，Ø&lt;15计5m2；如绿地面积有误差或增减，则按实计算。</w:t>
      </w:r>
    </w:p>
    <w:p>
      <w:pPr>
        <w:rPr>
          <w:szCs w:val="24"/>
        </w:rPr>
      </w:pPr>
    </w:p>
    <w:p>
      <w:pPr>
        <w:rPr>
          <w:szCs w:val="24"/>
        </w:rPr>
      </w:pPr>
      <w:r>
        <w:rPr>
          <w:rFonts w:hint="eastAsia"/>
          <w:szCs w:val="24"/>
        </w:rPr>
        <w:t>2、鲜花、黑麦草套播、公园巡查、保洁人员</w:t>
      </w:r>
    </w:p>
    <w:tbl>
      <w:tblPr>
        <w:tblStyle w:val="46"/>
        <w:tblW w:w="9645" w:type="dxa"/>
        <w:tblInd w:w="-400" w:type="dxa"/>
        <w:tblLayout w:type="fixed"/>
        <w:tblCellMar>
          <w:top w:w="0" w:type="dxa"/>
          <w:left w:w="0" w:type="dxa"/>
          <w:bottom w:w="0" w:type="dxa"/>
          <w:right w:w="0" w:type="dxa"/>
        </w:tblCellMar>
      </w:tblPr>
      <w:tblGrid>
        <w:gridCol w:w="875"/>
        <w:gridCol w:w="1542"/>
        <w:gridCol w:w="1213"/>
        <w:gridCol w:w="1463"/>
        <w:gridCol w:w="963"/>
        <w:gridCol w:w="3589"/>
      </w:tblGrid>
      <w:tr>
        <w:tblPrEx>
          <w:tblCellMar>
            <w:top w:w="0" w:type="dxa"/>
            <w:left w:w="0" w:type="dxa"/>
            <w:bottom w:w="0" w:type="dxa"/>
            <w:right w:w="0" w:type="dxa"/>
          </w:tblCellMar>
        </w:tblPrEx>
        <w:trPr>
          <w:trHeight w:val="688" w:hRule="atLeast"/>
        </w:trPr>
        <w:tc>
          <w:tcPr>
            <w:tcW w:w="8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648" w:hRule="atLeast"/>
        </w:trPr>
        <w:tc>
          <w:tcPr>
            <w:tcW w:w="8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鲜花种植</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176700株</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3.0元/株</w:t>
            </w:r>
          </w:p>
        </w:tc>
        <w:tc>
          <w:tcPr>
            <w:tcW w:w="96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624180 </w:t>
            </w:r>
          </w:p>
        </w:tc>
        <w:tc>
          <w:tcPr>
            <w:tcW w:w="358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648" w:hRule="atLeast"/>
        </w:trPr>
        <w:tc>
          <w:tcPr>
            <w:tcW w:w="8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鲜花摆放</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29400盆</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3.2元/盆</w:t>
            </w:r>
          </w:p>
        </w:tc>
        <w:tc>
          <w:tcPr>
            <w:tcW w:w="96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58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29" w:hRule="atLeast"/>
        </w:trPr>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黑麦草套播</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29960㎡</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4.0元/㎡.年</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119840 </w:t>
            </w:r>
          </w:p>
        </w:tc>
        <w:tc>
          <w:tcPr>
            <w:tcW w:w="35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65" w:hRule="atLeast"/>
        </w:trPr>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公园巡查人员</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11人</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495000 </w:t>
            </w:r>
          </w:p>
        </w:tc>
        <w:tc>
          <w:tcPr>
            <w:tcW w:w="3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徐霞客公园4人、西苑和银菊公园1人，潘天寿广场6人；费用不下浮</w:t>
            </w:r>
          </w:p>
        </w:tc>
      </w:tr>
      <w:tr>
        <w:tblPrEx>
          <w:tblCellMar>
            <w:top w:w="0" w:type="dxa"/>
            <w:left w:w="0" w:type="dxa"/>
            <w:bottom w:w="0" w:type="dxa"/>
            <w:right w:w="0" w:type="dxa"/>
          </w:tblCellMar>
        </w:tblPrEx>
        <w:trPr>
          <w:trHeight w:val="404" w:hRule="atLeast"/>
        </w:trPr>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公园保洁人员</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6人</w:t>
            </w: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258000 </w:t>
            </w:r>
          </w:p>
        </w:tc>
        <w:tc>
          <w:tcPr>
            <w:tcW w:w="3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潘天寿广场4人，徐霞客公园2人；费用不下浮</w:t>
            </w:r>
          </w:p>
        </w:tc>
      </w:tr>
      <w:tr>
        <w:tblPrEx>
          <w:tblCellMar>
            <w:top w:w="0" w:type="dxa"/>
            <w:left w:w="0" w:type="dxa"/>
            <w:bottom w:w="0" w:type="dxa"/>
            <w:right w:w="0" w:type="dxa"/>
          </w:tblCellMar>
        </w:tblPrEx>
        <w:trPr>
          <w:trHeight w:val="414" w:hRule="atLeast"/>
        </w:trPr>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1497020</w:t>
            </w:r>
            <w:r>
              <w:rPr>
                <w:rFonts w:ascii="宋体" w:hAnsi="宋体" w:cs="宋体"/>
                <w:color w:val="000000"/>
                <w:kern w:val="0"/>
                <w:sz w:val="18"/>
                <w:szCs w:val="18"/>
              </w:rPr>
              <w:fldChar w:fldCharType="end"/>
            </w:r>
          </w:p>
        </w:tc>
        <w:tc>
          <w:tcPr>
            <w:tcW w:w="35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jc w:val="left"/>
        <w:rPr>
          <w:rFonts w:ascii="宋体" w:hAnsi="宋体" w:cs="宋体"/>
          <w:color w:val="000000"/>
          <w:kern w:val="0"/>
          <w:sz w:val="18"/>
          <w:szCs w:val="18"/>
        </w:rPr>
      </w:pPr>
      <w:r>
        <w:rPr>
          <w:rFonts w:hint="eastAsia" w:ascii="宋体" w:hAnsi="宋体" w:cs="宋体"/>
          <w:color w:val="000000"/>
          <w:kern w:val="0"/>
          <w:sz w:val="18"/>
          <w:szCs w:val="18"/>
        </w:rPr>
        <w:t>注：此部分公园巡查、保洁人员报价不得下浮，计入到标段投标总价中。巡查人员实行二班制，时间安排6：00-22：00，其中只有1名巡查人员的实行单班制，保洁实行单班制，单班制时间安排6：30-11：00，13：30-17：00；巡查、保洁人员年龄要求男性在60周岁以下、女性在50周岁以下；巡查人员必须严格遵守《公园巡查人员工作守则和岗位职责》相关规定。</w:t>
      </w:r>
    </w:p>
    <w:p/>
    <w:p>
      <w:pPr>
        <w:tabs>
          <w:tab w:val="left" w:pos="1834"/>
        </w:tabs>
        <w:spacing w:line="480" w:lineRule="exact"/>
        <w:jc w:val="left"/>
        <w:rPr>
          <w:b/>
          <w:szCs w:val="24"/>
        </w:rPr>
      </w:pPr>
    </w:p>
    <w:p>
      <w:pPr>
        <w:tabs>
          <w:tab w:val="left" w:pos="1834"/>
        </w:tabs>
        <w:spacing w:line="480" w:lineRule="exact"/>
        <w:jc w:val="left"/>
        <w:rPr>
          <w:b/>
          <w:bCs/>
          <w:szCs w:val="24"/>
        </w:rPr>
      </w:pPr>
      <w:r>
        <w:rPr>
          <w:rFonts w:hint="eastAsia"/>
          <w:b/>
          <w:szCs w:val="24"/>
        </w:rPr>
        <w:t>标段号：五</w:t>
      </w:r>
    </w:p>
    <w:p>
      <w:pPr>
        <w:rPr>
          <w:szCs w:val="24"/>
        </w:rPr>
      </w:pPr>
      <w:r>
        <w:rPr>
          <w:rFonts w:hint="eastAsia"/>
          <w:szCs w:val="24"/>
        </w:rPr>
        <w:t>1、绿化养护</w:t>
      </w:r>
    </w:p>
    <w:p>
      <w:pPr>
        <w:rPr>
          <w:szCs w:val="24"/>
        </w:rPr>
      </w:pPr>
      <w:r>
        <w:rPr>
          <w:rFonts w:hint="eastAsia"/>
          <w:szCs w:val="24"/>
        </w:rPr>
        <w:t>网格界限：南至金水东路南侧（含人行道）；西至桃源北路东侧（含人行道）；北至平安大道南侧（不含人行道）</w:t>
      </w:r>
    </w:p>
    <w:tbl>
      <w:tblPr>
        <w:tblStyle w:val="46"/>
        <w:tblW w:w="0" w:type="auto"/>
        <w:tblInd w:w="-475" w:type="dxa"/>
        <w:tblLayout w:type="fixed"/>
        <w:tblCellMar>
          <w:top w:w="0" w:type="dxa"/>
          <w:left w:w="0" w:type="dxa"/>
          <w:bottom w:w="0" w:type="dxa"/>
          <w:right w:w="0" w:type="dxa"/>
        </w:tblCellMar>
      </w:tblPr>
      <w:tblGrid>
        <w:gridCol w:w="416"/>
        <w:gridCol w:w="1009"/>
        <w:gridCol w:w="750"/>
        <w:gridCol w:w="795"/>
        <w:gridCol w:w="735"/>
        <w:gridCol w:w="855"/>
        <w:gridCol w:w="630"/>
        <w:gridCol w:w="570"/>
        <w:gridCol w:w="3936"/>
      </w:tblGrid>
      <w:tr>
        <w:tblPrEx>
          <w:tblCellMar>
            <w:top w:w="0" w:type="dxa"/>
            <w:left w:w="0" w:type="dxa"/>
            <w:bottom w:w="0" w:type="dxa"/>
            <w:right w:w="0" w:type="dxa"/>
          </w:tblCellMar>
        </w:tblPrEx>
        <w:trPr>
          <w:trHeight w:val="702" w:hRule="atLeast"/>
        </w:trPr>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养护类型与级别</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绿地面积（㎡）</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养护单价（元/年）</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数量（株）</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02" w:hRule="atLeast"/>
        </w:trPr>
        <w:tc>
          <w:tcPr>
            <w:tcW w:w="4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绿地养护</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科技大道绿地</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19798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黑麦草套播1755㎡</w:t>
            </w:r>
          </w:p>
        </w:tc>
      </w:tr>
      <w:tr>
        <w:tblPrEx>
          <w:tblCellMar>
            <w:top w:w="0" w:type="dxa"/>
            <w:left w:w="0" w:type="dxa"/>
            <w:bottom w:w="0" w:type="dxa"/>
            <w:right w:w="0" w:type="dxa"/>
          </w:tblCellMar>
        </w:tblPrEx>
        <w:trPr>
          <w:trHeight w:val="762"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兴海中路（交警大队旁）</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1500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红叶石楠柱12株；黑麦草套播500㎡</w:t>
            </w:r>
          </w:p>
        </w:tc>
      </w:tr>
      <w:tr>
        <w:tblPrEx>
          <w:tblCellMar>
            <w:top w:w="0" w:type="dxa"/>
            <w:left w:w="0" w:type="dxa"/>
            <w:bottom w:w="0" w:type="dxa"/>
            <w:right w:w="0" w:type="dxa"/>
          </w:tblCellMar>
        </w:tblPrEx>
        <w:trPr>
          <w:trHeight w:val="660"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兴宁北路与高速出口交叉口</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14000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黑麦草套播8000㎡</w:t>
            </w:r>
          </w:p>
        </w:tc>
      </w:tr>
      <w:tr>
        <w:tblPrEx>
          <w:tblCellMar>
            <w:top w:w="0" w:type="dxa"/>
            <w:left w:w="0" w:type="dxa"/>
            <w:bottom w:w="0" w:type="dxa"/>
            <w:right w:w="0" w:type="dxa"/>
          </w:tblCellMar>
        </w:tblPrEx>
        <w:trPr>
          <w:trHeight w:val="819"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(外环路-时代大道)</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4380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红色石楠柱148株，种花9000株（草花60㎡，25株/㎡，1年6换）；黑麦草套播1290㎡</w:t>
            </w:r>
          </w:p>
        </w:tc>
      </w:tr>
      <w:tr>
        <w:tblPrEx>
          <w:tblCellMar>
            <w:top w:w="0" w:type="dxa"/>
            <w:left w:w="0" w:type="dxa"/>
            <w:bottom w:w="0" w:type="dxa"/>
            <w:right w:w="0" w:type="dxa"/>
          </w:tblCellMar>
        </w:tblPrEx>
        <w:trPr>
          <w:trHeight w:val="767"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(时代大道-金水路)</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9150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红色石楠柱177株，种花2700株（草花18㎡，25株/㎡，1年6换）；飞马场黑麦草套播2300㎡</w:t>
            </w:r>
          </w:p>
        </w:tc>
      </w:tr>
      <w:tr>
        <w:tblPrEx>
          <w:tblCellMar>
            <w:top w:w="0" w:type="dxa"/>
            <w:left w:w="0" w:type="dxa"/>
            <w:bottom w:w="0" w:type="dxa"/>
            <w:right w:w="0" w:type="dxa"/>
          </w:tblCellMar>
        </w:tblPrEx>
        <w:trPr>
          <w:trHeight w:val="1039"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桃源北路（外环路-时代大道）沿河绿地</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8925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962"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同三高速宁海互通口（桃源北路以东）</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34805 </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种花高速出口护栏252800株（31600*8），黑麦草套播13353㎡</w:t>
            </w:r>
          </w:p>
        </w:tc>
      </w:tr>
      <w:tr>
        <w:tblPrEx>
          <w:tblCellMar>
            <w:top w:w="0" w:type="dxa"/>
            <w:left w:w="0" w:type="dxa"/>
            <w:bottom w:w="0" w:type="dxa"/>
            <w:right w:w="0" w:type="dxa"/>
          </w:tblCellMar>
        </w:tblPrEx>
        <w:trPr>
          <w:trHeight w:val="759"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兴海北路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（盛宁线-平安大道）</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13563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种花18720株（3120*6）；黑麦草套播3754㎡</w:t>
            </w:r>
          </w:p>
        </w:tc>
      </w:tr>
      <w:tr>
        <w:tblPrEx>
          <w:tblCellMar>
            <w:top w:w="0" w:type="dxa"/>
            <w:left w:w="0" w:type="dxa"/>
            <w:bottom w:w="0" w:type="dxa"/>
            <w:right w:w="0" w:type="dxa"/>
          </w:tblCellMar>
        </w:tblPrEx>
        <w:trPr>
          <w:trHeight w:val="4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科园北路绿地</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14154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金水东路绿化带</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1015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种花19140株（3190*6）</w:t>
            </w:r>
          </w:p>
        </w:tc>
      </w:tr>
      <w:tr>
        <w:tblPrEx>
          <w:tblCellMar>
            <w:top w:w="0" w:type="dxa"/>
            <w:left w:w="0" w:type="dxa"/>
            <w:bottom w:w="0" w:type="dxa"/>
            <w:right w:w="0" w:type="dxa"/>
          </w:tblCellMar>
        </w:tblPrEx>
        <w:trPr>
          <w:trHeight w:val="4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009" w:type="dxa"/>
            <w:tcBorders>
              <w:top w:val="nil"/>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天明东路</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795" w:type="dxa"/>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4179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科技园区绿地</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28993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545"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四季桃源周边绿地</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1849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564"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四季桃源周边铺装</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环卫保洁</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1375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颜公河两侧绿地</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42814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兴海北路至桃源北路</w:t>
            </w:r>
          </w:p>
        </w:tc>
      </w:tr>
      <w:tr>
        <w:tblPrEx>
          <w:tblCellMar>
            <w:top w:w="0" w:type="dxa"/>
            <w:left w:w="0" w:type="dxa"/>
            <w:bottom w:w="0" w:type="dxa"/>
            <w:right w:w="0" w:type="dxa"/>
          </w:tblCellMar>
        </w:tblPrEx>
        <w:trPr>
          <w:trHeight w:val="720"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同三高速下洋葛西绿地</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1802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00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科三路</w:t>
            </w:r>
          </w:p>
        </w:tc>
        <w:tc>
          <w:tcPr>
            <w:tcW w:w="7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1932 </w:t>
            </w: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57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161</w:t>
            </w:r>
          </w:p>
        </w:tc>
        <w:tc>
          <w:tcPr>
            <w:tcW w:w="393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0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竹泉路</w:t>
            </w:r>
          </w:p>
        </w:tc>
        <w:tc>
          <w:tcPr>
            <w:tcW w:w="75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528 </w:t>
            </w:r>
          </w:p>
        </w:tc>
        <w:tc>
          <w:tcPr>
            <w:tcW w:w="7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5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66</w:t>
            </w:r>
          </w:p>
        </w:tc>
        <w:tc>
          <w:tcPr>
            <w:tcW w:w="393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restart"/>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009"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科园路</w:t>
            </w:r>
          </w:p>
        </w:tc>
        <w:tc>
          <w:tcPr>
            <w:tcW w:w="750" w:type="dxa"/>
            <w:vMerge w:val="restar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160 </w:t>
            </w:r>
          </w:p>
        </w:tc>
        <w:tc>
          <w:tcPr>
            <w:tcW w:w="73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广玉兰Ø15-25</w:t>
            </w:r>
          </w:p>
        </w:tc>
        <w:tc>
          <w:tcPr>
            <w:tcW w:w="57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393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广玉兰Ø&gt;25</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728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91</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40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7068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589</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00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科技大道</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80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乐昌含笑Ø&gt;25</w:t>
            </w:r>
          </w:p>
        </w:tc>
        <w:tc>
          <w:tcPr>
            <w:tcW w:w="57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464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乐昌含笑Ø15-25</w:t>
            </w:r>
          </w:p>
        </w:tc>
        <w:tc>
          <w:tcPr>
            <w:tcW w:w="57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112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57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2292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57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191</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金水东路</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560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黄山栾树Ø&lt;15</w:t>
            </w:r>
          </w:p>
        </w:tc>
        <w:tc>
          <w:tcPr>
            <w:tcW w:w="57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112</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0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竹口路</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广玉兰Ø&lt;15</w:t>
            </w:r>
          </w:p>
        </w:tc>
        <w:tc>
          <w:tcPr>
            <w:tcW w:w="57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168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广玉兰Ø15-25</w:t>
            </w:r>
          </w:p>
        </w:tc>
        <w:tc>
          <w:tcPr>
            <w:tcW w:w="57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1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512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57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799" w:hRule="atLeast"/>
        </w:trPr>
        <w:tc>
          <w:tcPr>
            <w:tcW w:w="4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009"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兴海中路（交警大队旁）</w:t>
            </w: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168 </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57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39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交警大队附近</w:t>
            </w:r>
          </w:p>
        </w:tc>
      </w:tr>
      <w:tr>
        <w:tblPrEx>
          <w:tblCellMar>
            <w:top w:w="0" w:type="dxa"/>
            <w:left w:w="0" w:type="dxa"/>
            <w:bottom w:w="0" w:type="dxa"/>
            <w:right w:w="0" w:type="dxa"/>
          </w:tblCellMar>
        </w:tblPrEx>
        <w:trPr>
          <w:trHeight w:val="402" w:hRule="atLeast"/>
        </w:trPr>
        <w:tc>
          <w:tcPr>
            <w:tcW w:w="416"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009" w:type="dxa"/>
            <w:tcBorders>
              <w:top w:val="nil"/>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杨家安置小区</w:t>
            </w:r>
          </w:p>
        </w:tc>
        <w:tc>
          <w:tcPr>
            <w:tcW w:w="7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9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365 </w:t>
            </w:r>
          </w:p>
        </w:tc>
        <w:tc>
          <w:tcPr>
            <w:tcW w:w="7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630"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湿地松Ø&lt;15</w:t>
            </w:r>
          </w:p>
        </w:tc>
        <w:tc>
          <w:tcPr>
            <w:tcW w:w="570" w:type="dxa"/>
            <w:tcBorders>
              <w:top w:val="single" w:color="000000" w:sz="4" w:space="0"/>
              <w:left w:val="nil"/>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73</w:t>
            </w:r>
          </w:p>
        </w:tc>
        <w:tc>
          <w:tcPr>
            <w:tcW w:w="393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41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759"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9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217571</w:t>
            </w:r>
            <w:r>
              <w:rPr>
                <w:rFonts w:ascii="宋体" w:hAnsi="宋体" w:cs="宋体"/>
                <w:color w:val="000000"/>
                <w:kern w:val="0"/>
                <w:sz w:val="18"/>
                <w:szCs w:val="18"/>
              </w:rPr>
              <w:fldChar w:fldCharType="end"/>
            </w:r>
          </w:p>
        </w:tc>
        <w:tc>
          <w:tcPr>
            <w:tcW w:w="7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85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1535597</w:t>
            </w:r>
          </w:p>
        </w:tc>
        <w:tc>
          <w:tcPr>
            <w:tcW w:w="63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5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93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宋体"/>
                <w:color w:val="000000"/>
                <w:sz w:val="18"/>
                <w:szCs w:val="18"/>
              </w:rPr>
            </w:pPr>
            <w:r>
              <w:rPr>
                <w:rFonts w:hint="eastAsia" w:ascii="宋体" w:hAnsi="宋体" w:cs="宋体"/>
                <w:color w:val="000000"/>
                <w:sz w:val="18"/>
                <w:szCs w:val="18"/>
              </w:rPr>
              <w:t>按预算价1706219下浮10%</w:t>
            </w:r>
          </w:p>
        </w:tc>
      </w:tr>
    </w:tbl>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备注：行道树Ø&gt;25计12m2，Ø15-25计8m2，Ø&lt;15计5m2；如绿地面积有误差或增减，则按实计算。</w:t>
      </w:r>
    </w:p>
    <w:p>
      <w:pPr>
        <w:rPr>
          <w:szCs w:val="24"/>
        </w:rPr>
      </w:pPr>
    </w:p>
    <w:p>
      <w:pPr>
        <w:rPr>
          <w:szCs w:val="24"/>
        </w:rPr>
      </w:pPr>
      <w:r>
        <w:rPr>
          <w:rFonts w:hint="eastAsia"/>
          <w:szCs w:val="24"/>
        </w:rPr>
        <w:t>2、鲜花、黑麦草套播、红叶石楠柱修剪补助</w:t>
      </w:r>
    </w:p>
    <w:tbl>
      <w:tblPr>
        <w:tblStyle w:val="46"/>
        <w:tblW w:w="9778" w:type="dxa"/>
        <w:tblInd w:w="-475" w:type="dxa"/>
        <w:tblLayout w:type="fixed"/>
        <w:tblCellMar>
          <w:top w:w="0" w:type="dxa"/>
          <w:left w:w="0" w:type="dxa"/>
          <w:bottom w:w="0" w:type="dxa"/>
          <w:right w:w="0" w:type="dxa"/>
        </w:tblCellMar>
      </w:tblPr>
      <w:tblGrid>
        <w:gridCol w:w="1233"/>
        <w:gridCol w:w="1522"/>
        <w:gridCol w:w="1047"/>
        <w:gridCol w:w="1224"/>
        <w:gridCol w:w="870"/>
        <w:gridCol w:w="3882"/>
      </w:tblGrid>
      <w:tr>
        <w:tblPrEx>
          <w:tblCellMar>
            <w:top w:w="0" w:type="dxa"/>
            <w:left w:w="0" w:type="dxa"/>
            <w:bottom w:w="0" w:type="dxa"/>
            <w:right w:w="0" w:type="dxa"/>
          </w:tblCellMar>
        </w:tblPrEx>
        <w:trPr>
          <w:trHeight w:val="702" w:hRule="atLeast"/>
        </w:trPr>
        <w:tc>
          <w:tcPr>
            <w:tcW w:w="12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0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2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538" w:hRule="atLeast"/>
        </w:trPr>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5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鲜花种植</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302360株</w:t>
            </w:r>
          </w:p>
        </w:tc>
        <w:tc>
          <w:tcPr>
            <w:tcW w:w="12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3.0元/株</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 xml:space="preserve">907080 </w:t>
            </w:r>
          </w:p>
        </w:tc>
        <w:tc>
          <w:tcPr>
            <w:tcW w:w="3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40" w:hRule="atLeast"/>
        </w:trPr>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522" w:type="dxa"/>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黑麦草套播</w:t>
            </w:r>
          </w:p>
        </w:tc>
        <w:tc>
          <w:tcPr>
            <w:tcW w:w="1047"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30952盆</w:t>
            </w:r>
          </w:p>
        </w:tc>
        <w:tc>
          <w:tcPr>
            <w:tcW w:w="122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4.0元/㎡.年</w:t>
            </w:r>
          </w:p>
        </w:tc>
        <w:tc>
          <w:tcPr>
            <w:tcW w:w="8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 xml:space="preserve">123808 </w:t>
            </w:r>
          </w:p>
        </w:tc>
        <w:tc>
          <w:tcPr>
            <w:tcW w:w="38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43" w:hRule="atLeast"/>
        </w:trPr>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红叶石楠柱修剪 补助</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3次</w:t>
            </w:r>
          </w:p>
        </w:tc>
        <w:tc>
          <w:tcPr>
            <w:tcW w:w="12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3370元/次.年</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 xml:space="preserve">10110 </w:t>
            </w:r>
          </w:p>
        </w:tc>
        <w:tc>
          <w:tcPr>
            <w:tcW w:w="3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红叶石楠柱337株，10元/株，一年修剪三次</w:t>
            </w:r>
          </w:p>
        </w:tc>
      </w:tr>
      <w:tr>
        <w:tblPrEx>
          <w:tblCellMar>
            <w:top w:w="0" w:type="dxa"/>
            <w:left w:w="0" w:type="dxa"/>
            <w:bottom w:w="0" w:type="dxa"/>
            <w:right w:w="0" w:type="dxa"/>
          </w:tblCellMar>
        </w:tblPrEx>
        <w:trPr>
          <w:trHeight w:val="552" w:hRule="atLeast"/>
        </w:trPr>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0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2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1040998</w:t>
            </w:r>
            <w:r>
              <w:rPr>
                <w:rFonts w:ascii="宋体" w:hAnsi="宋体" w:cs="宋体"/>
                <w:color w:val="000000"/>
                <w:kern w:val="0"/>
                <w:sz w:val="18"/>
                <w:szCs w:val="18"/>
              </w:rPr>
              <w:fldChar w:fldCharType="end"/>
            </w:r>
          </w:p>
        </w:tc>
        <w:tc>
          <w:tcPr>
            <w:tcW w:w="3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注：此部分报价计入到标段投标总价中。</w:t>
      </w:r>
    </w:p>
    <w:p>
      <w:pPr>
        <w:tabs>
          <w:tab w:val="left" w:pos="1834"/>
        </w:tabs>
        <w:spacing w:line="480" w:lineRule="exact"/>
        <w:ind w:left="1701"/>
        <w:rPr>
          <w:szCs w:val="24"/>
        </w:rPr>
      </w:pPr>
    </w:p>
    <w:p>
      <w:pPr>
        <w:tabs>
          <w:tab w:val="left" w:pos="1834"/>
        </w:tabs>
        <w:spacing w:line="480" w:lineRule="exact"/>
        <w:ind w:left="1701"/>
        <w:rPr>
          <w:b/>
          <w:szCs w:val="24"/>
        </w:rPr>
      </w:pPr>
    </w:p>
    <w:p>
      <w:pPr>
        <w:tabs>
          <w:tab w:val="left" w:pos="1834"/>
        </w:tabs>
        <w:spacing w:line="480" w:lineRule="exact"/>
        <w:jc w:val="left"/>
        <w:rPr>
          <w:b/>
          <w:bCs/>
          <w:szCs w:val="24"/>
        </w:rPr>
      </w:pPr>
      <w:r>
        <w:rPr>
          <w:rFonts w:hint="eastAsia"/>
          <w:b/>
          <w:szCs w:val="24"/>
        </w:rPr>
        <w:t>标段号：六</w:t>
      </w:r>
    </w:p>
    <w:p>
      <w:pPr>
        <w:rPr>
          <w:szCs w:val="24"/>
        </w:rPr>
      </w:pPr>
      <w:r>
        <w:rPr>
          <w:rFonts w:hint="eastAsia"/>
          <w:szCs w:val="24"/>
        </w:rPr>
        <w:t>1、绿化养护</w:t>
      </w:r>
    </w:p>
    <w:p>
      <w:pPr>
        <w:rPr>
          <w:szCs w:val="24"/>
        </w:rPr>
      </w:pPr>
      <w:r>
        <w:rPr>
          <w:rFonts w:hint="eastAsia"/>
          <w:szCs w:val="24"/>
        </w:rPr>
        <w:t>网格界限：东至桃源北路东侧（含人行道）；南至金水西路南侧与金水中路南侧（含人行道）；西至西环路西侧（含人行道）</w:t>
      </w:r>
    </w:p>
    <w:tbl>
      <w:tblPr>
        <w:tblStyle w:val="46"/>
        <w:tblW w:w="0" w:type="auto"/>
        <w:tblInd w:w="-520" w:type="dxa"/>
        <w:tblLayout w:type="fixed"/>
        <w:tblCellMar>
          <w:top w:w="0" w:type="dxa"/>
          <w:left w:w="0" w:type="dxa"/>
          <w:bottom w:w="0" w:type="dxa"/>
          <w:right w:w="0" w:type="dxa"/>
        </w:tblCellMar>
      </w:tblPr>
      <w:tblGrid>
        <w:gridCol w:w="401"/>
        <w:gridCol w:w="1474"/>
        <w:gridCol w:w="795"/>
        <w:gridCol w:w="660"/>
        <w:gridCol w:w="720"/>
        <w:gridCol w:w="705"/>
        <w:gridCol w:w="1140"/>
        <w:gridCol w:w="645"/>
        <w:gridCol w:w="3335"/>
      </w:tblGrid>
      <w:tr>
        <w:tblPrEx>
          <w:tblCellMar>
            <w:top w:w="0" w:type="dxa"/>
            <w:left w:w="0" w:type="dxa"/>
            <w:bottom w:w="0" w:type="dxa"/>
            <w:right w:w="0" w:type="dxa"/>
          </w:tblCellMar>
        </w:tblPrEx>
        <w:trPr>
          <w:trHeight w:val="660"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养护类型与级别</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绿地面积（㎡）</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养护单价（元/年）</w:t>
            </w: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数量（株）</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23"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绿地养护</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669"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天明湖公园（一期)绿地</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32100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种花26100株，其中天明湖公园垃圾桶3000株（500*6），绿地23100株93850*6)；黑麦草套播15500㎡</w:t>
            </w:r>
          </w:p>
        </w:tc>
      </w:tr>
      <w:tr>
        <w:tblPrEx>
          <w:tblCellMar>
            <w:top w:w="0" w:type="dxa"/>
            <w:left w:w="0" w:type="dxa"/>
            <w:bottom w:w="0" w:type="dxa"/>
            <w:right w:w="0" w:type="dxa"/>
          </w:tblCellMar>
        </w:tblPrEx>
        <w:trPr>
          <w:trHeight w:val="562"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国际会展中心绿地</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11296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种花10200株（1700*6）；黑麦草套播2363㎡</w:t>
            </w:r>
          </w:p>
        </w:tc>
      </w:tr>
      <w:tr>
        <w:tblPrEx>
          <w:tblCellMar>
            <w:top w:w="0" w:type="dxa"/>
            <w:left w:w="0" w:type="dxa"/>
            <w:bottom w:w="0" w:type="dxa"/>
            <w:right w:w="0" w:type="dxa"/>
          </w:tblCellMar>
        </w:tblPrEx>
        <w:trPr>
          <w:trHeight w:val="432"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气象北路延伸段绿地</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8219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518"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桃源北路立交桥下立体绿化</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503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1203"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桃源北路（金水路-竹溪路）机非隔离带及桃源北路（金水路以北）中间隔离带</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33381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红叶石楠柱399株；种花27000株（4500*6）</w:t>
            </w:r>
          </w:p>
        </w:tc>
      </w:tr>
      <w:tr>
        <w:tblPrEx>
          <w:tblCellMar>
            <w:top w:w="0" w:type="dxa"/>
            <w:left w:w="0" w:type="dxa"/>
            <w:bottom w:w="0" w:type="dxa"/>
            <w:right w:w="0" w:type="dxa"/>
          </w:tblCellMar>
        </w:tblPrEx>
        <w:trPr>
          <w:trHeight w:val="659"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桃源北路机非隔离带（竹溪桥-兴宁北路）</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23489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黑麦草套播589㎡</w:t>
            </w:r>
          </w:p>
        </w:tc>
      </w:tr>
      <w:tr>
        <w:tblPrEx>
          <w:tblCellMar>
            <w:top w:w="0" w:type="dxa"/>
            <w:left w:w="0" w:type="dxa"/>
            <w:bottom w:w="0" w:type="dxa"/>
            <w:right w:w="0" w:type="dxa"/>
          </w:tblCellMar>
        </w:tblPrEx>
        <w:trPr>
          <w:trHeight w:val="590"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桃源北路颜公河、下洋吴周边绿化</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791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516"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桃源北路与兴宁北路交叉口西南角</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1816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黑麦草套播536㎡</w:t>
            </w:r>
          </w:p>
        </w:tc>
      </w:tr>
      <w:tr>
        <w:tblPrEx>
          <w:tblCellMar>
            <w:top w:w="0" w:type="dxa"/>
            <w:left w:w="0" w:type="dxa"/>
            <w:bottom w:w="0" w:type="dxa"/>
            <w:right w:w="0" w:type="dxa"/>
          </w:tblCellMar>
        </w:tblPrEx>
        <w:trPr>
          <w:trHeight w:val="514"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桃源北路东南侧（气象中心南侧）景观带</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1558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650"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桃源北路西侧及东侧（竹溪）垂直绿化</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2187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593"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桃源北路西侧（公安大楼-下洋吴村）景观带</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2844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562"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桃源北路西侧围墙绿地</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928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10"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桃源北路东侧围墙绿地</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1176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689"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474"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民生路（兴宁北路-气象北路）渠道绿化</w:t>
            </w:r>
          </w:p>
        </w:tc>
        <w:tc>
          <w:tcPr>
            <w:tcW w:w="79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66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1932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600"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4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同三高速宁海互通口桃源北路以西</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66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30124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黑麦草套播6143㎡</w:t>
            </w:r>
          </w:p>
        </w:tc>
      </w:tr>
      <w:tr>
        <w:tblPrEx>
          <w:tblCellMar>
            <w:top w:w="0" w:type="dxa"/>
            <w:left w:w="0" w:type="dxa"/>
            <w:bottom w:w="0" w:type="dxa"/>
            <w:right w:w="0" w:type="dxa"/>
          </w:tblCellMar>
        </w:tblPrEx>
        <w:trPr>
          <w:trHeight w:val="365"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十递路及金山北路</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859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86"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天明路周边绿地</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1067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789"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金水路（气象北路-桃源北路）机非隔离带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1966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种花40680株，其中金水路小花箱13680株（2280*6），绿地27000株（4500*6）</w:t>
            </w:r>
          </w:p>
        </w:tc>
      </w:tr>
      <w:tr>
        <w:tblPrEx>
          <w:tblCellMar>
            <w:top w:w="0" w:type="dxa"/>
            <w:left w:w="0" w:type="dxa"/>
            <w:bottom w:w="0" w:type="dxa"/>
            <w:right w:w="0" w:type="dxa"/>
          </w:tblCellMar>
        </w:tblPrEx>
        <w:trPr>
          <w:trHeight w:val="740"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金水路（开元名都大酒店东南侧）绿地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648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70"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金水路人行道北侧景观带</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2633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23"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天明西路</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4192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23"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4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天明中路绿地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2466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15"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金山北路延伸段</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2104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天明西路至十递路</w:t>
            </w:r>
          </w:p>
        </w:tc>
      </w:tr>
      <w:tr>
        <w:tblPrEx>
          <w:tblCellMar>
            <w:top w:w="0" w:type="dxa"/>
            <w:left w:w="0" w:type="dxa"/>
            <w:bottom w:w="0" w:type="dxa"/>
            <w:right w:w="0" w:type="dxa"/>
          </w:tblCellMar>
        </w:tblPrEx>
        <w:trPr>
          <w:trHeight w:val="398"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庙前丁一号路绿地</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2613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617"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大屋村安置小区（中医院）东侧绿地</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10631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黑麦草套播3000㎡</w:t>
            </w:r>
          </w:p>
        </w:tc>
      </w:tr>
      <w:tr>
        <w:tblPrEx>
          <w:tblCellMar>
            <w:top w:w="0" w:type="dxa"/>
            <w:left w:w="0" w:type="dxa"/>
            <w:bottom w:w="0" w:type="dxa"/>
            <w:right w:w="0" w:type="dxa"/>
          </w:tblCellMar>
        </w:tblPrEx>
        <w:trPr>
          <w:trHeight w:val="543" w:hRule="atLeast"/>
        </w:trPr>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4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开发区B区绿地（金水西路以北）</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31"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开发区Ｃ区绿地</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23069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387"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天明路（竹溪段）</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2700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种花8400株（1400*6）</w:t>
            </w:r>
          </w:p>
        </w:tc>
      </w:tr>
      <w:tr>
        <w:tblPrEx>
          <w:tblCellMar>
            <w:top w:w="0" w:type="dxa"/>
            <w:left w:w="0" w:type="dxa"/>
            <w:bottom w:w="0" w:type="dxa"/>
            <w:right w:w="0" w:type="dxa"/>
          </w:tblCellMar>
        </w:tblPrEx>
        <w:trPr>
          <w:trHeight w:val="577"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桃源北路公安局西南角</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130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p>
        </w:tc>
      </w:tr>
      <w:tr>
        <w:tblPrEx>
          <w:tblCellMar>
            <w:top w:w="0" w:type="dxa"/>
            <w:left w:w="0" w:type="dxa"/>
            <w:bottom w:w="0" w:type="dxa"/>
            <w:right w:w="0" w:type="dxa"/>
          </w:tblCellMar>
        </w:tblPrEx>
        <w:trPr>
          <w:trHeight w:val="536"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天明花园北大门花坛</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850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541"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下洋吴安置小区北侧景观带</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2972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55"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颜公河东侧节点绿地</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1248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62"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大屋村安置小区东侧景观带</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3157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733"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桃源北路（金水路-天明路）东侧零星绿化</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1500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560"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桃源北路（高速桥交叉口）</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1550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338"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金水西路</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1200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4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341"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雅致岙北侧</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545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浙江楠Ø&lt;15</w:t>
            </w:r>
          </w:p>
        </w:tc>
        <w:tc>
          <w:tcPr>
            <w:tcW w:w="64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109</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86"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14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气象北路</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1648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乐昌含笑Ø15-25</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206</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323"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7500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64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625</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351" w:hRule="atLeast"/>
        </w:trPr>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1474"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金水中路</w:t>
            </w:r>
          </w:p>
        </w:tc>
        <w:tc>
          <w:tcPr>
            <w:tcW w:w="795" w:type="dxa"/>
            <w:vMerge w:val="restart"/>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88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64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381" w:hRule="atLeast"/>
        </w:trPr>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474"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95" w:type="dxa"/>
            <w:vMerge w:val="continue"/>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530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黄山栾树Ø&lt;15</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106</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545"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民生路（兴宁北路-气象北路）</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570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榉树 Ø&lt;15</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114</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341" w:hRule="atLeast"/>
        </w:trPr>
        <w:tc>
          <w:tcPr>
            <w:tcW w:w="4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4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中医院南侧</w:t>
            </w:r>
          </w:p>
        </w:tc>
        <w:tc>
          <w:tcPr>
            <w:tcW w:w="79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170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三色女贞Ø&lt;15</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326" w:hRule="atLeast"/>
        </w:trPr>
        <w:tc>
          <w:tcPr>
            <w:tcW w:w="4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47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9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145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 Ø&lt;15</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33"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4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中医院北侧</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120 </w:t>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榉树Ø&lt;15</w:t>
            </w: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33" w:hRule="atLeast"/>
        </w:trPr>
        <w:tc>
          <w:tcPr>
            <w:tcW w:w="4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226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234215</w:t>
            </w:r>
            <w:r>
              <w:rPr>
                <w:rFonts w:ascii="宋体" w:hAnsi="宋体" w:cs="宋体"/>
                <w:color w:val="000000"/>
                <w:kern w:val="0"/>
                <w:sz w:val="18"/>
                <w:szCs w:val="18"/>
              </w:rPr>
              <w:fldChar w:fldCharType="end"/>
            </w:r>
          </w:p>
        </w:tc>
        <w:tc>
          <w:tcPr>
            <w:tcW w:w="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1739335</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r>
              <w:rPr>
                <w:rFonts w:hint="eastAsia" w:ascii="宋体" w:hAnsi="宋体" w:cs="宋体"/>
                <w:color w:val="000000"/>
                <w:sz w:val="18"/>
                <w:szCs w:val="18"/>
              </w:rPr>
              <w:t>按预算价1932617下浮10%</w:t>
            </w:r>
          </w:p>
        </w:tc>
      </w:tr>
    </w:tbl>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备注：行道树Ø&gt;25计12m2，Ø15-25计8m2，Ø&lt;15计5m2；如绿地面积有误差或增减，则按实计算。</w:t>
      </w:r>
    </w:p>
    <w:p>
      <w:pPr>
        <w:rPr>
          <w:szCs w:val="24"/>
        </w:rPr>
      </w:pPr>
    </w:p>
    <w:p>
      <w:pPr>
        <w:rPr>
          <w:szCs w:val="24"/>
        </w:rPr>
      </w:pPr>
      <w:r>
        <w:rPr>
          <w:rFonts w:hint="eastAsia"/>
          <w:szCs w:val="24"/>
        </w:rPr>
        <w:t>2、鲜花、黑麦草套播、红叶石楠柱修剪补助、公园巡查、保洁人员</w:t>
      </w:r>
    </w:p>
    <w:tbl>
      <w:tblPr>
        <w:tblStyle w:val="46"/>
        <w:tblW w:w="9660" w:type="dxa"/>
        <w:tblInd w:w="-400" w:type="dxa"/>
        <w:tblLayout w:type="fixed"/>
        <w:tblCellMar>
          <w:top w:w="0" w:type="dxa"/>
          <w:left w:w="0" w:type="dxa"/>
          <w:bottom w:w="0" w:type="dxa"/>
          <w:right w:w="0" w:type="dxa"/>
        </w:tblCellMar>
      </w:tblPr>
      <w:tblGrid>
        <w:gridCol w:w="840"/>
        <w:gridCol w:w="1185"/>
        <w:gridCol w:w="1155"/>
        <w:gridCol w:w="1488"/>
        <w:gridCol w:w="1134"/>
        <w:gridCol w:w="3858"/>
      </w:tblGrid>
      <w:tr>
        <w:tblPrEx>
          <w:tblCellMar>
            <w:top w:w="0" w:type="dxa"/>
            <w:left w:w="0" w:type="dxa"/>
            <w:bottom w:w="0" w:type="dxa"/>
            <w:right w:w="0" w:type="dxa"/>
          </w:tblCellMar>
        </w:tblPrEx>
        <w:trPr>
          <w:trHeight w:val="653" w:hRule="atLeast"/>
        </w:trPr>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53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鲜花种植</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112380株</w:t>
            </w:r>
          </w:p>
        </w:tc>
        <w:tc>
          <w:tcPr>
            <w:tcW w:w="1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3.0元/株</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337140 </w:t>
            </w:r>
          </w:p>
        </w:tc>
        <w:tc>
          <w:tcPr>
            <w:tcW w:w="3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33"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黑麦草套播</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28131㎡</w:t>
            </w:r>
          </w:p>
        </w:tc>
        <w:tc>
          <w:tcPr>
            <w:tcW w:w="1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4.0元/㎡.年</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112524 </w:t>
            </w:r>
          </w:p>
        </w:tc>
        <w:tc>
          <w:tcPr>
            <w:tcW w:w="38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48"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红叶石楠柱修剪补助</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3次</w:t>
            </w:r>
          </w:p>
        </w:tc>
        <w:tc>
          <w:tcPr>
            <w:tcW w:w="1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3990元/次.年</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11970 </w:t>
            </w:r>
          </w:p>
        </w:tc>
        <w:tc>
          <w:tcPr>
            <w:tcW w:w="3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红叶石楠柱399株，10元/株，一年修剪3次</w:t>
            </w:r>
          </w:p>
        </w:tc>
      </w:tr>
      <w:tr>
        <w:tblPrEx>
          <w:tblCellMar>
            <w:top w:w="0" w:type="dxa"/>
            <w:left w:w="0" w:type="dxa"/>
            <w:bottom w:w="0" w:type="dxa"/>
            <w:right w:w="0" w:type="dxa"/>
          </w:tblCellMar>
        </w:tblPrEx>
        <w:trPr>
          <w:trHeight w:val="450"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公园巡查人员</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2人</w:t>
            </w:r>
          </w:p>
        </w:tc>
        <w:tc>
          <w:tcPr>
            <w:tcW w:w="1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90000 </w:t>
            </w:r>
          </w:p>
        </w:tc>
        <w:tc>
          <w:tcPr>
            <w:tcW w:w="3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天明湖公园2人；费用不下浮</w:t>
            </w:r>
          </w:p>
        </w:tc>
      </w:tr>
      <w:tr>
        <w:tblPrEx>
          <w:tblCellMar>
            <w:top w:w="0" w:type="dxa"/>
            <w:left w:w="0" w:type="dxa"/>
            <w:bottom w:w="0" w:type="dxa"/>
            <w:right w:w="0" w:type="dxa"/>
          </w:tblCellMar>
        </w:tblPrEx>
        <w:trPr>
          <w:trHeight w:val="59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公园保洁人员</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2人</w:t>
            </w:r>
          </w:p>
        </w:tc>
        <w:tc>
          <w:tcPr>
            <w:tcW w:w="1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86000 </w:t>
            </w:r>
          </w:p>
        </w:tc>
        <w:tc>
          <w:tcPr>
            <w:tcW w:w="3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天明湖公园2人；费用不下浮</w:t>
            </w:r>
          </w:p>
        </w:tc>
      </w:tr>
      <w:tr>
        <w:tblPrEx>
          <w:tblCellMar>
            <w:top w:w="0" w:type="dxa"/>
            <w:left w:w="0" w:type="dxa"/>
            <w:bottom w:w="0" w:type="dxa"/>
            <w:right w:w="0" w:type="dxa"/>
          </w:tblCellMar>
        </w:tblPrEx>
        <w:trPr>
          <w:trHeight w:val="607" w:hRule="atLeast"/>
        </w:trPr>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637634</w:t>
            </w:r>
            <w:r>
              <w:rPr>
                <w:rFonts w:ascii="宋体" w:hAnsi="宋体" w:cs="宋体"/>
                <w:color w:val="000000"/>
                <w:kern w:val="0"/>
                <w:sz w:val="18"/>
                <w:szCs w:val="18"/>
              </w:rPr>
              <w:fldChar w:fldCharType="end"/>
            </w:r>
          </w:p>
        </w:tc>
        <w:tc>
          <w:tcPr>
            <w:tcW w:w="38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jc w:val="left"/>
        <w:rPr>
          <w:rFonts w:ascii="宋体" w:hAnsi="宋体" w:cs="宋体"/>
          <w:color w:val="000000"/>
          <w:kern w:val="0"/>
          <w:sz w:val="18"/>
          <w:szCs w:val="18"/>
        </w:rPr>
      </w:pPr>
      <w:r>
        <w:rPr>
          <w:rFonts w:hint="eastAsia" w:ascii="宋体" w:hAnsi="宋体" w:cs="宋体"/>
          <w:color w:val="000000"/>
          <w:kern w:val="0"/>
          <w:sz w:val="18"/>
          <w:szCs w:val="18"/>
        </w:rPr>
        <w:t>注：此部分公园巡查、保洁人员报价不得下浮，计入到标段投标总价中。巡查人员实行二班制，时间安排6：00-22：00，其中只有1名巡查人员的实行单班制，保洁实行单班制，单班制时间安排6：30-11：00，13：30-17：00；巡查、保洁人员年龄要求男性在60周岁以下、女性在50周岁以下；巡查人员必须严格遵守《公园巡查人员工作守则和岗位职责》相关规定。</w:t>
      </w:r>
    </w:p>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szCs w:val="24"/>
        </w:rPr>
      </w:pPr>
    </w:p>
    <w:p>
      <w:pPr>
        <w:tabs>
          <w:tab w:val="left" w:pos="1834"/>
        </w:tabs>
        <w:spacing w:line="480" w:lineRule="exact"/>
        <w:rPr>
          <w:b/>
          <w:bCs/>
          <w:szCs w:val="24"/>
        </w:rPr>
      </w:pPr>
      <w:r>
        <w:rPr>
          <w:rFonts w:hint="eastAsia"/>
          <w:b/>
          <w:szCs w:val="24"/>
        </w:rPr>
        <w:t>标段号：七</w:t>
      </w:r>
    </w:p>
    <w:p>
      <w:pPr>
        <w:rPr>
          <w:szCs w:val="24"/>
        </w:rPr>
      </w:pPr>
      <w:r>
        <w:rPr>
          <w:rFonts w:hint="eastAsia"/>
          <w:szCs w:val="24"/>
        </w:rPr>
        <w:t>1、绿化养护</w:t>
      </w:r>
    </w:p>
    <w:p>
      <w:pPr>
        <w:rPr>
          <w:szCs w:val="24"/>
        </w:rPr>
      </w:pPr>
      <w:r>
        <w:rPr>
          <w:rFonts w:hint="eastAsia"/>
          <w:szCs w:val="24"/>
        </w:rPr>
        <w:t>网格界限：东至桃源北路东侧（不含人行道）；南至外环西路南侧与外环路南侧（含人行道）；北至金水西路南侧与金水中路南侧（不含人行道）</w:t>
      </w:r>
    </w:p>
    <w:tbl>
      <w:tblPr>
        <w:tblStyle w:val="46"/>
        <w:tblW w:w="9816" w:type="dxa"/>
        <w:tblInd w:w="-370" w:type="dxa"/>
        <w:tblLayout w:type="fixed"/>
        <w:tblCellMar>
          <w:top w:w="0" w:type="dxa"/>
          <w:left w:w="0" w:type="dxa"/>
          <w:bottom w:w="0" w:type="dxa"/>
          <w:right w:w="0" w:type="dxa"/>
        </w:tblCellMar>
      </w:tblPr>
      <w:tblGrid>
        <w:gridCol w:w="393"/>
        <w:gridCol w:w="1467"/>
        <w:gridCol w:w="1005"/>
        <w:gridCol w:w="922"/>
        <w:gridCol w:w="851"/>
        <w:gridCol w:w="850"/>
        <w:gridCol w:w="1418"/>
        <w:gridCol w:w="709"/>
        <w:gridCol w:w="2201"/>
      </w:tblGrid>
      <w:tr>
        <w:tblPrEx>
          <w:tblCellMar>
            <w:top w:w="0" w:type="dxa"/>
            <w:left w:w="0" w:type="dxa"/>
            <w:bottom w:w="0" w:type="dxa"/>
            <w:right w:w="0" w:type="dxa"/>
          </w:tblCellMar>
        </w:tblPrEx>
        <w:trPr>
          <w:trHeight w:val="799" w:hRule="atLeast"/>
        </w:trPr>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养护类型与级别</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绿地面积（㎡）</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养护单价（元/年）</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数量（株）</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绿地养护</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740"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柔石公园绿地</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公园一级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97228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春节、“5.19”、国庆鲜花摆放15000盆（5000*3）；黑麦草套播13380㎡</w:t>
            </w: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时代大道绿地</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道路一级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23544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外环路小游园</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3907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725"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外环路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（气象路-桃源北路）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1980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种花21576株（花箱262*8*6株,绿地1500*6株）</w:t>
            </w: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气象北路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4112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黑麦草套播2750㎡</w:t>
            </w: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开发区生态厕所</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道路二级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1400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660"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桃源北路气象局西围墙</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1013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绿地种花8880（1480*6）株，黑麦草套播285㎡</w:t>
            </w: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新园一路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1020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开发区Ａ区绿地</w:t>
            </w: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北斗北路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1388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新园二路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1770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兴工一路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1180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兴工二路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2030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兴工三路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1160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兴工一路水渠</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1060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兴工二路绿地</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1200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679"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颜公河（紫金花园东侧）</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2320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51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紫金花园周围小区</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419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紫金花园东侧黑麦草套播850㎡</w:t>
            </w:r>
          </w:p>
        </w:tc>
      </w:tr>
      <w:tr>
        <w:tblPrEx>
          <w:tblCellMar>
            <w:top w:w="0" w:type="dxa"/>
            <w:left w:w="0" w:type="dxa"/>
            <w:bottom w:w="0" w:type="dxa"/>
            <w:right w:w="0" w:type="dxa"/>
          </w:tblCellMar>
        </w:tblPrEx>
        <w:trPr>
          <w:trHeight w:val="587"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46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外环西路</w:t>
            </w:r>
          </w:p>
        </w:tc>
        <w:tc>
          <w:tcPr>
            <w:tcW w:w="1005"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5529 </w:t>
            </w:r>
          </w:p>
        </w:tc>
        <w:tc>
          <w:tcPr>
            <w:tcW w:w="8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外环西路北侧绿化（山河村段）黑麦草套播649㎡</w:t>
            </w:r>
          </w:p>
        </w:tc>
      </w:tr>
      <w:tr>
        <w:tblPrEx>
          <w:tblCellMar>
            <w:top w:w="0" w:type="dxa"/>
            <w:left w:w="0" w:type="dxa"/>
            <w:bottom w:w="0" w:type="dxa"/>
            <w:right w:w="0" w:type="dxa"/>
          </w:tblCellMar>
        </w:tblPrEx>
        <w:trPr>
          <w:trHeight w:val="882" w:hRule="atLeast"/>
        </w:trPr>
        <w:tc>
          <w:tcPr>
            <w:tcW w:w="393"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4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开发区B区绿地（金水西路以南）</w:t>
            </w:r>
          </w:p>
        </w:tc>
        <w:tc>
          <w:tcPr>
            <w:tcW w:w="10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道路三级</w:t>
            </w:r>
          </w:p>
        </w:tc>
        <w:tc>
          <w:tcPr>
            <w:tcW w:w="92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4926 </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467"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跃龙别墅旁小区</w:t>
            </w:r>
          </w:p>
        </w:tc>
        <w:tc>
          <w:tcPr>
            <w:tcW w:w="1005"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小区三级</w:t>
            </w:r>
          </w:p>
        </w:tc>
        <w:tc>
          <w:tcPr>
            <w:tcW w:w="922"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2160 </w:t>
            </w:r>
          </w:p>
        </w:tc>
        <w:tc>
          <w:tcPr>
            <w:tcW w:w="8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bottom"/>
          </w:tcPr>
          <w:p>
            <w:pPr>
              <w:rPr>
                <w:rFonts w:ascii="宋体" w:hAnsi="宋体" w:cs="宋体"/>
                <w:color w:val="000000"/>
                <w:sz w:val="18"/>
                <w:szCs w:val="18"/>
              </w:rPr>
            </w:pPr>
          </w:p>
        </w:tc>
        <w:tc>
          <w:tcPr>
            <w:tcW w:w="2201"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城管局</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单位三级</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种花3000株（500*6）</w:t>
            </w: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檀香路</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620 </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无患子Ø&lt;15</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220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496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金山南路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385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外环西路</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1548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129</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兴工一路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424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兴工二路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400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600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75</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1467"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兴工三路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688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重阳木Ø15-25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新桥路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1024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重阳木Ø15-25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128</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424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新园一路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904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新园二路</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1224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跃龙路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3252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271</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跃龙一路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464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58</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125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跃龙二路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512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64</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304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170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女贞Ø&lt;15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跃龙五路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15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北斗北路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568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71</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672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84</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344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斗门路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416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680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无患子Ø&lt;15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银河路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632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79</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55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688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86</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惠民路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135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时代大道</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2832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236</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344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56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合欢Ø15-25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气象北路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1140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528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黄山栾树Ø&gt;25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280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杜英Ø&lt;15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外环路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2220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185</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360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14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桃源北路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(外环路-金水路)</w:t>
            </w:r>
          </w:p>
        </w:tc>
        <w:tc>
          <w:tcPr>
            <w:tcW w:w="10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2916 </w:t>
            </w:r>
          </w:p>
        </w:tc>
        <w:tc>
          <w:tcPr>
            <w:tcW w:w="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香樟Ø&gt;25</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243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62" w:hRule="atLeast"/>
        </w:trPr>
        <w:tc>
          <w:tcPr>
            <w:tcW w:w="393"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1467"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005"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92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88 </w:t>
            </w:r>
          </w:p>
        </w:tc>
        <w:tc>
          <w:tcPr>
            <w:tcW w:w="8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香樟Ø15-25</w:t>
            </w:r>
          </w:p>
        </w:tc>
        <w:tc>
          <w:tcPr>
            <w:tcW w:w="70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20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工商银行旁</w:t>
            </w:r>
          </w:p>
        </w:tc>
      </w:tr>
      <w:tr>
        <w:tblPrEx>
          <w:tblCellMar>
            <w:top w:w="0" w:type="dxa"/>
            <w:left w:w="0" w:type="dxa"/>
            <w:bottom w:w="0" w:type="dxa"/>
            <w:right w:w="0" w:type="dxa"/>
          </w:tblCellMar>
        </w:tblPrEx>
        <w:trPr>
          <w:trHeight w:val="402" w:hRule="atLeast"/>
        </w:trPr>
        <w:tc>
          <w:tcPr>
            <w:tcW w:w="39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14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大岙路</w:t>
            </w:r>
          </w:p>
        </w:tc>
        <w:tc>
          <w:tcPr>
            <w:tcW w:w="10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行道树</w:t>
            </w:r>
          </w:p>
        </w:tc>
        <w:tc>
          <w:tcPr>
            <w:tcW w:w="92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 xml:space="preserve">75 </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黄山栾树Ø&lt;15</w:t>
            </w:r>
          </w:p>
        </w:tc>
        <w:tc>
          <w:tcPr>
            <w:tcW w:w="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220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宋体"/>
                <w:color w:val="000000"/>
                <w:sz w:val="18"/>
                <w:szCs w:val="18"/>
              </w:rPr>
            </w:pPr>
          </w:p>
        </w:tc>
      </w:tr>
      <w:tr>
        <w:tblPrEx>
          <w:tblCellMar>
            <w:top w:w="0" w:type="dxa"/>
            <w:left w:w="0" w:type="dxa"/>
            <w:bottom w:w="0" w:type="dxa"/>
            <w:right w:w="0" w:type="dxa"/>
          </w:tblCellMar>
        </w:tblPrEx>
        <w:trPr>
          <w:trHeight w:val="402" w:hRule="atLeast"/>
        </w:trPr>
        <w:tc>
          <w:tcPr>
            <w:tcW w:w="39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2472"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92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188831</w:t>
            </w:r>
            <w:r>
              <w:rPr>
                <w:rFonts w:ascii="宋体" w:hAnsi="宋体" w:cs="宋体"/>
                <w:color w:val="000000"/>
                <w:kern w:val="0"/>
                <w:sz w:val="18"/>
                <w:szCs w:val="18"/>
              </w:rPr>
              <w:fldChar w:fldCharType="end"/>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8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1417283</w:t>
            </w:r>
          </w:p>
        </w:tc>
        <w:tc>
          <w:tcPr>
            <w:tcW w:w="141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7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220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宋体" w:hAnsi="宋体" w:cs="宋体"/>
                <w:color w:val="000000"/>
                <w:sz w:val="18"/>
                <w:szCs w:val="18"/>
              </w:rPr>
            </w:pPr>
            <w:r>
              <w:rPr>
                <w:rFonts w:hint="eastAsia" w:ascii="宋体" w:hAnsi="宋体" w:cs="宋体"/>
                <w:color w:val="000000"/>
                <w:kern w:val="0"/>
                <w:sz w:val="18"/>
                <w:szCs w:val="18"/>
              </w:rPr>
              <w:t>按预算价1574759下浮10%</w:t>
            </w:r>
          </w:p>
        </w:tc>
      </w:tr>
    </w:tbl>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备注：行道树Ø&gt;25计12m2，Ø15-25计8m2，Ø&lt;15计5m2；如绿地面积有误差或增减，则按实计算。</w:t>
      </w:r>
    </w:p>
    <w:p>
      <w:pPr>
        <w:rPr>
          <w:szCs w:val="24"/>
        </w:rPr>
      </w:pPr>
    </w:p>
    <w:p>
      <w:pPr>
        <w:rPr>
          <w:szCs w:val="24"/>
        </w:rPr>
      </w:pPr>
      <w:r>
        <w:rPr>
          <w:rFonts w:hint="eastAsia"/>
          <w:szCs w:val="24"/>
        </w:rPr>
        <w:t>2、鲜花、黑麦草套播、公园巡查、保洁人员</w:t>
      </w:r>
    </w:p>
    <w:tbl>
      <w:tblPr>
        <w:tblStyle w:val="46"/>
        <w:tblW w:w="9856" w:type="dxa"/>
        <w:tblInd w:w="-370" w:type="dxa"/>
        <w:tblLayout w:type="fixed"/>
        <w:tblCellMar>
          <w:top w:w="0" w:type="dxa"/>
          <w:left w:w="0" w:type="dxa"/>
          <w:bottom w:w="0" w:type="dxa"/>
          <w:right w:w="0" w:type="dxa"/>
        </w:tblCellMar>
      </w:tblPr>
      <w:tblGrid>
        <w:gridCol w:w="880"/>
        <w:gridCol w:w="1433"/>
        <w:gridCol w:w="1232"/>
        <w:gridCol w:w="1232"/>
        <w:gridCol w:w="1562"/>
        <w:gridCol w:w="3517"/>
      </w:tblGrid>
      <w:tr>
        <w:tblPrEx>
          <w:tblCellMar>
            <w:top w:w="0" w:type="dxa"/>
            <w:left w:w="0" w:type="dxa"/>
            <w:bottom w:w="0" w:type="dxa"/>
            <w:right w:w="0" w:type="dxa"/>
          </w:tblCellMar>
        </w:tblPrEx>
        <w:trPr>
          <w:trHeight w:val="531" w:hRule="atLeast"/>
        </w:trPr>
        <w:tc>
          <w:tcPr>
            <w:tcW w:w="8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29" w:hRule="atLeast"/>
        </w:trPr>
        <w:tc>
          <w:tcPr>
            <w:tcW w:w="88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鲜花种植</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33456株</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3.0元/株</w:t>
            </w:r>
          </w:p>
        </w:tc>
        <w:tc>
          <w:tcPr>
            <w:tcW w:w="156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148368 </w:t>
            </w:r>
          </w:p>
        </w:tc>
        <w:tc>
          <w:tcPr>
            <w:tcW w:w="35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29" w:hRule="atLeast"/>
        </w:trPr>
        <w:tc>
          <w:tcPr>
            <w:tcW w:w="88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鲜花摆放</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15000盆</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3.2元/盆</w:t>
            </w:r>
          </w:p>
        </w:tc>
        <w:tc>
          <w:tcPr>
            <w:tcW w:w="156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51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29" w:hRule="atLeast"/>
        </w:trPr>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黑麦草套播</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17914㎡</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4.0元/㎡.年</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71656 </w:t>
            </w:r>
          </w:p>
        </w:tc>
        <w:tc>
          <w:tcPr>
            <w:tcW w:w="35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29" w:hRule="atLeast"/>
        </w:trPr>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公园巡查人员</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8人</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360000 </w:t>
            </w:r>
          </w:p>
        </w:tc>
        <w:tc>
          <w:tcPr>
            <w:tcW w:w="3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柔石公园8人；费用不下浮</w:t>
            </w:r>
          </w:p>
        </w:tc>
      </w:tr>
      <w:tr>
        <w:tblPrEx>
          <w:tblCellMar>
            <w:top w:w="0" w:type="dxa"/>
            <w:left w:w="0" w:type="dxa"/>
            <w:bottom w:w="0" w:type="dxa"/>
            <w:right w:w="0" w:type="dxa"/>
          </w:tblCellMar>
        </w:tblPrEx>
        <w:trPr>
          <w:trHeight w:val="429" w:hRule="atLeast"/>
        </w:trPr>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公园保洁人员</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5人</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215000 </w:t>
            </w:r>
          </w:p>
        </w:tc>
        <w:tc>
          <w:tcPr>
            <w:tcW w:w="3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柔石公园5人；费用不下浮</w:t>
            </w:r>
          </w:p>
        </w:tc>
      </w:tr>
      <w:tr>
        <w:tblPrEx>
          <w:tblCellMar>
            <w:top w:w="0" w:type="dxa"/>
            <w:left w:w="0" w:type="dxa"/>
            <w:bottom w:w="0" w:type="dxa"/>
            <w:right w:w="0" w:type="dxa"/>
          </w:tblCellMar>
        </w:tblPrEx>
        <w:trPr>
          <w:trHeight w:val="439" w:hRule="atLeast"/>
        </w:trPr>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fldChar w:fldCharType="begin"/>
            </w:r>
            <w:r>
              <w:rPr>
                <w:rFonts w:hint="eastAsia" w:ascii="宋体" w:hAnsi="宋体" w:cs="宋体"/>
                <w:color w:val="000000"/>
                <w:kern w:val="0"/>
                <w:sz w:val="18"/>
                <w:szCs w:val="18"/>
              </w:rPr>
              <w:instrText xml:space="preserve">=SUM(ABOVE)</w:instrText>
            </w:r>
            <w:r>
              <w:rPr>
                <w:rFonts w:ascii="宋体" w:hAnsi="宋体" w:cs="宋体"/>
                <w:color w:val="000000"/>
                <w:kern w:val="0"/>
                <w:sz w:val="18"/>
                <w:szCs w:val="18"/>
              </w:rPr>
              <w:fldChar w:fldCharType="separate"/>
            </w:r>
            <w:r>
              <w:rPr>
                <w:rFonts w:ascii="宋体" w:hAnsi="宋体" w:cs="宋体"/>
                <w:color w:val="000000"/>
                <w:kern w:val="0"/>
                <w:sz w:val="18"/>
                <w:szCs w:val="18"/>
              </w:rPr>
              <w:t>795024</w:t>
            </w:r>
            <w:r>
              <w:rPr>
                <w:rFonts w:ascii="宋体" w:hAnsi="宋体" w:cs="宋体"/>
                <w:color w:val="000000"/>
                <w:kern w:val="0"/>
                <w:sz w:val="18"/>
                <w:szCs w:val="18"/>
              </w:rPr>
              <w:fldChar w:fldCharType="end"/>
            </w:r>
          </w:p>
        </w:tc>
        <w:tc>
          <w:tcPr>
            <w:tcW w:w="3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jc w:val="left"/>
        <w:rPr>
          <w:rFonts w:ascii="宋体" w:hAnsi="宋体" w:cs="宋体"/>
          <w:color w:val="000000"/>
          <w:kern w:val="0"/>
          <w:sz w:val="18"/>
          <w:szCs w:val="18"/>
        </w:rPr>
      </w:pPr>
      <w:r>
        <w:rPr>
          <w:rFonts w:hint="eastAsia" w:ascii="宋体" w:hAnsi="宋体" w:cs="宋体"/>
          <w:color w:val="000000"/>
          <w:kern w:val="0"/>
          <w:sz w:val="18"/>
          <w:szCs w:val="18"/>
        </w:rPr>
        <w:t>注：此部分公园巡查、保洁人员报价不得下浮，计入到标段投标总价中。巡查人员实行二班制，时间安排6：00-22：00，其中只有1名巡查人员的实行单班制，保洁实行单班制，单班制时间安排6：30-11：00，13：30-17：00；巡查、保洁人员年龄要求男性在60周岁以下、女性在50周岁以下；巡查人员必须严格遵守《公园巡查人员工作守则和岗位职责》相关规定。</w:t>
      </w:r>
      <w:bookmarkStart w:id="73" w:name="_Toc372870942"/>
      <w:bookmarkStart w:id="74" w:name="_Toc281485997"/>
      <w:bookmarkStart w:id="75" w:name="_Toc263083259"/>
      <w:bookmarkStart w:id="76" w:name="_Toc195098605"/>
    </w:p>
    <w:p>
      <w:pPr>
        <w:pStyle w:val="3"/>
      </w:pPr>
    </w:p>
    <w:p/>
    <w:p>
      <w:pPr>
        <w:pStyle w:val="3"/>
      </w:pPr>
    </w:p>
    <w:p/>
    <w:p>
      <w:pPr>
        <w:pStyle w:val="4"/>
        <w:spacing w:before="0" w:after="0" w:line="480" w:lineRule="exact"/>
        <w:rPr>
          <w:rFonts w:ascii="Times New Roman" w:hAnsi="Times New Roman" w:eastAsia="宋体"/>
          <w:b w:val="0"/>
          <w:bCs w:val="0"/>
          <w:sz w:val="21"/>
          <w:szCs w:val="24"/>
        </w:rPr>
      </w:pPr>
      <w:r>
        <w:rPr>
          <w:rFonts w:ascii="Times New Roman" w:hAnsi="Times New Roman" w:eastAsia="宋体"/>
          <w:b w:val="0"/>
          <w:bCs w:val="0"/>
          <w:sz w:val="21"/>
          <w:szCs w:val="24"/>
        </w:rPr>
        <w:t>B．</w:t>
      </w:r>
      <w:r>
        <w:rPr>
          <w:rFonts w:hint="eastAsia" w:ascii="Times New Roman" w:hAnsi="Times New Roman" w:eastAsia="宋体"/>
          <w:b w:val="0"/>
          <w:bCs w:val="0"/>
          <w:sz w:val="21"/>
          <w:szCs w:val="24"/>
        </w:rPr>
        <w:t>采购</w:t>
      </w:r>
      <w:r>
        <w:rPr>
          <w:rFonts w:ascii="Times New Roman" w:hAnsi="Times New Roman" w:eastAsia="宋体"/>
          <w:b w:val="0"/>
          <w:bCs w:val="0"/>
          <w:sz w:val="21"/>
          <w:szCs w:val="24"/>
        </w:rPr>
        <w:t>要求</w:t>
      </w:r>
      <w:bookmarkEnd w:id="73"/>
      <w:bookmarkEnd w:id="74"/>
      <w:bookmarkEnd w:id="75"/>
      <w:bookmarkEnd w:id="76"/>
    </w:p>
    <w:p>
      <w:pPr>
        <w:pStyle w:val="5"/>
        <w:spacing w:before="0" w:after="0" w:line="480" w:lineRule="exact"/>
        <w:ind w:left="6"/>
        <w:rPr>
          <w:b w:val="0"/>
          <w:bCs w:val="0"/>
          <w:sz w:val="21"/>
          <w:szCs w:val="24"/>
        </w:rPr>
      </w:pPr>
      <w:bookmarkStart w:id="77" w:name="_Toc281485998"/>
      <w:bookmarkStart w:id="78" w:name="_Toc263083260"/>
      <w:bookmarkStart w:id="79" w:name="_Toc195098608"/>
      <w:bookmarkStart w:id="80" w:name="_Toc372870943"/>
      <w:r>
        <w:rPr>
          <w:rFonts w:hint="eastAsia"/>
          <w:b w:val="0"/>
          <w:bCs w:val="0"/>
          <w:sz w:val="21"/>
          <w:szCs w:val="24"/>
        </w:rPr>
        <w:t>一、</w:t>
      </w:r>
      <w:r>
        <w:rPr>
          <w:b w:val="0"/>
          <w:bCs w:val="0"/>
          <w:sz w:val="21"/>
          <w:szCs w:val="24"/>
        </w:rPr>
        <w:t>投标文件编制要求</w:t>
      </w:r>
      <w:bookmarkEnd w:id="77"/>
      <w:bookmarkEnd w:id="78"/>
      <w:bookmarkEnd w:id="79"/>
      <w:bookmarkEnd w:id="80"/>
    </w:p>
    <w:p>
      <w:pPr>
        <w:tabs>
          <w:tab w:val="left" w:pos="851"/>
        </w:tabs>
        <w:spacing w:line="480" w:lineRule="exact"/>
        <w:ind w:left="426" w:firstLine="420" w:firstLineChars="200"/>
        <w:rPr>
          <w:szCs w:val="24"/>
        </w:rPr>
      </w:pPr>
      <w:r>
        <w:rPr>
          <w:szCs w:val="24"/>
        </w:rPr>
        <w:t>投标人须应根据招标文件要求以及本项目的特点，详细描述绿化维护实施方案，要求递交的文件资料，遵守招标文件提出的、规定的条款与格式。投标人未按要求递交材料，是投标人的投标风险。</w:t>
      </w:r>
    </w:p>
    <w:p>
      <w:pPr>
        <w:pStyle w:val="5"/>
        <w:spacing w:before="0" w:after="0" w:line="480" w:lineRule="exact"/>
        <w:ind w:left="6"/>
        <w:rPr>
          <w:b w:val="0"/>
          <w:bCs w:val="0"/>
          <w:sz w:val="21"/>
          <w:szCs w:val="24"/>
        </w:rPr>
      </w:pPr>
      <w:bookmarkStart w:id="81" w:name="_Toc195098611"/>
      <w:bookmarkStart w:id="82" w:name="_Toc263083261"/>
      <w:bookmarkStart w:id="83" w:name="_Toc281485999"/>
      <w:bookmarkStart w:id="84" w:name="_Toc372870944"/>
      <w:r>
        <w:rPr>
          <w:rFonts w:hint="eastAsia"/>
          <w:b w:val="0"/>
          <w:bCs w:val="0"/>
          <w:sz w:val="21"/>
          <w:szCs w:val="24"/>
        </w:rPr>
        <w:t>二、</w:t>
      </w:r>
      <w:r>
        <w:rPr>
          <w:b w:val="0"/>
          <w:bCs w:val="0"/>
          <w:sz w:val="21"/>
          <w:szCs w:val="24"/>
        </w:rPr>
        <w:t>投标文件</w:t>
      </w:r>
      <w:bookmarkEnd w:id="81"/>
      <w:r>
        <w:rPr>
          <w:b w:val="0"/>
          <w:bCs w:val="0"/>
          <w:sz w:val="21"/>
          <w:szCs w:val="24"/>
        </w:rPr>
        <w:t>需提供的服务技术商务文件的</w:t>
      </w:r>
      <w:bookmarkEnd w:id="82"/>
      <w:r>
        <w:rPr>
          <w:b w:val="0"/>
          <w:bCs w:val="0"/>
          <w:sz w:val="21"/>
          <w:szCs w:val="24"/>
        </w:rPr>
        <w:t>清单</w:t>
      </w:r>
      <w:bookmarkEnd w:id="83"/>
      <w:bookmarkEnd w:id="84"/>
    </w:p>
    <w:tbl>
      <w:tblPr>
        <w:tblStyle w:val="46"/>
        <w:tblpPr w:leftFromText="180" w:rightFromText="180" w:vertAnchor="text" w:horzAnchor="page" w:tblpX="1618" w:tblpY="480"/>
        <w:tblOverlap w:val="never"/>
        <w:tblW w:w="0" w:type="auto"/>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13"/>
        <w:gridCol w:w="7864"/>
        <w:gridCol w:w="70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2" w:hRule="atLeast"/>
        </w:trPr>
        <w:tc>
          <w:tcPr>
            <w:tcW w:w="713" w:type="dxa"/>
            <w:tcBorders>
              <w:top w:val="single" w:color="auto" w:sz="4" w:space="0"/>
              <w:bottom w:val="single" w:color="auto" w:sz="4" w:space="0"/>
            </w:tcBorders>
            <w:vAlign w:val="center"/>
          </w:tcPr>
          <w:p>
            <w:pPr>
              <w:spacing w:line="360" w:lineRule="auto"/>
              <w:ind w:left="-110" w:right="-114"/>
              <w:jc w:val="center"/>
              <w:rPr>
                <w:szCs w:val="24"/>
              </w:rPr>
            </w:pPr>
            <w:r>
              <w:rPr>
                <w:szCs w:val="24"/>
              </w:rPr>
              <w:t>序号</w:t>
            </w:r>
          </w:p>
        </w:tc>
        <w:tc>
          <w:tcPr>
            <w:tcW w:w="7864" w:type="dxa"/>
            <w:tcBorders>
              <w:top w:val="single" w:color="auto" w:sz="4" w:space="0"/>
              <w:bottom w:val="single" w:color="auto" w:sz="4" w:space="0"/>
            </w:tcBorders>
            <w:vAlign w:val="center"/>
          </w:tcPr>
          <w:p>
            <w:pPr>
              <w:spacing w:line="360" w:lineRule="auto"/>
              <w:ind w:left="-110" w:right="-114"/>
              <w:jc w:val="center"/>
              <w:rPr>
                <w:szCs w:val="24"/>
              </w:rPr>
            </w:pPr>
            <w:r>
              <w:rPr>
                <w:szCs w:val="24"/>
              </w:rPr>
              <w:t>资料名称</w:t>
            </w:r>
          </w:p>
        </w:tc>
        <w:tc>
          <w:tcPr>
            <w:tcW w:w="705" w:type="dxa"/>
            <w:tcBorders>
              <w:top w:val="single" w:color="auto" w:sz="4" w:space="0"/>
              <w:bottom w:val="single" w:color="auto" w:sz="4" w:space="0"/>
            </w:tcBorders>
            <w:vAlign w:val="center"/>
          </w:tcPr>
          <w:p>
            <w:pPr>
              <w:spacing w:line="360" w:lineRule="auto"/>
              <w:ind w:left="-110" w:right="-114"/>
              <w:jc w:val="center"/>
              <w:rPr>
                <w:szCs w:val="24"/>
              </w:rPr>
            </w:pPr>
            <w:r>
              <w:rPr>
                <w:szCs w:val="24"/>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98" w:hRule="atLeast"/>
        </w:trPr>
        <w:tc>
          <w:tcPr>
            <w:tcW w:w="713" w:type="dxa"/>
            <w:tcBorders>
              <w:top w:val="single" w:color="auto" w:sz="4" w:space="0"/>
              <w:bottom w:val="single" w:color="auto" w:sz="4" w:space="0"/>
            </w:tcBorders>
            <w:vAlign w:val="center"/>
          </w:tcPr>
          <w:p>
            <w:pPr>
              <w:ind w:left="-110" w:right="-114"/>
              <w:jc w:val="center"/>
              <w:rPr>
                <w:szCs w:val="24"/>
              </w:rPr>
            </w:pPr>
            <w:r>
              <w:rPr>
                <w:szCs w:val="24"/>
              </w:rPr>
              <w:t>资格</w:t>
            </w:r>
          </w:p>
          <w:p>
            <w:pPr>
              <w:ind w:left="-110" w:right="-114"/>
              <w:jc w:val="center"/>
              <w:rPr>
                <w:szCs w:val="24"/>
              </w:rPr>
            </w:pPr>
            <w:r>
              <w:rPr>
                <w:szCs w:val="24"/>
              </w:rPr>
              <w:t>审查</w:t>
            </w:r>
          </w:p>
        </w:tc>
        <w:tc>
          <w:tcPr>
            <w:tcW w:w="7864" w:type="dxa"/>
            <w:tcBorders>
              <w:top w:val="single" w:color="auto" w:sz="4" w:space="0"/>
              <w:bottom w:val="single" w:color="auto" w:sz="4" w:space="0"/>
            </w:tcBorders>
            <w:vAlign w:val="center"/>
          </w:tcPr>
          <w:p>
            <w:pPr>
              <w:ind w:left="-110" w:right="-114"/>
              <w:jc w:val="left"/>
              <w:rPr>
                <w:szCs w:val="24"/>
              </w:rPr>
            </w:pPr>
            <w:r>
              <w:rPr>
                <w:szCs w:val="24"/>
              </w:rPr>
              <w:t>有关资格后审材料，至少包括：营业执照（加盖红章）、项目经理职称证书。</w:t>
            </w:r>
          </w:p>
        </w:tc>
        <w:tc>
          <w:tcPr>
            <w:tcW w:w="705" w:type="dxa"/>
            <w:tcBorders>
              <w:top w:val="single" w:color="auto" w:sz="4" w:space="0"/>
              <w:bottom w:val="single" w:color="auto" w:sz="4" w:space="0"/>
            </w:tcBorders>
            <w:vAlign w:val="center"/>
          </w:tcPr>
          <w:p>
            <w:pPr>
              <w:ind w:left="-110" w:right="-114"/>
              <w:jc w:val="center"/>
              <w:rPr>
                <w:szCs w:val="24"/>
              </w:rPr>
            </w:pPr>
            <w:r>
              <w:rPr>
                <w:szCs w:val="24"/>
              </w:rPr>
              <w:t>必须</w:t>
            </w:r>
          </w:p>
          <w:p>
            <w:pPr>
              <w:ind w:left="-110" w:right="-114"/>
              <w:jc w:val="center"/>
              <w:rPr>
                <w:szCs w:val="24"/>
              </w:rPr>
            </w:pPr>
            <w:r>
              <w:rPr>
                <w:szCs w:val="24"/>
              </w:rPr>
              <w:t>递交</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65" w:hRule="atLeast"/>
        </w:trPr>
        <w:tc>
          <w:tcPr>
            <w:tcW w:w="713" w:type="dxa"/>
            <w:vAlign w:val="center"/>
          </w:tcPr>
          <w:p>
            <w:pPr>
              <w:spacing w:line="360" w:lineRule="auto"/>
              <w:ind w:left="-110" w:right="-114"/>
              <w:jc w:val="center"/>
              <w:rPr>
                <w:szCs w:val="24"/>
              </w:rPr>
            </w:pPr>
            <w:r>
              <w:rPr>
                <w:szCs w:val="24"/>
              </w:rPr>
              <w:t>1</w:t>
            </w:r>
          </w:p>
        </w:tc>
        <w:tc>
          <w:tcPr>
            <w:tcW w:w="7864" w:type="dxa"/>
            <w:vAlign w:val="center"/>
          </w:tcPr>
          <w:p>
            <w:pPr>
              <w:spacing w:line="360" w:lineRule="auto"/>
              <w:ind w:left="-110" w:right="-114"/>
              <w:jc w:val="left"/>
              <w:rPr>
                <w:szCs w:val="24"/>
              </w:rPr>
            </w:pPr>
            <w:r>
              <w:rPr>
                <w:szCs w:val="24"/>
              </w:rPr>
              <w:t>企业营业执照、组织代码证、税务登记证等有关材料复印件</w:t>
            </w:r>
            <w:r>
              <w:rPr>
                <w:rFonts w:hint="eastAsia"/>
                <w:szCs w:val="24"/>
              </w:rPr>
              <w:t>。</w:t>
            </w:r>
          </w:p>
        </w:tc>
        <w:tc>
          <w:tcPr>
            <w:tcW w:w="705" w:type="dxa"/>
            <w:vMerge w:val="restart"/>
            <w:textDirection w:val="tbRlV"/>
            <w:vAlign w:val="center"/>
          </w:tcPr>
          <w:p>
            <w:pPr>
              <w:spacing w:line="360" w:lineRule="auto"/>
              <w:ind w:left="-110" w:right="-114"/>
              <w:jc w:val="center"/>
              <w:rPr>
                <w:szCs w:val="24"/>
              </w:rPr>
            </w:pPr>
            <w:r>
              <w:rPr>
                <w:szCs w:val="24"/>
              </w:rPr>
              <w:t>格式自拟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713" w:type="dxa"/>
            <w:vAlign w:val="center"/>
          </w:tcPr>
          <w:p>
            <w:pPr>
              <w:spacing w:line="360" w:lineRule="auto"/>
              <w:ind w:left="-110" w:right="-114"/>
              <w:jc w:val="center"/>
              <w:rPr>
                <w:szCs w:val="24"/>
              </w:rPr>
            </w:pPr>
            <w:r>
              <w:rPr>
                <w:szCs w:val="24"/>
              </w:rPr>
              <w:t>2</w:t>
            </w:r>
          </w:p>
        </w:tc>
        <w:tc>
          <w:tcPr>
            <w:tcW w:w="7864" w:type="dxa"/>
            <w:vAlign w:val="center"/>
          </w:tcPr>
          <w:p>
            <w:pPr>
              <w:spacing w:line="360" w:lineRule="auto"/>
              <w:ind w:left="-110" w:right="-114"/>
              <w:jc w:val="left"/>
              <w:rPr>
                <w:szCs w:val="24"/>
              </w:rPr>
            </w:pPr>
            <w:r>
              <w:rPr>
                <w:szCs w:val="21"/>
              </w:rPr>
              <w:t>各项管理制度与内部考核细则</w:t>
            </w:r>
            <w:r>
              <w:rPr>
                <w:szCs w:val="24"/>
              </w:rPr>
              <w:t>文件资料、综合说明等有关材料复印件</w:t>
            </w:r>
            <w:r>
              <w:rPr>
                <w:rFonts w:hint="eastAsia"/>
                <w:szCs w:val="24"/>
              </w:rPr>
              <w:t>。</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713" w:type="dxa"/>
            <w:vAlign w:val="center"/>
          </w:tcPr>
          <w:p>
            <w:pPr>
              <w:spacing w:line="360" w:lineRule="auto"/>
              <w:ind w:left="-110" w:right="-114"/>
              <w:jc w:val="center"/>
              <w:rPr>
                <w:szCs w:val="24"/>
              </w:rPr>
            </w:pPr>
            <w:r>
              <w:rPr>
                <w:szCs w:val="24"/>
              </w:rPr>
              <w:t>3</w:t>
            </w:r>
          </w:p>
        </w:tc>
        <w:tc>
          <w:tcPr>
            <w:tcW w:w="7864" w:type="dxa"/>
            <w:vAlign w:val="center"/>
          </w:tcPr>
          <w:p>
            <w:pPr>
              <w:spacing w:line="360" w:lineRule="auto"/>
              <w:ind w:left="-110" w:right="-114"/>
              <w:jc w:val="left"/>
              <w:rPr>
                <w:szCs w:val="24"/>
              </w:rPr>
            </w:pPr>
            <w:r>
              <w:rPr>
                <w:rFonts w:hint="eastAsia" w:ascii="宋体" w:hAnsi="宋体" w:cs="宋体"/>
                <w:szCs w:val="21"/>
              </w:rPr>
              <w:t>养护管理措施</w:t>
            </w:r>
            <w:r>
              <w:rPr>
                <w:szCs w:val="24"/>
              </w:rPr>
              <w:t>文件、相关支持材料、必要的表格图纸等有关材料复印件</w:t>
            </w:r>
            <w:r>
              <w:rPr>
                <w:rFonts w:hint="eastAsia"/>
                <w:szCs w:val="24"/>
              </w:rPr>
              <w:t>。</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713" w:type="dxa"/>
            <w:vAlign w:val="center"/>
          </w:tcPr>
          <w:p>
            <w:pPr>
              <w:spacing w:line="360" w:lineRule="auto"/>
              <w:ind w:left="-110" w:right="-114"/>
              <w:jc w:val="center"/>
              <w:rPr>
                <w:szCs w:val="24"/>
              </w:rPr>
            </w:pPr>
            <w:r>
              <w:rPr>
                <w:szCs w:val="24"/>
              </w:rPr>
              <w:t>4</w:t>
            </w:r>
          </w:p>
        </w:tc>
        <w:tc>
          <w:tcPr>
            <w:tcW w:w="7864" w:type="dxa"/>
            <w:vAlign w:val="center"/>
          </w:tcPr>
          <w:p>
            <w:pPr>
              <w:spacing w:line="360" w:lineRule="auto"/>
              <w:ind w:left="-110" w:right="-114"/>
              <w:jc w:val="left"/>
              <w:rPr>
                <w:szCs w:val="24"/>
              </w:rPr>
            </w:pPr>
            <w:r>
              <w:rPr>
                <w:szCs w:val="21"/>
              </w:rPr>
              <w:t>养护</w:t>
            </w:r>
            <w:r>
              <w:rPr>
                <w:rFonts w:hint="eastAsia"/>
                <w:szCs w:val="21"/>
              </w:rPr>
              <w:t>质量承诺</w:t>
            </w:r>
            <w:r>
              <w:rPr>
                <w:szCs w:val="21"/>
              </w:rPr>
              <w:t>与执行保证</w:t>
            </w:r>
            <w:r>
              <w:rPr>
                <w:szCs w:val="24"/>
              </w:rPr>
              <w:t>说明、相关支持材料、必要的表格图纸等有关材料复印件</w:t>
            </w:r>
            <w:r>
              <w:rPr>
                <w:rFonts w:hint="eastAsia"/>
                <w:szCs w:val="24"/>
              </w:rPr>
              <w:t>。</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713" w:type="dxa"/>
            <w:vAlign w:val="center"/>
          </w:tcPr>
          <w:p>
            <w:pPr>
              <w:spacing w:line="360" w:lineRule="auto"/>
              <w:ind w:left="-110" w:right="-114"/>
              <w:jc w:val="center"/>
              <w:rPr>
                <w:szCs w:val="24"/>
              </w:rPr>
            </w:pPr>
            <w:r>
              <w:rPr>
                <w:rFonts w:hint="eastAsia"/>
                <w:szCs w:val="24"/>
              </w:rPr>
              <w:t>5</w:t>
            </w:r>
          </w:p>
        </w:tc>
        <w:tc>
          <w:tcPr>
            <w:tcW w:w="7864" w:type="dxa"/>
            <w:vAlign w:val="center"/>
          </w:tcPr>
          <w:p>
            <w:pPr>
              <w:spacing w:line="360" w:lineRule="auto"/>
              <w:ind w:left="-110" w:right="-114"/>
              <w:jc w:val="left"/>
              <w:rPr>
                <w:szCs w:val="24"/>
              </w:rPr>
            </w:pPr>
            <w:r>
              <w:rPr>
                <w:rFonts w:hint="eastAsia"/>
                <w:szCs w:val="21"/>
              </w:rPr>
              <w:t>养护重点、难点，解决方法及措施。</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713" w:type="dxa"/>
            <w:vAlign w:val="center"/>
          </w:tcPr>
          <w:p>
            <w:pPr>
              <w:spacing w:line="360" w:lineRule="auto"/>
              <w:ind w:left="-110" w:right="-114"/>
              <w:jc w:val="center"/>
              <w:rPr>
                <w:szCs w:val="24"/>
              </w:rPr>
            </w:pPr>
            <w:r>
              <w:rPr>
                <w:rFonts w:hint="eastAsia"/>
                <w:szCs w:val="24"/>
              </w:rPr>
              <w:t>6</w:t>
            </w:r>
          </w:p>
        </w:tc>
        <w:tc>
          <w:tcPr>
            <w:tcW w:w="7864" w:type="dxa"/>
            <w:vAlign w:val="center"/>
          </w:tcPr>
          <w:p>
            <w:pPr>
              <w:spacing w:line="360" w:lineRule="auto"/>
              <w:ind w:left="-110" w:right="-114"/>
              <w:jc w:val="left"/>
              <w:rPr>
                <w:szCs w:val="24"/>
              </w:rPr>
            </w:pPr>
            <w:r>
              <w:rPr>
                <w:rFonts w:hint="eastAsia"/>
                <w:szCs w:val="21"/>
              </w:rPr>
              <w:t>用药方案、</w:t>
            </w:r>
            <w:r>
              <w:rPr>
                <w:rFonts w:hint="eastAsia" w:ascii="宋体" w:hAnsi="宋体" w:cs="宋体"/>
                <w:szCs w:val="21"/>
              </w:rPr>
              <w:t>整体人员管理方案</w:t>
            </w:r>
            <w:r>
              <w:rPr>
                <w:rFonts w:hint="eastAsia"/>
                <w:szCs w:val="24"/>
              </w:rPr>
              <w:t>。</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713" w:type="dxa"/>
            <w:vAlign w:val="center"/>
          </w:tcPr>
          <w:p>
            <w:pPr>
              <w:spacing w:line="360" w:lineRule="auto"/>
              <w:ind w:left="-110" w:right="-114"/>
              <w:jc w:val="center"/>
              <w:rPr>
                <w:szCs w:val="24"/>
              </w:rPr>
            </w:pPr>
            <w:r>
              <w:rPr>
                <w:rFonts w:hint="eastAsia"/>
                <w:szCs w:val="24"/>
              </w:rPr>
              <w:t>7</w:t>
            </w:r>
          </w:p>
        </w:tc>
        <w:tc>
          <w:tcPr>
            <w:tcW w:w="7864" w:type="dxa"/>
            <w:vAlign w:val="center"/>
          </w:tcPr>
          <w:p>
            <w:pPr>
              <w:spacing w:line="360" w:lineRule="auto"/>
              <w:ind w:left="-110" w:right="-114"/>
              <w:jc w:val="left"/>
              <w:rPr>
                <w:szCs w:val="24"/>
              </w:rPr>
            </w:pPr>
            <w:r>
              <w:rPr>
                <w:rFonts w:hint="eastAsia"/>
                <w:szCs w:val="21"/>
              </w:rPr>
              <w:t>养护团队人员配置</w:t>
            </w:r>
            <w:r>
              <w:rPr>
                <w:szCs w:val="24"/>
              </w:rPr>
              <w:t>说明、相关人员证书、身份证等有关材料复印件</w:t>
            </w:r>
            <w:r>
              <w:rPr>
                <w:rFonts w:hint="eastAsia"/>
                <w:szCs w:val="24"/>
              </w:rPr>
              <w:t>。</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713" w:type="dxa"/>
            <w:vAlign w:val="center"/>
          </w:tcPr>
          <w:p>
            <w:pPr>
              <w:spacing w:line="360" w:lineRule="auto"/>
              <w:ind w:left="-110" w:right="-114"/>
              <w:jc w:val="center"/>
              <w:rPr>
                <w:szCs w:val="24"/>
              </w:rPr>
            </w:pPr>
            <w:r>
              <w:rPr>
                <w:rFonts w:hint="eastAsia"/>
                <w:szCs w:val="24"/>
              </w:rPr>
              <w:t>8</w:t>
            </w:r>
          </w:p>
        </w:tc>
        <w:tc>
          <w:tcPr>
            <w:tcW w:w="7864" w:type="dxa"/>
            <w:vAlign w:val="center"/>
          </w:tcPr>
          <w:p>
            <w:pPr>
              <w:spacing w:line="360" w:lineRule="auto"/>
              <w:ind w:left="-110" w:right="-114"/>
              <w:jc w:val="left"/>
              <w:rPr>
                <w:szCs w:val="24"/>
              </w:rPr>
            </w:pPr>
            <w:r>
              <w:rPr>
                <w:szCs w:val="24"/>
              </w:rPr>
              <w:t>主要机械设备与工具装备说明、有效证明文件</w:t>
            </w:r>
            <w:r>
              <w:rPr>
                <w:rFonts w:hint="eastAsia"/>
                <w:szCs w:val="24"/>
              </w:rPr>
              <w:t>。</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9" w:hRule="atLeast"/>
        </w:trPr>
        <w:tc>
          <w:tcPr>
            <w:tcW w:w="713" w:type="dxa"/>
            <w:vAlign w:val="center"/>
          </w:tcPr>
          <w:p>
            <w:pPr>
              <w:spacing w:line="360" w:lineRule="auto"/>
              <w:ind w:left="-110" w:right="-114"/>
              <w:jc w:val="center"/>
              <w:rPr>
                <w:szCs w:val="24"/>
              </w:rPr>
            </w:pPr>
            <w:r>
              <w:rPr>
                <w:rFonts w:hint="eastAsia"/>
                <w:szCs w:val="24"/>
              </w:rPr>
              <w:t>9</w:t>
            </w:r>
          </w:p>
        </w:tc>
        <w:tc>
          <w:tcPr>
            <w:tcW w:w="7864" w:type="dxa"/>
            <w:vAlign w:val="center"/>
          </w:tcPr>
          <w:p>
            <w:pPr>
              <w:spacing w:line="360" w:lineRule="auto"/>
              <w:ind w:left="-110" w:right="-114"/>
              <w:jc w:val="left"/>
              <w:rPr>
                <w:szCs w:val="24"/>
              </w:rPr>
            </w:pPr>
            <w:r>
              <w:rPr>
                <w:szCs w:val="24"/>
              </w:rPr>
              <w:t>配套场所作业环境说明与后备苗木供给情况、房产证、租赁合同等有关材料复印件</w:t>
            </w:r>
            <w:r>
              <w:rPr>
                <w:rFonts w:hint="eastAsia"/>
                <w:szCs w:val="24"/>
              </w:rPr>
              <w:t>。</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9" w:hRule="atLeast"/>
        </w:trPr>
        <w:tc>
          <w:tcPr>
            <w:tcW w:w="713" w:type="dxa"/>
            <w:vAlign w:val="center"/>
          </w:tcPr>
          <w:p>
            <w:pPr>
              <w:spacing w:line="360" w:lineRule="auto"/>
              <w:ind w:left="-110" w:right="-114"/>
              <w:jc w:val="center"/>
              <w:rPr>
                <w:szCs w:val="24"/>
              </w:rPr>
            </w:pPr>
            <w:r>
              <w:rPr>
                <w:rFonts w:hint="eastAsia"/>
                <w:szCs w:val="24"/>
              </w:rPr>
              <w:t>10</w:t>
            </w:r>
          </w:p>
        </w:tc>
        <w:tc>
          <w:tcPr>
            <w:tcW w:w="7864" w:type="dxa"/>
            <w:vAlign w:val="center"/>
          </w:tcPr>
          <w:p>
            <w:pPr>
              <w:spacing w:line="360" w:lineRule="auto"/>
              <w:ind w:left="-110" w:right="-114"/>
              <w:jc w:val="left"/>
              <w:rPr>
                <w:szCs w:val="24"/>
              </w:rPr>
            </w:pPr>
            <w:r>
              <w:rPr>
                <w:rFonts w:hint="eastAsia"/>
                <w:szCs w:val="21"/>
              </w:rPr>
              <w:t>特殊时期的应急保障措施。</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09" w:hRule="atLeast"/>
        </w:trPr>
        <w:tc>
          <w:tcPr>
            <w:tcW w:w="713" w:type="dxa"/>
            <w:vAlign w:val="center"/>
          </w:tcPr>
          <w:p>
            <w:pPr>
              <w:spacing w:line="360" w:lineRule="auto"/>
              <w:ind w:left="-110" w:right="-114"/>
              <w:jc w:val="center"/>
              <w:rPr>
                <w:szCs w:val="24"/>
              </w:rPr>
            </w:pPr>
            <w:r>
              <w:rPr>
                <w:rFonts w:hint="eastAsia"/>
                <w:szCs w:val="24"/>
              </w:rPr>
              <w:t>11</w:t>
            </w:r>
          </w:p>
        </w:tc>
        <w:tc>
          <w:tcPr>
            <w:tcW w:w="7864" w:type="dxa"/>
            <w:vAlign w:val="center"/>
          </w:tcPr>
          <w:p>
            <w:pPr>
              <w:spacing w:line="360" w:lineRule="auto"/>
              <w:ind w:left="-110" w:right="-114"/>
              <w:jc w:val="left"/>
              <w:rPr>
                <w:szCs w:val="21"/>
              </w:rPr>
            </w:pPr>
            <w:r>
              <w:rPr>
                <w:rFonts w:hint="eastAsia" w:ascii="宋体" w:hAnsi="宋体" w:cs="宋体"/>
                <w:szCs w:val="21"/>
              </w:rPr>
              <w:t>安全生产、文明作业、环保措施。</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47" w:hRule="atLeast"/>
        </w:trPr>
        <w:tc>
          <w:tcPr>
            <w:tcW w:w="713" w:type="dxa"/>
            <w:vAlign w:val="center"/>
          </w:tcPr>
          <w:p>
            <w:pPr>
              <w:spacing w:line="360" w:lineRule="auto"/>
              <w:ind w:left="-110" w:right="-114"/>
              <w:jc w:val="center"/>
              <w:rPr>
                <w:szCs w:val="24"/>
              </w:rPr>
            </w:pPr>
            <w:r>
              <w:rPr>
                <w:rFonts w:hint="eastAsia"/>
                <w:szCs w:val="24"/>
              </w:rPr>
              <w:t>12</w:t>
            </w:r>
          </w:p>
        </w:tc>
        <w:tc>
          <w:tcPr>
            <w:tcW w:w="7864" w:type="dxa"/>
            <w:vAlign w:val="center"/>
          </w:tcPr>
          <w:p>
            <w:pPr>
              <w:spacing w:line="360" w:lineRule="auto"/>
              <w:ind w:left="-110" w:right="-114"/>
              <w:jc w:val="left"/>
              <w:rPr>
                <w:szCs w:val="24"/>
              </w:rPr>
            </w:pPr>
            <w:r>
              <w:rPr>
                <w:szCs w:val="24"/>
              </w:rPr>
              <w:t>自201</w:t>
            </w:r>
            <w:r>
              <w:rPr>
                <w:rFonts w:hint="eastAsia"/>
                <w:szCs w:val="24"/>
              </w:rPr>
              <w:t>6</w:t>
            </w:r>
            <w:r>
              <w:rPr>
                <w:szCs w:val="24"/>
              </w:rPr>
              <w:t>年1月1日起至今养护实绩、相关支持材料等有关材料复印件</w:t>
            </w:r>
            <w:r>
              <w:rPr>
                <w:rFonts w:hint="eastAsia"/>
                <w:szCs w:val="24"/>
              </w:rPr>
              <w:t>。</w:t>
            </w:r>
          </w:p>
        </w:tc>
        <w:tc>
          <w:tcPr>
            <w:tcW w:w="705" w:type="dxa"/>
            <w:vMerge w:val="continue"/>
            <w:vAlign w:val="center"/>
          </w:tcPr>
          <w:p>
            <w:pPr>
              <w:spacing w:line="360" w:lineRule="auto"/>
              <w:ind w:left="-110" w:right="-114"/>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83" w:hRule="atLeast"/>
        </w:trPr>
        <w:tc>
          <w:tcPr>
            <w:tcW w:w="713" w:type="dxa"/>
            <w:vAlign w:val="center"/>
          </w:tcPr>
          <w:p>
            <w:pPr>
              <w:spacing w:line="360" w:lineRule="auto"/>
              <w:ind w:left="-110" w:right="-114"/>
              <w:jc w:val="center"/>
              <w:rPr>
                <w:szCs w:val="24"/>
              </w:rPr>
            </w:pPr>
            <w:r>
              <w:rPr>
                <w:rFonts w:hint="eastAsia"/>
                <w:szCs w:val="24"/>
              </w:rPr>
              <w:t>13</w:t>
            </w:r>
          </w:p>
        </w:tc>
        <w:tc>
          <w:tcPr>
            <w:tcW w:w="7864" w:type="dxa"/>
            <w:vAlign w:val="center"/>
          </w:tcPr>
          <w:p>
            <w:pPr>
              <w:spacing w:line="360" w:lineRule="auto"/>
              <w:ind w:left="-110" w:right="-114"/>
              <w:jc w:val="left"/>
              <w:rPr>
                <w:szCs w:val="24"/>
              </w:rPr>
            </w:pPr>
            <w:r>
              <w:rPr>
                <w:szCs w:val="24"/>
              </w:rPr>
              <w:t>投标人认为需要的其他证明文件</w:t>
            </w:r>
            <w:r>
              <w:rPr>
                <w:rFonts w:hint="eastAsia"/>
                <w:szCs w:val="24"/>
              </w:rPr>
              <w:t>。</w:t>
            </w:r>
          </w:p>
        </w:tc>
        <w:tc>
          <w:tcPr>
            <w:tcW w:w="705" w:type="dxa"/>
            <w:vMerge w:val="continue"/>
            <w:vAlign w:val="center"/>
          </w:tcPr>
          <w:p>
            <w:pPr>
              <w:spacing w:line="360" w:lineRule="auto"/>
              <w:ind w:left="-110" w:right="-114"/>
              <w:jc w:val="center"/>
              <w:rPr>
                <w:szCs w:val="24"/>
              </w:rPr>
            </w:pPr>
          </w:p>
        </w:tc>
      </w:tr>
    </w:tbl>
    <w:p>
      <w:pPr>
        <w:spacing w:line="480" w:lineRule="exact"/>
        <w:ind w:left="424" w:leftChars="202"/>
        <w:jc w:val="center"/>
        <w:rPr>
          <w:szCs w:val="24"/>
        </w:rPr>
      </w:pPr>
      <w:r>
        <w:rPr>
          <w:szCs w:val="24"/>
        </w:rPr>
        <w:t>（该部分组成与服务商务技术评定的部分对应！）</w:t>
      </w:r>
      <w:bookmarkStart w:id="85" w:name="_Toc263083262"/>
      <w:bookmarkStart w:id="86" w:name="_Toc195098610"/>
      <w:bookmarkStart w:id="87" w:name="_Toc281486000"/>
    </w:p>
    <w:p>
      <w:pPr>
        <w:pStyle w:val="5"/>
        <w:spacing w:before="0" w:after="0" w:line="480" w:lineRule="exact"/>
        <w:ind w:left="6"/>
        <w:rPr>
          <w:b w:val="0"/>
          <w:bCs w:val="0"/>
          <w:sz w:val="21"/>
          <w:szCs w:val="24"/>
        </w:rPr>
      </w:pPr>
      <w:bookmarkStart w:id="88" w:name="_Toc372870945"/>
      <w:r>
        <w:rPr>
          <w:rFonts w:hint="eastAsia"/>
          <w:b w:val="0"/>
          <w:bCs w:val="0"/>
          <w:sz w:val="21"/>
          <w:szCs w:val="24"/>
        </w:rPr>
        <w:t>三、</w:t>
      </w:r>
      <w:r>
        <w:rPr>
          <w:b w:val="0"/>
          <w:bCs w:val="0"/>
          <w:sz w:val="21"/>
          <w:szCs w:val="24"/>
        </w:rPr>
        <w:t>付款</w:t>
      </w:r>
      <w:bookmarkEnd w:id="85"/>
      <w:bookmarkEnd w:id="86"/>
      <w:r>
        <w:rPr>
          <w:b w:val="0"/>
          <w:bCs w:val="0"/>
          <w:sz w:val="21"/>
          <w:szCs w:val="24"/>
        </w:rPr>
        <w:t>方式</w:t>
      </w:r>
      <w:bookmarkEnd w:id="87"/>
      <w:bookmarkEnd w:id="88"/>
    </w:p>
    <w:p>
      <w:pPr>
        <w:spacing w:line="480" w:lineRule="exact"/>
        <w:ind w:left="851" w:hanging="425"/>
        <w:rPr>
          <w:szCs w:val="24"/>
        </w:rPr>
      </w:pPr>
      <w:r>
        <w:rPr>
          <w:szCs w:val="24"/>
        </w:rPr>
        <w:t>付款方式：每月按月考核成绩核定当月服务费用，每季度结算一次。</w:t>
      </w:r>
    </w:p>
    <w:p>
      <w:pPr>
        <w:pStyle w:val="5"/>
        <w:spacing w:before="0" w:after="0" w:line="480" w:lineRule="exact"/>
        <w:ind w:left="6"/>
        <w:rPr>
          <w:b w:val="0"/>
          <w:bCs w:val="0"/>
          <w:sz w:val="21"/>
          <w:szCs w:val="24"/>
        </w:rPr>
      </w:pPr>
      <w:bookmarkStart w:id="89" w:name="_Toc263083263"/>
      <w:bookmarkStart w:id="90" w:name="_Toc372870946"/>
      <w:bookmarkStart w:id="91" w:name="_Toc281486001"/>
      <w:r>
        <w:rPr>
          <w:rFonts w:hint="eastAsia"/>
          <w:b w:val="0"/>
          <w:bCs w:val="0"/>
          <w:sz w:val="21"/>
          <w:szCs w:val="24"/>
        </w:rPr>
        <w:t>四、</w:t>
      </w:r>
      <w:r>
        <w:rPr>
          <w:b w:val="0"/>
          <w:bCs w:val="0"/>
          <w:sz w:val="21"/>
          <w:szCs w:val="24"/>
        </w:rPr>
        <w:t>报价方式</w:t>
      </w:r>
      <w:bookmarkEnd w:id="89"/>
      <w:bookmarkEnd w:id="90"/>
      <w:bookmarkEnd w:id="91"/>
    </w:p>
    <w:p>
      <w:pPr>
        <w:tabs>
          <w:tab w:val="left" w:pos="625"/>
        </w:tabs>
        <w:spacing w:line="440" w:lineRule="exact"/>
        <w:rPr>
          <w:szCs w:val="24"/>
        </w:rPr>
      </w:pPr>
      <w:r>
        <w:rPr>
          <w:szCs w:val="24"/>
        </w:rPr>
        <w:t>4.1</w:t>
      </w:r>
      <w:r>
        <w:rPr>
          <w:rFonts w:hint="eastAsia"/>
          <w:szCs w:val="24"/>
        </w:rPr>
        <w:t xml:space="preserve">  *</w:t>
      </w:r>
      <w:r>
        <w:rPr>
          <w:szCs w:val="24"/>
        </w:rPr>
        <w:t>报价形式：</w:t>
      </w:r>
      <w:r>
        <w:rPr>
          <w:szCs w:val="24"/>
        </w:rPr>
        <w:br w:type="textWrapping"/>
      </w:r>
      <w:r>
        <w:rPr>
          <w:szCs w:val="24"/>
        </w:rPr>
        <w:t>总价；完成招标内容及要求所提供的服务过程中涉及的所有费用，报服务周期为1年的总价、综合单价及单项单价。</w:t>
      </w:r>
    </w:p>
    <w:p>
      <w:pPr>
        <w:tabs>
          <w:tab w:val="left" w:pos="851"/>
        </w:tabs>
        <w:spacing w:line="480" w:lineRule="exact"/>
        <w:ind w:left="850" w:hanging="425"/>
        <w:jc w:val="left"/>
        <w:rPr>
          <w:szCs w:val="24"/>
        </w:rPr>
      </w:pPr>
      <w:r>
        <w:rPr>
          <w:szCs w:val="24"/>
        </w:rPr>
        <w:t>4.2</w:t>
      </w:r>
      <w:r>
        <w:rPr>
          <w:rFonts w:hint="eastAsia"/>
          <w:szCs w:val="24"/>
        </w:rPr>
        <w:t xml:space="preserve"> *</w:t>
      </w:r>
      <w:r>
        <w:rPr>
          <w:szCs w:val="24"/>
        </w:rPr>
        <w:t>报价包括：</w:t>
      </w:r>
    </w:p>
    <w:p>
      <w:pPr>
        <w:tabs>
          <w:tab w:val="left" w:pos="851"/>
        </w:tabs>
        <w:spacing w:line="480" w:lineRule="exact"/>
        <w:ind w:firstLine="420" w:firstLineChars="200"/>
        <w:jc w:val="left"/>
        <w:rPr>
          <w:szCs w:val="24"/>
        </w:rPr>
      </w:pPr>
      <w:r>
        <w:rPr>
          <w:szCs w:val="24"/>
        </w:rPr>
        <w:t>人员</w:t>
      </w:r>
      <w:r>
        <w:rPr>
          <w:rFonts w:hint="eastAsia"/>
          <w:szCs w:val="24"/>
        </w:rPr>
        <w:t>费用</w:t>
      </w:r>
      <w:r>
        <w:rPr>
          <w:szCs w:val="24"/>
        </w:rPr>
        <w:t>、设备运行费用、安全保障费用、环境应急费用、公司税金利润等一切服务（招标服务要求）工作所产生的一切费用。</w:t>
      </w:r>
    </w:p>
    <w:p>
      <w:pPr>
        <w:pStyle w:val="5"/>
        <w:spacing w:before="0" w:after="0" w:line="480" w:lineRule="exact"/>
        <w:ind w:left="6"/>
        <w:rPr>
          <w:b w:val="0"/>
          <w:bCs w:val="0"/>
          <w:sz w:val="21"/>
          <w:szCs w:val="24"/>
        </w:rPr>
      </w:pPr>
      <w:bookmarkStart w:id="92" w:name="_Toc372870947"/>
      <w:bookmarkStart w:id="93" w:name="_Toc281486002"/>
      <w:r>
        <w:rPr>
          <w:rFonts w:hint="eastAsia"/>
          <w:b w:val="0"/>
          <w:bCs w:val="0"/>
          <w:sz w:val="21"/>
          <w:szCs w:val="24"/>
        </w:rPr>
        <w:t>五、</w:t>
      </w:r>
      <w:r>
        <w:rPr>
          <w:b w:val="0"/>
          <w:bCs w:val="0"/>
          <w:sz w:val="21"/>
          <w:szCs w:val="24"/>
        </w:rPr>
        <w:t>技术规范</w:t>
      </w:r>
      <w:bookmarkEnd w:id="92"/>
      <w:bookmarkEnd w:id="93"/>
    </w:p>
    <w:p>
      <w:pPr>
        <w:tabs>
          <w:tab w:val="left" w:pos="851"/>
        </w:tabs>
        <w:spacing w:line="480" w:lineRule="exact"/>
        <w:ind w:left="851" w:hanging="425"/>
        <w:jc w:val="left"/>
        <w:rPr>
          <w:szCs w:val="24"/>
        </w:rPr>
      </w:pPr>
      <w:r>
        <w:rPr>
          <w:szCs w:val="24"/>
        </w:rPr>
        <w:t>5.1</w:t>
      </w:r>
      <w:r>
        <w:rPr>
          <w:szCs w:val="24"/>
        </w:rPr>
        <w:tab/>
      </w:r>
      <w:r>
        <w:rPr>
          <w:szCs w:val="24"/>
        </w:rPr>
        <w:t>《宁波市城市绿地养护技术规程》，详见本招标文件附件文档《宁波市城市绿地养护技</w:t>
      </w:r>
    </w:p>
    <w:p>
      <w:pPr>
        <w:tabs>
          <w:tab w:val="left" w:pos="851"/>
        </w:tabs>
        <w:spacing w:line="480" w:lineRule="exact"/>
        <w:jc w:val="left"/>
        <w:rPr>
          <w:szCs w:val="24"/>
        </w:rPr>
      </w:pPr>
      <w:r>
        <w:rPr>
          <w:szCs w:val="24"/>
        </w:rPr>
        <w:t>术规程》电子格式文件。</w:t>
      </w:r>
    </w:p>
    <w:p>
      <w:pPr>
        <w:tabs>
          <w:tab w:val="left" w:pos="851"/>
        </w:tabs>
        <w:spacing w:line="480" w:lineRule="exact"/>
        <w:ind w:left="851" w:hanging="425"/>
        <w:jc w:val="left"/>
        <w:rPr>
          <w:szCs w:val="24"/>
        </w:rPr>
      </w:pPr>
      <w:r>
        <w:rPr>
          <w:szCs w:val="24"/>
        </w:rPr>
        <w:t>5.2</w:t>
      </w:r>
      <w:r>
        <w:rPr>
          <w:szCs w:val="24"/>
        </w:rPr>
        <w:tab/>
      </w:r>
      <w:r>
        <w:rPr>
          <w:szCs w:val="24"/>
        </w:rPr>
        <w:t>国家有关现行规范、标准、法规规定。</w:t>
      </w:r>
    </w:p>
    <w:p>
      <w:pPr>
        <w:tabs>
          <w:tab w:val="left" w:pos="625"/>
        </w:tabs>
        <w:spacing w:line="440" w:lineRule="exact"/>
        <w:rPr>
          <w:szCs w:val="24"/>
        </w:rPr>
      </w:pPr>
      <w:r>
        <w:rPr>
          <w:rFonts w:hint="eastAsia"/>
          <w:szCs w:val="24"/>
        </w:rPr>
        <w:t>六、项目相关要求及考核细则</w:t>
      </w:r>
    </w:p>
    <w:p>
      <w:pPr>
        <w:tabs>
          <w:tab w:val="left" w:pos="625"/>
        </w:tabs>
        <w:spacing w:line="440" w:lineRule="exact"/>
        <w:rPr>
          <w:szCs w:val="24"/>
        </w:rPr>
      </w:pPr>
      <w:r>
        <w:rPr>
          <w:rFonts w:hint="eastAsia"/>
          <w:szCs w:val="24"/>
        </w:rPr>
        <w:t>（一）各方的责任和要求：</w:t>
      </w:r>
    </w:p>
    <w:p>
      <w:pPr>
        <w:tabs>
          <w:tab w:val="left" w:pos="625"/>
        </w:tabs>
        <w:spacing w:line="440" w:lineRule="exact"/>
        <w:ind w:firstLine="420" w:firstLineChars="200"/>
        <w:rPr>
          <w:szCs w:val="24"/>
        </w:rPr>
      </w:pPr>
      <w:r>
        <w:rPr>
          <w:rFonts w:hint="eastAsia"/>
          <w:szCs w:val="24"/>
        </w:rPr>
        <w:t>6.1.1 由中标人承包绿地养护的本合同养护项目应达到城区相应绿地道路和公园养护标准。承包养护期限内，中标人应按照绿地养护操作规程及绿地养护质量标准，合理组织，精心养护，保质保量完成绿化养护任务。</w:t>
      </w:r>
    </w:p>
    <w:p>
      <w:pPr>
        <w:tabs>
          <w:tab w:val="left" w:pos="625"/>
        </w:tabs>
        <w:spacing w:line="440" w:lineRule="exact"/>
        <w:ind w:firstLine="420" w:firstLineChars="200"/>
        <w:rPr>
          <w:szCs w:val="24"/>
        </w:rPr>
      </w:pPr>
      <w:r>
        <w:rPr>
          <w:rFonts w:hint="eastAsia"/>
          <w:szCs w:val="24"/>
        </w:rPr>
        <w:t>6.1.2对本合同绿地养护项目实施养护管理所需的一切劳动力、材料、设备和服务由中标人自行组织，由此产生的一切费用由中标人承担。</w:t>
      </w:r>
    </w:p>
    <w:p>
      <w:pPr>
        <w:tabs>
          <w:tab w:val="left" w:pos="625"/>
        </w:tabs>
        <w:spacing w:line="440" w:lineRule="exact"/>
        <w:ind w:firstLine="420" w:firstLineChars="200"/>
        <w:rPr>
          <w:szCs w:val="24"/>
        </w:rPr>
      </w:pPr>
      <w:r>
        <w:rPr>
          <w:rFonts w:hint="eastAsia"/>
          <w:szCs w:val="24"/>
        </w:rPr>
        <w:t>6.1.3承包期限内，本合同养护清单中的各类设施如发生人为减少及损毁的，中标人应予及时补种，所需费用原则上由中标人承担，如遇特殊情况，经双方协商后确认费用承担方案。</w:t>
      </w:r>
    </w:p>
    <w:p>
      <w:pPr>
        <w:tabs>
          <w:tab w:val="left" w:pos="625"/>
        </w:tabs>
        <w:spacing w:line="440" w:lineRule="exact"/>
        <w:ind w:firstLine="420" w:firstLineChars="200"/>
        <w:rPr>
          <w:szCs w:val="24"/>
        </w:rPr>
      </w:pPr>
      <w:r>
        <w:rPr>
          <w:rFonts w:hint="eastAsia"/>
          <w:szCs w:val="24"/>
        </w:rPr>
        <w:t>6.1.4在本合同养护清单以外增加的设施量，其设施量的养护也遵循第3条款。</w:t>
      </w:r>
    </w:p>
    <w:p>
      <w:pPr>
        <w:tabs>
          <w:tab w:val="left" w:pos="625"/>
        </w:tabs>
        <w:spacing w:line="440" w:lineRule="exact"/>
        <w:ind w:firstLine="420" w:firstLineChars="200"/>
        <w:rPr>
          <w:szCs w:val="24"/>
        </w:rPr>
      </w:pPr>
      <w:r>
        <w:rPr>
          <w:rFonts w:hint="eastAsia"/>
          <w:szCs w:val="24"/>
        </w:rPr>
        <w:t>6.1.5中标人应定期向招标人提供养护管理计划及有关措施，按要求及时向招标人上报各类报表及数据，以便招标人进行监督考核。</w:t>
      </w:r>
    </w:p>
    <w:p>
      <w:pPr>
        <w:tabs>
          <w:tab w:val="left" w:pos="625"/>
        </w:tabs>
        <w:spacing w:line="440" w:lineRule="exact"/>
        <w:ind w:firstLine="420" w:firstLineChars="200"/>
        <w:rPr>
          <w:szCs w:val="24"/>
        </w:rPr>
      </w:pPr>
      <w:r>
        <w:rPr>
          <w:rFonts w:hint="eastAsia"/>
          <w:szCs w:val="24"/>
        </w:rPr>
        <w:t>6.1.6中标人在搞好日常养护的同时，必须配合招标人参加县各节庆和重大项目活动的临时布置任务。</w:t>
      </w:r>
    </w:p>
    <w:p>
      <w:pPr>
        <w:tabs>
          <w:tab w:val="left" w:pos="625"/>
        </w:tabs>
        <w:spacing w:line="440" w:lineRule="exact"/>
        <w:ind w:firstLine="420" w:firstLineChars="200"/>
        <w:rPr>
          <w:szCs w:val="24"/>
        </w:rPr>
      </w:pPr>
      <w:r>
        <w:rPr>
          <w:rFonts w:hint="eastAsia"/>
          <w:szCs w:val="24"/>
        </w:rPr>
        <w:t>6.1.7中标人必须为全体作业员工购买社会和人身意外保险，必须重视安全生产工作，确保全年不出安全生产责任事故。如发生安全生产责任事故，一切责任及损失由中标人承担。</w:t>
      </w:r>
    </w:p>
    <w:p>
      <w:pPr>
        <w:tabs>
          <w:tab w:val="left" w:pos="625"/>
        </w:tabs>
        <w:spacing w:line="440" w:lineRule="exact"/>
        <w:ind w:firstLine="420" w:firstLineChars="200"/>
        <w:rPr>
          <w:szCs w:val="24"/>
        </w:rPr>
      </w:pPr>
      <w:r>
        <w:rPr>
          <w:rFonts w:hint="eastAsia"/>
          <w:szCs w:val="24"/>
        </w:rPr>
        <w:t>6.1.8中标人在合同期内必须按招标人所订的考核细则规定履行。</w:t>
      </w:r>
    </w:p>
    <w:p>
      <w:pPr>
        <w:tabs>
          <w:tab w:val="left" w:pos="625"/>
        </w:tabs>
        <w:spacing w:line="440" w:lineRule="exact"/>
        <w:rPr>
          <w:szCs w:val="24"/>
        </w:rPr>
      </w:pPr>
      <w:r>
        <w:rPr>
          <w:rFonts w:hint="eastAsia"/>
          <w:szCs w:val="24"/>
        </w:rPr>
        <w:t>（二）质量要求：中标单位如果一年度有二次考核不合格，则招标人有权终止合同。。</w:t>
      </w:r>
    </w:p>
    <w:p>
      <w:pPr>
        <w:tabs>
          <w:tab w:val="left" w:pos="625"/>
        </w:tabs>
        <w:spacing w:line="440" w:lineRule="exact"/>
        <w:rPr>
          <w:szCs w:val="24"/>
        </w:rPr>
      </w:pPr>
      <w:r>
        <w:rPr>
          <w:rFonts w:hint="eastAsia"/>
          <w:szCs w:val="24"/>
        </w:rPr>
        <w:t>（三）服务和质量要求</w:t>
      </w:r>
    </w:p>
    <w:p>
      <w:pPr>
        <w:tabs>
          <w:tab w:val="left" w:pos="625"/>
        </w:tabs>
        <w:spacing w:line="440" w:lineRule="exact"/>
        <w:ind w:firstLine="420" w:firstLineChars="200"/>
        <w:rPr>
          <w:szCs w:val="24"/>
        </w:rPr>
      </w:pPr>
      <w:r>
        <w:rPr>
          <w:rFonts w:hint="eastAsia"/>
          <w:szCs w:val="24"/>
        </w:rPr>
        <w:t xml:space="preserve">绿化养护按照有关要求执行。投标人根据劳动定额标准和实际情况合理配备人员。 </w:t>
      </w:r>
    </w:p>
    <w:p>
      <w:pPr>
        <w:tabs>
          <w:tab w:val="left" w:pos="625"/>
        </w:tabs>
        <w:spacing w:line="440" w:lineRule="exact"/>
        <w:rPr>
          <w:szCs w:val="24"/>
        </w:rPr>
      </w:pPr>
      <w:r>
        <w:rPr>
          <w:rFonts w:hint="eastAsia"/>
          <w:szCs w:val="24"/>
        </w:rPr>
        <w:t>（四）安全生产</w:t>
      </w:r>
    </w:p>
    <w:p>
      <w:pPr>
        <w:tabs>
          <w:tab w:val="left" w:pos="625"/>
        </w:tabs>
        <w:spacing w:line="440" w:lineRule="exact"/>
        <w:ind w:firstLine="210" w:firstLineChars="100"/>
        <w:rPr>
          <w:szCs w:val="24"/>
        </w:rPr>
      </w:pPr>
      <w:r>
        <w:rPr>
          <w:rFonts w:hint="eastAsia"/>
          <w:szCs w:val="24"/>
        </w:rPr>
        <w:t xml:space="preserve">  6.4.1操作工人上班时必须穿工作服、着安全反光背心；</w:t>
      </w:r>
    </w:p>
    <w:p>
      <w:pPr>
        <w:tabs>
          <w:tab w:val="left" w:pos="625"/>
        </w:tabs>
        <w:spacing w:line="440" w:lineRule="exact"/>
        <w:rPr>
          <w:szCs w:val="24"/>
        </w:rPr>
      </w:pPr>
      <w:r>
        <w:rPr>
          <w:rFonts w:hint="eastAsia"/>
          <w:szCs w:val="24"/>
        </w:rPr>
        <w:t xml:space="preserve">    6.4.2行道树修剪时，登高车车辆前后方设置醒目标记，并做好防护措施。</w:t>
      </w:r>
    </w:p>
    <w:p>
      <w:pPr>
        <w:tabs>
          <w:tab w:val="left" w:pos="625"/>
        </w:tabs>
        <w:spacing w:line="440" w:lineRule="exact"/>
        <w:rPr>
          <w:szCs w:val="24"/>
        </w:rPr>
      </w:pPr>
      <w:r>
        <w:rPr>
          <w:rFonts w:hint="eastAsia"/>
          <w:szCs w:val="24"/>
        </w:rPr>
        <w:t>（五）员工劳动保障</w:t>
      </w:r>
    </w:p>
    <w:p>
      <w:pPr>
        <w:tabs>
          <w:tab w:val="left" w:pos="625"/>
        </w:tabs>
        <w:spacing w:line="440" w:lineRule="exact"/>
        <w:rPr>
          <w:szCs w:val="24"/>
        </w:rPr>
      </w:pPr>
      <w:r>
        <w:rPr>
          <w:rFonts w:hint="eastAsia"/>
          <w:szCs w:val="24"/>
        </w:rPr>
        <w:t xml:space="preserve">  6.5.1中标单位必须与员工签订书面劳动合同；</w:t>
      </w:r>
    </w:p>
    <w:p>
      <w:pPr>
        <w:tabs>
          <w:tab w:val="left" w:pos="625"/>
        </w:tabs>
        <w:spacing w:line="440" w:lineRule="exact"/>
        <w:ind w:firstLine="210" w:firstLineChars="100"/>
        <w:rPr>
          <w:szCs w:val="24"/>
        </w:rPr>
      </w:pPr>
      <w:r>
        <w:rPr>
          <w:rFonts w:hint="eastAsia"/>
          <w:szCs w:val="24"/>
        </w:rPr>
        <w:t>6.5.2中标单位支付员工基本工资（不含加班工资）不能低于当年宁海县人均最低工资标准；</w:t>
      </w:r>
    </w:p>
    <w:p>
      <w:pPr>
        <w:tabs>
          <w:tab w:val="left" w:pos="625"/>
        </w:tabs>
        <w:spacing w:line="440" w:lineRule="exact"/>
        <w:ind w:firstLine="210" w:firstLineChars="100"/>
        <w:rPr>
          <w:szCs w:val="24"/>
        </w:rPr>
      </w:pPr>
      <w:r>
        <w:rPr>
          <w:rFonts w:hint="eastAsia"/>
          <w:szCs w:val="24"/>
        </w:rPr>
        <w:t>6.5.3最低工资标准发生变化的，应相应作出调整。不得拖欠员工工资（含加班工资）；</w:t>
      </w:r>
    </w:p>
    <w:p>
      <w:pPr>
        <w:tabs>
          <w:tab w:val="left" w:pos="625"/>
        </w:tabs>
        <w:spacing w:line="440" w:lineRule="exact"/>
        <w:ind w:firstLine="210" w:firstLineChars="100"/>
        <w:rPr>
          <w:szCs w:val="24"/>
        </w:rPr>
      </w:pPr>
      <w:r>
        <w:rPr>
          <w:rFonts w:hint="eastAsia"/>
          <w:szCs w:val="24"/>
        </w:rPr>
        <w:t>6.5.4中标单位必须按规定比例为员工购买社会保险，特别要购买工人意外人身保险；</w:t>
      </w:r>
    </w:p>
    <w:p>
      <w:pPr>
        <w:tabs>
          <w:tab w:val="left" w:pos="625"/>
        </w:tabs>
        <w:spacing w:line="440" w:lineRule="exact"/>
        <w:ind w:firstLine="210" w:firstLineChars="100"/>
        <w:rPr>
          <w:szCs w:val="24"/>
        </w:rPr>
      </w:pPr>
      <w:r>
        <w:rPr>
          <w:rFonts w:hint="eastAsia"/>
          <w:szCs w:val="24"/>
        </w:rPr>
        <w:t>6.5.5中标单位必须保障员工正常休息时间，按规定发放加班工资、节假日加班工资以及高温补贴；</w:t>
      </w:r>
    </w:p>
    <w:p>
      <w:pPr>
        <w:tabs>
          <w:tab w:val="left" w:pos="625"/>
        </w:tabs>
        <w:spacing w:line="440" w:lineRule="exact"/>
        <w:ind w:firstLine="210" w:firstLineChars="100"/>
      </w:pPr>
      <w:r>
        <w:rPr>
          <w:rFonts w:hint="eastAsia"/>
          <w:szCs w:val="24"/>
        </w:rPr>
        <w:t>6.5.6必须执行《劳动合同法》有关员工保障的其他规定。</w:t>
      </w:r>
    </w:p>
    <w:p>
      <w:pPr>
        <w:tabs>
          <w:tab w:val="left" w:pos="625"/>
        </w:tabs>
        <w:spacing w:line="440" w:lineRule="exact"/>
        <w:rPr>
          <w:szCs w:val="24"/>
        </w:rPr>
      </w:pPr>
      <w:bookmarkStart w:id="94" w:name="_Toc372870948"/>
      <w:r>
        <w:rPr>
          <w:rFonts w:hint="eastAsia"/>
          <w:szCs w:val="24"/>
        </w:rPr>
        <w:t>七、其他要求</w:t>
      </w:r>
      <w:bookmarkEnd w:id="94"/>
    </w:p>
    <w:p>
      <w:pPr>
        <w:tabs>
          <w:tab w:val="left" w:pos="625"/>
        </w:tabs>
        <w:spacing w:line="440" w:lineRule="exact"/>
        <w:ind w:firstLine="210" w:firstLineChars="100"/>
        <w:rPr>
          <w:szCs w:val="24"/>
        </w:rPr>
      </w:pPr>
      <w:r>
        <w:rPr>
          <w:rFonts w:hint="eastAsia"/>
          <w:szCs w:val="24"/>
        </w:rPr>
        <w:t>7</w:t>
      </w:r>
      <w:r>
        <w:rPr>
          <w:szCs w:val="24"/>
        </w:rPr>
        <w:t>.1</w:t>
      </w:r>
      <w:r>
        <w:rPr>
          <w:rFonts w:hint="eastAsia"/>
          <w:szCs w:val="24"/>
        </w:rPr>
        <w:t>招标人将视需求对养护单位进行社会满意度测评。</w:t>
      </w:r>
    </w:p>
    <w:p>
      <w:pPr>
        <w:tabs>
          <w:tab w:val="left" w:pos="625"/>
        </w:tabs>
        <w:spacing w:line="440" w:lineRule="exact"/>
        <w:ind w:firstLine="210" w:firstLineChars="100"/>
        <w:rPr>
          <w:szCs w:val="24"/>
        </w:rPr>
      </w:pPr>
      <w:r>
        <w:rPr>
          <w:rFonts w:hint="eastAsia"/>
          <w:szCs w:val="24"/>
        </w:rPr>
        <w:t>7</w:t>
      </w:r>
      <w:r>
        <w:rPr>
          <w:szCs w:val="24"/>
        </w:rPr>
        <w:t>.2</w:t>
      </w:r>
      <w:r>
        <w:rPr>
          <w:rFonts w:hint="eastAsia"/>
          <w:szCs w:val="24"/>
        </w:rPr>
        <w:t>养护单位</w:t>
      </w:r>
      <w:r>
        <w:rPr>
          <w:szCs w:val="24"/>
        </w:rPr>
        <w:t>未按照《宁波市城市绿地等级标准》及《宁波市城市绿化养护技术规程》进行</w:t>
      </w:r>
    </w:p>
    <w:p>
      <w:pPr>
        <w:tabs>
          <w:tab w:val="left" w:pos="625"/>
        </w:tabs>
        <w:spacing w:line="440" w:lineRule="exact"/>
        <w:rPr>
          <w:szCs w:val="24"/>
        </w:rPr>
      </w:pPr>
      <w:r>
        <w:rPr>
          <w:szCs w:val="24"/>
        </w:rPr>
        <w:t>养护管理，造成景观效果差，市民意见多，社会反映较强，电台、电视、各种报纸报导造成</w:t>
      </w:r>
      <w:r>
        <w:rPr>
          <w:rFonts w:hint="eastAsia"/>
          <w:szCs w:val="24"/>
        </w:rPr>
        <w:t>严重</w:t>
      </w:r>
      <w:r>
        <w:rPr>
          <w:szCs w:val="24"/>
        </w:rPr>
        <w:t>负面影响的</w:t>
      </w:r>
      <w:r>
        <w:rPr>
          <w:rFonts w:hint="eastAsia"/>
          <w:szCs w:val="24"/>
        </w:rPr>
        <w:t>，或建设行政主管部门抽查考核不合格的，</w:t>
      </w:r>
      <w:r>
        <w:rPr>
          <w:szCs w:val="24"/>
        </w:rPr>
        <w:t>扣除当月全额养护经费；若情况</w:t>
      </w:r>
      <w:r>
        <w:rPr>
          <w:rFonts w:hint="eastAsia"/>
          <w:szCs w:val="24"/>
        </w:rPr>
        <w:t>特别</w:t>
      </w:r>
      <w:r>
        <w:rPr>
          <w:szCs w:val="24"/>
        </w:rPr>
        <w:t>严重</w:t>
      </w:r>
      <w:r>
        <w:rPr>
          <w:rFonts w:hint="eastAsia"/>
          <w:szCs w:val="24"/>
        </w:rPr>
        <w:t>的</w:t>
      </w:r>
      <w:r>
        <w:rPr>
          <w:szCs w:val="24"/>
        </w:rPr>
        <w:t>，予以解除养护合同。</w:t>
      </w:r>
    </w:p>
    <w:p>
      <w:pPr>
        <w:tabs>
          <w:tab w:val="left" w:pos="625"/>
        </w:tabs>
        <w:spacing w:line="440" w:lineRule="exact"/>
        <w:rPr>
          <w:szCs w:val="24"/>
        </w:rPr>
        <w:sectPr>
          <w:headerReference r:id="rId15" w:type="default"/>
          <w:footerReference r:id="rId16" w:type="default"/>
          <w:pgSz w:w="11907" w:h="16840"/>
          <w:pgMar w:top="1247" w:right="1531" w:bottom="1304" w:left="1531" w:header="426" w:footer="708" w:gutter="0"/>
          <w:pgNumType w:start="1"/>
          <w:cols w:space="720" w:num="1"/>
          <w:docGrid w:linePitch="285" w:charSpace="0"/>
        </w:sectPr>
      </w:pPr>
    </w:p>
    <w:p>
      <w:pPr>
        <w:ind w:left="-359" w:leftChars="-171" w:firstLine="315" w:firstLineChars="98"/>
        <w:jc w:val="center"/>
        <w:rPr>
          <w:b/>
          <w:sz w:val="32"/>
          <w:szCs w:val="32"/>
        </w:rPr>
      </w:pPr>
      <w:bookmarkStart w:id="95" w:name="_Toc435088080"/>
      <w:r>
        <w:rPr>
          <w:rFonts w:hint="eastAsia" w:ascii="宋体" w:hAnsi="宋体"/>
          <w:b/>
          <w:sz w:val="32"/>
          <w:szCs w:val="32"/>
        </w:rPr>
        <w:t>宁海县绿化养护管理考核实施细则</w:t>
      </w:r>
    </w:p>
    <w:p>
      <w:pPr>
        <w:spacing w:line="500" w:lineRule="exact"/>
        <w:ind w:firstLine="602" w:firstLineChars="200"/>
        <w:rPr>
          <w:b/>
          <w:bCs/>
          <w:sz w:val="30"/>
          <w:szCs w:val="30"/>
        </w:rPr>
      </w:pPr>
    </w:p>
    <w:p>
      <w:pPr>
        <w:spacing w:line="480" w:lineRule="exact"/>
        <w:ind w:firstLine="422" w:firstLineChars="200"/>
        <w:rPr>
          <w:rFonts w:ascii="宋体" w:hAnsi="宋体"/>
          <w:szCs w:val="21"/>
        </w:rPr>
      </w:pPr>
      <w:r>
        <w:rPr>
          <w:rFonts w:hint="eastAsia" w:ascii="宋体" w:hAnsi="宋体"/>
          <w:b/>
          <w:szCs w:val="21"/>
        </w:rPr>
        <w:t>第一条</w:t>
      </w:r>
      <w:r>
        <w:rPr>
          <w:rFonts w:hint="eastAsia" w:ascii="宋体" w:hAnsi="宋体"/>
          <w:szCs w:val="21"/>
        </w:rPr>
        <w:t>　根据《宁波市城市绿化条例》与《宁波市城区绿地养护考核管理办法》等规定，结合宁海实际情况，特制订宁海县绿化养护管理考核实施细则和考核评分标准。</w:t>
      </w:r>
    </w:p>
    <w:p>
      <w:pPr>
        <w:spacing w:line="480" w:lineRule="exact"/>
        <w:ind w:firstLine="422" w:firstLineChars="200"/>
        <w:rPr>
          <w:rFonts w:ascii="宋体" w:hAnsi="宋体"/>
          <w:szCs w:val="21"/>
        </w:rPr>
      </w:pPr>
      <w:r>
        <w:rPr>
          <w:rFonts w:hint="eastAsia" w:ascii="宋体" w:hAnsi="宋体"/>
          <w:b/>
          <w:szCs w:val="21"/>
        </w:rPr>
        <w:t>第二条</w:t>
      </w:r>
      <w:r>
        <w:rPr>
          <w:rFonts w:hint="eastAsia" w:ascii="宋体" w:hAnsi="宋体"/>
          <w:szCs w:val="21"/>
        </w:rPr>
        <w:t>　本办法适用于宁海县城区公园绿地、道路绿地、小区绿地、行道树及草花等养护管理项目。公园绿地综合养护管理内容包括植物景观养护、设施维护、环卫保洁和安全秩序管理等四个分项；道路及小区绿地养护管理内容包括植物景观养护和其它两个分项；行道树日常养护管理包括树木养护管理、树穴管理和其它三个分项；草花养护管理包括布置养护和其它两个分项。</w:t>
      </w:r>
    </w:p>
    <w:p>
      <w:pPr>
        <w:spacing w:line="480" w:lineRule="exact"/>
        <w:ind w:firstLine="422" w:firstLineChars="200"/>
        <w:rPr>
          <w:rFonts w:ascii="宋体" w:hAnsi="宋体"/>
          <w:szCs w:val="21"/>
        </w:rPr>
      </w:pPr>
      <w:r>
        <w:rPr>
          <w:rFonts w:hint="eastAsia" w:ascii="宋体" w:hAnsi="宋体"/>
          <w:b/>
          <w:szCs w:val="21"/>
        </w:rPr>
        <w:t>第三条</w:t>
      </w:r>
      <w:r>
        <w:rPr>
          <w:rFonts w:hint="eastAsia" w:ascii="宋体" w:hAnsi="宋体"/>
          <w:szCs w:val="21"/>
        </w:rPr>
        <w:t>　绿化养护项目考核实行综合评分制和直接扣款制。</w:t>
      </w:r>
    </w:p>
    <w:p>
      <w:pPr>
        <w:spacing w:line="480" w:lineRule="exact"/>
        <w:ind w:firstLine="420" w:firstLineChars="200"/>
        <w:rPr>
          <w:rFonts w:ascii="宋体" w:hAnsi="宋体"/>
          <w:szCs w:val="21"/>
        </w:rPr>
      </w:pPr>
      <w:r>
        <w:rPr>
          <w:rFonts w:hint="eastAsia" w:ascii="宋体" w:hAnsi="宋体"/>
          <w:szCs w:val="21"/>
        </w:rPr>
        <w:t>（一）、综合评分制：公园绿地单项考核分为100分，其中植物景观养护占50分，设施维护10分，环卫保洁占25分，安全秩序管理占15分；道路及小区绿地单项考核分为100分，其中植物景观养护占85分，其它占15分；行道树单项考核分为100分，其中树木养护管理占80分，树穴管理占10分，其它10分。综合考核总分100分，为各单项考核分×单项面积所占权重之和。</w:t>
      </w:r>
      <w:r>
        <w:rPr>
          <w:rFonts w:ascii="宋体" w:hAnsi="宋体" w:cs="宋体"/>
          <w:kern w:val="0"/>
          <w:szCs w:val="21"/>
        </w:rPr>
        <w:t>考核分数有小数点的</w:t>
      </w:r>
      <w:r>
        <w:rPr>
          <w:rFonts w:hint="eastAsia" w:ascii="宋体" w:hAnsi="宋体" w:cs="宋体"/>
          <w:kern w:val="0"/>
          <w:szCs w:val="21"/>
        </w:rPr>
        <w:t>，保留一位小数点。</w:t>
      </w:r>
    </w:p>
    <w:p>
      <w:pPr>
        <w:spacing w:line="480" w:lineRule="exact"/>
        <w:ind w:firstLine="420" w:firstLineChars="200"/>
        <w:rPr>
          <w:rFonts w:ascii="宋体" w:hAnsi="宋体"/>
          <w:szCs w:val="21"/>
        </w:rPr>
      </w:pPr>
      <w:r>
        <w:rPr>
          <w:rFonts w:hint="eastAsia" w:ascii="宋体" w:hAnsi="宋体"/>
          <w:szCs w:val="21"/>
        </w:rPr>
        <w:t>综合考核分在90分（含）及以上的为优秀，全额核拨月度养护经费；考核分在85（含）-90分之间的为良好，在90分基础上每下降1分扣除月度养护经费的5%，依次类推；考核分在80（含）-85分之间的为合格，在85分基础上每下降1分扣除月度养护经费的10%，依次类推；考核分在80分以下的为不合格，不予拨付月度养护经费；如连续两个月或全年累计三个月考核不合格，甲方有权解除合同，并从合同履约保证金中扣除年度养护费总额的5%。</w:t>
      </w:r>
    </w:p>
    <w:p>
      <w:pPr>
        <w:spacing w:line="480" w:lineRule="exact"/>
        <w:ind w:firstLine="420" w:firstLineChars="200"/>
        <w:rPr>
          <w:rFonts w:ascii="宋体" w:hAnsi="宋体"/>
          <w:szCs w:val="21"/>
        </w:rPr>
      </w:pPr>
      <w:r>
        <w:rPr>
          <w:rFonts w:hint="eastAsia" w:ascii="宋体" w:hAnsi="宋体"/>
          <w:szCs w:val="21"/>
        </w:rPr>
        <w:t>草花项目单独考核，总分为100分，其中布置养护占85分，其它占15分。考核分在85分（含）及以上为合格，在85分基础上每下降1分扣除草花经费的5%，依次类推。</w:t>
      </w:r>
    </w:p>
    <w:p>
      <w:pPr>
        <w:spacing w:line="480" w:lineRule="exact"/>
        <w:ind w:firstLine="420" w:firstLineChars="200"/>
        <w:rPr>
          <w:rFonts w:ascii="宋体" w:hAnsi="宋体"/>
          <w:szCs w:val="21"/>
        </w:rPr>
      </w:pPr>
      <w:r>
        <w:rPr>
          <w:rFonts w:hint="eastAsia" w:ascii="宋体" w:hAnsi="宋体"/>
          <w:szCs w:val="21"/>
        </w:rPr>
        <w:t>养护管理</w:t>
      </w:r>
      <w:r>
        <w:rPr>
          <w:rFonts w:ascii="宋体" w:hAnsi="宋体"/>
          <w:szCs w:val="21"/>
        </w:rPr>
        <w:t>有下列行为之一的，考核扣分加倍：</w:t>
      </w:r>
    </w:p>
    <w:p>
      <w:pPr>
        <w:spacing w:line="480" w:lineRule="exact"/>
        <w:ind w:firstLine="420" w:firstLineChars="200"/>
        <w:rPr>
          <w:rFonts w:ascii="宋体" w:hAnsi="宋体"/>
          <w:szCs w:val="21"/>
        </w:rPr>
      </w:pPr>
      <w:r>
        <w:rPr>
          <w:rFonts w:hint="eastAsia" w:ascii="宋体" w:hAnsi="宋体"/>
          <w:szCs w:val="21"/>
        </w:rPr>
        <w:t>1、未在规定时间内整改到位的</w:t>
      </w:r>
      <w:r>
        <w:rPr>
          <w:rFonts w:ascii="宋体" w:hAnsi="宋体"/>
          <w:szCs w:val="21"/>
        </w:rPr>
        <w:t>；</w:t>
      </w:r>
    </w:p>
    <w:p>
      <w:pPr>
        <w:spacing w:line="480" w:lineRule="exact"/>
        <w:ind w:firstLine="420" w:firstLineChars="200"/>
        <w:rPr>
          <w:rFonts w:ascii="宋体" w:hAnsi="宋体"/>
          <w:szCs w:val="21"/>
        </w:rPr>
      </w:pPr>
      <w:r>
        <w:rPr>
          <w:rFonts w:hint="eastAsia" w:ascii="宋体" w:hAnsi="宋体"/>
          <w:szCs w:val="21"/>
        </w:rPr>
        <w:t>2、</w:t>
      </w:r>
      <w:r>
        <w:rPr>
          <w:rFonts w:ascii="宋体" w:hAnsi="宋体"/>
          <w:szCs w:val="21"/>
        </w:rPr>
        <w:t>一季度内连续发现相似问题的</w:t>
      </w:r>
      <w:r>
        <w:rPr>
          <w:rFonts w:hint="eastAsia" w:ascii="宋体" w:hAnsi="宋体"/>
          <w:szCs w:val="21"/>
        </w:rPr>
        <w:t>。</w:t>
      </w:r>
    </w:p>
    <w:p>
      <w:pPr>
        <w:spacing w:line="480" w:lineRule="exact"/>
        <w:ind w:firstLine="420" w:firstLineChars="200"/>
        <w:jc w:val="left"/>
        <w:rPr>
          <w:rFonts w:ascii="宋体" w:hAnsi="宋体"/>
          <w:szCs w:val="21"/>
        </w:rPr>
      </w:pPr>
      <w:r>
        <w:rPr>
          <w:rFonts w:hint="eastAsia" w:ascii="宋体" w:hAnsi="宋体"/>
          <w:szCs w:val="21"/>
        </w:rPr>
        <w:t xml:space="preserve">（二）、直接扣款制：开展全方位园林绿化监管，对考核中存在的问题采取直接扣款形式。通过园林绿化抽查巡检、常态考核督查，媒体、市民等三来件反馈，县智慧城管及其他渠道采集的绿化养护问题，按以下情况分级扣款： </w:t>
      </w:r>
    </w:p>
    <w:p>
      <w:pPr>
        <w:spacing w:line="480" w:lineRule="exact"/>
        <w:ind w:firstLine="420" w:firstLineChars="200"/>
        <w:rPr>
          <w:rFonts w:ascii="宋体" w:hAnsi="宋体"/>
          <w:szCs w:val="21"/>
        </w:rPr>
      </w:pPr>
      <w:r>
        <w:rPr>
          <w:rFonts w:hint="eastAsia" w:ascii="宋体" w:hAnsi="宋体"/>
          <w:szCs w:val="21"/>
        </w:rPr>
        <w:t>1、以下问题每（件、处）扣减50元</w:t>
      </w:r>
    </w:p>
    <w:p>
      <w:pPr>
        <w:spacing w:line="480" w:lineRule="exact"/>
        <w:ind w:firstLine="420" w:firstLineChars="200"/>
        <w:rPr>
          <w:rFonts w:ascii="宋体" w:hAnsi="宋体"/>
          <w:szCs w:val="21"/>
        </w:rPr>
      </w:pPr>
      <w:r>
        <w:rPr>
          <w:rFonts w:hint="eastAsia" w:ascii="宋体" w:hAnsi="宋体"/>
          <w:szCs w:val="21"/>
        </w:rPr>
        <w:t>①乔灌木、色块绿篱、草坪未及时修剪（株、1m2、10m2）</w:t>
      </w:r>
    </w:p>
    <w:p>
      <w:pPr>
        <w:spacing w:line="480" w:lineRule="exact"/>
        <w:ind w:firstLine="420" w:firstLineChars="200"/>
        <w:rPr>
          <w:rFonts w:ascii="宋体" w:hAnsi="宋体"/>
          <w:szCs w:val="21"/>
        </w:rPr>
      </w:pPr>
      <w:r>
        <w:rPr>
          <w:rFonts w:hint="eastAsia" w:ascii="宋体" w:hAnsi="宋体"/>
          <w:szCs w:val="21"/>
        </w:rPr>
        <w:t>②支撑破损缺失、草绳等包裹物未及时松绑（株）</w:t>
      </w:r>
    </w:p>
    <w:p>
      <w:pPr>
        <w:spacing w:line="480" w:lineRule="exact"/>
        <w:ind w:firstLine="420" w:firstLineChars="200"/>
        <w:rPr>
          <w:rFonts w:ascii="宋体" w:hAnsi="宋体"/>
          <w:szCs w:val="21"/>
        </w:rPr>
      </w:pPr>
      <w:r>
        <w:rPr>
          <w:rFonts w:hint="eastAsia" w:ascii="宋体" w:hAnsi="宋体"/>
          <w:szCs w:val="21"/>
        </w:rPr>
        <w:t>③小型设施破损</w:t>
      </w:r>
    </w:p>
    <w:p>
      <w:pPr>
        <w:spacing w:line="480" w:lineRule="exact"/>
        <w:ind w:firstLine="420" w:firstLineChars="200"/>
        <w:rPr>
          <w:rFonts w:ascii="宋体" w:hAnsi="宋体"/>
          <w:szCs w:val="21"/>
        </w:rPr>
      </w:pPr>
      <w:r>
        <w:rPr>
          <w:rFonts w:hint="eastAsia" w:ascii="宋体" w:hAnsi="宋体"/>
          <w:szCs w:val="21"/>
        </w:rPr>
        <w:t>④小件垃圾</w:t>
      </w:r>
    </w:p>
    <w:p>
      <w:pPr>
        <w:spacing w:line="480" w:lineRule="exact"/>
        <w:ind w:firstLine="420" w:firstLineChars="200"/>
        <w:rPr>
          <w:rFonts w:ascii="宋体" w:hAnsi="宋体"/>
          <w:szCs w:val="21"/>
        </w:rPr>
      </w:pPr>
      <w:r>
        <w:rPr>
          <w:rFonts w:hint="eastAsia" w:ascii="宋体" w:hAnsi="宋体"/>
          <w:szCs w:val="21"/>
        </w:rPr>
        <w:t>⑤杂草（1m2）</w:t>
      </w:r>
    </w:p>
    <w:p>
      <w:pPr>
        <w:spacing w:line="480" w:lineRule="exact"/>
        <w:ind w:firstLine="420" w:firstLineChars="200"/>
        <w:rPr>
          <w:rFonts w:ascii="宋体" w:hAnsi="宋体"/>
          <w:szCs w:val="21"/>
        </w:rPr>
      </w:pPr>
      <w:r>
        <w:rPr>
          <w:rFonts w:hint="eastAsia" w:ascii="宋体" w:hAnsi="宋体"/>
          <w:szCs w:val="21"/>
        </w:rPr>
        <w:t>⑥裸地（1m2）</w:t>
      </w:r>
    </w:p>
    <w:p>
      <w:pPr>
        <w:spacing w:line="480" w:lineRule="exact"/>
        <w:ind w:firstLine="420" w:firstLineChars="200"/>
        <w:rPr>
          <w:rFonts w:ascii="宋体" w:hAnsi="宋体"/>
          <w:szCs w:val="21"/>
        </w:rPr>
      </w:pPr>
      <w:r>
        <w:rPr>
          <w:rFonts w:hint="eastAsia" w:ascii="宋体" w:hAnsi="宋体"/>
          <w:szCs w:val="21"/>
        </w:rPr>
        <w:t>⑦病虫害（株、1m2）</w:t>
      </w:r>
    </w:p>
    <w:p>
      <w:pPr>
        <w:spacing w:line="480" w:lineRule="exact"/>
        <w:ind w:firstLine="420" w:firstLineChars="200"/>
        <w:rPr>
          <w:rFonts w:ascii="宋体" w:hAnsi="宋体"/>
          <w:szCs w:val="21"/>
        </w:rPr>
      </w:pPr>
      <w:r>
        <w:rPr>
          <w:rFonts w:hint="eastAsia" w:ascii="宋体" w:hAnsi="宋体"/>
          <w:szCs w:val="21"/>
        </w:rPr>
        <w:t>⑧其他；</w:t>
      </w:r>
    </w:p>
    <w:p>
      <w:pPr>
        <w:spacing w:line="480" w:lineRule="exact"/>
        <w:ind w:firstLine="420" w:firstLineChars="200"/>
        <w:rPr>
          <w:rFonts w:ascii="宋体" w:hAnsi="宋体"/>
          <w:szCs w:val="21"/>
        </w:rPr>
      </w:pPr>
      <w:r>
        <w:rPr>
          <w:rFonts w:hint="eastAsia" w:ascii="宋体" w:hAnsi="宋体"/>
          <w:szCs w:val="21"/>
        </w:rPr>
        <w:t>2、以下问题每（件、处）扣减100元</w:t>
      </w:r>
    </w:p>
    <w:p>
      <w:pPr>
        <w:spacing w:line="480" w:lineRule="exact"/>
        <w:ind w:firstLine="420" w:firstLineChars="200"/>
        <w:rPr>
          <w:rFonts w:ascii="宋体" w:hAnsi="宋体"/>
          <w:szCs w:val="21"/>
        </w:rPr>
      </w:pPr>
      <w:r>
        <w:rPr>
          <w:rFonts w:hint="eastAsia" w:ascii="宋体" w:hAnsi="宋体"/>
          <w:szCs w:val="21"/>
        </w:rPr>
        <w:t>①乔灌木、行道树死（缺）株、植株残缺、残桩未及时清理</w:t>
      </w:r>
    </w:p>
    <w:p>
      <w:pPr>
        <w:spacing w:line="480" w:lineRule="exact"/>
        <w:ind w:firstLine="420" w:firstLineChars="200"/>
        <w:rPr>
          <w:rFonts w:ascii="宋体" w:hAnsi="宋体"/>
          <w:szCs w:val="21"/>
        </w:rPr>
      </w:pPr>
      <w:r>
        <w:rPr>
          <w:rFonts w:hint="eastAsia" w:ascii="宋体" w:hAnsi="宋体"/>
          <w:szCs w:val="21"/>
        </w:rPr>
        <w:t>②乔灌木明显倾斜、倒伏（株）</w:t>
      </w:r>
    </w:p>
    <w:p>
      <w:pPr>
        <w:spacing w:line="480" w:lineRule="exact"/>
        <w:ind w:firstLine="420" w:firstLineChars="200"/>
        <w:rPr>
          <w:rFonts w:ascii="宋体" w:hAnsi="宋体"/>
          <w:szCs w:val="21"/>
        </w:rPr>
      </w:pPr>
      <w:r>
        <w:rPr>
          <w:rFonts w:hint="eastAsia" w:ascii="宋体" w:hAnsi="宋体"/>
          <w:szCs w:val="21"/>
        </w:rPr>
        <w:t>③树穴裸露</w:t>
      </w:r>
    </w:p>
    <w:p>
      <w:pPr>
        <w:spacing w:line="480" w:lineRule="exact"/>
        <w:ind w:firstLine="420" w:firstLineChars="200"/>
        <w:rPr>
          <w:rFonts w:ascii="宋体" w:hAnsi="宋体"/>
          <w:szCs w:val="21"/>
        </w:rPr>
      </w:pPr>
      <w:r>
        <w:rPr>
          <w:rFonts w:hint="eastAsia" w:ascii="宋体" w:hAnsi="宋体"/>
          <w:szCs w:val="21"/>
        </w:rPr>
        <w:t>④修剪不合理，花前修剪等</w:t>
      </w:r>
    </w:p>
    <w:p>
      <w:pPr>
        <w:spacing w:line="480" w:lineRule="exact"/>
        <w:ind w:firstLine="420" w:firstLineChars="200"/>
        <w:rPr>
          <w:rFonts w:ascii="宋体" w:hAnsi="宋体"/>
          <w:szCs w:val="21"/>
        </w:rPr>
      </w:pPr>
      <w:r>
        <w:rPr>
          <w:rFonts w:hint="eastAsia" w:ascii="宋体" w:hAnsi="宋体"/>
          <w:szCs w:val="21"/>
        </w:rPr>
        <w:t>⑤草花未及时更换、密度不达标（1m2）</w:t>
      </w:r>
    </w:p>
    <w:p>
      <w:pPr>
        <w:spacing w:line="480" w:lineRule="exact"/>
        <w:ind w:firstLine="420" w:firstLineChars="200"/>
        <w:rPr>
          <w:rFonts w:ascii="宋体" w:hAnsi="宋体"/>
          <w:szCs w:val="21"/>
        </w:rPr>
      </w:pPr>
      <w:r>
        <w:rPr>
          <w:rFonts w:hint="eastAsia" w:ascii="宋体" w:hAnsi="宋体"/>
          <w:szCs w:val="21"/>
        </w:rPr>
        <w:t>⑥垃圾堆</w:t>
      </w:r>
    </w:p>
    <w:p>
      <w:pPr>
        <w:spacing w:line="480" w:lineRule="exact"/>
        <w:ind w:firstLine="420" w:firstLineChars="200"/>
        <w:rPr>
          <w:rFonts w:ascii="宋体" w:hAnsi="宋体"/>
          <w:szCs w:val="21"/>
        </w:rPr>
      </w:pPr>
      <w:r>
        <w:rPr>
          <w:rFonts w:hint="eastAsia" w:ascii="宋体" w:hAnsi="宋体"/>
          <w:szCs w:val="21"/>
        </w:rPr>
        <w:t>⑦中型设施破损</w:t>
      </w:r>
    </w:p>
    <w:p>
      <w:pPr>
        <w:spacing w:line="480" w:lineRule="exact"/>
        <w:ind w:firstLine="420" w:firstLineChars="200"/>
        <w:rPr>
          <w:rFonts w:ascii="宋体" w:hAnsi="宋体"/>
          <w:szCs w:val="21"/>
        </w:rPr>
      </w:pPr>
      <w:r>
        <w:rPr>
          <w:rFonts w:hint="eastAsia" w:ascii="宋体" w:hAnsi="宋体"/>
          <w:szCs w:val="21"/>
        </w:rPr>
        <w:t>⑧其他；</w:t>
      </w:r>
    </w:p>
    <w:p>
      <w:pPr>
        <w:spacing w:line="480" w:lineRule="exact"/>
        <w:ind w:firstLine="420" w:firstLineChars="200"/>
        <w:rPr>
          <w:rFonts w:ascii="宋体" w:hAnsi="宋体"/>
          <w:szCs w:val="21"/>
        </w:rPr>
      </w:pPr>
      <w:r>
        <w:rPr>
          <w:rFonts w:hint="eastAsia" w:ascii="宋体" w:hAnsi="宋体"/>
          <w:szCs w:val="21"/>
        </w:rPr>
        <w:t>3、以下问题每（件、处）扣减200元</w:t>
      </w:r>
    </w:p>
    <w:p>
      <w:pPr>
        <w:spacing w:line="480" w:lineRule="exact"/>
        <w:ind w:firstLine="420" w:firstLineChars="200"/>
        <w:rPr>
          <w:rFonts w:ascii="宋体" w:hAnsi="宋体"/>
          <w:szCs w:val="21"/>
        </w:rPr>
      </w:pPr>
      <w:r>
        <w:rPr>
          <w:rFonts w:hint="eastAsia" w:ascii="宋体" w:hAnsi="宋体"/>
          <w:szCs w:val="21"/>
        </w:rPr>
        <w:t>①支撑构件嵌入植株</w:t>
      </w:r>
    </w:p>
    <w:p>
      <w:pPr>
        <w:spacing w:line="480" w:lineRule="exact"/>
        <w:ind w:firstLine="420" w:firstLineChars="200"/>
        <w:rPr>
          <w:rFonts w:ascii="宋体" w:hAnsi="宋体"/>
          <w:szCs w:val="21"/>
        </w:rPr>
      </w:pPr>
      <w:r>
        <w:rPr>
          <w:rFonts w:hint="eastAsia" w:ascii="宋体" w:hAnsi="宋体"/>
          <w:szCs w:val="21"/>
        </w:rPr>
        <w:t>②卫生死角</w:t>
      </w:r>
    </w:p>
    <w:p>
      <w:pPr>
        <w:spacing w:line="480" w:lineRule="exact"/>
        <w:ind w:firstLine="420" w:firstLineChars="200"/>
        <w:rPr>
          <w:rFonts w:ascii="宋体" w:hAnsi="宋体"/>
          <w:szCs w:val="21"/>
        </w:rPr>
      </w:pPr>
      <w:r>
        <w:rPr>
          <w:rFonts w:hint="eastAsia" w:ascii="宋体" w:hAnsi="宋体"/>
          <w:szCs w:val="21"/>
        </w:rPr>
        <w:t>③大型设施破损且存在安全隐患</w:t>
      </w:r>
    </w:p>
    <w:p>
      <w:pPr>
        <w:spacing w:line="480" w:lineRule="exact"/>
        <w:ind w:firstLine="420" w:firstLineChars="200"/>
        <w:rPr>
          <w:rFonts w:ascii="宋体" w:hAnsi="宋体"/>
          <w:szCs w:val="21"/>
        </w:rPr>
      </w:pPr>
      <w:r>
        <w:rPr>
          <w:rFonts w:hint="eastAsia" w:ascii="宋体" w:hAnsi="宋体"/>
          <w:szCs w:val="21"/>
        </w:rPr>
        <w:t>④种菜、停车等因监管不到位引起的占绿毁绿</w:t>
      </w:r>
    </w:p>
    <w:p>
      <w:pPr>
        <w:spacing w:line="480" w:lineRule="exact"/>
        <w:ind w:firstLine="420" w:firstLineChars="200"/>
        <w:rPr>
          <w:rFonts w:ascii="宋体" w:hAnsi="宋体"/>
          <w:szCs w:val="21"/>
        </w:rPr>
      </w:pPr>
      <w:r>
        <w:rPr>
          <w:rFonts w:hint="eastAsia" w:ascii="宋体" w:hAnsi="宋体"/>
          <w:szCs w:val="21"/>
        </w:rPr>
        <w:t>⑤其他；</w:t>
      </w:r>
    </w:p>
    <w:p>
      <w:pPr>
        <w:spacing w:line="480" w:lineRule="exact"/>
        <w:ind w:firstLine="420" w:firstLineChars="200"/>
        <w:rPr>
          <w:rFonts w:ascii="宋体" w:hAnsi="宋体"/>
          <w:szCs w:val="21"/>
        </w:rPr>
      </w:pPr>
      <w:r>
        <w:rPr>
          <w:rFonts w:hint="eastAsia" w:ascii="宋体" w:hAnsi="宋体"/>
          <w:szCs w:val="21"/>
        </w:rPr>
        <w:t>4、以下情况扣减500元</w:t>
      </w:r>
    </w:p>
    <w:p>
      <w:pPr>
        <w:spacing w:line="480" w:lineRule="exact"/>
        <w:ind w:firstLine="420" w:firstLineChars="200"/>
        <w:rPr>
          <w:rFonts w:ascii="宋体" w:hAnsi="宋体"/>
          <w:szCs w:val="21"/>
        </w:rPr>
      </w:pPr>
      <w:r>
        <w:rPr>
          <w:rFonts w:hint="eastAsia" w:ascii="宋体" w:hAnsi="宋体"/>
          <w:szCs w:val="21"/>
        </w:rPr>
        <w:t>①县园林管理中心渠道通报问题</w:t>
      </w:r>
    </w:p>
    <w:p>
      <w:pPr>
        <w:spacing w:line="480" w:lineRule="exact"/>
        <w:ind w:firstLine="420" w:firstLineChars="200"/>
        <w:rPr>
          <w:rFonts w:ascii="宋体" w:hAnsi="宋体"/>
          <w:szCs w:val="21"/>
        </w:rPr>
      </w:pPr>
      <w:r>
        <w:rPr>
          <w:rFonts w:hint="eastAsia" w:ascii="宋体" w:hAnsi="宋体"/>
          <w:szCs w:val="21"/>
        </w:rPr>
        <w:t>②未在限时或约定整改期限内完成整改</w:t>
      </w:r>
    </w:p>
    <w:p>
      <w:pPr>
        <w:spacing w:line="480" w:lineRule="exact"/>
        <w:ind w:firstLine="420" w:firstLineChars="200"/>
        <w:rPr>
          <w:rFonts w:ascii="宋体" w:hAnsi="宋体"/>
          <w:szCs w:val="21"/>
        </w:rPr>
      </w:pPr>
      <w:r>
        <w:rPr>
          <w:rFonts w:hint="eastAsia" w:ascii="宋体" w:hAnsi="宋体"/>
          <w:szCs w:val="21"/>
        </w:rPr>
        <w:t>③整改质量不达标，存在敷衍现象</w:t>
      </w:r>
    </w:p>
    <w:p>
      <w:pPr>
        <w:spacing w:line="480" w:lineRule="exact"/>
        <w:ind w:firstLine="420" w:firstLineChars="200"/>
        <w:rPr>
          <w:rFonts w:ascii="宋体" w:hAnsi="宋体"/>
          <w:szCs w:val="21"/>
        </w:rPr>
      </w:pPr>
      <w:r>
        <w:rPr>
          <w:rFonts w:hint="eastAsia" w:ascii="宋体" w:hAnsi="宋体"/>
          <w:szCs w:val="21"/>
        </w:rPr>
        <w:t>④其他；</w:t>
      </w:r>
    </w:p>
    <w:p>
      <w:pPr>
        <w:spacing w:line="480" w:lineRule="exact"/>
        <w:ind w:firstLine="420" w:firstLineChars="200"/>
        <w:rPr>
          <w:rFonts w:ascii="宋体" w:hAnsi="宋体"/>
          <w:szCs w:val="21"/>
        </w:rPr>
      </w:pPr>
      <w:r>
        <w:rPr>
          <w:rFonts w:hint="eastAsia" w:ascii="宋体" w:hAnsi="宋体"/>
          <w:szCs w:val="21"/>
        </w:rPr>
        <w:t>5、以下情况扣减1000元</w:t>
      </w:r>
    </w:p>
    <w:p>
      <w:pPr>
        <w:spacing w:line="480" w:lineRule="exact"/>
        <w:ind w:firstLine="420" w:firstLineChars="200"/>
        <w:rPr>
          <w:rFonts w:ascii="宋体" w:hAnsi="宋体"/>
          <w:szCs w:val="21"/>
        </w:rPr>
      </w:pPr>
      <w:r>
        <w:rPr>
          <w:rFonts w:hint="eastAsia" w:ascii="宋体" w:hAnsi="宋体"/>
          <w:szCs w:val="21"/>
        </w:rPr>
        <w:t>①县级渠道通报（含县委、县领导督办件、县长信箱等）以及群众举报或媒体曝光问题</w:t>
      </w:r>
    </w:p>
    <w:p>
      <w:pPr>
        <w:spacing w:line="480" w:lineRule="exact"/>
        <w:ind w:firstLine="420" w:firstLineChars="200"/>
        <w:rPr>
          <w:rFonts w:ascii="宋体" w:hAnsi="宋体"/>
          <w:szCs w:val="21"/>
        </w:rPr>
      </w:pPr>
      <w:r>
        <w:rPr>
          <w:rFonts w:hint="eastAsia" w:ascii="宋体" w:hAnsi="宋体"/>
          <w:szCs w:val="21"/>
        </w:rPr>
        <w:t>②上级通报、督办件、绿地巡查问题督办不力，或因主观原因催办迟迟未响应</w:t>
      </w:r>
    </w:p>
    <w:p>
      <w:pPr>
        <w:spacing w:line="480" w:lineRule="exact"/>
        <w:ind w:firstLine="420" w:firstLineChars="200"/>
        <w:rPr>
          <w:rFonts w:ascii="宋体" w:hAnsi="宋体"/>
          <w:szCs w:val="21"/>
        </w:rPr>
      </w:pPr>
      <w:r>
        <w:rPr>
          <w:rFonts w:hint="eastAsia" w:ascii="宋体" w:hAnsi="宋体"/>
          <w:szCs w:val="21"/>
        </w:rPr>
        <w:t>③其他；</w:t>
      </w:r>
    </w:p>
    <w:p>
      <w:pPr>
        <w:spacing w:line="480" w:lineRule="exact"/>
        <w:ind w:firstLine="420" w:firstLineChars="200"/>
        <w:rPr>
          <w:rFonts w:ascii="宋体" w:hAnsi="宋体"/>
          <w:szCs w:val="21"/>
        </w:rPr>
      </w:pPr>
      <w:r>
        <w:rPr>
          <w:rFonts w:hint="eastAsia" w:ascii="宋体" w:hAnsi="宋体"/>
          <w:szCs w:val="21"/>
        </w:rPr>
        <w:t>6、以下情况扣减2000元</w:t>
      </w:r>
    </w:p>
    <w:p>
      <w:pPr>
        <w:spacing w:line="480" w:lineRule="exact"/>
        <w:ind w:firstLine="420" w:firstLineChars="200"/>
        <w:rPr>
          <w:rFonts w:ascii="宋体" w:hAnsi="宋体"/>
          <w:szCs w:val="21"/>
        </w:rPr>
      </w:pPr>
      <w:r>
        <w:rPr>
          <w:rFonts w:hint="eastAsia" w:ascii="宋体" w:hAnsi="宋体"/>
          <w:szCs w:val="21"/>
        </w:rPr>
        <w:t>①应急任务或重大活动保障不力或处置不到位</w:t>
      </w:r>
    </w:p>
    <w:p>
      <w:pPr>
        <w:spacing w:line="480" w:lineRule="exact"/>
        <w:ind w:firstLine="420" w:firstLineChars="200"/>
        <w:rPr>
          <w:rFonts w:ascii="宋体" w:hAnsi="宋体"/>
          <w:szCs w:val="21"/>
        </w:rPr>
      </w:pPr>
      <w:r>
        <w:rPr>
          <w:rFonts w:hint="eastAsia" w:ascii="宋体" w:hAnsi="宋体"/>
          <w:szCs w:val="21"/>
        </w:rPr>
        <w:t>②存在大面积未经审批占用绿地行为，行为严重且未及时上报</w:t>
      </w:r>
    </w:p>
    <w:p>
      <w:pPr>
        <w:spacing w:line="480" w:lineRule="exact"/>
        <w:ind w:firstLine="420" w:firstLineChars="200"/>
        <w:rPr>
          <w:rFonts w:ascii="宋体" w:hAnsi="宋体"/>
          <w:szCs w:val="21"/>
        </w:rPr>
      </w:pPr>
      <w:r>
        <w:rPr>
          <w:rFonts w:hint="eastAsia" w:ascii="宋体" w:hAnsi="宋体"/>
          <w:szCs w:val="21"/>
        </w:rPr>
        <w:t>③由于监管不力造成的严重安全责任事故</w:t>
      </w:r>
    </w:p>
    <w:p>
      <w:pPr>
        <w:spacing w:line="480" w:lineRule="exact"/>
        <w:ind w:firstLine="420" w:firstLineChars="200"/>
        <w:rPr>
          <w:rFonts w:ascii="宋体" w:hAnsi="宋体"/>
          <w:szCs w:val="21"/>
        </w:rPr>
      </w:pPr>
      <w:r>
        <w:rPr>
          <w:rFonts w:hint="eastAsia" w:ascii="宋体" w:hAnsi="宋体"/>
          <w:szCs w:val="21"/>
        </w:rPr>
        <w:t>④其他。</w:t>
      </w:r>
    </w:p>
    <w:p>
      <w:pPr>
        <w:spacing w:line="480" w:lineRule="exact"/>
        <w:ind w:firstLine="422" w:firstLineChars="200"/>
        <w:rPr>
          <w:rFonts w:ascii="宋体" w:hAnsi="宋体"/>
          <w:szCs w:val="21"/>
        </w:rPr>
      </w:pPr>
      <w:r>
        <w:rPr>
          <w:rFonts w:hint="eastAsia" w:ascii="宋体" w:hAnsi="宋体"/>
          <w:b/>
          <w:szCs w:val="21"/>
        </w:rPr>
        <w:t>第四条</w:t>
      </w:r>
      <w:r>
        <w:rPr>
          <w:rFonts w:hint="eastAsia" w:ascii="宋体" w:hAnsi="宋体"/>
          <w:szCs w:val="21"/>
        </w:rPr>
        <w:t>　考核检查方式</w:t>
      </w:r>
    </w:p>
    <w:p>
      <w:pPr>
        <w:spacing w:line="480" w:lineRule="exact"/>
        <w:ind w:firstLine="420" w:firstLineChars="200"/>
        <w:rPr>
          <w:rFonts w:ascii="宋体" w:hAnsi="宋体"/>
          <w:szCs w:val="21"/>
        </w:rPr>
      </w:pPr>
      <w:r>
        <w:rPr>
          <w:rFonts w:hint="eastAsia" w:ascii="宋体" w:hAnsi="宋体"/>
          <w:szCs w:val="21"/>
        </w:rPr>
        <w:t>1、由县园林管理中心组织养护考核小组每月进行不定期日常考核及2次综合考核；日常考核占50%、2次综合考核平均值占50%，总分相加作为当月考核分数。检查前不作任何通知，考核得分作为核拨养护经费的主要依据。</w:t>
      </w:r>
    </w:p>
    <w:p>
      <w:pPr>
        <w:spacing w:line="480" w:lineRule="exact"/>
        <w:ind w:firstLine="420" w:firstLineChars="200"/>
        <w:rPr>
          <w:rFonts w:ascii="宋体" w:hAnsi="宋体"/>
          <w:szCs w:val="21"/>
        </w:rPr>
      </w:pPr>
      <w:r>
        <w:rPr>
          <w:rFonts w:hint="eastAsia" w:ascii="宋体" w:hAnsi="宋体"/>
          <w:szCs w:val="21"/>
        </w:rPr>
        <w:t>2、县园林管理中心组织当月的巡查，发现问题后向养护单位通报，并发出书面整改通知。养护单位应在整改通知规定时间内完成整改。</w:t>
      </w:r>
    </w:p>
    <w:p>
      <w:pPr>
        <w:spacing w:line="480" w:lineRule="exact"/>
        <w:ind w:firstLine="422" w:firstLineChars="200"/>
        <w:rPr>
          <w:rFonts w:ascii="宋体" w:hAnsi="宋体"/>
          <w:szCs w:val="21"/>
        </w:rPr>
      </w:pPr>
      <w:r>
        <w:rPr>
          <w:rFonts w:hint="eastAsia" w:ascii="宋体" w:hAnsi="宋体"/>
          <w:b/>
          <w:szCs w:val="21"/>
        </w:rPr>
        <w:t>第五条</w:t>
      </w:r>
      <w:r>
        <w:rPr>
          <w:rFonts w:hint="eastAsia" w:ascii="宋体" w:hAnsi="宋体"/>
          <w:szCs w:val="21"/>
        </w:rPr>
        <w:t xml:space="preserve">  付款办法</w:t>
      </w:r>
    </w:p>
    <w:p>
      <w:pPr>
        <w:spacing w:line="480" w:lineRule="exact"/>
        <w:ind w:firstLine="420" w:firstLineChars="200"/>
        <w:rPr>
          <w:rFonts w:ascii="宋体" w:hAnsi="宋体"/>
          <w:szCs w:val="21"/>
        </w:rPr>
      </w:pPr>
      <w:r>
        <w:rPr>
          <w:rFonts w:hint="eastAsia" w:ascii="宋体" w:hAnsi="宋体"/>
          <w:szCs w:val="21"/>
        </w:rPr>
        <w:t>养护考核小组根据考评结果，提出付款建议，并于下一季度上旬按规定拨付相应的养护经费。</w:t>
      </w:r>
    </w:p>
    <w:p>
      <w:pPr>
        <w:spacing w:line="480" w:lineRule="exact"/>
        <w:ind w:firstLine="422" w:firstLineChars="200"/>
        <w:rPr>
          <w:rFonts w:ascii="宋体" w:hAnsi="宋体"/>
          <w:b/>
          <w:szCs w:val="21"/>
        </w:rPr>
      </w:pPr>
      <w:r>
        <w:rPr>
          <w:rFonts w:hint="eastAsia" w:ascii="宋体" w:hAnsi="宋体"/>
          <w:b/>
          <w:szCs w:val="21"/>
        </w:rPr>
        <w:t>第六条  其它</w:t>
      </w:r>
    </w:p>
    <w:p>
      <w:pPr>
        <w:spacing w:line="480" w:lineRule="exact"/>
        <w:ind w:firstLine="420" w:firstLineChars="200"/>
        <w:rPr>
          <w:rFonts w:ascii="宋体" w:hAnsi="宋体"/>
          <w:szCs w:val="21"/>
        </w:rPr>
      </w:pPr>
      <w:r>
        <w:rPr>
          <w:rFonts w:hint="eastAsia" w:ascii="宋体" w:hAnsi="宋体"/>
          <w:szCs w:val="21"/>
        </w:rPr>
        <w:t>1、</w:t>
      </w:r>
      <w:r>
        <w:rPr>
          <w:rFonts w:ascii="宋体" w:hAnsi="宋体"/>
          <w:szCs w:val="21"/>
        </w:rPr>
        <w:t>未按照《宁波市城市绿地等级标准》及《宁波市城市绿化养护技术规程》进行养护管理，造成景观效果差，市民意见多，社会反映较强，电台、电视、各种报纸报导造成</w:t>
      </w:r>
      <w:r>
        <w:rPr>
          <w:rFonts w:hint="eastAsia" w:ascii="宋体" w:hAnsi="宋体"/>
          <w:szCs w:val="21"/>
        </w:rPr>
        <w:t>严重</w:t>
      </w:r>
      <w:r>
        <w:rPr>
          <w:rFonts w:ascii="宋体" w:hAnsi="宋体"/>
          <w:szCs w:val="21"/>
        </w:rPr>
        <w:t>负面影响的</w:t>
      </w:r>
      <w:r>
        <w:rPr>
          <w:rFonts w:hint="eastAsia" w:ascii="宋体" w:hAnsi="宋体"/>
          <w:szCs w:val="21"/>
        </w:rPr>
        <w:t>，或建设行政主管部门抽查考核不合格的，</w:t>
      </w:r>
      <w:r>
        <w:rPr>
          <w:rFonts w:ascii="宋体" w:hAnsi="宋体"/>
          <w:szCs w:val="21"/>
        </w:rPr>
        <w:t>扣除当月全额养护经费；若情况</w:t>
      </w:r>
      <w:r>
        <w:rPr>
          <w:rFonts w:hint="eastAsia" w:ascii="宋体" w:hAnsi="宋体"/>
          <w:szCs w:val="21"/>
        </w:rPr>
        <w:t>特别</w:t>
      </w:r>
      <w:r>
        <w:rPr>
          <w:rFonts w:ascii="宋体" w:hAnsi="宋体"/>
          <w:szCs w:val="21"/>
        </w:rPr>
        <w:t>严重</w:t>
      </w:r>
      <w:r>
        <w:rPr>
          <w:rFonts w:hint="eastAsia" w:ascii="宋体" w:hAnsi="宋体"/>
          <w:szCs w:val="21"/>
        </w:rPr>
        <w:t>的</w:t>
      </w:r>
      <w:r>
        <w:rPr>
          <w:rFonts w:ascii="宋体" w:hAnsi="宋体"/>
          <w:szCs w:val="21"/>
        </w:rPr>
        <w:t>，予以解除养护合同。</w:t>
      </w:r>
    </w:p>
    <w:p>
      <w:pPr>
        <w:spacing w:line="480" w:lineRule="exact"/>
        <w:ind w:firstLine="420" w:firstLineChars="200"/>
        <w:rPr>
          <w:rFonts w:ascii="宋体" w:hAnsi="宋体"/>
          <w:szCs w:val="21"/>
        </w:rPr>
      </w:pPr>
      <w:r>
        <w:rPr>
          <w:rFonts w:hint="eastAsia" w:ascii="宋体" w:hAnsi="宋体"/>
          <w:szCs w:val="21"/>
        </w:rPr>
        <w:t>2、</w:t>
      </w:r>
      <w:r>
        <w:rPr>
          <w:rFonts w:ascii="宋体" w:hAnsi="宋体"/>
          <w:szCs w:val="21"/>
        </w:rPr>
        <w:t>对绿地内设施因养护管理不善或使用不当所造成的损失由养</w:t>
      </w:r>
      <w:r>
        <w:rPr>
          <w:rFonts w:hint="eastAsia" w:ascii="宋体" w:hAnsi="宋体"/>
          <w:szCs w:val="21"/>
        </w:rPr>
        <w:t>护单位</w:t>
      </w:r>
      <w:r>
        <w:rPr>
          <w:rFonts w:ascii="宋体" w:hAnsi="宋体"/>
          <w:szCs w:val="21"/>
        </w:rPr>
        <w:t>恢复原状或负责全额赔偿。</w:t>
      </w:r>
    </w:p>
    <w:p>
      <w:pPr>
        <w:spacing w:line="480" w:lineRule="exact"/>
        <w:ind w:firstLine="420" w:firstLineChars="200"/>
        <w:rPr>
          <w:rFonts w:ascii="宋体" w:hAnsi="宋体"/>
          <w:szCs w:val="21"/>
        </w:rPr>
      </w:pPr>
      <w:r>
        <w:rPr>
          <w:rFonts w:hint="eastAsia" w:ascii="宋体" w:hAnsi="宋体"/>
          <w:szCs w:val="21"/>
        </w:rPr>
        <w:t>3、</w:t>
      </w:r>
      <w:r>
        <w:rPr>
          <w:rFonts w:ascii="宋体" w:hAnsi="宋体"/>
          <w:szCs w:val="21"/>
        </w:rPr>
        <w:t>对绿地内苗木在养护期内死亡</w:t>
      </w:r>
      <w:r>
        <w:rPr>
          <w:rFonts w:hint="eastAsia" w:ascii="宋体" w:hAnsi="宋体"/>
          <w:szCs w:val="21"/>
        </w:rPr>
        <w:t>（除甲方核实认可的12级以上台风、地震、水涝等不可抗力因素引起的损失外）</w:t>
      </w:r>
      <w:r>
        <w:rPr>
          <w:rFonts w:ascii="宋体" w:hAnsi="宋体"/>
          <w:szCs w:val="21"/>
        </w:rPr>
        <w:t>，由养护单位按原死亡苗木相同规格进行补植或按市场价格赔偿</w:t>
      </w:r>
      <w:r>
        <w:rPr>
          <w:rFonts w:hint="eastAsia" w:ascii="宋体" w:hAnsi="宋体"/>
          <w:szCs w:val="21"/>
        </w:rPr>
        <w:t>。</w:t>
      </w:r>
    </w:p>
    <w:p>
      <w:pPr>
        <w:spacing w:line="480" w:lineRule="exact"/>
        <w:ind w:firstLine="420" w:firstLineChars="200"/>
        <w:rPr>
          <w:rFonts w:ascii="宋体" w:hAnsi="宋体"/>
          <w:szCs w:val="21"/>
        </w:rPr>
      </w:pPr>
      <w:r>
        <w:rPr>
          <w:rFonts w:hint="eastAsia" w:ascii="宋体" w:hAnsi="宋体"/>
          <w:szCs w:val="21"/>
        </w:rPr>
        <w:t>4、</w:t>
      </w:r>
      <w:r>
        <w:rPr>
          <w:rFonts w:ascii="宋体" w:hAnsi="宋体"/>
          <w:szCs w:val="21"/>
        </w:rPr>
        <w:t>对</w:t>
      </w:r>
      <w:r>
        <w:rPr>
          <w:rFonts w:hint="eastAsia" w:ascii="宋体" w:hAnsi="宋体"/>
          <w:szCs w:val="21"/>
        </w:rPr>
        <w:t>绿地内</w:t>
      </w:r>
      <w:r>
        <w:rPr>
          <w:rFonts w:ascii="宋体" w:hAnsi="宋体"/>
          <w:szCs w:val="21"/>
        </w:rPr>
        <w:t>随意迁移、砍伐和破坏任何苗木的行为，将按照《宁波市城市绿化条例》和有关法规实施处罚。</w:t>
      </w:r>
    </w:p>
    <w:p>
      <w:pPr>
        <w:spacing w:line="480" w:lineRule="exact"/>
        <w:ind w:firstLine="420" w:firstLineChars="200"/>
        <w:rPr>
          <w:rFonts w:ascii="宋体" w:hAnsi="宋体"/>
          <w:szCs w:val="21"/>
        </w:rPr>
      </w:pPr>
      <w:r>
        <w:rPr>
          <w:rFonts w:hint="eastAsia" w:ascii="宋体" w:hAnsi="宋体"/>
          <w:szCs w:val="21"/>
        </w:rPr>
        <w:t>附件：宁海县绿化养护管理质量考核评分标准</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jc w:val="center"/>
        <w:rPr>
          <w:rFonts w:ascii="宋体" w:hAnsi="宋体"/>
          <w:b/>
          <w:sz w:val="32"/>
          <w:szCs w:val="32"/>
        </w:rPr>
      </w:pPr>
      <w:r>
        <w:rPr>
          <w:rFonts w:hint="eastAsia" w:ascii="宋体" w:hAnsi="宋体"/>
          <w:b/>
          <w:sz w:val="32"/>
          <w:szCs w:val="32"/>
        </w:rPr>
        <w:t>宁海县绿化养护管理质量考核评分标准</w:t>
      </w:r>
    </w:p>
    <w:p>
      <w:pPr>
        <w:spacing w:afterLines="50"/>
        <w:rPr>
          <w:b/>
          <w:sz w:val="24"/>
        </w:rPr>
      </w:pPr>
      <w:r>
        <w:rPr>
          <w:rFonts w:hint="eastAsia"/>
          <w:b/>
          <w:sz w:val="24"/>
        </w:rPr>
        <w:t>一、公园绿地</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621"/>
        <w:gridCol w:w="3733"/>
        <w:gridCol w:w="615"/>
        <w:gridCol w:w="3988"/>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vAlign w:val="center"/>
          </w:tcPr>
          <w:p>
            <w:pPr>
              <w:jc w:val="center"/>
              <w:rPr>
                <w:szCs w:val="21"/>
              </w:rPr>
            </w:pPr>
            <w:r>
              <w:rPr>
                <w:rFonts w:hint="eastAsia"/>
                <w:szCs w:val="21"/>
              </w:rPr>
              <w:t>内</w:t>
            </w:r>
          </w:p>
          <w:p>
            <w:pPr>
              <w:jc w:val="center"/>
              <w:rPr>
                <w:szCs w:val="21"/>
              </w:rPr>
            </w:pPr>
            <w:r>
              <w:rPr>
                <w:rFonts w:hint="eastAsia"/>
                <w:szCs w:val="21"/>
              </w:rPr>
              <w:t>容</w:t>
            </w:r>
          </w:p>
        </w:tc>
        <w:tc>
          <w:tcPr>
            <w:tcW w:w="621" w:type="dxa"/>
            <w:vAlign w:val="center"/>
          </w:tcPr>
          <w:p>
            <w:pPr>
              <w:jc w:val="center"/>
              <w:rPr>
                <w:szCs w:val="21"/>
              </w:rPr>
            </w:pPr>
            <w:r>
              <w:rPr>
                <w:rFonts w:hint="eastAsia"/>
                <w:szCs w:val="21"/>
              </w:rPr>
              <w:t>序</w:t>
            </w:r>
          </w:p>
          <w:p>
            <w:pPr>
              <w:jc w:val="center"/>
              <w:rPr>
                <w:szCs w:val="21"/>
              </w:rPr>
            </w:pPr>
            <w:r>
              <w:rPr>
                <w:rFonts w:hint="eastAsia"/>
                <w:szCs w:val="21"/>
              </w:rPr>
              <w:t>号</w:t>
            </w:r>
          </w:p>
        </w:tc>
        <w:tc>
          <w:tcPr>
            <w:tcW w:w="3733" w:type="dxa"/>
            <w:vAlign w:val="center"/>
          </w:tcPr>
          <w:p>
            <w:pPr>
              <w:jc w:val="center"/>
              <w:rPr>
                <w:szCs w:val="21"/>
              </w:rPr>
            </w:pPr>
            <w:r>
              <w:rPr>
                <w:rFonts w:hint="eastAsia"/>
                <w:szCs w:val="21"/>
              </w:rPr>
              <w:t>质量标准</w:t>
            </w:r>
          </w:p>
        </w:tc>
        <w:tc>
          <w:tcPr>
            <w:tcW w:w="615" w:type="dxa"/>
            <w:vAlign w:val="center"/>
          </w:tcPr>
          <w:p>
            <w:pPr>
              <w:jc w:val="center"/>
              <w:rPr>
                <w:szCs w:val="21"/>
              </w:rPr>
            </w:pPr>
            <w:r>
              <w:rPr>
                <w:rFonts w:hint="eastAsia"/>
                <w:szCs w:val="21"/>
              </w:rPr>
              <w:t>满</w:t>
            </w:r>
          </w:p>
          <w:p>
            <w:pPr>
              <w:jc w:val="center"/>
              <w:rPr>
                <w:szCs w:val="21"/>
              </w:rPr>
            </w:pPr>
            <w:r>
              <w:rPr>
                <w:rFonts w:hint="eastAsia"/>
                <w:szCs w:val="21"/>
              </w:rPr>
              <w:t>分</w:t>
            </w:r>
          </w:p>
        </w:tc>
        <w:tc>
          <w:tcPr>
            <w:tcW w:w="3988" w:type="dxa"/>
            <w:vAlign w:val="center"/>
          </w:tcPr>
          <w:p>
            <w:pPr>
              <w:jc w:val="center"/>
              <w:rPr>
                <w:szCs w:val="21"/>
              </w:rPr>
            </w:pPr>
            <w:r>
              <w:rPr>
                <w:rFonts w:hint="eastAsia"/>
                <w:szCs w:val="21"/>
              </w:rPr>
              <w:t>考核标准</w:t>
            </w:r>
          </w:p>
        </w:tc>
        <w:tc>
          <w:tcPr>
            <w:tcW w:w="615" w:type="dxa"/>
            <w:vAlign w:val="center"/>
          </w:tcPr>
          <w:p>
            <w:pPr>
              <w:jc w:val="center"/>
              <w:rPr>
                <w:szCs w:val="21"/>
              </w:rPr>
            </w:pPr>
            <w:r>
              <w:rPr>
                <w:rFonts w:hint="eastAsia"/>
                <w:szCs w:val="21"/>
              </w:rPr>
              <w:t>得</w:t>
            </w:r>
          </w:p>
          <w:p>
            <w:pPr>
              <w:jc w:val="center"/>
              <w:rPr>
                <w:szCs w:val="21"/>
              </w:rPr>
            </w:pP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vMerge w:val="restart"/>
            <w:vAlign w:val="center"/>
          </w:tcPr>
          <w:p>
            <w:pPr>
              <w:jc w:val="center"/>
              <w:rPr>
                <w:b/>
                <w:sz w:val="24"/>
              </w:rPr>
            </w:pPr>
            <w:r>
              <w:rPr>
                <w:rFonts w:hint="eastAsia"/>
                <w:b/>
                <w:sz w:val="24"/>
              </w:rPr>
              <w:t>一</w:t>
            </w:r>
          </w:p>
          <w:p>
            <w:pPr>
              <w:jc w:val="center"/>
              <w:rPr>
                <w:b/>
                <w:sz w:val="24"/>
              </w:rPr>
            </w:pPr>
          </w:p>
          <w:p>
            <w:pPr>
              <w:jc w:val="center"/>
              <w:rPr>
                <w:b/>
                <w:sz w:val="24"/>
              </w:rPr>
            </w:pPr>
            <w:r>
              <w:rPr>
                <w:rFonts w:hint="eastAsia"/>
                <w:b/>
                <w:sz w:val="24"/>
              </w:rPr>
              <w:t>植</w:t>
            </w:r>
          </w:p>
          <w:p>
            <w:pPr>
              <w:jc w:val="center"/>
              <w:rPr>
                <w:b/>
                <w:sz w:val="24"/>
              </w:rPr>
            </w:pPr>
          </w:p>
          <w:p>
            <w:pPr>
              <w:jc w:val="center"/>
              <w:rPr>
                <w:b/>
                <w:sz w:val="24"/>
              </w:rPr>
            </w:pPr>
            <w:r>
              <w:rPr>
                <w:rFonts w:hint="eastAsia"/>
                <w:b/>
                <w:sz w:val="24"/>
              </w:rPr>
              <w:t>物</w:t>
            </w:r>
          </w:p>
          <w:p>
            <w:pPr>
              <w:jc w:val="center"/>
              <w:rPr>
                <w:b/>
                <w:sz w:val="24"/>
              </w:rPr>
            </w:pPr>
          </w:p>
          <w:p>
            <w:pPr>
              <w:jc w:val="center"/>
              <w:rPr>
                <w:b/>
                <w:sz w:val="24"/>
              </w:rPr>
            </w:pPr>
            <w:r>
              <w:rPr>
                <w:rFonts w:hint="eastAsia"/>
                <w:b/>
                <w:sz w:val="24"/>
              </w:rPr>
              <w:t>景</w:t>
            </w:r>
          </w:p>
          <w:p>
            <w:pPr>
              <w:jc w:val="center"/>
              <w:rPr>
                <w:b/>
                <w:sz w:val="24"/>
              </w:rPr>
            </w:pPr>
          </w:p>
          <w:p>
            <w:pPr>
              <w:jc w:val="center"/>
              <w:rPr>
                <w:b/>
                <w:sz w:val="24"/>
              </w:rPr>
            </w:pPr>
            <w:r>
              <w:rPr>
                <w:rFonts w:hint="eastAsia"/>
                <w:b/>
                <w:sz w:val="24"/>
              </w:rPr>
              <w:t>观</w:t>
            </w:r>
          </w:p>
          <w:p>
            <w:pPr>
              <w:jc w:val="center"/>
              <w:rPr>
                <w:b/>
                <w:sz w:val="24"/>
              </w:rPr>
            </w:pPr>
          </w:p>
          <w:p>
            <w:pPr>
              <w:jc w:val="center"/>
              <w:rPr>
                <w:b/>
                <w:sz w:val="24"/>
              </w:rPr>
            </w:pPr>
            <w:r>
              <w:rPr>
                <w:rFonts w:hint="eastAsia"/>
                <w:b/>
                <w:sz w:val="24"/>
              </w:rPr>
              <w:t>养</w:t>
            </w:r>
          </w:p>
          <w:p>
            <w:pPr>
              <w:jc w:val="center"/>
              <w:rPr>
                <w:b/>
                <w:sz w:val="24"/>
              </w:rPr>
            </w:pPr>
          </w:p>
          <w:p>
            <w:pPr>
              <w:jc w:val="center"/>
              <w:rPr>
                <w:b/>
                <w:sz w:val="24"/>
              </w:rPr>
            </w:pPr>
            <w:r>
              <w:rPr>
                <w:rFonts w:hint="eastAsia"/>
                <w:b/>
                <w:sz w:val="24"/>
              </w:rPr>
              <w:t>护</w:t>
            </w:r>
          </w:p>
          <w:p>
            <w:pPr>
              <w:jc w:val="center"/>
              <w:rPr>
                <w:b/>
                <w:sz w:val="24"/>
              </w:rPr>
            </w:pPr>
          </w:p>
          <w:p>
            <w:pPr>
              <w:jc w:val="center"/>
              <w:rPr>
                <w:b/>
                <w:sz w:val="24"/>
              </w:rPr>
            </w:pPr>
          </w:p>
          <w:p>
            <w:pPr>
              <w:jc w:val="center"/>
              <w:rPr>
                <w:b/>
                <w:sz w:val="24"/>
              </w:rPr>
            </w:pPr>
          </w:p>
          <w:p>
            <w:pPr>
              <w:jc w:val="center"/>
              <w:rPr>
                <w:b/>
                <w:sz w:val="24"/>
              </w:rPr>
            </w:pPr>
            <w:r>
              <w:rPr>
                <w:rFonts w:hint="eastAsia"/>
                <w:b/>
                <w:sz w:val="24"/>
              </w:rPr>
              <w:t>共</w:t>
            </w:r>
          </w:p>
          <w:p>
            <w:pPr>
              <w:jc w:val="center"/>
              <w:rPr>
                <w:b/>
                <w:sz w:val="24"/>
              </w:rPr>
            </w:pPr>
          </w:p>
          <w:p>
            <w:pPr>
              <w:jc w:val="center"/>
              <w:rPr>
                <w:b/>
                <w:sz w:val="24"/>
              </w:rPr>
            </w:pPr>
            <w:r>
              <w:rPr>
                <w:rFonts w:hint="eastAsia"/>
                <w:b/>
                <w:sz w:val="24"/>
              </w:rPr>
              <w:t>50</w:t>
            </w:r>
          </w:p>
          <w:p>
            <w:pPr>
              <w:jc w:val="center"/>
              <w:rPr>
                <w:b/>
                <w:sz w:val="24"/>
              </w:rPr>
            </w:pPr>
          </w:p>
          <w:p>
            <w:pPr>
              <w:jc w:val="center"/>
              <w:rPr>
                <w:b/>
                <w:sz w:val="24"/>
              </w:rPr>
            </w:pPr>
            <w:r>
              <w:rPr>
                <w:rFonts w:hint="eastAsia"/>
                <w:b/>
                <w:sz w:val="24"/>
              </w:rPr>
              <w:t>分</w:t>
            </w:r>
          </w:p>
        </w:tc>
        <w:tc>
          <w:tcPr>
            <w:tcW w:w="621" w:type="dxa"/>
            <w:vAlign w:val="center"/>
          </w:tcPr>
          <w:p>
            <w:pPr>
              <w:jc w:val="center"/>
              <w:rPr>
                <w:sz w:val="18"/>
                <w:szCs w:val="18"/>
              </w:rPr>
            </w:pPr>
            <w:r>
              <w:rPr>
                <w:rFonts w:hint="eastAsia"/>
                <w:sz w:val="18"/>
                <w:szCs w:val="18"/>
              </w:rPr>
              <w:t>1</w:t>
            </w:r>
          </w:p>
        </w:tc>
        <w:tc>
          <w:tcPr>
            <w:tcW w:w="3733" w:type="dxa"/>
            <w:vAlign w:val="center"/>
          </w:tcPr>
          <w:p>
            <w:pPr>
              <w:rPr>
                <w:sz w:val="18"/>
                <w:szCs w:val="18"/>
              </w:rPr>
            </w:pPr>
            <w:r>
              <w:rPr>
                <w:rFonts w:hint="eastAsia"/>
                <w:sz w:val="18"/>
                <w:szCs w:val="18"/>
              </w:rPr>
              <w:t>无死树、枯枝，绿篱、色块植物整齐、无残缺，乔木、灌木、草坪保存率98%以上，死亡植物及时清理，适时补植；</w:t>
            </w:r>
          </w:p>
        </w:tc>
        <w:tc>
          <w:tcPr>
            <w:tcW w:w="615" w:type="dxa"/>
            <w:vAlign w:val="center"/>
          </w:tcPr>
          <w:p>
            <w:pPr>
              <w:jc w:val="center"/>
              <w:rPr>
                <w:sz w:val="18"/>
                <w:szCs w:val="18"/>
              </w:rPr>
            </w:pPr>
            <w:r>
              <w:rPr>
                <w:rFonts w:hint="eastAsia"/>
                <w:sz w:val="18"/>
                <w:szCs w:val="18"/>
              </w:rPr>
              <w:t>7</w:t>
            </w:r>
          </w:p>
          <w:p>
            <w:pPr>
              <w:jc w:val="center"/>
              <w:rPr>
                <w:sz w:val="18"/>
                <w:szCs w:val="18"/>
              </w:rPr>
            </w:pPr>
            <w:r>
              <w:rPr>
                <w:rFonts w:hint="eastAsia"/>
                <w:sz w:val="18"/>
                <w:szCs w:val="18"/>
              </w:rPr>
              <w:t>分</w:t>
            </w:r>
          </w:p>
        </w:tc>
        <w:tc>
          <w:tcPr>
            <w:tcW w:w="3988" w:type="dxa"/>
            <w:vAlign w:val="center"/>
          </w:tcPr>
          <w:p>
            <w:pPr>
              <w:rPr>
                <w:sz w:val="18"/>
                <w:szCs w:val="18"/>
              </w:rPr>
            </w:pPr>
            <w:r>
              <w:rPr>
                <w:rFonts w:hint="eastAsia"/>
                <w:sz w:val="18"/>
                <w:szCs w:val="18"/>
              </w:rPr>
              <w:t>乔、灌木每缺1株扣0. 2分，绿篱、色块、草坪每缺</w:t>
            </w:r>
            <w:r>
              <w:rPr>
                <w:rFonts w:hint="eastAsia" w:ascii="宋体" w:hAnsi="宋体"/>
                <w:sz w:val="18"/>
                <w:szCs w:val="18"/>
              </w:rPr>
              <w:t>1㎡</w:t>
            </w:r>
            <w:r>
              <w:rPr>
                <w:rFonts w:hint="eastAsia"/>
                <w:sz w:val="18"/>
                <w:szCs w:val="18"/>
              </w:rPr>
              <w:t>，扣0. 1分；死亡植物未及时清除，每株或每</w:t>
            </w:r>
            <w:r>
              <w:rPr>
                <w:rFonts w:hint="eastAsia" w:ascii="宋体" w:hAnsi="宋体"/>
                <w:sz w:val="18"/>
                <w:szCs w:val="18"/>
              </w:rPr>
              <w:t>㎡</w:t>
            </w:r>
            <w:r>
              <w:rPr>
                <w:rFonts w:hint="eastAsia"/>
                <w:sz w:val="18"/>
                <w:szCs w:val="18"/>
              </w:rPr>
              <w:t>，扣0. 1分，共5分；未适时补植，该项不得分，共2分；</w:t>
            </w:r>
          </w:p>
        </w:tc>
        <w:tc>
          <w:tcPr>
            <w:tcW w:w="61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vMerge w:val="continue"/>
            <w:vAlign w:val="center"/>
          </w:tcPr>
          <w:p>
            <w:pPr>
              <w:jc w:val="center"/>
              <w:rPr>
                <w:b/>
                <w:sz w:val="24"/>
              </w:rPr>
            </w:pPr>
          </w:p>
        </w:tc>
        <w:tc>
          <w:tcPr>
            <w:tcW w:w="621" w:type="dxa"/>
            <w:vAlign w:val="center"/>
          </w:tcPr>
          <w:p>
            <w:pPr>
              <w:jc w:val="center"/>
              <w:rPr>
                <w:sz w:val="18"/>
                <w:szCs w:val="18"/>
              </w:rPr>
            </w:pPr>
            <w:r>
              <w:rPr>
                <w:rFonts w:hint="eastAsia"/>
                <w:sz w:val="18"/>
                <w:szCs w:val="18"/>
              </w:rPr>
              <w:t>2</w:t>
            </w:r>
          </w:p>
        </w:tc>
        <w:tc>
          <w:tcPr>
            <w:tcW w:w="3733" w:type="dxa"/>
            <w:vAlign w:val="center"/>
          </w:tcPr>
          <w:p>
            <w:pPr>
              <w:rPr>
                <w:sz w:val="18"/>
                <w:szCs w:val="18"/>
              </w:rPr>
            </w:pPr>
            <w:r>
              <w:rPr>
                <w:rFonts w:hint="eastAsia"/>
                <w:sz w:val="18"/>
                <w:szCs w:val="18"/>
              </w:rPr>
              <w:t>地被（草坪）及时除草，每</w:t>
            </w:r>
            <w:r>
              <w:rPr>
                <w:rFonts w:hint="eastAsia" w:ascii="宋体" w:hAnsi="宋体"/>
                <w:sz w:val="18"/>
                <w:szCs w:val="18"/>
              </w:rPr>
              <w:t>㎡</w:t>
            </w:r>
            <w:r>
              <w:rPr>
                <w:rFonts w:hint="eastAsia"/>
                <w:sz w:val="18"/>
                <w:szCs w:val="18"/>
              </w:rPr>
              <w:t>杂草率控制在5%内且杂草不高于7cm，地被（草坪）覆盖度10</w:t>
            </w:r>
            <w:r>
              <w:rPr>
                <w:rFonts w:hint="eastAsia" w:ascii="宋体" w:hAnsi="宋体"/>
                <w:sz w:val="18"/>
                <w:szCs w:val="18"/>
              </w:rPr>
              <w:t>0%</w:t>
            </w:r>
            <w:r>
              <w:rPr>
                <w:rFonts w:hint="eastAsia"/>
                <w:sz w:val="18"/>
                <w:szCs w:val="18"/>
              </w:rPr>
              <w:t>，长势良好，色泽均匀；草皮高度保持在6 cm内，草坪平整、无积水，每年至少打孔一次并追肥一次；</w:t>
            </w:r>
          </w:p>
        </w:tc>
        <w:tc>
          <w:tcPr>
            <w:tcW w:w="615" w:type="dxa"/>
            <w:vAlign w:val="center"/>
          </w:tcPr>
          <w:p>
            <w:pPr>
              <w:jc w:val="center"/>
              <w:rPr>
                <w:sz w:val="18"/>
                <w:szCs w:val="18"/>
              </w:rPr>
            </w:pPr>
            <w:r>
              <w:rPr>
                <w:rFonts w:hint="eastAsia"/>
                <w:sz w:val="18"/>
                <w:szCs w:val="18"/>
              </w:rPr>
              <w:t>7</w:t>
            </w:r>
          </w:p>
          <w:p>
            <w:pPr>
              <w:jc w:val="center"/>
              <w:rPr>
                <w:sz w:val="18"/>
                <w:szCs w:val="18"/>
              </w:rPr>
            </w:pPr>
            <w:r>
              <w:rPr>
                <w:rFonts w:hint="eastAsia"/>
                <w:sz w:val="18"/>
                <w:szCs w:val="18"/>
              </w:rPr>
              <w:t>分</w:t>
            </w:r>
          </w:p>
        </w:tc>
        <w:tc>
          <w:tcPr>
            <w:tcW w:w="3988" w:type="dxa"/>
            <w:vAlign w:val="center"/>
          </w:tcPr>
          <w:p>
            <w:pPr>
              <w:rPr>
                <w:sz w:val="18"/>
                <w:szCs w:val="18"/>
              </w:rPr>
            </w:pPr>
            <w:r>
              <w:rPr>
                <w:rFonts w:hint="eastAsia"/>
                <w:sz w:val="18"/>
                <w:szCs w:val="18"/>
              </w:rPr>
              <w:t>地被（草坪）有杂草，不达要求每</w:t>
            </w:r>
            <w:r>
              <w:rPr>
                <w:rFonts w:hint="eastAsia" w:ascii="宋体" w:hAnsi="宋体"/>
                <w:sz w:val="18"/>
                <w:szCs w:val="18"/>
              </w:rPr>
              <w:t>㎡</w:t>
            </w:r>
            <w:r>
              <w:rPr>
                <w:rFonts w:hint="eastAsia"/>
                <w:sz w:val="18"/>
                <w:szCs w:val="18"/>
              </w:rPr>
              <w:t>扣0. 1分，覆盖度不到100</w:t>
            </w:r>
            <w:r>
              <w:rPr>
                <w:rFonts w:hint="eastAsia" w:ascii="宋体" w:hAnsi="宋体"/>
                <w:sz w:val="18"/>
                <w:szCs w:val="18"/>
              </w:rPr>
              <w:t>%</w:t>
            </w:r>
            <w:r>
              <w:rPr>
                <w:rFonts w:hint="eastAsia"/>
                <w:sz w:val="18"/>
                <w:szCs w:val="18"/>
              </w:rPr>
              <w:t>，每</w:t>
            </w:r>
            <w:r>
              <w:rPr>
                <w:rFonts w:hint="eastAsia" w:ascii="宋体" w:hAnsi="宋体"/>
                <w:sz w:val="18"/>
                <w:szCs w:val="18"/>
              </w:rPr>
              <w:t>㎡</w:t>
            </w:r>
            <w:r>
              <w:rPr>
                <w:rFonts w:hint="eastAsia"/>
                <w:sz w:val="18"/>
                <w:szCs w:val="18"/>
              </w:rPr>
              <w:t>扣0. 05分；草坪高度超出6 cm，草坪不平整、有积水，每</w:t>
            </w:r>
            <w:r>
              <w:rPr>
                <w:rFonts w:hint="eastAsia" w:ascii="宋体" w:hAnsi="宋体"/>
                <w:sz w:val="18"/>
                <w:szCs w:val="18"/>
              </w:rPr>
              <w:t>㎡</w:t>
            </w:r>
            <w:r>
              <w:rPr>
                <w:rFonts w:hint="eastAsia"/>
                <w:sz w:val="18"/>
                <w:szCs w:val="18"/>
              </w:rPr>
              <w:t>扣0. 05分，共5分；打孔少于1次扣2分，共2分；</w:t>
            </w:r>
          </w:p>
        </w:tc>
        <w:tc>
          <w:tcPr>
            <w:tcW w:w="61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vMerge w:val="continue"/>
            <w:vAlign w:val="center"/>
          </w:tcPr>
          <w:p>
            <w:pPr>
              <w:jc w:val="center"/>
              <w:rPr>
                <w:b/>
                <w:sz w:val="24"/>
              </w:rPr>
            </w:pPr>
          </w:p>
        </w:tc>
        <w:tc>
          <w:tcPr>
            <w:tcW w:w="621" w:type="dxa"/>
            <w:vAlign w:val="center"/>
          </w:tcPr>
          <w:p>
            <w:pPr>
              <w:jc w:val="center"/>
              <w:rPr>
                <w:sz w:val="18"/>
                <w:szCs w:val="18"/>
              </w:rPr>
            </w:pPr>
            <w:r>
              <w:rPr>
                <w:rFonts w:hint="eastAsia"/>
                <w:sz w:val="18"/>
                <w:szCs w:val="18"/>
              </w:rPr>
              <w:t>3</w:t>
            </w:r>
          </w:p>
        </w:tc>
        <w:tc>
          <w:tcPr>
            <w:tcW w:w="3733" w:type="dxa"/>
            <w:vAlign w:val="center"/>
          </w:tcPr>
          <w:p>
            <w:pPr>
              <w:rPr>
                <w:sz w:val="18"/>
                <w:szCs w:val="18"/>
              </w:rPr>
            </w:pPr>
            <w:r>
              <w:rPr>
                <w:rFonts w:hint="eastAsia"/>
                <w:sz w:val="18"/>
                <w:szCs w:val="18"/>
              </w:rPr>
              <w:t>植物景观优美，乔灌木、绿篱及色块植物经常修剪，造型平整，切边规范、线条流畅，徒长枝不高于10 cm，保证树冠完整，植物生长旺盛；</w:t>
            </w:r>
          </w:p>
        </w:tc>
        <w:tc>
          <w:tcPr>
            <w:tcW w:w="615" w:type="dxa"/>
            <w:vAlign w:val="center"/>
          </w:tcPr>
          <w:p>
            <w:pPr>
              <w:jc w:val="center"/>
              <w:rPr>
                <w:sz w:val="18"/>
                <w:szCs w:val="18"/>
              </w:rPr>
            </w:pPr>
            <w:r>
              <w:rPr>
                <w:rFonts w:hint="eastAsia"/>
                <w:sz w:val="18"/>
                <w:szCs w:val="18"/>
              </w:rPr>
              <w:t>7</w:t>
            </w:r>
          </w:p>
          <w:p>
            <w:pPr>
              <w:jc w:val="center"/>
              <w:rPr>
                <w:sz w:val="18"/>
                <w:szCs w:val="18"/>
              </w:rPr>
            </w:pPr>
            <w:r>
              <w:rPr>
                <w:rFonts w:hint="eastAsia"/>
                <w:sz w:val="18"/>
                <w:szCs w:val="18"/>
              </w:rPr>
              <w:t>分</w:t>
            </w:r>
          </w:p>
        </w:tc>
        <w:tc>
          <w:tcPr>
            <w:tcW w:w="3988" w:type="dxa"/>
            <w:vAlign w:val="center"/>
          </w:tcPr>
          <w:p>
            <w:pPr>
              <w:rPr>
                <w:sz w:val="18"/>
                <w:szCs w:val="18"/>
              </w:rPr>
            </w:pPr>
            <w:r>
              <w:rPr>
                <w:rFonts w:hint="eastAsia"/>
                <w:sz w:val="18"/>
                <w:szCs w:val="18"/>
              </w:rPr>
              <w:t>乔灌木、绿篱及色块未及时修剪，每</w:t>
            </w:r>
            <w:r>
              <w:rPr>
                <w:rFonts w:hint="eastAsia" w:ascii="宋体" w:hAnsi="宋体"/>
                <w:sz w:val="18"/>
                <w:szCs w:val="18"/>
              </w:rPr>
              <w:t>㎡</w:t>
            </w:r>
            <w:r>
              <w:rPr>
                <w:rFonts w:hint="eastAsia"/>
                <w:sz w:val="18"/>
                <w:szCs w:val="18"/>
              </w:rPr>
              <w:t>或每株扣0. 05分，修剪不达要求，每</w:t>
            </w:r>
            <w:r>
              <w:rPr>
                <w:rFonts w:hint="eastAsia" w:ascii="宋体" w:hAnsi="宋体"/>
                <w:sz w:val="18"/>
                <w:szCs w:val="18"/>
              </w:rPr>
              <w:t>㎡</w:t>
            </w:r>
            <w:r>
              <w:rPr>
                <w:rFonts w:hint="eastAsia"/>
                <w:sz w:val="18"/>
                <w:szCs w:val="18"/>
              </w:rPr>
              <w:t>扣0. 05分，共5分；植物景观效果差，每</w:t>
            </w:r>
            <w:r>
              <w:rPr>
                <w:rFonts w:hint="eastAsia" w:ascii="宋体" w:hAnsi="宋体"/>
                <w:sz w:val="18"/>
                <w:szCs w:val="18"/>
              </w:rPr>
              <w:t>㎡</w:t>
            </w:r>
            <w:r>
              <w:rPr>
                <w:rFonts w:hint="eastAsia"/>
                <w:sz w:val="18"/>
                <w:szCs w:val="18"/>
              </w:rPr>
              <w:t>或每株扣0. 2分，共2分；</w:t>
            </w:r>
          </w:p>
        </w:tc>
        <w:tc>
          <w:tcPr>
            <w:tcW w:w="61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vMerge w:val="continue"/>
            <w:vAlign w:val="center"/>
          </w:tcPr>
          <w:p>
            <w:pPr>
              <w:jc w:val="center"/>
              <w:rPr>
                <w:b/>
                <w:sz w:val="24"/>
              </w:rPr>
            </w:pPr>
          </w:p>
        </w:tc>
        <w:tc>
          <w:tcPr>
            <w:tcW w:w="621" w:type="dxa"/>
            <w:vAlign w:val="center"/>
          </w:tcPr>
          <w:p>
            <w:pPr>
              <w:jc w:val="center"/>
              <w:rPr>
                <w:sz w:val="18"/>
                <w:szCs w:val="18"/>
              </w:rPr>
            </w:pPr>
            <w:r>
              <w:rPr>
                <w:rFonts w:hint="eastAsia"/>
                <w:sz w:val="18"/>
                <w:szCs w:val="18"/>
              </w:rPr>
              <w:t>4</w:t>
            </w:r>
          </w:p>
        </w:tc>
        <w:tc>
          <w:tcPr>
            <w:tcW w:w="3733" w:type="dxa"/>
            <w:vAlign w:val="center"/>
          </w:tcPr>
          <w:p>
            <w:pPr>
              <w:rPr>
                <w:sz w:val="18"/>
                <w:szCs w:val="18"/>
              </w:rPr>
            </w:pPr>
            <w:r>
              <w:rPr>
                <w:rFonts w:hint="eastAsia"/>
                <w:sz w:val="18"/>
                <w:szCs w:val="18"/>
              </w:rPr>
              <w:t>保证植物长势旺盛，全年科学地松土、施肥2次以上，施肥量和措施到位；</w:t>
            </w:r>
          </w:p>
        </w:tc>
        <w:tc>
          <w:tcPr>
            <w:tcW w:w="615" w:type="dxa"/>
            <w:vAlign w:val="center"/>
          </w:tcPr>
          <w:p>
            <w:pPr>
              <w:jc w:val="center"/>
              <w:rPr>
                <w:sz w:val="18"/>
                <w:szCs w:val="18"/>
              </w:rPr>
            </w:pPr>
            <w:r>
              <w:rPr>
                <w:rFonts w:hint="eastAsia"/>
                <w:sz w:val="18"/>
                <w:szCs w:val="18"/>
              </w:rPr>
              <w:t>7</w:t>
            </w:r>
          </w:p>
          <w:p>
            <w:pPr>
              <w:jc w:val="center"/>
              <w:rPr>
                <w:sz w:val="18"/>
                <w:szCs w:val="18"/>
              </w:rPr>
            </w:pPr>
            <w:r>
              <w:rPr>
                <w:rFonts w:hint="eastAsia"/>
                <w:sz w:val="18"/>
                <w:szCs w:val="18"/>
              </w:rPr>
              <w:t>分</w:t>
            </w:r>
          </w:p>
        </w:tc>
        <w:tc>
          <w:tcPr>
            <w:tcW w:w="3988" w:type="dxa"/>
            <w:vAlign w:val="center"/>
          </w:tcPr>
          <w:p>
            <w:pPr>
              <w:rPr>
                <w:sz w:val="18"/>
                <w:szCs w:val="18"/>
              </w:rPr>
            </w:pPr>
            <w:r>
              <w:rPr>
                <w:rFonts w:hint="eastAsia"/>
                <w:sz w:val="18"/>
                <w:szCs w:val="18"/>
              </w:rPr>
              <w:t>松土施肥未达要求的，该项不得分，共7分；</w:t>
            </w:r>
          </w:p>
        </w:tc>
        <w:tc>
          <w:tcPr>
            <w:tcW w:w="61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vMerge w:val="continue"/>
            <w:vAlign w:val="center"/>
          </w:tcPr>
          <w:p>
            <w:pPr>
              <w:jc w:val="center"/>
              <w:rPr>
                <w:b/>
                <w:sz w:val="24"/>
              </w:rPr>
            </w:pPr>
          </w:p>
        </w:tc>
        <w:tc>
          <w:tcPr>
            <w:tcW w:w="621" w:type="dxa"/>
            <w:vAlign w:val="center"/>
          </w:tcPr>
          <w:p>
            <w:pPr>
              <w:jc w:val="center"/>
              <w:rPr>
                <w:sz w:val="18"/>
                <w:szCs w:val="18"/>
              </w:rPr>
            </w:pPr>
            <w:r>
              <w:rPr>
                <w:rFonts w:hint="eastAsia"/>
                <w:sz w:val="18"/>
                <w:szCs w:val="18"/>
              </w:rPr>
              <w:t>5</w:t>
            </w:r>
          </w:p>
        </w:tc>
        <w:tc>
          <w:tcPr>
            <w:tcW w:w="3733" w:type="dxa"/>
            <w:vAlign w:val="center"/>
          </w:tcPr>
          <w:p>
            <w:pPr>
              <w:rPr>
                <w:sz w:val="18"/>
                <w:szCs w:val="18"/>
              </w:rPr>
            </w:pPr>
            <w:r>
              <w:rPr>
                <w:rFonts w:hint="eastAsia"/>
                <w:sz w:val="18"/>
                <w:szCs w:val="18"/>
              </w:rPr>
              <w:t>提倡综合防治病虫害，施用的药剂浓度用量合理，严格按操作规程进行，喷洒均匀，无明显病虫害(单株受害率&lt;5%)，达到园内生态平衡，</w:t>
            </w:r>
            <w:r>
              <w:rPr>
                <w:rFonts w:hint="eastAsia" w:ascii="宋体" w:hAnsi="宋体"/>
                <w:sz w:val="18"/>
                <w:szCs w:val="18"/>
              </w:rPr>
              <w:t>Ф6公分以上树木</w:t>
            </w:r>
            <w:r>
              <w:rPr>
                <w:rFonts w:hint="eastAsia"/>
                <w:sz w:val="18"/>
                <w:szCs w:val="18"/>
              </w:rPr>
              <w:t>冬季涂白，易冻植物冬季保暖；</w:t>
            </w:r>
          </w:p>
        </w:tc>
        <w:tc>
          <w:tcPr>
            <w:tcW w:w="615" w:type="dxa"/>
            <w:vAlign w:val="center"/>
          </w:tcPr>
          <w:p>
            <w:pPr>
              <w:jc w:val="center"/>
              <w:rPr>
                <w:sz w:val="18"/>
                <w:szCs w:val="18"/>
              </w:rPr>
            </w:pPr>
            <w:r>
              <w:rPr>
                <w:rFonts w:hint="eastAsia"/>
                <w:sz w:val="18"/>
                <w:szCs w:val="18"/>
              </w:rPr>
              <w:t>7</w:t>
            </w:r>
          </w:p>
          <w:p>
            <w:pPr>
              <w:jc w:val="center"/>
              <w:rPr>
                <w:sz w:val="18"/>
                <w:szCs w:val="18"/>
              </w:rPr>
            </w:pPr>
            <w:r>
              <w:rPr>
                <w:rFonts w:hint="eastAsia"/>
                <w:sz w:val="18"/>
                <w:szCs w:val="18"/>
              </w:rPr>
              <w:t>分</w:t>
            </w:r>
          </w:p>
        </w:tc>
        <w:tc>
          <w:tcPr>
            <w:tcW w:w="3988" w:type="dxa"/>
            <w:vAlign w:val="center"/>
          </w:tcPr>
          <w:p>
            <w:pPr>
              <w:rPr>
                <w:sz w:val="18"/>
                <w:szCs w:val="18"/>
              </w:rPr>
            </w:pPr>
            <w:r>
              <w:rPr>
                <w:rFonts w:hint="eastAsia"/>
                <w:sz w:val="18"/>
                <w:szCs w:val="18"/>
              </w:rPr>
              <w:t>明显病虫害</w:t>
            </w:r>
            <w:r>
              <w:rPr>
                <w:rFonts w:hint="eastAsia" w:ascii="宋体" w:hAnsi="宋体"/>
                <w:sz w:val="18"/>
                <w:szCs w:val="18"/>
              </w:rPr>
              <w:t>每㎡</w:t>
            </w:r>
            <w:r>
              <w:rPr>
                <w:rFonts w:hint="eastAsia"/>
                <w:sz w:val="18"/>
                <w:szCs w:val="18"/>
              </w:rPr>
              <w:t>或每株扣0. 1分，未及时涂白和保暖或遗漏的每株扣0.1分，共7分；病虫害危害严重的，该项不得分；</w:t>
            </w:r>
          </w:p>
        </w:tc>
        <w:tc>
          <w:tcPr>
            <w:tcW w:w="61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vMerge w:val="continue"/>
            <w:vAlign w:val="center"/>
          </w:tcPr>
          <w:p>
            <w:pPr>
              <w:jc w:val="center"/>
              <w:rPr>
                <w:b/>
                <w:sz w:val="24"/>
              </w:rPr>
            </w:pPr>
          </w:p>
        </w:tc>
        <w:tc>
          <w:tcPr>
            <w:tcW w:w="621" w:type="dxa"/>
            <w:vAlign w:val="center"/>
          </w:tcPr>
          <w:p>
            <w:pPr>
              <w:jc w:val="center"/>
              <w:rPr>
                <w:sz w:val="18"/>
                <w:szCs w:val="18"/>
              </w:rPr>
            </w:pPr>
            <w:r>
              <w:rPr>
                <w:rFonts w:hint="eastAsia"/>
                <w:sz w:val="18"/>
                <w:szCs w:val="18"/>
              </w:rPr>
              <w:t>6</w:t>
            </w:r>
          </w:p>
        </w:tc>
        <w:tc>
          <w:tcPr>
            <w:tcW w:w="3733" w:type="dxa"/>
            <w:vAlign w:val="center"/>
          </w:tcPr>
          <w:p>
            <w:pPr>
              <w:rPr>
                <w:sz w:val="18"/>
                <w:szCs w:val="18"/>
              </w:rPr>
            </w:pPr>
            <w:r>
              <w:rPr>
                <w:rFonts w:hint="eastAsia"/>
                <w:sz w:val="18"/>
                <w:szCs w:val="18"/>
              </w:rPr>
              <w:t>及时落实抗旱、抗台、抗雪等工作；台风季节前做好</w:t>
            </w:r>
            <w:r>
              <w:rPr>
                <w:rFonts w:hint="eastAsia" w:ascii="宋体" w:hAnsi="宋体"/>
                <w:sz w:val="18"/>
                <w:szCs w:val="18"/>
              </w:rPr>
              <w:t>Ф8</w:t>
            </w:r>
            <w:r>
              <w:rPr>
                <w:rFonts w:hint="eastAsia"/>
                <w:sz w:val="18"/>
                <w:szCs w:val="18"/>
              </w:rPr>
              <w:t xml:space="preserve"> cm </w:t>
            </w:r>
            <w:r>
              <w:rPr>
                <w:rFonts w:hint="eastAsia" w:ascii="宋体" w:hAnsi="宋体"/>
                <w:sz w:val="18"/>
                <w:szCs w:val="18"/>
              </w:rPr>
              <w:t>以上树木的支撑，台风过后</w:t>
            </w:r>
            <w:r>
              <w:rPr>
                <w:rFonts w:hint="eastAsia"/>
                <w:sz w:val="18"/>
                <w:szCs w:val="18"/>
              </w:rPr>
              <w:t>24小时内扶正树木并作支撑，无倒伏现象；</w:t>
            </w:r>
          </w:p>
        </w:tc>
        <w:tc>
          <w:tcPr>
            <w:tcW w:w="615" w:type="dxa"/>
            <w:vAlign w:val="center"/>
          </w:tcPr>
          <w:p>
            <w:pPr>
              <w:jc w:val="center"/>
              <w:rPr>
                <w:sz w:val="18"/>
                <w:szCs w:val="18"/>
              </w:rPr>
            </w:pPr>
            <w:r>
              <w:rPr>
                <w:rFonts w:hint="eastAsia"/>
                <w:sz w:val="18"/>
                <w:szCs w:val="18"/>
              </w:rPr>
              <w:t>5</w:t>
            </w:r>
          </w:p>
          <w:p>
            <w:pPr>
              <w:jc w:val="center"/>
              <w:rPr>
                <w:sz w:val="18"/>
                <w:szCs w:val="18"/>
              </w:rPr>
            </w:pPr>
            <w:r>
              <w:rPr>
                <w:rFonts w:hint="eastAsia"/>
                <w:sz w:val="18"/>
                <w:szCs w:val="18"/>
              </w:rPr>
              <w:t>分</w:t>
            </w:r>
          </w:p>
        </w:tc>
        <w:tc>
          <w:tcPr>
            <w:tcW w:w="3988" w:type="dxa"/>
            <w:vAlign w:val="center"/>
          </w:tcPr>
          <w:p>
            <w:pPr>
              <w:rPr>
                <w:sz w:val="18"/>
                <w:szCs w:val="18"/>
              </w:rPr>
            </w:pPr>
            <w:r>
              <w:rPr>
                <w:rFonts w:hint="eastAsia"/>
                <w:sz w:val="18"/>
                <w:szCs w:val="18"/>
              </w:rPr>
              <w:t>抗旱不及时造成植物枯黄的</w:t>
            </w:r>
            <w:r>
              <w:rPr>
                <w:rFonts w:hint="eastAsia" w:ascii="宋体" w:hAnsi="宋体"/>
                <w:sz w:val="18"/>
                <w:szCs w:val="18"/>
              </w:rPr>
              <w:t>每㎡</w:t>
            </w:r>
            <w:r>
              <w:rPr>
                <w:rFonts w:hint="eastAsia"/>
                <w:sz w:val="18"/>
                <w:szCs w:val="18"/>
              </w:rPr>
              <w:t>或每株扣0. 1分，未支撑有倒伏现象的每株扣0. 2分，共5分；未及时抗旱、抗台、抗雪造成严重损失的，该项不得分；</w:t>
            </w:r>
          </w:p>
        </w:tc>
        <w:tc>
          <w:tcPr>
            <w:tcW w:w="61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49" w:type="dxa"/>
            <w:vMerge w:val="continue"/>
            <w:vAlign w:val="center"/>
          </w:tcPr>
          <w:p>
            <w:pPr>
              <w:jc w:val="center"/>
              <w:rPr>
                <w:b/>
                <w:sz w:val="24"/>
              </w:rPr>
            </w:pPr>
          </w:p>
        </w:tc>
        <w:tc>
          <w:tcPr>
            <w:tcW w:w="621" w:type="dxa"/>
            <w:vAlign w:val="center"/>
          </w:tcPr>
          <w:p>
            <w:pPr>
              <w:jc w:val="center"/>
              <w:rPr>
                <w:sz w:val="18"/>
                <w:szCs w:val="18"/>
              </w:rPr>
            </w:pPr>
            <w:r>
              <w:rPr>
                <w:rFonts w:hint="eastAsia"/>
                <w:sz w:val="18"/>
                <w:szCs w:val="18"/>
              </w:rPr>
              <w:t>7</w:t>
            </w:r>
          </w:p>
        </w:tc>
        <w:tc>
          <w:tcPr>
            <w:tcW w:w="3733" w:type="dxa"/>
            <w:vAlign w:val="center"/>
          </w:tcPr>
          <w:p>
            <w:pPr>
              <w:rPr>
                <w:sz w:val="18"/>
                <w:szCs w:val="18"/>
              </w:rPr>
            </w:pPr>
            <w:r>
              <w:rPr>
                <w:rFonts w:hint="eastAsia"/>
                <w:sz w:val="18"/>
                <w:szCs w:val="18"/>
              </w:rPr>
              <w:t>保持园林植物完好，未受破坏，树上无各类绑扎物，无毁坏、侵占绿地现象；</w:t>
            </w:r>
          </w:p>
        </w:tc>
        <w:tc>
          <w:tcPr>
            <w:tcW w:w="615" w:type="dxa"/>
            <w:vAlign w:val="center"/>
          </w:tcPr>
          <w:p>
            <w:pPr>
              <w:jc w:val="center"/>
              <w:rPr>
                <w:sz w:val="18"/>
                <w:szCs w:val="18"/>
              </w:rPr>
            </w:pPr>
            <w:r>
              <w:rPr>
                <w:rFonts w:hint="eastAsia"/>
                <w:sz w:val="18"/>
                <w:szCs w:val="18"/>
              </w:rPr>
              <w:t>5</w:t>
            </w:r>
          </w:p>
          <w:p>
            <w:pPr>
              <w:jc w:val="center"/>
              <w:rPr>
                <w:sz w:val="18"/>
                <w:szCs w:val="18"/>
              </w:rPr>
            </w:pPr>
            <w:r>
              <w:rPr>
                <w:rFonts w:hint="eastAsia"/>
                <w:sz w:val="18"/>
                <w:szCs w:val="18"/>
              </w:rPr>
              <w:t>分</w:t>
            </w:r>
          </w:p>
        </w:tc>
        <w:tc>
          <w:tcPr>
            <w:tcW w:w="3988" w:type="dxa"/>
            <w:vAlign w:val="center"/>
          </w:tcPr>
          <w:p>
            <w:pPr>
              <w:rPr>
                <w:sz w:val="18"/>
                <w:szCs w:val="18"/>
              </w:rPr>
            </w:pPr>
            <w:r>
              <w:rPr>
                <w:rFonts w:hint="eastAsia"/>
                <w:sz w:val="18"/>
                <w:szCs w:val="18"/>
              </w:rPr>
              <w:t>园林植物有损坏未及时发现和处理，树上有各类绑扎物的，每处扣0. 2分；有毁坏、侵占绿地现象，每发现一处扣2分，共5分；</w:t>
            </w:r>
          </w:p>
        </w:tc>
        <w:tc>
          <w:tcPr>
            <w:tcW w:w="61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9" w:type="dxa"/>
            <w:vMerge w:val="continue"/>
            <w:vAlign w:val="center"/>
          </w:tcPr>
          <w:p>
            <w:pPr>
              <w:jc w:val="center"/>
              <w:rPr>
                <w:b/>
                <w:sz w:val="24"/>
              </w:rPr>
            </w:pPr>
          </w:p>
        </w:tc>
        <w:tc>
          <w:tcPr>
            <w:tcW w:w="621" w:type="dxa"/>
            <w:vAlign w:val="center"/>
          </w:tcPr>
          <w:p>
            <w:pPr>
              <w:jc w:val="center"/>
              <w:rPr>
                <w:sz w:val="18"/>
                <w:szCs w:val="18"/>
              </w:rPr>
            </w:pPr>
            <w:r>
              <w:rPr>
                <w:rFonts w:hint="eastAsia"/>
                <w:sz w:val="18"/>
                <w:szCs w:val="18"/>
              </w:rPr>
              <w:t>8</w:t>
            </w:r>
          </w:p>
        </w:tc>
        <w:tc>
          <w:tcPr>
            <w:tcW w:w="3733" w:type="dxa"/>
            <w:vAlign w:val="center"/>
          </w:tcPr>
          <w:p>
            <w:pPr>
              <w:rPr>
                <w:sz w:val="18"/>
                <w:szCs w:val="18"/>
              </w:rPr>
            </w:pPr>
            <w:r>
              <w:rPr>
                <w:rFonts w:hint="eastAsia"/>
                <w:sz w:val="18"/>
                <w:szCs w:val="18"/>
              </w:rPr>
              <w:t>花坛整洁，四季有花。年换花次数不少于6次，节日花坛重点布置，花色丰富，及时补缺。</w:t>
            </w:r>
          </w:p>
        </w:tc>
        <w:tc>
          <w:tcPr>
            <w:tcW w:w="615" w:type="dxa"/>
            <w:vAlign w:val="center"/>
          </w:tcPr>
          <w:p>
            <w:pPr>
              <w:jc w:val="center"/>
              <w:rPr>
                <w:sz w:val="18"/>
                <w:szCs w:val="18"/>
              </w:rPr>
            </w:pPr>
            <w:r>
              <w:rPr>
                <w:rFonts w:hint="eastAsia"/>
                <w:sz w:val="18"/>
                <w:szCs w:val="18"/>
              </w:rPr>
              <w:t>5</w:t>
            </w:r>
          </w:p>
          <w:p>
            <w:pPr>
              <w:jc w:val="center"/>
              <w:rPr>
                <w:sz w:val="18"/>
                <w:szCs w:val="18"/>
              </w:rPr>
            </w:pPr>
            <w:r>
              <w:rPr>
                <w:rFonts w:hint="eastAsia"/>
                <w:sz w:val="18"/>
                <w:szCs w:val="18"/>
              </w:rPr>
              <w:t>分</w:t>
            </w:r>
          </w:p>
        </w:tc>
        <w:tc>
          <w:tcPr>
            <w:tcW w:w="3988" w:type="dxa"/>
            <w:vAlign w:val="center"/>
          </w:tcPr>
          <w:p>
            <w:pPr>
              <w:rPr>
                <w:sz w:val="18"/>
                <w:szCs w:val="18"/>
              </w:rPr>
            </w:pPr>
            <w:r>
              <w:rPr>
                <w:rFonts w:hint="eastAsia"/>
                <w:sz w:val="18"/>
                <w:szCs w:val="18"/>
              </w:rPr>
              <w:t>花坛内换花少一次扣2分，共2分；花坛内草花残缺、有杂草，每发现一处扣0. 3分，共3分。</w:t>
            </w:r>
          </w:p>
        </w:tc>
        <w:tc>
          <w:tcPr>
            <w:tcW w:w="61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649" w:type="dxa"/>
            <w:vMerge w:val="restart"/>
            <w:vAlign w:val="center"/>
          </w:tcPr>
          <w:p>
            <w:pPr>
              <w:jc w:val="center"/>
              <w:rPr>
                <w:b/>
                <w:sz w:val="24"/>
              </w:rPr>
            </w:pPr>
            <w:r>
              <w:rPr>
                <w:rFonts w:hint="eastAsia"/>
                <w:b/>
                <w:sz w:val="24"/>
              </w:rPr>
              <w:t>二</w:t>
            </w:r>
          </w:p>
          <w:p>
            <w:pPr>
              <w:jc w:val="center"/>
              <w:rPr>
                <w:b/>
                <w:sz w:val="24"/>
              </w:rPr>
            </w:pPr>
          </w:p>
          <w:p>
            <w:pPr>
              <w:jc w:val="center"/>
              <w:rPr>
                <w:b/>
                <w:sz w:val="24"/>
              </w:rPr>
            </w:pPr>
            <w:r>
              <w:rPr>
                <w:rFonts w:hint="eastAsia"/>
                <w:b/>
                <w:sz w:val="24"/>
              </w:rPr>
              <w:t>设</w:t>
            </w:r>
          </w:p>
          <w:p>
            <w:pPr>
              <w:jc w:val="center"/>
              <w:rPr>
                <w:b/>
                <w:sz w:val="24"/>
              </w:rPr>
            </w:pPr>
            <w:r>
              <w:rPr>
                <w:rFonts w:hint="eastAsia"/>
                <w:b/>
                <w:sz w:val="24"/>
              </w:rPr>
              <w:t>施</w:t>
            </w:r>
          </w:p>
          <w:p>
            <w:pPr>
              <w:jc w:val="center"/>
              <w:rPr>
                <w:b/>
                <w:sz w:val="24"/>
              </w:rPr>
            </w:pPr>
            <w:r>
              <w:rPr>
                <w:rFonts w:hint="eastAsia"/>
                <w:b/>
                <w:sz w:val="24"/>
              </w:rPr>
              <w:t>维</w:t>
            </w:r>
          </w:p>
          <w:p>
            <w:pPr>
              <w:jc w:val="center"/>
              <w:rPr>
                <w:b/>
                <w:sz w:val="24"/>
              </w:rPr>
            </w:pPr>
            <w:r>
              <w:rPr>
                <w:rFonts w:hint="eastAsia"/>
                <w:b/>
                <w:sz w:val="24"/>
              </w:rPr>
              <w:t>护</w:t>
            </w:r>
          </w:p>
          <w:p>
            <w:pPr>
              <w:jc w:val="center"/>
              <w:rPr>
                <w:b/>
                <w:sz w:val="24"/>
              </w:rPr>
            </w:pPr>
          </w:p>
          <w:p>
            <w:pPr>
              <w:jc w:val="center"/>
              <w:rPr>
                <w:b/>
                <w:sz w:val="24"/>
              </w:rPr>
            </w:pPr>
            <w:r>
              <w:rPr>
                <w:rFonts w:hint="eastAsia"/>
                <w:b/>
                <w:sz w:val="24"/>
              </w:rPr>
              <w:t>共</w:t>
            </w:r>
          </w:p>
          <w:p>
            <w:pPr>
              <w:jc w:val="center"/>
              <w:rPr>
                <w:b/>
                <w:sz w:val="24"/>
              </w:rPr>
            </w:pPr>
            <w:r>
              <w:rPr>
                <w:rFonts w:hint="eastAsia"/>
                <w:b/>
                <w:sz w:val="24"/>
              </w:rPr>
              <w:t>10</w:t>
            </w:r>
          </w:p>
          <w:p>
            <w:pPr>
              <w:jc w:val="center"/>
              <w:rPr>
                <w:b/>
                <w:sz w:val="24"/>
              </w:rPr>
            </w:pPr>
            <w:r>
              <w:rPr>
                <w:rFonts w:hint="eastAsia"/>
                <w:b/>
                <w:sz w:val="24"/>
              </w:rPr>
              <w:t>分</w:t>
            </w:r>
          </w:p>
        </w:tc>
        <w:tc>
          <w:tcPr>
            <w:tcW w:w="621" w:type="dxa"/>
            <w:vAlign w:val="center"/>
          </w:tcPr>
          <w:p>
            <w:pPr>
              <w:jc w:val="center"/>
              <w:rPr>
                <w:sz w:val="18"/>
                <w:szCs w:val="18"/>
              </w:rPr>
            </w:pPr>
            <w:r>
              <w:rPr>
                <w:rFonts w:hint="eastAsia"/>
                <w:sz w:val="18"/>
                <w:szCs w:val="18"/>
              </w:rPr>
              <w:t>1</w:t>
            </w:r>
          </w:p>
        </w:tc>
        <w:tc>
          <w:tcPr>
            <w:tcW w:w="3733" w:type="dxa"/>
            <w:vAlign w:val="center"/>
          </w:tcPr>
          <w:p>
            <w:pPr>
              <w:rPr>
                <w:sz w:val="18"/>
                <w:szCs w:val="18"/>
              </w:rPr>
            </w:pPr>
            <w:r>
              <w:rPr>
                <w:rFonts w:hint="eastAsia"/>
                <w:sz w:val="18"/>
                <w:szCs w:val="18"/>
              </w:rPr>
              <w:t>公园内的各类建筑、小品、健身设施、护栏、喷泉、垃圾桶、灯具、水阀、电闸等园林设施完好有效，有缺损及时上报或修复重置；</w:t>
            </w:r>
          </w:p>
        </w:tc>
        <w:tc>
          <w:tcPr>
            <w:tcW w:w="615" w:type="dxa"/>
            <w:vAlign w:val="center"/>
          </w:tcPr>
          <w:p>
            <w:pPr>
              <w:jc w:val="center"/>
              <w:rPr>
                <w:sz w:val="18"/>
                <w:szCs w:val="18"/>
              </w:rPr>
            </w:pPr>
            <w:r>
              <w:rPr>
                <w:rFonts w:hint="eastAsia"/>
                <w:sz w:val="18"/>
                <w:szCs w:val="18"/>
              </w:rPr>
              <w:t>5</w:t>
            </w:r>
          </w:p>
          <w:p>
            <w:pPr>
              <w:jc w:val="center"/>
              <w:rPr>
                <w:sz w:val="18"/>
                <w:szCs w:val="18"/>
              </w:rPr>
            </w:pPr>
            <w:r>
              <w:rPr>
                <w:rFonts w:hint="eastAsia"/>
                <w:sz w:val="18"/>
                <w:szCs w:val="18"/>
              </w:rPr>
              <w:t>分</w:t>
            </w:r>
          </w:p>
        </w:tc>
        <w:tc>
          <w:tcPr>
            <w:tcW w:w="3988" w:type="dxa"/>
            <w:vAlign w:val="center"/>
          </w:tcPr>
          <w:p>
            <w:pPr>
              <w:rPr>
                <w:sz w:val="18"/>
                <w:szCs w:val="18"/>
              </w:rPr>
            </w:pPr>
            <w:r>
              <w:rPr>
                <w:rFonts w:hint="eastAsia"/>
                <w:sz w:val="18"/>
                <w:szCs w:val="18"/>
              </w:rPr>
              <w:t>有缺损未在48小时内向业主报告或接到修复通知后48小时内未修复的，每处扣0. 2分，共3分；发现管道破裂、笼头摆动、人为破坏等未在24小时内向业主报告或接到修复通知后12小时内未修复造成损失的，每起扣0. 5分，共2分；</w:t>
            </w:r>
          </w:p>
        </w:tc>
        <w:tc>
          <w:tcPr>
            <w:tcW w:w="615"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649" w:type="dxa"/>
            <w:vMerge w:val="continue"/>
          </w:tcPr>
          <w:p>
            <w:pPr>
              <w:rPr>
                <w:sz w:val="18"/>
                <w:szCs w:val="18"/>
              </w:rPr>
            </w:pPr>
          </w:p>
        </w:tc>
        <w:tc>
          <w:tcPr>
            <w:tcW w:w="621" w:type="dxa"/>
            <w:vAlign w:val="center"/>
          </w:tcPr>
          <w:p>
            <w:pPr>
              <w:jc w:val="center"/>
              <w:rPr>
                <w:sz w:val="18"/>
                <w:szCs w:val="18"/>
              </w:rPr>
            </w:pPr>
            <w:r>
              <w:rPr>
                <w:rFonts w:hint="eastAsia"/>
                <w:sz w:val="18"/>
                <w:szCs w:val="18"/>
              </w:rPr>
              <w:t>2</w:t>
            </w:r>
          </w:p>
        </w:tc>
        <w:tc>
          <w:tcPr>
            <w:tcW w:w="3733" w:type="dxa"/>
            <w:vAlign w:val="center"/>
          </w:tcPr>
          <w:p>
            <w:pPr>
              <w:rPr>
                <w:sz w:val="18"/>
                <w:szCs w:val="18"/>
              </w:rPr>
            </w:pPr>
            <w:r>
              <w:rPr>
                <w:rFonts w:hint="eastAsia"/>
                <w:sz w:val="18"/>
                <w:szCs w:val="18"/>
              </w:rPr>
              <w:t>公园内的桌、椅、坐凳安全完好，有缺损及时上报或修复；公园内的地面铺装、园路通畅完好。</w:t>
            </w:r>
          </w:p>
        </w:tc>
        <w:tc>
          <w:tcPr>
            <w:tcW w:w="615" w:type="dxa"/>
            <w:vAlign w:val="center"/>
          </w:tcPr>
          <w:p>
            <w:pPr>
              <w:jc w:val="center"/>
              <w:rPr>
                <w:sz w:val="18"/>
                <w:szCs w:val="18"/>
              </w:rPr>
            </w:pPr>
            <w:r>
              <w:rPr>
                <w:rFonts w:hint="eastAsia"/>
                <w:sz w:val="18"/>
                <w:szCs w:val="18"/>
              </w:rPr>
              <w:t>5</w:t>
            </w:r>
          </w:p>
          <w:p>
            <w:pPr>
              <w:jc w:val="center"/>
              <w:rPr>
                <w:sz w:val="18"/>
                <w:szCs w:val="18"/>
              </w:rPr>
            </w:pPr>
            <w:r>
              <w:rPr>
                <w:rFonts w:hint="eastAsia"/>
                <w:sz w:val="18"/>
                <w:szCs w:val="18"/>
              </w:rPr>
              <w:t>分</w:t>
            </w:r>
          </w:p>
        </w:tc>
        <w:tc>
          <w:tcPr>
            <w:tcW w:w="3988" w:type="dxa"/>
            <w:vAlign w:val="center"/>
          </w:tcPr>
          <w:p>
            <w:pPr>
              <w:rPr>
                <w:sz w:val="18"/>
                <w:szCs w:val="18"/>
              </w:rPr>
            </w:pPr>
            <w:r>
              <w:rPr>
                <w:rFonts w:hint="eastAsia"/>
                <w:sz w:val="18"/>
                <w:szCs w:val="18"/>
              </w:rPr>
              <w:t>有缺损、移位未在48小时内向业主报告或接到修复通知后48小时内未修复的，每处扣0. 5分，共3分；铺装、园路不畅通，每处扣0. 5分，共2分。</w:t>
            </w:r>
          </w:p>
        </w:tc>
        <w:tc>
          <w:tcPr>
            <w:tcW w:w="615" w:type="dxa"/>
          </w:tcPr>
          <w:p>
            <w:pPr>
              <w:rPr>
                <w:sz w:val="18"/>
                <w:szCs w:val="18"/>
              </w:rPr>
            </w:pPr>
          </w:p>
        </w:tc>
      </w:tr>
    </w:tbl>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tbl>
      <w:tblPr>
        <w:tblStyle w:val="46"/>
        <w:tblW w:w="10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48"/>
        <w:gridCol w:w="3784"/>
        <w:gridCol w:w="624"/>
        <w:gridCol w:w="4155"/>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spacing w:line="300" w:lineRule="exact"/>
              <w:jc w:val="center"/>
              <w:rPr>
                <w:szCs w:val="21"/>
              </w:rPr>
            </w:pPr>
            <w:r>
              <w:rPr>
                <w:rFonts w:hint="eastAsia"/>
                <w:szCs w:val="21"/>
              </w:rPr>
              <w:t>内</w:t>
            </w:r>
          </w:p>
          <w:p>
            <w:pPr>
              <w:spacing w:line="300" w:lineRule="exact"/>
              <w:jc w:val="center"/>
              <w:rPr>
                <w:szCs w:val="21"/>
              </w:rPr>
            </w:pPr>
            <w:r>
              <w:rPr>
                <w:rFonts w:hint="eastAsia"/>
                <w:szCs w:val="21"/>
              </w:rPr>
              <w:t>容</w:t>
            </w:r>
          </w:p>
        </w:tc>
        <w:tc>
          <w:tcPr>
            <w:tcW w:w="648" w:type="dxa"/>
            <w:vAlign w:val="center"/>
          </w:tcPr>
          <w:p>
            <w:pPr>
              <w:spacing w:line="300" w:lineRule="exact"/>
              <w:jc w:val="center"/>
              <w:rPr>
                <w:szCs w:val="21"/>
              </w:rPr>
            </w:pPr>
            <w:r>
              <w:rPr>
                <w:rFonts w:hint="eastAsia"/>
                <w:szCs w:val="21"/>
              </w:rPr>
              <w:t>序</w:t>
            </w:r>
          </w:p>
          <w:p>
            <w:pPr>
              <w:spacing w:line="300" w:lineRule="exact"/>
              <w:jc w:val="center"/>
              <w:rPr>
                <w:szCs w:val="21"/>
              </w:rPr>
            </w:pPr>
            <w:r>
              <w:rPr>
                <w:rFonts w:hint="eastAsia"/>
                <w:szCs w:val="21"/>
              </w:rPr>
              <w:t>号</w:t>
            </w:r>
          </w:p>
        </w:tc>
        <w:tc>
          <w:tcPr>
            <w:tcW w:w="3784" w:type="dxa"/>
            <w:vAlign w:val="center"/>
          </w:tcPr>
          <w:p>
            <w:pPr>
              <w:spacing w:line="300" w:lineRule="exact"/>
              <w:jc w:val="center"/>
              <w:rPr>
                <w:szCs w:val="21"/>
              </w:rPr>
            </w:pPr>
            <w:r>
              <w:rPr>
                <w:rFonts w:hint="eastAsia"/>
                <w:szCs w:val="21"/>
              </w:rPr>
              <w:t>质量标准</w:t>
            </w:r>
          </w:p>
        </w:tc>
        <w:tc>
          <w:tcPr>
            <w:tcW w:w="624" w:type="dxa"/>
            <w:vAlign w:val="center"/>
          </w:tcPr>
          <w:p>
            <w:pPr>
              <w:spacing w:line="300" w:lineRule="exact"/>
              <w:jc w:val="center"/>
              <w:rPr>
                <w:szCs w:val="21"/>
              </w:rPr>
            </w:pPr>
            <w:r>
              <w:rPr>
                <w:rFonts w:hint="eastAsia"/>
                <w:szCs w:val="21"/>
              </w:rPr>
              <w:t>满</w:t>
            </w:r>
          </w:p>
          <w:p>
            <w:pPr>
              <w:spacing w:line="300" w:lineRule="exact"/>
              <w:jc w:val="center"/>
              <w:rPr>
                <w:szCs w:val="21"/>
              </w:rPr>
            </w:pPr>
            <w:r>
              <w:rPr>
                <w:rFonts w:hint="eastAsia"/>
                <w:szCs w:val="21"/>
              </w:rPr>
              <w:t>分</w:t>
            </w:r>
          </w:p>
        </w:tc>
        <w:tc>
          <w:tcPr>
            <w:tcW w:w="4155" w:type="dxa"/>
            <w:vAlign w:val="center"/>
          </w:tcPr>
          <w:p>
            <w:pPr>
              <w:spacing w:line="300" w:lineRule="exact"/>
              <w:jc w:val="center"/>
              <w:rPr>
                <w:szCs w:val="21"/>
              </w:rPr>
            </w:pPr>
            <w:r>
              <w:rPr>
                <w:rFonts w:hint="eastAsia"/>
                <w:szCs w:val="21"/>
              </w:rPr>
              <w:t>考核标准</w:t>
            </w:r>
          </w:p>
        </w:tc>
        <w:tc>
          <w:tcPr>
            <w:tcW w:w="616" w:type="dxa"/>
            <w:vAlign w:val="center"/>
          </w:tcPr>
          <w:p>
            <w:pPr>
              <w:spacing w:line="300" w:lineRule="exact"/>
              <w:jc w:val="center"/>
              <w:rPr>
                <w:szCs w:val="21"/>
              </w:rPr>
            </w:pPr>
            <w:r>
              <w:rPr>
                <w:rFonts w:hint="eastAsia"/>
                <w:szCs w:val="21"/>
              </w:rPr>
              <w:t>得</w:t>
            </w:r>
          </w:p>
          <w:p>
            <w:pPr>
              <w:spacing w:line="300" w:lineRule="exact"/>
              <w:jc w:val="center"/>
              <w:rPr>
                <w:szCs w:val="21"/>
              </w:rPr>
            </w:pP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restart"/>
            <w:vAlign w:val="center"/>
          </w:tcPr>
          <w:p>
            <w:pPr>
              <w:spacing w:line="300" w:lineRule="exact"/>
              <w:jc w:val="center"/>
              <w:rPr>
                <w:b/>
                <w:sz w:val="24"/>
              </w:rPr>
            </w:pPr>
            <w:r>
              <w:rPr>
                <w:rFonts w:hint="eastAsia"/>
                <w:b/>
                <w:sz w:val="24"/>
              </w:rPr>
              <w:t>三</w:t>
            </w:r>
          </w:p>
          <w:p>
            <w:pPr>
              <w:spacing w:line="300" w:lineRule="exact"/>
              <w:jc w:val="center"/>
              <w:rPr>
                <w:b/>
                <w:sz w:val="24"/>
              </w:rPr>
            </w:pPr>
          </w:p>
          <w:p>
            <w:pPr>
              <w:spacing w:line="300" w:lineRule="exact"/>
              <w:jc w:val="center"/>
              <w:rPr>
                <w:b/>
                <w:sz w:val="24"/>
              </w:rPr>
            </w:pPr>
            <w:r>
              <w:rPr>
                <w:rFonts w:hint="eastAsia"/>
                <w:b/>
                <w:sz w:val="24"/>
              </w:rPr>
              <w:t>环</w:t>
            </w:r>
          </w:p>
          <w:p>
            <w:pPr>
              <w:spacing w:line="300" w:lineRule="exact"/>
              <w:jc w:val="center"/>
              <w:rPr>
                <w:b/>
                <w:sz w:val="24"/>
              </w:rPr>
            </w:pPr>
            <w:r>
              <w:rPr>
                <w:rFonts w:hint="eastAsia"/>
                <w:b/>
                <w:sz w:val="24"/>
              </w:rPr>
              <w:t>卫</w:t>
            </w:r>
          </w:p>
          <w:p>
            <w:pPr>
              <w:spacing w:line="300" w:lineRule="exact"/>
              <w:jc w:val="center"/>
              <w:rPr>
                <w:b/>
                <w:sz w:val="24"/>
              </w:rPr>
            </w:pPr>
            <w:r>
              <w:rPr>
                <w:rFonts w:hint="eastAsia"/>
                <w:b/>
                <w:sz w:val="24"/>
              </w:rPr>
              <w:t>保</w:t>
            </w:r>
          </w:p>
          <w:p>
            <w:pPr>
              <w:spacing w:line="300" w:lineRule="exact"/>
              <w:jc w:val="center"/>
              <w:rPr>
                <w:b/>
                <w:sz w:val="24"/>
              </w:rPr>
            </w:pPr>
            <w:r>
              <w:rPr>
                <w:rFonts w:hint="eastAsia"/>
                <w:b/>
                <w:sz w:val="24"/>
              </w:rPr>
              <w:t>洁</w:t>
            </w:r>
          </w:p>
          <w:p>
            <w:pPr>
              <w:spacing w:line="300" w:lineRule="exact"/>
              <w:rPr>
                <w:b/>
                <w:sz w:val="24"/>
              </w:rPr>
            </w:pPr>
          </w:p>
          <w:p>
            <w:pPr>
              <w:spacing w:line="300" w:lineRule="exact"/>
              <w:jc w:val="center"/>
              <w:rPr>
                <w:b/>
                <w:sz w:val="24"/>
              </w:rPr>
            </w:pPr>
            <w:r>
              <w:rPr>
                <w:rFonts w:hint="eastAsia"/>
                <w:b/>
                <w:sz w:val="24"/>
              </w:rPr>
              <w:t>共</w:t>
            </w:r>
          </w:p>
          <w:p>
            <w:pPr>
              <w:spacing w:line="300" w:lineRule="exact"/>
              <w:jc w:val="center"/>
              <w:rPr>
                <w:b/>
                <w:sz w:val="24"/>
              </w:rPr>
            </w:pPr>
            <w:r>
              <w:rPr>
                <w:rFonts w:hint="eastAsia"/>
                <w:b/>
                <w:sz w:val="24"/>
              </w:rPr>
              <w:t>25</w:t>
            </w:r>
          </w:p>
          <w:p>
            <w:pPr>
              <w:spacing w:line="300" w:lineRule="exact"/>
              <w:jc w:val="center"/>
              <w:rPr>
                <w:b/>
                <w:sz w:val="24"/>
              </w:rPr>
            </w:pPr>
            <w:r>
              <w:rPr>
                <w:rFonts w:hint="eastAsia"/>
                <w:b/>
                <w:sz w:val="24"/>
              </w:rPr>
              <w:t>分</w:t>
            </w:r>
          </w:p>
        </w:tc>
        <w:tc>
          <w:tcPr>
            <w:tcW w:w="648" w:type="dxa"/>
            <w:vAlign w:val="center"/>
          </w:tcPr>
          <w:p>
            <w:pPr>
              <w:spacing w:line="300" w:lineRule="exact"/>
              <w:jc w:val="center"/>
              <w:rPr>
                <w:sz w:val="18"/>
                <w:szCs w:val="18"/>
              </w:rPr>
            </w:pPr>
            <w:r>
              <w:rPr>
                <w:rFonts w:hint="eastAsia"/>
                <w:sz w:val="18"/>
                <w:szCs w:val="18"/>
              </w:rPr>
              <w:t>1</w:t>
            </w:r>
          </w:p>
        </w:tc>
        <w:tc>
          <w:tcPr>
            <w:tcW w:w="3784" w:type="dxa"/>
            <w:vAlign w:val="center"/>
          </w:tcPr>
          <w:p>
            <w:pPr>
              <w:spacing w:line="300" w:lineRule="exact"/>
              <w:rPr>
                <w:sz w:val="18"/>
                <w:szCs w:val="18"/>
              </w:rPr>
            </w:pPr>
            <w:r>
              <w:rPr>
                <w:rFonts w:hint="eastAsia"/>
                <w:sz w:val="18"/>
                <w:szCs w:val="18"/>
              </w:rPr>
              <w:t>每天上午7:30前完成清扫作业，并实行8时（上午7：30—11：30 、下午13：30—17：30）跟踪巡回保洁；按规定配备保洁人员，并统一穿戴安全制服；</w:t>
            </w:r>
          </w:p>
        </w:tc>
        <w:tc>
          <w:tcPr>
            <w:tcW w:w="624" w:type="dxa"/>
            <w:vAlign w:val="center"/>
          </w:tcPr>
          <w:p>
            <w:pPr>
              <w:spacing w:line="300" w:lineRule="exact"/>
              <w:jc w:val="center"/>
              <w:rPr>
                <w:sz w:val="18"/>
                <w:szCs w:val="18"/>
              </w:rPr>
            </w:pPr>
            <w:r>
              <w:rPr>
                <w:rFonts w:hint="eastAsia"/>
                <w:sz w:val="18"/>
                <w:szCs w:val="18"/>
              </w:rPr>
              <w:t>5</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未按要求保洁，发现一次扣0. 5分，未穿戴安全制服，每发现1人次扣0.5分，共5分；未按规定配足保洁人员的，按合同规定处置；</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spacing w:line="300" w:lineRule="exact"/>
              <w:jc w:val="center"/>
              <w:rPr>
                <w:b/>
                <w:sz w:val="24"/>
              </w:rPr>
            </w:pPr>
          </w:p>
        </w:tc>
        <w:tc>
          <w:tcPr>
            <w:tcW w:w="648" w:type="dxa"/>
            <w:vAlign w:val="center"/>
          </w:tcPr>
          <w:p>
            <w:pPr>
              <w:spacing w:line="300" w:lineRule="exact"/>
              <w:jc w:val="center"/>
              <w:rPr>
                <w:sz w:val="18"/>
                <w:szCs w:val="18"/>
              </w:rPr>
            </w:pPr>
            <w:r>
              <w:rPr>
                <w:rFonts w:hint="eastAsia"/>
                <w:sz w:val="18"/>
                <w:szCs w:val="18"/>
              </w:rPr>
              <w:t>2</w:t>
            </w:r>
          </w:p>
        </w:tc>
        <w:tc>
          <w:tcPr>
            <w:tcW w:w="3784" w:type="dxa"/>
            <w:vAlign w:val="center"/>
          </w:tcPr>
          <w:p>
            <w:pPr>
              <w:spacing w:line="300" w:lineRule="exact"/>
              <w:rPr>
                <w:sz w:val="18"/>
                <w:szCs w:val="18"/>
              </w:rPr>
            </w:pPr>
            <w:r>
              <w:rPr>
                <w:rFonts w:hint="eastAsia"/>
                <w:sz w:val="18"/>
                <w:szCs w:val="18"/>
              </w:rPr>
              <w:t>园林建筑、小品、绿地等保洁质量以“四无四净一通”为标准。（四无即：无零星垃圾、无果皮纸屑烟蒂、无积水、无杂物瓦砾。四净即：路面净、阴井沟眼净、树穴净、绿地净。一通：下水道口通），设施无尘土、蛛网和痰迹。小品、桌椅等每日清扫、擦拭，保持整齐洁净；</w:t>
            </w:r>
          </w:p>
        </w:tc>
        <w:tc>
          <w:tcPr>
            <w:tcW w:w="624" w:type="dxa"/>
            <w:vAlign w:val="center"/>
          </w:tcPr>
          <w:p>
            <w:pPr>
              <w:spacing w:line="300" w:lineRule="exact"/>
              <w:jc w:val="center"/>
              <w:rPr>
                <w:sz w:val="18"/>
                <w:szCs w:val="18"/>
              </w:rPr>
            </w:pPr>
            <w:r>
              <w:rPr>
                <w:rFonts w:hint="eastAsia"/>
                <w:sz w:val="18"/>
                <w:szCs w:val="18"/>
              </w:rPr>
              <w:t>5</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不符合标准或园林建筑、小品等设施有尘土、蛛网、废弃物和痰迹，每发现一处扣0. 2分；小品、座椅等每日不清扫、不擦拭、不整洁，每处扣0. 2分，共5分；</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spacing w:line="300" w:lineRule="exact"/>
              <w:jc w:val="center"/>
              <w:rPr>
                <w:b/>
                <w:sz w:val="24"/>
              </w:rPr>
            </w:pPr>
          </w:p>
        </w:tc>
        <w:tc>
          <w:tcPr>
            <w:tcW w:w="648" w:type="dxa"/>
            <w:vAlign w:val="center"/>
          </w:tcPr>
          <w:p>
            <w:pPr>
              <w:spacing w:line="300" w:lineRule="exact"/>
              <w:jc w:val="center"/>
              <w:rPr>
                <w:sz w:val="18"/>
                <w:szCs w:val="18"/>
              </w:rPr>
            </w:pPr>
            <w:r>
              <w:rPr>
                <w:rFonts w:hint="eastAsia"/>
                <w:sz w:val="18"/>
                <w:szCs w:val="18"/>
              </w:rPr>
              <w:t>3</w:t>
            </w:r>
          </w:p>
        </w:tc>
        <w:tc>
          <w:tcPr>
            <w:tcW w:w="3784" w:type="dxa"/>
            <w:vAlign w:val="center"/>
          </w:tcPr>
          <w:p>
            <w:pPr>
              <w:spacing w:line="300" w:lineRule="exact"/>
              <w:rPr>
                <w:sz w:val="18"/>
                <w:szCs w:val="18"/>
              </w:rPr>
            </w:pPr>
            <w:r>
              <w:rPr>
                <w:rFonts w:hint="eastAsia"/>
                <w:sz w:val="18"/>
                <w:szCs w:val="18"/>
              </w:rPr>
              <w:t>修剪后的枝叶及时清理干净；随时清扫拾捡游人扔弃的垃圾，做到不漏扫、不漏捡；路面、绿地无枯枝残叶、堆积物，无果皮纸屑、建筑垃圾，路面铺装无明显影响景观的积水、积泥、积雪、口香糖残留物等；</w:t>
            </w:r>
          </w:p>
        </w:tc>
        <w:tc>
          <w:tcPr>
            <w:tcW w:w="624" w:type="dxa"/>
            <w:vAlign w:val="center"/>
          </w:tcPr>
          <w:p>
            <w:pPr>
              <w:spacing w:line="300" w:lineRule="exact"/>
              <w:jc w:val="center"/>
              <w:rPr>
                <w:sz w:val="18"/>
                <w:szCs w:val="18"/>
              </w:rPr>
            </w:pPr>
            <w:r>
              <w:rPr>
                <w:rFonts w:hint="eastAsia"/>
                <w:sz w:val="18"/>
                <w:szCs w:val="18"/>
              </w:rPr>
              <w:t>5</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修剪后的枝叶不及时清理，每次扣分0.5分；路面、绿地有枯枝、明显枯叶、堆积物、果皮纸屑，有砖瓦土石、污黑积水、积泥、积雪，每处扣0. 2分，共5分；</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spacing w:line="300" w:lineRule="exact"/>
              <w:jc w:val="center"/>
              <w:rPr>
                <w:b/>
                <w:sz w:val="24"/>
              </w:rPr>
            </w:pPr>
          </w:p>
        </w:tc>
        <w:tc>
          <w:tcPr>
            <w:tcW w:w="648" w:type="dxa"/>
            <w:vAlign w:val="center"/>
          </w:tcPr>
          <w:p>
            <w:pPr>
              <w:spacing w:line="300" w:lineRule="exact"/>
              <w:jc w:val="center"/>
              <w:rPr>
                <w:sz w:val="18"/>
                <w:szCs w:val="18"/>
              </w:rPr>
            </w:pPr>
            <w:r>
              <w:rPr>
                <w:rFonts w:hint="eastAsia"/>
                <w:sz w:val="18"/>
                <w:szCs w:val="18"/>
              </w:rPr>
              <w:t>4</w:t>
            </w:r>
          </w:p>
        </w:tc>
        <w:tc>
          <w:tcPr>
            <w:tcW w:w="3784" w:type="dxa"/>
            <w:vAlign w:val="center"/>
          </w:tcPr>
          <w:p>
            <w:pPr>
              <w:spacing w:line="300" w:lineRule="exact"/>
              <w:rPr>
                <w:sz w:val="18"/>
                <w:szCs w:val="18"/>
              </w:rPr>
            </w:pPr>
            <w:r>
              <w:rPr>
                <w:rFonts w:hint="eastAsia"/>
                <w:sz w:val="18"/>
                <w:szCs w:val="18"/>
              </w:rPr>
              <w:t>铺装路面、广场、侧石、花坛壁、灯杆、灯具等要保持原色无污渍；不将垃圾和泥土扫入窨井及水体内，不将垃圾留置边角；水面清澈，无漂浮物，池底无明显的沉积物；</w:t>
            </w:r>
          </w:p>
        </w:tc>
        <w:tc>
          <w:tcPr>
            <w:tcW w:w="624" w:type="dxa"/>
            <w:vAlign w:val="center"/>
          </w:tcPr>
          <w:p>
            <w:pPr>
              <w:spacing w:line="300" w:lineRule="exact"/>
              <w:jc w:val="center"/>
              <w:rPr>
                <w:sz w:val="18"/>
                <w:szCs w:val="18"/>
              </w:rPr>
            </w:pPr>
            <w:r>
              <w:rPr>
                <w:rFonts w:hint="eastAsia"/>
                <w:sz w:val="18"/>
                <w:szCs w:val="18"/>
              </w:rPr>
              <w:t>5</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不符合标准的每发现一处扣0. 2分，共5分；池底有明显的沉积物该项不得分；</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spacing w:line="300" w:lineRule="exact"/>
              <w:jc w:val="center"/>
              <w:rPr>
                <w:b/>
                <w:sz w:val="24"/>
              </w:rPr>
            </w:pPr>
          </w:p>
        </w:tc>
        <w:tc>
          <w:tcPr>
            <w:tcW w:w="648" w:type="dxa"/>
            <w:vAlign w:val="center"/>
          </w:tcPr>
          <w:p>
            <w:pPr>
              <w:spacing w:line="300" w:lineRule="exact"/>
              <w:jc w:val="center"/>
              <w:rPr>
                <w:sz w:val="18"/>
                <w:szCs w:val="18"/>
              </w:rPr>
            </w:pPr>
            <w:r>
              <w:rPr>
                <w:rFonts w:hint="eastAsia"/>
                <w:sz w:val="18"/>
                <w:szCs w:val="18"/>
              </w:rPr>
              <w:t>5</w:t>
            </w:r>
          </w:p>
        </w:tc>
        <w:tc>
          <w:tcPr>
            <w:tcW w:w="3784" w:type="dxa"/>
            <w:vAlign w:val="center"/>
          </w:tcPr>
          <w:p>
            <w:pPr>
              <w:spacing w:line="300" w:lineRule="exact"/>
              <w:rPr>
                <w:sz w:val="18"/>
                <w:szCs w:val="18"/>
              </w:rPr>
            </w:pPr>
            <w:r>
              <w:rPr>
                <w:rFonts w:hint="eastAsia"/>
                <w:sz w:val="18"/>
                <w:szCs w:val="18"/>
              </w:rPr>
              <w:t>垃圾桶套袋规范，桶内垃圾每日清理，保证无臭味、无渗漏、无积尘；外表清洁，无乱画、乱张贴等，及时清除各类杂乱广告；</w:t>
            </w:r>
          </w:p>
        </w:tc>
        <w:tc>
          <w:tcPr>
            <w:tcW w:w="624" w:type="dxa"/>
            <w:vAlign w:val="center"/>
          </w:tcPr>
          <w:p>
            <w:pPr>
              <w:spacing w:line="300" w:lineRule="exact"/>
              <w:jc w:val="center"/>
              <w:rPr>
                <w:sz w:val="18"/>
                <w:szCs w:val="18"/>
              </w:rPr>
            </w:pPr>
            <w:r>
              <w:rPr>
                <w:rFonts w:hint="eastAsia"/>
                <w:sz w:val="18"/>
                <w:szCs w:val="18"/>
              </w:rPr>
              <w:t>3</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不符合标准的每发现一处扣0. 2分，共3分；</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spacing w:line="300" w:lineRule="exact"/>
              <w:jc w:val="center"/>
              <w:rPr>
                <w:b/>
                <w:sz w:val="24"/>
              </w:rPr>
            </w:pPr>
          </w:p>
        </w:tc>
        <w:tc>
          <w:tcPr>
            <w:tcW w:w="648" w:type="dxa"/>
            <w:vAlign w:val="center"/>
          </w:tcPr>
          <w:p>
            <w:pPr>
              <w:spacing w:line="300" w:lineRule="exact"/>
              <w:jc w:val="center"/>
              <w:rPr>
                <w:sz w:val="18"/>
                <w:szCs w:val="18"/>
              </w:rPr>
            </w:pPr>
            <w:r>
              <w:rPr>
                <w:rFonts w:hint="eastAsia"/>
                <w:sz w:val="18"/>
                <w:szCs w:val="18"/>
              </w:rPr>
              <w:t>6</w:t>
            </w:r>
          </w:p>
        </w:tc>
        <w:tc>
          <w:tcPr>
            <w:tcW w:w="3784" w:type="dxa"/>
            <w:vAlign w:val="center"/>
          </w:tcPr>
          <w:p>
            <w:pPr>
              <w:spacing w:line="300" w:lineRule="exact"/>
              <w:rPr>
                <w:sz w:val="18"/>
                <w:szCs w:val="18"/>
              </w:rPr>
            </w:pPr>
            <w:r>
              <w:rPr>
                <w:rFonts w:hint="eastAsia"/>
                <w:sz w:val="18"/>
                <w:szCs w:val="18"/>
              </w:rPr>
              <w:t>完成突击性清扫任务。</w:t>
            </w:r>
          </w:p>
        </w:tc>
        <w:tc>
          <w:tcPr>
            <w:tcW w:w="624" w:type="dxa"/>
            <w:vAlign w:val="center"/>
          </w:tcPr>
          <w:p>
            <w:pPr>
              <w:spacing w:line="300" w:lineRule="exact"/>
              <w:jc w:val="center"/>
              <w:rPr>
                <w:sz w:val="18"/>
                <w:szCs w:val="18"/>
              </w:rPr>
            </w:pPr>
            <w:r>
              <w:rPr>
                <w:rFonts w:hint="eastAsia"/>
                <w:sz w:val="18"/>
                <w:szCs w:val="18"/>
              </w:rPr>
              <w:t>2</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不能完成的每次扣2分，共2分。</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restart"/>
            <w:vAlign w:val="center"/>
          </w:tcPr>
          <w:p>
            <w:pPr>
              <w:spacing w:line="300" w:lineRule="exact"/>
              <w:jc w:val="center"/>
              <w:rPr>
                <w:b/>
                <w:sz w:val="24"/>
              </w:rPr>
            </w:pPr>
            <w:r>
              <w:rPr>
                <w:rFonts w:hint="eastAsia"/>
                <w:b/>
                <w:sz w:val="24"/>
              </w:rPr>
              <w:t>四</w:t>
            </w:r>
          </w:p>
          <w:p>
            <w:pPr>
              <w:spacing w:line="300" w:lineRule="exact"/>
              <w:jc w:val="center"/>
              <w:rPr>
                <w:b/>
                <w:sz w:val="24"/>
              </w:rPr>
            </w:pPr>
          </w:p>
          <w:p>
            <w:pPr>
              <w:spacing w:line="300" w:lineRule="exact"/>
              <w:jc w:val="center"/>
              <w:rPr>
                <w:b/>
                <w:sz w:val="24"/>
              </w:rPr>
            </w:pPr>
            <w:r>
              <w:rPr>
                <w:rFonts w:hint="eastAsia"/>
                <w:b/>
                <w:sz w:val="24"/>
              </w:rPr>
              <w:t>安</w:t>
            </w:r>
          </w:p>
          <w:p>
            <w:pPr>
              <w:spacing w:line="300" w:lineRule="exact"/>
              <w:jc w:val="center"/>
              <w:rPr>
                <w:b/>
                <w:sz w:val="24"/>
              </w:rPr>
            </w:pPr>
            <w:r>
              <w:rPr>
                <w:rFonts w:hint="eastAsia"/>
                <w:b/>
                <w:sz w:val="24"/>
              </w:rPr>
              <w:t>全</w:t>
            </w:r>
          </w:p>
          <w:p>
            <w:pPr>
              <w:spacing w:line="300" w:lineRule="exact"/>
              <w:jc w:val="center"/>
              <w:rPr>
                <w:b/>
                <w:sz w:val="24"/>
              </w:rPr>
            </w:pPr>
            <w:r>
              <w:rPr>
                <w:rFonts w:hint="eastAsia"/>
                <w:b/>
                <w:sz w:val="24"/>
              </w:rPr>
              <w:t>秩</w:t>
            </w:r>
          </w:p>
          <w:p>
            <w:pPr>
              <w:spacing w:line="300" w:lineRule="exact"/>
              <w:jc w:val="center"/>
              <w:rPr>
                <w:b/>
                <w:sz w:val="24"/>
              </w:rPr>
            </w:pPr>
            <w:r>
              <w:rPr>
                <w:rFonts w:hint="eastAsia"/>
                <w:b/>
                <w:sz w:val="24"/>
              </w:rPr>
              <w:t>序</w:t>
            </w:r>
          </w:p>
          <w:p>
            <w:pPr>
              <w:spacing w:line="300" w:lineRule="exact"/>
              <w:jc w:val="center"/>
              <w:rPr>
                <w:b/>
                <w:sz w:val="24"/>
              </w:rPr>
            </w:pPr>
            <w:r>
              <w:rPr>
                <w:rFonts w:hint="eastAsia"/>
                <w:b/>
                <w:sz w:val="24"/>
              </w:rPr>
              <w:t>管</w:t>
            </w:r>
          </w:p>
          <w:p>
            <w:pPr>
              <w:spacing w:line="300" w:lineRule="exact"/>
              <w:jc w:val="center"/>
              <w:rPr>
                <w:b/>
                <w:sz w:val="24"/>
              </w:rPr>
            </w:pPr>
            <w:r>
              <w:rPr>
                <w:rFonts w:hint="eastAsia"/>
                <w:b/>
                <w:sz w:val="24"/>
              </w:rPr>
              <w:t>理</w:t>
            </w:r>
          </w:p>
          <w:p>
            <w:pPr>
              <w:spacing w:line="300" w:lineRule="exact"/>
              <w:jc w:val="center"/>
              <w:rPr>
                <w:b/>
                <w:sz w:val="24"/>
              </w:rPr>
            </w:pPr>
          </w:p>
          <w:p>
            <w:pPr>
              <w:spacing w:line="300" w:lineRule="exact"/>
              <w:jc w:val="center"/>
              <w:rPr>
                <w:b/>
                <w:sz w:val="24"/>
              </w:rPr>
            </w:pPr>
            <w:r>
              <w:rPr>
                <w:rFonts w:hint="eastAsia"/>
                <w:b/>
                <w:sz w:val="24"/>
              </w:rPr>
              <w:t>共</w:t>
            </w:r>
          </w:p>
          <w:p>
            <w:pPr>
              <w:spacing w:line="300" w:lineRule="exact"/>
              <w:jc w:val="center"/>
              <w:rPr>
                <w:b/>
                <w:sz w:val="24"/>
              </w:rPr>
            </w:pPr>
            <w:r>
              <w:rPr>
                <w:rFonts w:hint="eastAsia"/>
                <w:b/>
                <w:sz w:val="24"/>
              </w:rPr>
              <w:t>15</w:t>
            </w:r>
          </w:p>
          <w:p>
            <w:pPr>
              <w:spacing w:line="300" w:lineRule="exact"/>
              <w:jc w:val="center"/>
              <w:rPr>
                <w:b/>
                <w:sz w:val="24"/>
              </w:rPr>
            </w:pPr>
            <w:r>
              <w:rPr>
                <w:rFonts w:hint="eastAsia"/>
                <w:b/>
                <w:sz w:val="24"/>
              </w:rPr>
              <w:t>分</w:t>
            </w:r>
          </w:p>
        </w:tc>
        <w:tc>
          <w:tcPr>
            <w:tcW w:w="648" w:type="dxa"/>
            <w:vAlign w:val="center"/>
          </w:tcPr>
          <w:p>
            <w:pPr>
              <w:spacing w:line="300" w:lineRule="exact"/>
              <w:jc w:val="center"/>
              <w:rPr>
                <w:sz w:val="18"/>
                <w:szCs w:val="18"/>
              </w:rPr>
            </w:pPr>
            <w:r>
              <w:rPr>
                <w:rFonts w:hint="eastAsia"/>
                <w:sz w:val="18"/>
                <w:szCs w:val="18"/>
              </w:rPr>
              <w:t>1</w:t>
            </w:r>
          </w:p>
        </w:tc>
        <w:tc>
          <w:tcPr>
            <w:tcW w:w="3784" w:type="dxa"/>
            <w:vAlign w:val="center"/>
          </w:tcPr>
          <w:p>
            <w:pPr>
              <w:spacing w:line="300" w:lineRule="exact"/>
              <w:rPr>
                <w:sz w:val="18"/>
                <w:szCs w:val="18"/>
              </w:rPr>
            </w:pPr>
            <w:r>
              <w:rPr>
                <w:rFonts w:hint="eastAsia"/>
                <w:sz w:val="18"/>
                <w:szCs w:val="18"/>
              </w:rPr>
              <w:t>巡查人员应做好养护区域内的秩序维护及所有绿化和设施的看护工作，对游人“随地吐痰、乱扔垃圾、随地便溺、乱张贴”等行为及时劝阻，指导游人按要求停放车辆，倡导文明游园，巡查人员须按规定数额配齐；</w:t>
            </w:r>
          </w:p>
        </w:tc>
        <w:tc>
          <w:tcPr>
            <w:tcW w:w="624" w:type="dxa"/>
            <w:vAlign w:val="center"/>
          </w:tcPr>
          <w:p>
            <w:pPr>
              <w:spacing w:line="300" w:lineRule="exact"/>
              <w:jc w:val="center"/>
              <w:rPr>
                <w:sz w:val="18"/>
                <w:szCs w:val="18"/>
              </w:rPr>
            </w:pPr>
            <w:r>
              <w:rPr>
                <w:rFonts w:hint="eastAsia"/>
                <w:sz w:val="18"/>
                <w:szCs w:val="18"/>
              </w:rPr>
              <w:t>3</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不及时劝阻，每次扣0. 2分，共3分，公园秩序较差的该项不得分；未按规定配足巡查人员的，按合同规定处置；</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spacing w:line="300" w:lineRule="exact"/>
              <w:jc w:val="center"/>
              <w:rPr>
                <w:sz w:val="18"/>
                <w:szCs w:val="18"/>
              </w:rPr>
            </w:pPr>
          </w:p>
        </w:tc>
        <w:tc>
          <w:tcPr>
            <w:tcW w:w="648" w:type="dxa"/>
            <w:vAlign w:val="center"/>
          </w:tcPr>
          <w:p>
            <w:pPr>
              <w:spacing w:line="300" w:lineRule="exact"/>
              <w:jc w:val="center"/>
              <w:rPr>
                <w:sz w:val="18"/>
                <w:szCs w:val="18"/>
              </w:rPr>
            </w:pPr>
            <w:r>
              <w:rPr>
                <w:rFonts w:hint="eastAsia"/>
                <w:sz w:val="18"/>
                <w:szCs w:val="18"/>
              </w:rPr>
              <w:t>2</w:t>
            </w:r>
          </w:p>
        </w:tc>
        <w:tc>
          <w:tcPr>
            <w:tcW w:w="3784" w:type="dxa"/>
            <w:vAlign w:val="center"/>
          </w:tcPr>
          <w:p>
            <w:pPr>
              <w:spacing w:line="300" w:lineRule="exact"/>
              <w:rPr>
                <w:sz w:val="18"/>
                <w:szCs w:val="18"/>
              </w:rPr>
            </w:pPr>
            <w:r>
              <w:rPr>
                <w:rFonts w:hint="eastAsia"/>
                <w:sz w:val="18"/>
                <w:szCs w:val="18"/>
              </w:rPr>
              <w:t>及时发现和制止破坏绿化、市政设施与私立广告牌等行为，当场制止毁绿、损绿、侵占绿地现象，及时上报业主或行政执法部门；</w:t>
            </w:r>
          </w:p>
        </w:tc>
        <w:tc>
          <w:tcPr>
            <w:tcW w:w="624" w:type="dxa"/>
            <w:vAlign w:val="center"/>
          </w:tcPr>
          <w:p>
            <w:pPr>
              <w:spacing w:line="300" w:lineRule="exact"/>
              <w:jc w:val="center"/>
              <w:rPr>
                <w:sz w:val="18"/>
                <w:szCs w:val="18"/>
              </w:rPr>
            </w:pPr>
            <w:r>
              <w:rPr>
                <w:rFonts w:hint="eastAsia"/>
                <w:sz w:val="18"/>
                <w:szCs w:val="18"/>
              </w:rPr>
              <w:t>3</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不当场有效制止，每次扣0. 5分，未及时上报业主或行政执法部门，每次扣0. 5分，共3分；</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47" w:type="dxa"/>
            <w:vMerge w:val="continue"/>
            <w:vAlign w:val="center"/>
          </w:tcPr>
          <w:p>
            <w:pPr>
              <w:spacing w:line="300" w:lineRule="exact"/>
              <w:jc w:val="center"/>
              <w:rPr>
                <w:sz w:val="18"/>
                <w:szCs w:val="18"/>
              </w:rPr>
            </w:pPr>
          </w:p>
        </w:tc>
        <w:tc>
          <w:tcPr>
            <w:tcW w:w="648" w:type="dxa"/>
            <w:vAlign w:val="center"/>
          </w:tcPr>
          <w:p>
            <w:pPr>
              <w:spacing w:line="300" w:lineRule="exact"/>
              <w:jc w:val="center"/>
              <w:rPr>
                <w:sz w:val="18"/>
                <w:szCs w:val="18"/>
              </w:rPr>
            </w:pPr>
            <w:r>
              <w:rPr>
                <w:rFonts w:hint="eastAsia"/>
                <w:sz w:val="18"/>
                <w:szCs w:val="18"/>
              </w:rPr>
              <w:t>3</w:t>
            </w:r>
          </w:p>
        </w:tc>
        <w:tc>
          <w:tcPr>
            <w:tcW w:w="3784" w:type="dxa"/>
            <w:vAlign w:val="center"/>
          </w:tcPr>
          <w:p>
            <w:pPr>
              <w:spacing w:line="300" w:lineRule="exact"/>
              <w:rPr>
                <w:sz w:val="18"/>
                <w:szCs w:val="18"/>
              </w:rPr>
            </w:pPr>
            <w:r>
              <w:rPr>
                <w:rFonts w:hint="eastAsia"/>
                <w:sz w:val="18"/>
                <w:szCs w:val="18"/>
              </w:rPr>
              <w:t>应编制完整的巡查人员值勤计划，巡查人员应统一着装，文明管理，礼貌待人；</w:t>
            </w:r>
          </w:p>
        </w:tc>
        <w:tc>
          <w:tcPr>
            <w:tcW w:w="624" w:type="dxa"/>
            <w:vAlign w:val="center"/>
          </w:tcPr>
          <w:p>
            <w:pPr>
              <w:spacing w:line="300" w:lineRule="exact"/>
              <w:jc w:val="center"/>
              <w:rPr>
                <w:sz w:val="18"/>
                <w:szCs w:val="18"/>
              </w:rPr>
            </w:pPr>
            <w:r>
              <w:rPr>
                <w:rFonts w:hint="eastAsia"/>
                <w:sz w:val="18"/>
                <w:szCs w:val="18"/>
              </w:rPr>
              <w:t>3</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不按要求，每人次扣0. 5分，共3分；</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47" w:type="dxa"/>
            <w:vMerge w:val="continue"/>
            <w:vAlign w:val="center"/>
          </w:tcPr>
          <w:p>
            <w:pPr>
              <w:spacing w:line="300" w:lineRule="exact"/>
              <w:jc w:val="center"/>
              <w:rPr>
                <w:sz w:val="18"/>
                <w:szCs w:val="18"/>
              </w:rPr>
            </w:pPr>
          </w:p>
        </w:tc>
        <w:tc>
          <w:tcPr>
            <w:tcW w:w="648" w:type="dxa"/>
            <w:vAlign w:val="center"/>
          </w:tcPr>
          <w:p>
            <w:pPr>
              <w:spacing w:line="300" w:lineRule="exact"/>
              <w:jc w:val="center"/>
              <w:rPr>
                <w:sz w:val="18"/>
                <w:szCs w:val="18"/>
              </w:rPr>
            </w:pPr>
            <w:r>
              <w:rPr>
                <w:rFonts w:hint="eastAsia"/>
                <w:sz w:val="18"/>
                <w:szCs w:val="18"/>
              </w:rPr>
              <w:t>4</w:t>
            </w:r>
          </w:p>
        </w:tc>
        <w:tc>
          <w:tcPr>
            <w:tcW w:w="3784" w:type="dxa"/>
            <w:vAlign w:val="center"/>
          </w:tcPr>
          <w:p>
            <w:pPr>
              <w:spacing w:line="300" w:lineRule="exact"/>
              <w:rPr>
                <w:sz w:val="18"/>
                <w:szCs w:val="18"/>
              </w:rPr>
            </w:pPr>
            <w:r>
              <w:rPr>
                <w:rFonts w:hint="eastAsia"/>
                <w:sz w:val="18"/>
                <w:szCs w:val="18"/>
              </w:rPr>
              <w:t>完善规章制度，做好交接班记录；</w:t>
            </w:r>
          </w:p>
        </w:tc>
        <w:tc>
          <w:tcPr>
            <w:tcW w:w="624" w:type="dxa"/>
            <w:vAlign w:val="center"/>
          </w:tcPr>
          <w:p>
            <w:pPr>
              <w:spacing w:line="300" w:lineRule="exact"/>
              <w:jc w:val="center"/>
              <w:rPr>
                <w:sz w:val="18"/>
                <w:szCs w:val="18"/>
              </w:rPr>
            </w:pPr>
            <w:r>
              <w:rPr>
                <w:rFonts w:hint="eastAsia"/>
                <w:sz w:val="18"/>
                <w:szCs w:val="18"/>
              </w:rPr>
              <w:t>2</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未按规定执行的，每次扣0.5分，共2分；</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spacing w:line="300" w:lineRule="exact"/>
              <w:jc w:val="center"/>
              <w:rPr>
                <w:sz w:val="18"/>
                <w:szCs w:val="18"/>
              </w:rPr>
            </w:pPr>
          </w:p>
        </w:tc>
        <w:tc>
          <w:tcPr>
            <w:tcW w:w="648" w:type="dxa"/>
            <w:vAlign w:val="center"/>
          </w:tcPr>
          <w:p>
            <w:pPr>
              <w:spacing w:line="300" w:lineRule="exact"/>
              <w:jc w:val="center"/>
              <w:rPr>
                <w:sz w:val="18"/>
                <w:szCs w:val="18"/>
              </w:rPr>
            </w:pPr>
            <w:r>
              <w:rPr>
                <w:rFonts w:hint="eastAsia"/>
                <w:sz w:val="18"/>
                <w:szCs w:val="18"/>
              </w:rPr>
              <w:t>5</w:t>
            </w:r>
          </w:p>
        </w:tc>
        <w:tc>
          <w:tcPr>
            <w:tcW w:w="3784" w:type="dxa"/>
            <w:vAlign w:val="center"/>
          </w:tcPr>
          <w:p>
            <w:pPr>
              <w:spacing w:line="300" w:lineRule="exact"/>
              <w:rPr>
                <w:sz w:val="18"/>
                <w:szCs w:val="18"/>
              </w:rPr>
            </w:pPr>
            <w:r>
              <w:rPr>
                <w:rFonts w:hint="eastAsia"/>
                <w:sz w:val="18"/>
                <w:szCs w:val="18"/>
              </w:rPr>
              <w:t>有固定联系电话，无投诉、曝光事件发生；</w:t>
            </w:r>
          </w:p>
        </w:tc>
        <w:tc>
          <w:tcPr>
            <w:tcW w:w="624" w:type="dxa"/>
            <w:vAlign w:val="center"/>
          </w:tcPr>
          <w:p>
            <w:pPr>
              <w:spacing w:line="300" w:lineRule="exact"/>
              <w:jc w:val="center"/>
              <w:rPr>
                <w:sz w:val="18"/>
                <w:szCs w:val="18"/>
              </w:rPr>
            </w:pPr>
            <w:r>
              <w:rPr>
                <w:rFonts w:hint="eastAsia"/>
                <w:sz w:val="18"/>
                <w:szCs w:val="18"/>
              </w:rPr>
              <w:t>2</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联系电话半小时无人应接，扣0. 5分，共2分；被投诉、曝光的该项不得分；</w:t>
            </w:r>
          </w:p>
        </w:tc>
        <w:tc>
          <w:tcPr>
            <w:tcW w:w="616" w:type="dxa"/>
          </w:tcPr>
          <w:p>
            <w:pPr>
              <w:spacing w:line="3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tcPr>
          <w:p>
            <w:pPr>
              <w:spacing w:line="300" w:lineRule="exact"/>
              <w:jc w:val="center"/>
              <w:rPr>
                <w:sz w:val="18"/>
                <w:szCs w:val="18"/>
              </w:rPr>
            </w:pPr>
          </w:p>
        </w:tc>
        <w:tc>
          <w:tcPr>
            <w:tcW w:w="648" w:type="dxa"/>
            <w:vAlign w:val="center"/>
          </w:tcPr>
          <w:p>
            <w:pPr>
              <w:spacing w:line="300" w:lineRule="exact"/>
              <w:jc w:val="center"/>
              <w:rPr>
                <w:sz w:val="18"/>
                <w:szCs w:val="18"/>
              </w:rPr>
            </w:pPr>
            <w:r>
              <w:rPr>
                <w:rFonts w:hint="eastAsia"/>
                <w:sz w:val="18"/>
                <w:szCs w:val="18"/>
              </w:rPr>
              <w:t>6</w:t>
            </w:r>
          </w:p>
        </w:tc>
        <w:tc>
          <w:tcPr>
            <w:tcW w:w="3784" w:type="dxa"/>
            <w:vAlign w:val="center"/>
          </w:tcPr>
          <w:p>
            <w:pPr>
              <w:spacing w:line="300" w:lineRule="exact"/>
              <w:rPr>
                <w:sz w:val="18"/>
                <w:szCs w:val="18"/>
              </w:rPr>
            </w:pPr>
            <w:r>
              <w:rPr>
                <w:rFonts w:hint="eastAsia"/>
                <w:sz w:val="18"/>
                <w:szCs w:val="18"/>
              </w:rPr>
              <w:t>做好责任区域内的治安、消防等管理工作，发现问题及时处置。</w:t>
            </w:r>
          </w:p>
        </w:tc>
        <w:tc>
          <w:tcPr>
            <w:tcW w:w="624" w:type="dxa"/>
            <w:vAlign w:val="center"/>
          </w:tcPr>
          <w:p>
            <w:pPr>
              <w:spacing w:line="300" w:lineRule="exact"/>
              <w:jc w:val="center"/>
              <w:rPr>
                <w:sz w:val="18"/>
                <w:szCs w:val="18"/>
              </w:rPr>
            </w:pPr>
            <w:r>
              <w:rPr>
                <w:rFonts w:hint="eastAsia"/>
                <w:sz w:val="18"/>
                <w:szCs w:val="18"/>
              </w:rPr>
              <w:t>2</w:t>
            </w:r>
          </w:p>
          <w:p>
            <w:pPr>
              <w:spacing w:line="300" w:lineRule="exact"/>
              <w:jc w:val="center"/>
              <w:rPr>
                <w:sz w:val="18"/>
                <w:szCs w:val="18"/>
              </w:rPr>
            </w:pPr>
            <w:r>
              <w:rPr>
                <w:rFonts w:hint="eastAsia"/>
                <w:sz w:val="18"/>
                <w:szCs w:val="18"/>
              </w:rPr>
              <w:t>分</w:t>
            </w:r>
          </w:p>
        </w:tc>
        <w:tc>
          <w:tcPr>
            <w:tcW w:w="4155" w:type="dxa"/>
            <w:vAlign w:val="center"/>
          </w:tcPr>
          <w:p>
            <w:pPr>
              <w:spacing w:line="300" w:lineRule="exact"/>
              <w:rPr>
                <w:sz w:val="18"/>
                <w:szCs w:val="18"/>
              </w:rPr>
            </w:pPr>
            <w:r>
              <w:rPr>
                <w:rFonts w:hint="eastAsia"/>
                <w:sz w:val="18"/>
                <w:szCs w:val="18"/>
              </w:rPr>
              <w:t>发生治安事件或消防隐患时未及时报警或处置不力的，每起扣2分，共2分；酿成重大治安事件的，按规定处理。</w:t>
            </w:r>
          </w:p>
        </w:tc>
        <w:tc>
          <w:tcPr>
            <w:tcW w:w="616" w:type="dxa"/>
          </w:tcPr>
          <w:p>
            <w:pPr>
              <w:spacing w:line="300" w:lineRule="exact"/>
              <w:rPr>
                <w:sz w:val="18"/>
                <w:szCs w:val="18"/>
              </w:rPr>
            </w:pPr>
          </w:p>
        </w:tc>
      </w:tr>
    </w:tbl>
    <w:p>
      <w:pPr>
        <w:spacing w:line="480" w:lineRule="exact"/>
        <w:rPr>
          <w:b/>
          <w:sz w:val="24"/>
          <w:szCs w:val="24"/>
        </w:rPr>
      </w:pPr>
    </w:p>
    <w:p>
      <w:pPr>
        <w:spacing w:line="480" w:lineRule="exact"/>
        <w:rPr>
          <w:b/>
          <w:sz w:val="24"/>
          <w:szCs w:val="24"/>
        </w:rPr>
      </w:pPr>
    </w:p>
    <w:p>
      <w:pPr>
        <w:spacing w:line="380" w:lineRule="exact"/>
        <w:rPr>
          <w:b/>
          <w:szCs w:val="21"/>
        </w:rPr>
      </w:pPr>
      <w:r>
        <w:rPr>
          <w:rFonts w:hint="eastAsia"/>
          <w:b/>
          <w:szCs w:val="21"/>
        </w:rPr>
        <w:t>附：公园巡查人员工作守则和岗位职责</w:t>
      </w:r>
    </w:p>
    <w:p>
      <w:pPr>
        <w:spacing w:line="380" w:lineRule="exact"/>
        <w:rPr>
          <w:szCs w:val="21"/>
        </w:rPr>
      </w:pPr>
      <w:r>
        <w:rPr>
          <w:szCs w:val="21"/>
        </w:rPr>
        <w:t>一、</w:t>
      </w:r>
      <w:r>
        <w:rPr>
          <w:rFonts w:hint="eastAsia"/>
          <w:szCs w:val="21"/>
        </w:rPr>
        <w:t>公园巡查人员工作守则</w:t>
      </w:r>
    </w:p>
    <w:p>
      <w:pPr>
        <w:spacing w:line="380" w:lineRule="exact"/>
        <w:rPr>
          <w:szCs w:val="21"/>
        </w:rPr>
      </w:pPr>
      <w:r>
        <w:rPr>
          <w:rFonts w:hint="eastAsia"/>
          <w:szCs w:val="21"/>
        </w:rPr>
        <w:t>1、遵守国家的法律法规和公园的各项规章制度；</w:t>
      </w:r>
    </w:p>
    <w:p>
      <w:pPr>
        <w:spacing w:line="380" w:lineRule="exact"/>
        <w:rPr>
          <w:szCs w:val="21"/>
        </w:rPr>
      </w:pPr>
      <w:r>
        <w:rPr>
          <w:rFonts w:hint="eastAsia"/>
          <w:szCs w:val="21"/>
        </w:rPr>
        <w:t>2、严禁酒后上班及值勤时饮酒，严禁在禁止区域内吸烟；</w:t>
      </w:r>
    </w:p>
    <w:p>
      <w:pPr>
        <w:spacing w:line="380" w:lineRule="exact"/>
        <w:rPr>
          <w:szCs w:val="21"/>
        </w:rPr>
      </w:pPr>
      <w:r>
        <w:rPr>
          <w:rFonts w:hint="eastAsia"/>
          <w:szCs w:val="21"/>
        </w:rPr>
        <w:t>3、严禁在值勤时打瞌睡、躺岗、睡岗、离岗和脱岗；</w:t>
      </w:r>
    </w:p>
    <w:p>
      <w:pPr>
        <w:spacing w:line="380" w:lineRule="exact"/>
        <w:rPr>
          <w:szCs w:val="21"/>
        </w:rPr>
      </w:pPr>
      <w:r>
        <w:rPr>
          <w:rFonts w:hint="eastAsia"/>
          <w:szCs w:val="21"/>
        </w:rPr>
        <w:t>4、严禁工作期间下棋、打牌、玩手机及做与工作无关的事情；</w:t>
      </w:r>
    </w:p>
    <w:p>
      <w:pPr>
        <w:spacing w:line="380" w:lineRule="exact"/>
        <w:rPr>
          <w:szCs w:val="21"/>
        </w:rPr>
      </w:pPr>
      <w:r>
        <w:rPr>
          <w:rFonts w:hint="eastAsia"/>
          <w:szCs w:val="21"/>
        </w:rPr>
        <w:t>5、爱岗敬业、工作踏实，尊老爱幼、和睦相处、服从管理；</w:t>
      </w:r>
    </w:p>
    <w:p>
      <w:pPr>
        <w:spacing w:line="380" w:lineRule="exact"/>
        <w:rPr>
          <w:szCs w:val="21"/>
        </w:rPr>
      </w:pPr>
      <w:r>
        <w:rPr>
          <w:rFonts w:hint="eastAsia"/>
          <w:szCs w:val="21"/>
        </w:rPr>
        <w:t>6、遵守“七不准”即：不准在上班时间不穿制服或衣着不整；不准隐瞒和虚报情况；不准辱骂、侮辱他人；不准殴打他人或参与打架斗殴；不准在工作时间饮酒或酗酒闹事；不准在公园内从事经营活动或协助他人在公园内从事经营活动；不准以任何名义损害单位的合法权益；</w:t>
      </w:r>
    </w:p>
    <w:p>
      <w:pPr>
        <w:spacing w:line="380" w:lineRule="exact"/>
        <w:rPr>
          <w:szCs w:val="21"/>
        </w:rPr>
      </w:pPr>
      <w:r>
        <w:rPr>
          <w:rFonts w:hint="eastAsia"/>
          <w:szCs w:val="21"/>
        </w:rPr>
        <w:t>7、忠于职守、工作认真负责，勇于同违法行为作斗争；</w:t>
      </w:r>
    </w:p>
    <w:p>
      <w:pPr>
        <w:spacing w:line="380" w:lineRule="exact"/>
        <w:rPr>
          <w:szCs w:val="21"/>
        </w:rPr>
      </w:pPr>
      <w:r>
        <w:rPr>
          <w:rFonts w:hint="eastAsia"/>
          <w:szCs w:val="21"/>
        </w:rPr>
        <w:t>8、在工作或值勤时必须做到三个一样，考一核检查时与未考核检查时一个样；白天与晚上一个样，晴天与下雨天一个样。</w:t>
      </w:r>
    </w:p>
    <w:p>
      <w:pPr>
        <w:spacing w:line="380" w:lineRule="exact"/>
        <w:rPr>
          <w:szCs w:val="21"/>
        </w:rPr>
      </w:pPr>
      <w:r>
        <w:rPr>
          <w:rFonts w:hint="eastAsia"/>
          <w:szCs w:val="21"/>
        </w:rPr>
        <w:t>二、巡查岗位职责</w:t>
      </w:r>
    </w:p>
    <w:p>
      <w:pPr>
        <w:spacing w:line="380" w:lineRule="exact"/>
        <w:rPr>
          <w:szCs w:val="21"/>
        </w:rPr>
      </w:pPr>
      <w:r>
        <w:rPr>
          <w:rFonts w:hint="eastAsia"/>
          <w:szCs w:val="21"/>
        </w:rPr>
        <w:t>1、严格执行公园管理各项规章制度，遵守作息时间，严格规范着装，认真开展依法值勤，加强公园日常管理，确保公园内安全、有序、和谐、文明，认真做好值班和交接班记录，做到下班不接上班不离，对遗留问题及时与下班交接好并同时做好记录；</w:t>
      </w:r>
    </w:p>
    <w:p>
      <w:pPr>
        <w:spacing w:line="380" w:lineRule="exact"/>
        <w:rPr>
          <w:szCs w:val="21"/>
        </w:rPr>
      </w:pPr>
      <w:r>
        <w:rPr>
          <w:rFonts w:hint="eastAsia"/>
          <w:szCs w:val="21"/>
        </w:rPr>
        <w:t>2、加强公园出入口管理，确保畅通无阻，制止社会车辆、犬类、乞丐、商贩等进入；</w:t>
      </w:r>
    </w:p>
    <w:p>
      <w:pPr>
        <w:spacing w:line="380" w:lineRule="exact"/>
        <w:rPr>
          <w:szCs w:val="21"/>
        </w:rPr>
      </w:pPr>
      <w:r>
        <w:rPr>
          <w:szCs w:val="21"/>
        </w:rPr>
        <w:t>3</w:t>
      </w:r>
      <w:r>
        <w:rPr>
          <w:rFonts w:hint="eastAsia"/>
          <w:szCs w:val="21"/>
        </w:rPr>
        <w:t>、开展全天候巡查工作，杜绝偷盗行为发生，制止游园人员的各种不文明行为（攀折、践踏绿地植物；随意采摘损坏花木；采挖竹笋；遛狗；乱设摊；车辆随意进出；打架斗殴；赌博；乱涂乱画；乱张贴；随地大小便；乱扔垃圾等）严防火灾等灾难事故发生，确保公园内的植物、设施、设备完好无损；</w:t>
      </w:r>
    </w:p>
    <w:p>
      <w:pPr>
        <w:spacing w:line="380" w:lineRule="exact"/>
        <w:rPr>
          <w:szCs w:val="21"/>
        </w:rPr>
      </w:pPr>
      <w:r>
        <w:rPr>
          <w:szCs w:val="21"/>
        </w:rPr>
        <w:t>4</w:t>
      </w:r>
      <w:r>
        <w:rPr>
          <w:rFonts w:hint="eastAsia"/>
          <w:szCs w:val="21"/>
        </w:rPr>
        <w:t>、积极配合公安、城管等部门处理治安及违法事件，维护公园正常游园秩序；</w:t>
      </w:r>
    </w:p>
    <w:p>
      <w:pPr>
        <w:spacing w:line="380" w:lineRule="exact"/>
        <w:rPr>
          <w:szCs w:val="21"/>
        </w:rPr>
      </w:pPr>
      <w:r>
        <w:rPr>
          <w:szCs w:val="21"/>
        </w:rPr>
        <w:t>5</w:t>
      </w:r>
      <w:r>
        <w:rPr>
          <w:rFonts w:hint="eastAsia"/>
          <w:szCs w:val="21"/>
        </w:rPr>
        <w:t>、文明值勤、依法值勤，对待游人态度热情、言语规范，处理问题恰当；</w:t>
      </w:r>
    </w:p>
    <w:p>
      <w:pPr>
        <w:spacing w:line="380" w:lineRule="exact"/>
        <w:rPr>
          <w:szCs w:val="21"/>
        </w:rPr>
      </w:pPr>
      <w:r>
        <w:rPr>
          <w:szCs w:val="21"/>
        </w:rPr>
        <w:t>6</w:t>
      </w:r>
      <w:r>
        <w:rPr>
          <w:rFonts w:hint="eastAsia"/>
          <w:szCs w:val="21"/>
        </w:rPr>
        <w:t>、加强安全管理，确保公园及游人的安全，及时制止游人在水域戏水、游泳；</w:t>
      </w:r>
    </w:p>
    <w:p>
      <w:pPr>
        <w:spacing w:line="380" w:lineRule="exact"/>
        <w:rPr>
          <w:szCs w:val="21"/>
        </w:rPr>
      </w:pPr>
      <w:r>
        <w:rPr>
          <w:szCs w:val="21"/>
        </w:rPr>
        <w:t>7</w:t>
      </w:r>
      <w:r>
        <w:rPr>
          <w:rFonts w:hint="eastAsia"/>
          <w:szCs w:val="21"/>
        </w:rPr>
        <w:t>、认真学习有关森林防火知识，熟练掌握灭火技能，禁止在公园内燃放烟花和孔明灯；</w:t>
      </w:r>
    </w:p>
    <w:p>
      <w:pPr>
        <w:spacing w:line="380" w:lineRule="exact"/>
        <w:rPr>
          <w:szCs w:val="21"/>
        </w:rPr>
      </w:pPr>
      <w:r>
        <w:rPr>
          <w:szCs w:val="21"/>
        </w:rPr>
        <w:t>8</w:t>
      </w:r>
      <w:r>
        <w:rPr>
          <w:rFonts w:hint="eastAsia"/>
          <w:szCs w:val="21"/>
        </w:rPr>
        <w:t>、积极完成县园林管理中心交办的其他各项安保工作任务。</w:t>
      </w:r>
    </w:p>
    <w:p>
      <w:pPr>
        <w:pStyle w:val="171"/>
        <w:spacing w:line="380" w:lineRule="exact"/>
        <w:ind w:firstLine="0" w:firstLineChars="0"/>
        <w:rPr>
          <w:rFonts w:ascii="宋体" w:hAnsi="宋体"/>
          <w:szCs w:val="21"/>
        </w:rPr>
      </w:pPr>
      <w:r>
        <w:rPr>
          <w:rFonts w:hint="eastAsia" w:ascii="宋体" w:hAnsi="宋体"/>
          <w:szCs w:val="21"/>
        </w:rPr>
        <w:t>三、巡查人员不得有下列行为</w:t>
      </w:r>
    </w:p>
    <w:p>
      <w:pPr>
        <w:pStyle w:val="171"/>
        <w:spacing w:line="380" w:lineRule="exact"/>
        <w:ind w:firstLine="0" w:firstLineChars="0"/>
        <w:rPr>
          <w:rFonts w:ascii="宋体" w:hAnsi="宋体"/>
          <w:szCs w:val="21"/>
        </w:rPr>
      </w:pPr>
      <w:r>
        <w:rPr>
          <w:rFonts w:hint="eastAsia" w:ascii="宋体" w:hAnsi="宋体"/>
          <w:szCs w:val="21"/>
        </w:rPr>
        <w:t>1、不得阻碍国家机关工作人员依法执行公务；</w:t>
      </w:r>
    </w:p>
    <w:p>
      <w:pPr>
        <w:pStyle w:val="171"/>
        <w:spacing w:line="380" w:lineRule="exact"/>
        <w:ind w:firstLine="0" w:firstLineChars="0"/>
        <w:rPr>
          <w:rFonts w:ascii="宋体" w:hAnsi="宋体"/>
          <w:szCs w:val="21"/>
        </w:rPr>
      </w:pPr>
      <w:r>
        <w:rPr>
          <w:rFonts w:hint="eastAsia" w:ascii="宋体" w:hAnsi="宋体"/>
          <w:szCs w:val="21"/>
        </w:rPr>
        <w:t>2、不得非法剥夺限制他人人身自由；</w:t>
      </w:r>
    </w:p>
    <w:p>
      <w:pPr>
        <w:pStyle w:val="171"/>
        <w:spacing w:line="380" w:lineRule="exact"/>
        <w:ind w:firstLine="0" w:firstLineChars="0"/>
        <w:rPr>
          <w:rFonts w:ascii="宋体" w:hAnsi="宋体"/>
          <w:szCs w:val="21"/>
        </w:rPr>
      </w:pPr>
      <w:r>
        <w:rPr>
          <w:rFonts w:hint="eastAsia" w:ascii="宋体" w:hAnsi="宋体"/>
          <w:szCs w:val="21"/>
        </w:rPr>
        <w:t>3、不得搜查他人的身体和携带的物品，不得扣押他人的合法证件及财物；</w:t>
      </w:r>
    </w:p>
    <w:p>
      <w:pPr>
        <w:pStyle w:val="171"/>
        <w:spacing w:line="380" w:lineRule="exact"/>
        <w:ind w:firstLine="0" w:firstLineChars="0"/>
        <w:rPr>
          <w:rFonts w:ascii="宋体" w:hAnsi="宋体"/>
          <w:szCs w:val="21"/>
        </w:rPr>
      </w:pPr>
      <w:r>
        <w:rPr>
          <w:rFonts w:hint="eastAsia" w:ascii="宋体" w:hAnsi="宋体"/>
          <w:szCs w:val="21"/>
        </w:rPr>
        <w:t>4、不得辱骂、殴打或唆使殴打他人；</w:t>
      </w:r>
    </w:p>
    <w:p>
      <w:pPr>
        <w:pStyle w:val="171"/>
        <w:spacing w:line="380" w:lineRule="exact"/>
        <w:ind w:firstLine="0" w:firstLineChars="0"/>
        <w:rPr>
          <w:rFonts w:ascii="宋体" w:hAnsi="宋体"/>
          <w:szCs w:val="21"/>
        </w:rPr>
      </w:pPr>
      <w:r>
        <w:rPr>
          <w:rFonts w:hint="eastAsia" w:ascii="宋体" w:hAnsi="宋体"/>
          <w:szCs w:val="21"/>
        </w:rPr>
        <w:t>5、不得私自为他人提供保安服务；</w:t>
      </w:r>
    </w:p>
    <w:p>
      <w:pPr>
        <w:pStyle w:val="171"/>
        <w:spacing w:line="380" w:lineRule="exact"/>
        <w:ind w:firstLine="0" w:firstLineChars="0"/>
        <w:rPr>
          <w:rFonts w:ascii="宋体" w:hAnsi="宋体"/>
          <w:szCs w:val="21"/>
        </w:rPr>
      </w:pPr>
      <w:r>
        <w:rPr>
          <w:rFonts w:hint="eastAsia" w:ascii="宋体" w:hAnsi="宋体"/>
          <w:szCs w:val="21"/>
        </w:rPr>
        <w:t>6、不得为服务单位和他人追索各类债务或者解决劳动纠纷；</w:t>
      </w:r>
    </w:p>
    <w:p>
      <w:pPr>
        <w:pStyle w:val="171"/>
        <w:spacing w:line="380" w:lineRule="exact"/>
        <w:ind w:firstLine="0" w:firstLineChars="0"/>
        <w:rPr>
          <w:rFonts w:ascii="宋体" w:hAnsi="宋体"/>
          <w:szCs w:val="21"/>
        </w:rPr>
      </w:pPr>
      <w:r>
        <w:rPr>
          <w:rFonts w:hint="eastAsia" w:ascii="宋体" w:hAnsi="宋体"/>
          <w:szCs w:val="21"/>
        </w:rPr>
        <w:t>7、不得私自罚款和没收他人财物；</w:t>
      </w:r>
    </w:p>
    <w:p>
      <w:pPr>
        <w:pStyle w:val="171"/>
        <w:spacing w:line="380" w:lineRule="exact"/>
        <w:ind w:firstLine="0" w:firstLineChars="0"/>
        <w:rPr>
          <w:rFonts w:ascii="宋体" w:hAnsi="宋体"/>
          <w:szCs w:val="21"/>
        </w:rPr>
      </w:pPr>
      <w:r>
        <w:rPr>
          <w:rFonts w:ascii="宋体" w:hAnsi="宋体"/>
          <w:szCs w:val="21"/>
        </w:rPr>
        <w:t>8、</w:t>
      </w:r>
      <w:r>
        <w:rPr>
          <w:rFonts w:hint="eastAsia" w:ascii="宋体" w:hAnsi="宋体"/>
          <w:szCs w:val="21"/>
        </w:rPr>
        <w:t>不得有其他超越职权及违反法律、法规的行为。</w:t>
      </w:r>
    </w:p>
    <w:p>
      <w:pPr>
        <w:spacing w:afterLines="50"/>
        <w:rPr>
          <w:b/>
          <w:sz w:val="24"/>
        </w:rPr>
      </w:pPr>
    </w:p>
    <w:p>
      <w:pPr>
        <w:spacing w:afterLines="50"/>
        <w:rPr>
          <w:b/>
          <w:sz w:val="24"/>
        </w:rPr>
      </w:pPr>
      <w:r>
        <w:rPr>
          <w:rFonts w:hint="eastAsia"/>
          <w:b/>
          <w:sz w:val="24"/>
        </w:rPr>
        <w:t>二、道路及小区绿地</w:t>
      </w:r>
    </w:p>
    <w:tbl>
      <w:tblPr>
        <w:tblStyle w:val="46"/>
        <w:tblW w:w="10295"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48"/>
        <w:gridCol w:w="3791"/>
        <w:gridCol w:w="616"/>
        <w:gridCol w:w="4067"/>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jc w:val="center"/>
              <w:rPr>
                <w:szCs w:val="21"/>
              </w:rPr>
            </w:pPr>
            <w:r>
              <w:rPr>
                <w:rFonts w:hint="eastAsia"/>
                <w:szCs w:val="21"/>
              </w:rPr>
              <w:t>内</w:t>
            </w:r>
          </w:p>
          <w:p>
            <w:pPr>
              <w:jc w:val="center"/>
              <w:rPr>
                <w:szCs w:val="21"/>
              </w:rPr>
            </w:pPr>
            <w:r>
              <w:rPr>
                <w:rFonts w:hint="eastAsia"/>
                <w:szCs w:val="21"/>
              </w:rPr>
              <w:t>容</w:t>
            </w:r>
          </w:p>
        </w:tc>
        <w:tc>
          <w:tcPr>
            <w:tcW w:w="648" w:type="dxa"/>
            <w:vAlign w:val="center"/>
          </w:tcPr>
          <w:p>
            <w:pPr>
              <w:jc w:val="center"/>
              <w:rPr>
                <w:szCs w:val="21"/>
              </w:rPr>
            </w:pPr>
            <w:r>
              <w:rPr>
                <w:rFonts w:hint="eastAsia"/>
                <w:szCs w:val="21"/>
              </w:rPr>
              <w:t>序</w:t>
            </w:r>
          </w:p>
          <w:p>
            <w:pPr>
              <w:jc w:val="center"/>
              <w:rPr>
                <w:szCs w:val="21"/>
              </w:rPr>
            </w:pPr>
            <w:r>
              <w:rPr>
                <w:rFonts w:hint="eastAsia"/>
                <w:szCs w:val="21"/>
              </w:rPr>
              <w:t>号</w:t>
            </w:r>
          </w:p>
        </w:tc>
        <w:tc>
          <w:tcPr>
            <w:tcW w:w="3791" w:type="dxa"/>
            <w:vAlign w:val="center"/>
          </w:tcPr>
          <w:p>
            <w:pPr>
              <w:jc w:val="center"/>
              <w:rPr>
                <w:szCs w:val="21"/>
              </w:rPr>
            </w:pPr>
            <w:r>
              <w:rPr>
                <w:rFonts w:hint="eastAsia"/>
                <w:szCs w:val="21"/>
              </w:rPr>
              <w:t>质量标准</w:t>
            </w:r>
          </w:p>
        </w:tc>
        <w:tc>
          <w:tcPr>
            <w:tcW w:w="616" w:type="dxa"/>
            <w:vAlign w:val="center"/>
          </w:tcPr>
          <w:p>
            <w:pPr>
              <w:jc w:val="center"/>
              <w:rPr>
                <w:szCs w:val="21"/>
              </w:rPr>
            </w:pPr>
            <w:r>
              <w:rPr>
                <w:rFonts w:hint="eastAsia"/>
                <w:szCs w:val="21"/>
              </w:rPr>
              <w:t>满</w:t>
            </w:r>
          </w:p>
          <w:p>
            <w:pPr>
              <w:jc w:val="center"/>
              <w:rPr>
                <w:szCs w:val="21"/>
              </w:rPr>
            </w:pPr>
            <w:r>
              <w:rPr>
                <w:rFonts w:hint="eastAsia"/>
                <w:szCs w:val="21"/>
              </w:rPr>
              <w:t>分</w:t>
            </w:r>
          </w:p>
        </w:tc>
        <w:tc>
          <w:tcPr>
            <w:tcW w:w="4067" w:type="dxa"/>
            <w:vAlign w:val="center"/>
          </w:tcPr>
          <w:p>
            <w:pPr>
              <w:jc w:val="center"/>
              <w:rPr>
                <w:szCs w:val="21"/>
              </w:rPr>
            </w:pPr>
            <w:r>
              <w:rPr>
                <w:rFonts w:hint="eastAsia"/>
                <w:szCs w:val="21"/>
              </w:rPr>
              <w:t>考核标准</w:t>
            </w:r>
          </w:p>
        </w:tc>
        <w:tc>
          <w:tcPr>
            <w:tcW w:w="525" w:type="dxa"/>
            <w:vAlign w:val="center"/>
          </w:tcPr>
          <w:p>
            <w:pPr>
              <w:jc w:val="center"/>
              <w:rPr>
                <w:szCs w:val="21"/>
              </w:rPr>
            </w:pPr>
            <w:r>
              <w:rPr>
                <w:rFonts w:hint="eastAsia"/>
                <w:szCs w:val="21"/>
              </w:rPr>
              <w:t>得</w:t>
            </w:r>
          </w:p>
          <w:p>
            <w:pPr>
              <w:jc w:val="center"/>
              <w:rPr>
                <w:szCs w:val="21"/>
              </w:rPr>
            </w:pP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8" w:type="dxa"/>
            <w:vMerge w:val="restart"/>
            <w:vAlign w:val="center"/>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b/>
                <w:sz w:val="24"/>
              </w:rPr>
            </w:pPr>
            <w:r>
              <w:rPr>
                <w:rFonts w:hint="eastAsia"/>
                <w:b/>
                <w:sz w:val="24"/>
              </w:rPr>
              <w:t>一</w:t>
            </w:r>
          </w:p>
          <w:p>
            <w:pPr>
              <w:jc w:val="center"/>
              <w:rPr>
                <w:sz w:val="18"/>
                <w:szCs w:val="18"/>
              </w:rPr>
            </w:pPr>
          </w:p>
          <w:p>
            <w:pPr>
              <w:jc w:val="center"/>
              <w:rPr>
                <w:sz w:val="18"/>
                <w:szCs w:val="18"/>
              </w:rPr>
            </w:pPr>
          </w:p>
          <w:p>
            <w:pPr>
              <w:jc w:val="center"/>
              <w:rPr>
                <w:b/>
                <w:sz w:val="24"/>
              </w:rPr>
            </w:pPr>
            <w:r>
              <w:rPr>
                <w:rFonts w:hint="eastAsia"/>
                <w:b/>
                <w:sz w:val="24"/>
              </w:rPr>
              <w:t>植</w:t>
            </w:r>
          </w:p>
          <w:p>
            <w:pPr>
              <w:jc w:val="center"/>
              <w:rPr>
                <w:b/>
                <w:sz w:val="24"/>
              </w:rPr>
            </w:pPr>
          </w:p>
          <w:p>
            <w:pPr>
              <w:jc w:val="center"/>
              <w:rPr>
                <w:b/>
                <w:sz w:val="24"/>
              </w:rPr>
            </w:pPr>
            <w:r>
              <w:rPr>
                <w:rFonts w:hint="eastAsia"/>
                <w:b/>
                <w:sz w:val="24"/>
              </w:rPr>
              <w:t>物</w:t>
            </w:r>
          </w:p>
          <w:p>
            <w:pPr>
              <w:jc w:val="center"/>
              <w:rPr>
                <w:b/>
                <w:sz w:val="24"/>
              </w:rPr>
            </w:pPr>
          </w:p>
          <w:p>
            <w:pPr>
              <w:jc w:val="center"/>
              <w:rPr>
                <w:b/>
                <w:sz w:val="24"/>
              </w:rPr>
            </w:pPr>
            <w:r>
              <w:rPr>
                <w:rFonts w:hint="eastAsia"/>
                <w:b/>
                <w:sz w:val="24"/>
              </w:rPr>
              <w:t>景</w:t>
            </w:r>
          </w:p>
          <w:p>
            <w:pPr>
              <w:jc w:val="center"/>
              <w:rPr>
                <w:b/>
                <w:sz w:val="24"/>
              </w:rPr>
            </w:pPr>
          </w:p>
          <w:p>
            <w:pPr>
              <w:jc w:val="center"/>
              <w:rPr>
                <w:b/>
                <w:sz w:val="24"/>
              </w:rPr>
            </w:pPr>
            <w:r>
              <w:rPr>
                <w:rFonts w:hint="eastAsia"/>
                <w:b/>
                <w:sz w:val="24"/>
              </w:rPr>
              <w:t>观</w:t>
            </w:r>
          </w:p>
          <w:p>
            <w:pPr>
              <w:jc w:val="center"/>
              <w:rPr>
                <w:b/>
                <w:sz w:val="24"/>
              </w:rPr>
            </w:pPr>
          </w:p>
          <w:p>
            <w:pPr>
              <w:jc w:val="center"/>
              <w:rPr>
                <w:b/>
                <w:sz w:val="24"/>
              </w:rPr>
            </w:pPr>
            <w:r>
              <w:rPr>
                <w:rFonts w:hint="eastAsia"/>
                <w:b/>
                <w:sz w:val="24"/>
              </w:rPr>
              <w:t>养</w:t>
            </w:r>
          </w:p>
          <w:p>
            <w:pPr>
              <w:jc w:val="center"/>
              <w:rPr>
                <w:b/>
                <w:sz w:val="24"/>
              </w:rPr>
            </w:pPr>
          </w:p>
          <w:p>
            <w:pPr>
              <w:jc w:val="center"/>
              <w:rPr>
                <w:b/>
                <w:sz w:val="24"/>
              </w:rPr>
            </w:pPr>
            <w:r>
              <w:rPr>
                <w:rFonts w:hint="eastAsia"/>
                <w:b/>
                <w:sz w:val="24"/>
              </w:rPr>
              <w:t>护</w:t>
            </w:r>
          </w:p>
          <w:p>
            <w:pPr>
              <w:jc w:val="center"/>
              <w:rPr>
                <w:b/>
                <w:sz w:val="24"/>
              </w:rPr>
            </w:pPr>
          </w:p>
          <w:p>
            <w:pPr>
              <w:jc w:val="center"/>
              <w:rPr>
                <w:b/>
                <w:sz w:val="24"/>
              </w:rPr>
            </w:pPr>
          </w:p>
          <w:p>
            <w:pPr>
              <w:jc w:val="center"/>
              <w:rPr>
                <w:b/>
                <w:sz w:val="24"/>
              </w:rPr>
            </w:pPr>
            <w:r>
              <w:rPr>
                <w:rFonts w:hint="eastAsia"/>
                <w:b/>
                <w:sz w:val="24"/>
              </w:rPr>
              <w:t>共</w:t>
            </w:r>
          </w:p>
          <w:p>
            <w:pPr>
              <w:jc w:val="center"/>
              <w:rPr>
                <w:b/>
                <w:sz w:val="24"/>
              </w:rPr>
            </w:pPr>
          </w:p>
          <w:p>
            <w:pPr>
              <w:jc w:val="center"/>
              <w:rPr>
                <w:b/>
                <w:sz w:val="24"/>
              </w:rPr>
            </w:pPr>
            <w:r>
              <w:rPr>
                <w:rFonts w:hint="eastAsia"/>
                <w:b/>
                <w:sz w:val="24"/>
              </w:rPr>
              <w:t>85</w:t>
            </w:r>
          </w:p>
          <w:p>
            <w:pPr>
              <w:jc w:val="center"/>
              <w:rPr>
                <w:b/>
                <w:sz w:val="24"/>
              </w:rPr>
            </w:pPr>
          </w:p>
          <w:p>
            <w:pPr>
              <w:jc w:val="center"/>
              <w:rPr>
                <w:sz w:val="18"/>
                <w:szCs w:val="18"/>
              </w:rPr>
            </w:pPr>
            <w:r>
              <w:rPr>
                <w:rFonts w:hint="eastAsia"/>
                <w:b/>
                <w:sz w:val="24"/>
              </w:rPr>
              <w:t>分</w:t>
            </w:r>
          </w:p>
        </w:tc>
        <w:tc>
          <w:tcPr>
            <w:tcW w:w="648" w:type="dxa"/>
            <w:vAlign w:val="center"/>
          </w:tcPr>
          <w:p>
            <w:pPr>
              <w:jc w:val="center"/>
              <w:rPr>
                <w:sz w:val="18"/>
                <w:szCs w:val="18"/>
              </w:rPr>
            </w:pPr>
            <w:r>
              <w:rPr>
                <w:rFonts w:hint="eastAsia"/>
                <w:sz w:val="18"/>
                <w:szCs w:val="18"/>
              </w:rPr>
              <w:t>1</w:t>
            </w:r>
          </w:p>
        </w:tc>
        <w:tc>
          <w:tcPr>
            <w:tcW w:w="3791" w:type="dxa"/>
            <w:vAlign w:val="center"/>
          </w:tcPr>
          <w:p>
            <w:pPr>
              <w:spacing w:line="240" w:lineRule="exact"/>
              <w:rPr>
                <w:sz w:val="18"/>
                <w:szCs w:val="18"/>
              </w:rPr>
            </w:pPr>
            <w:r>
              <w:rPr>
                <w:rFonts w:hint="eastAsia"/>
                <w:sz w:val="18"/>
                <w:szCs w:val="18"/>
              </w:rPr>
              <w:t>无死树、枯枝，树木保存率95%以上，有死亡树木及时清理，适时补植；</w:t>
            </w:r>
          </w:p>
        </w:tc>
        <w:tc>
          <w:tcPr>
            <w:tcW w:w="616" w:type="dxa"/>
            <w:vAlign w:val="center"/>
          </w:tcPr>
          <w:p>
            <w:pPr>
              <w:spacing w:line="240" w:lineRule="exact"/>
              <w:jc w:val="center"/>
              <w:rPr>
                <w:sz w:val="18"/>
                <w:szCs w:val="18"/>
              </w:rPr>
            </w:pPr>
            <w:r>
              <w:rPr>
                <w:rFonts w:hint="eastAsia"/>
                <w:sz w:val="18"/>
                <w:szCs w:val="18"/>
              </w:rPr>
              <w:t>6</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树木保存率95%以下扣1分，90%以下不得分；死亡树木未及时清理，每株扣0. 5分，共6分；未适时补植，该项不得分；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2</w:t>
            </w:r>
          </w:p>
        </w:tc>
        <w:tc>
          <w:tcPr>
            <w:tcW w:w="3791" w:type="dxa"/>
            <w:vAlign w:val="center"/>
          </w:tcPr>
          <w:p>
            <w:pPr>
              <w:spacing w:line="240" w:lineRule="exact"/>
              <w:rPr>
                <w:sz w:val="18"/>
                <w:szCs w:val="18"/>
              </w:rPr>
            </w:pPr>
            <w:r>
              <w:rPr>
                <w:rFonts w:hint="eastAsia"/>
                <w:sz w:val="18"/>
                <w:szCs w:val="18"/>
              </w:rPr>
              <w:t>绿篱、色块植物整齐、无残缺，灌木、地被植物保存率95%以上，死亡植物及时清理，适时补植；</w:t>
            </w:r>
          </w:p>
        </w:tc>
        <w:tc>
          <w:tcPr>
            <w:tcW w:w="616" w:type="dxa"/>
            <w:vAlign w:val="center"/>
          </w:tcPr>
          <w:p>
            <w:pPr>
              <w:spacing w:line="240" w:lineRule="exact"/>
              <w:jc w:val="center"/>
              <w:rPr>
                <w:sz w:val="18"/>
                <w:szCs w:val="18"/>
              </w:rPr>
            </w:pPr>
            <w:r>
              <w:rPr>
                <w:rFonts w:hint="eastAsia"/>
                <w:sz w:val="18"/>
                <w:szCs w:val="18"/>
              </w:rPr>
              <w:t>8</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绿篱、色块、灌木或地被每缺</w:t>
            </w:r>
            <w:r>
              <w:rPr>
                <w:rFonts w:hint="eastAsia" w:ascii="宋体" w:hAnsi="宋体"/>
                <w:sz w:val="18"/>
                <w:szCs w:val="18"/>
              </w:rPr>
              <w:t>1㎡</w:t>
            </w:r>
            <w:r>
              <w:rPr>
                <w:rFonts w:hint="eastAsia"/>
                <w:sz w:val="18"/>
                <w:szCs w:val="18"/>
              </w:rPr>
              <w:t>，扣0. 2分，未及时清除，每株或每</w:t>
            </w:r>
            <w:r>
              <w:rPr>
                <w:rFonts w:hint="eastAsia" w:ascii="宋体" w:hAnsi="宋体"/>
                <w:sz w:val="18"/>
                <w:szCs w:val="18"/>
              </w:rPr>
              <w:t>㎡</w:t>
            </w:r>
            <w:r>
              <w:rPr>
                <w:rFonts w:hint="eastAsia"/>
                <w:sz w:val="18"/>
                <w:szCs w:val="18"/>
              </w:rPr>
              <w:t>扣0. 2分，共8分；未适时补植，该项不得分；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3</w:t>
            </w:r>
          </w:p>
        </w:tc>
        <w:tc>
          <w:tcPr>
            <w:tcW w:w="3791" w:type="dxa"/>
            <w:vAlign w:val="center"/>
          </w:tcPr>
          <w:p>
            <w:pPr>
              <w:spacing w:line="240" w:lineRule="exact"/>
              <w:rPr>
                <w:sz w:val="18"/>
                <w:szCs w:val="18"/>
              </w:rPr>
            </w:pPr>
            <w:r>
              <w:rPr>
                <w:rFonts w:hint="eastAsia"/>
                <w:sz w:val="18"/>
                <w:szCs w:val="18"/>
              </w:rPr>
              <w:t>树木优美健壮、生长旺盛，根据技术规程要</w:t>
            </w:r>
          </w:p>
          <w:p>
            <w:pPr>
              <w:spacing w:line="240" w:lineRule="exact"/>
              <w:rPr>
                <w:sz w:val="18"/>
                <w:szCs w:val="18"/>
              </w:rPr>
            </w:pPr>
            <w:r>
              <w:rPr>
                <w:rFonts w:hint="eastAsia"/>
                <w:sz w:val="18"/>
                <w:szCs w:val="18"/>
              </w:rPr>
              <w:t>求，每年适时进行一次全面的整形修剪；</w:t>
            </w:r>
          </w:p>
        </w:tc>
        <w:tc>
          <w:tcPr>
            <w:tcW w:w="616" w:type="dxa"/>
            <w:vAlign w:val="center"/>
          </w:tcPr>
          <w:p>
            <w:pPr>
              <w:spacing w:line="240" w:lineRule="exact"/>
              <w:jc w:val="center"/>
              <w:rPr>
                <w:sz w:val="18"/>
                <w:szCs w:val="18"/>
              </w:rPr>
            </w:pPr>
            <w:r>
              <w:rPr>
                <w:rFonts w:hint="eastAsia"/>
                <w:sz w:val="18"/>
                <w:szCs w:val="18"/>
              </w:rPr>
              <w:t>6</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不按技术规程要求操作，整形修剪影响树木景观的，每株扣 0.5分，共6分；未适时整形修剪或严重影响景观的，该项不得分；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4</w:t>
            </w:r>
          </w:p>
        </w:tc>
        <w:tc>
          <w:tcPr>
            <w:tcW w:w="3791" w:type="dxa"/>
            <w:vAlign w:val="center"/>
          </w:tcPr>
          <w:p>
            <w:pPr>
              <w:spacing w:line="240" w:lineRule="exact"/>
              <w:rPr>
                <w:sz w:val="18"/>
                <w:szCs w:val="18"/>
              </w:rPr>
            </w:pPr>
            <w:r>
              <w:rPr>
                <w:rFonts w:hint="eastAsia"/>
                <w:sz w:val="18"/>
                <w:szCs w:val="18"/>
              </w:rPr>
              <w:t>灌木、绿篱及色块植物经常修剪，造型平整、切边规范、线条流畅，徒长枝不高于10 cm，保证景观优美，植物生长旺盛、色彩丰富；</w:t>
            </w:r>
          </w:p>
        </w:tc>
        <w:tc>
          <w:tcPr>
            <w:tcW w:w="616" w:type="dxa"/>
            <w:vAlign w:val="center"/>
          </w:tcPr>
          <w:p>
            <w:pPr>
              <w:spacing w:line="240" w:lineRule="exact"/>
              <w:jc w:val="center"/>
              <w:rPr>
                <w:sz w:val="18"/>
                <w:szCs w:val="18"/>
              </w:rPr>
            </w:pPr>
            <w:r>
              <w:rPr>
                <w:rFonts w:hint="eastAsia"/>
                <w:sz w:val="18"/>
                <w:szCs w:val="18"/>
              </w:rPr>
              <w:t>6</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灌木、绿篱及色块未及时修剪，每</w:t>
            </w:r>
            <w:r>
              <w:rPr>
                <w:rFonts w:hint="eastAsia" w:ascii="宋体" w:hAnsi="宋体"/>
                <w:sz w:val="18"/>
                <w:szCs w:val="18"/>
              </w:rPr>
              <w:t>㎡</w:t>
            </w:r>
            <w:r>
              <w:rPr>
                <w:rFonts w:hint="eastAsia"/>
                <w:sz w:val="18"/>
                <w:szCs w:val="18"/>
              </w:rPr>
              <w:t>或每株扣0. 1分，修剪不达要求，每</w:t>
            </w:r>
            <w:r>
              <w:rPr>
                <w:rFonts w:hint="eastAsia" w:ascii="宋体" w:hAnsi="宋体"/>
                <w:sz w:val="18"/>
                <w:szCs w:val="18"/>
              </w:rPr>
              <w:t>㎡</w:t>
            </w:r>
            <w:r>
              <w:rPr>
                <w:rFonts w:hint="eastAsia"/>
                <w:sz w:val="18"/>
                <w:szCs w:val="18"/>
              </w:rPr>
              <w:t>扣0. 1分；修剪后植物景观效果较差的，每</w:t>
            </w:r>
            <w:r>
              <w:rPr>
                <w:rFonts w:hint="eastAsia" w:ascii="宋体" w:hAnsi="宋体"/>
                <w:sz w:val="18"/>
                <w:szCs w:val="18"/>
              </w:rPr>
              <w:t>㎡</w:t>
            </w:r>
            <w:r>
              <w:rPr>
                <w:rFonts w:hint="eastAsia"/>
                <w:sz w:val="18"/>
                <w:szCs w:val="18"/>
              </w:rPr>
              <w:t>或每株扣0.2分，共6分；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5</w:t>
            </w:r>
          </w:p>
        </w:tc>
        <w:tc>
          <w:tcPr>
            <w:tcW w:w="3791" w:type="dxa"/>
            <w:vAlign w:val="center"/>
          </w:tcPr>
          <w:p>
            <w:pPr>
              <w:spacing w:line="240" w:lineRule="exact"/>
              <w:rPr>
                <w:sz w:val="18"/>
                <w:szCs w:val="18"/>
              </w:rPr>
            </w:pPr>
            <w:r>
              <w:rPr>
                <w:rFonts w:hint="eastAsia"/>
                <w:sz w:val="18"/>
                <w:szCs w:val="18"/>
              </w:rPr>
              <w:t>地被（草坪）及时除草，每</w:t>
            </w:r>
            <w:r>
              <w:rPr>
                <w:rFonts w:hint="eastAsia" w:ascii="宋体" w:hAnsi="宋体"/>
                <w:sz w:val="18"/>
                <w:szCs w:val="18"/>
              </w:rPr>
              <w:t>㎡</w:t>
            </w:r>
            <w:r>
              <w:rPr>
                <w:rFonts w:hint="eastAsia"/>
                <w:sz w:val="18"/>
                <w:szCs w:val="18"/>
              </w:rPr>
              <w:t>杂草率控制在5%内且杂草不高于10cm，地被（草坪）覆盖度98</w:t>
            </w:r>
            <w:r>
              <w:rPr>
                <w:rFonts w:hint="eastAsia" w:ascii="宋体" w:hAnsi="宋体"/>
                <w:sz w:val="18"/>
                <w:szCs w:val="18"/>
              </w:rPr>
              <w:t>%</w:t>
            </w:r>
            <w:r>
              <w:rPr>
                <w:rFonts w:hint="eastAsia"/>
                <w:sz w:val="18"/>
                <w:szCs w:val="18"/>
              </w:rPr>
              <w:t>，长势良好，色泽均匀；草皮高度保持在6 cm内，草坪平整无积水，每年至少打孔及追肥一次；</w:t>
            </w:r>
          </w:p>
        </w:tc>
        <w:tc>
          <w:tcPr>
            <w:tcW w:w="616" w:type="dxa"/>
            <w:vAlign w:val="center"/>
          </w:tcPr>
          <w:p>
            <w:pPr>
              <w:spacing w:line="240" w:lineRule="exact"/>
              <w:jc w:val="center"/>
              <w:rPr>
                <w:sz w:val="18"/>
                <w:szCs w:val="18"/>
              </w:rPr>
            </w:pPr>
            <w:r>
              <w:rPr>
                <w:rFonts w:hint="eastAsia"/>
                <w:sz w:val="18"/>
                <w:szCs w:val="18"/>
              </w:rPr>
              <w:t>6</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地被（草坪）内有杂草，不达要求每</w:t>
            </w:r>
            <w:r>
              <w:rPr>
                <w:rFonts w:hint="eastAsia" w:ascii="宋体" w:hAnsi="宋体"/>
                <w:sz w:val="18"/>
                <w:szCs w:val="18"/>
              </w:rPr>
              <w:t>㎡</w:t>
            </w:r>
            <w:r>
              <w:rPr>
                <w:rFonts w:hint="eastAsia"/>
                <w:sz w:val="18"/>
                <w:szCs w:val="18"/>
              </w:rPr>
              <w:t>扣0. 1分，覆盖度98</w:t>
            </w:r>
            <w:r>
              <w:rPr>
                <w:rFonts w:hint="eastAsia" w:ascii="宋体" w:hAnsi="宋体"/>
                <w:sz w:val="18"/>
                <w:szCs w:val="18"/>
              </w:rPr>
              <w:t>%</w:t>
            </w:r>
            <w:r>
              <w:rPr>
                <w:rFonts w:hint="eastAsia"/>
                <w:sz w:val="18"/>
                <w:szCs w:val="18"/>
              </w:rPr>
              <w:t>以下每缺1</w:t>
            </w:r>
            <w:r>
              <w:rPr>
                <w:rFonts w:hint="eastAsia" w:ascii="宋体" w:hAnsi="宋体"/>
                <w:sz w:val="18"/>
                <w:szCs w:val="18"/>
              </w:rPr>
              <w:t>㎡</w:t>
            </w:r>
            <w:r>
              <w:rPr>
                <w:rFonts w:hint="eastAsia"/>
                <w:sz w:val="18"/>
                <w:szCs w:val="18"/>
              </w:rPr>
              <w:t>扣0. 1分，草坪高度超出6 cm，每</w:t>
            </w:r>
            <w:r>
              <w:rPr>
                <w:rFonts w:hint="eastAsia" w:ascii="宋体" w:hAnsi="宋体"/>
                <w:sz w:val="18"/>
                <w:szCs w:val="18"/>
              </w:rPr>
              <w:t>㎡</w:t>
            </w:r>
            <w:r>
              <w:rPr>
                <w:rFonts w:hint="eastAsia"/>
                <w:sz w:val="18"/>
                <w:szCs w:val="18"/>
              </w:rPr>
              <w:t>扣0. 01分，共6分：打孔少于1次扣2分，共2分；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6</w:t>
            </w:r>
          </w:p>
        </w:tc>
        <w:tc>
          <w:tcPr>
            <w:tcW w:w="3791" w:type="dxa"/>
            <w:vAlign w:val="center"/>
          </w:tcPr>
          <w:p>
            <w:pPr>
              <w:spacing w:line="240" w:lineRule="exact"/>
              <w:rPr>
                <w:sz w:val="18"/>
                <w:szCs w:val="18"/>
              </w:rPr>
            </w:pPr>
            <w:r>
              <w:rPr>
                <w:rFonts w:hint="eastAsia"/>
                <w:sz w:val="18"/>
                <w:szCs w:val="18"/>
              </w:rPr>
              <w:t>保证植物长势旺盛，全年科学地松土、施肥2次以上；</w:t>
            </w:r>
          </w:p>
        </w:tc>
        <w:tc>
          <w:tcPr>
            <w:tcW w:w="616" w:type="dxa"/>
            <w:vAlign w:val="center"/>
          </w:tcPr>
          <w:p>
            <w:pPr>
              <w:spacing w:line="240" w:lineRule="exact"/>
              <w:jc w:val="center"/>
              <w:rPr>
                <w:sz w:val="18"/>
                <w:szCs w:val="18"/>
              </w:rPr>
            </w:pPr>
            <w:r>
              <w:rPr>
                <w:rFonts w:hint="eastAsia"/>
                <w:sz w:val="18"/>
                <w:szCs w:val="18"/>
              </w:rPr>
              <w:t>8</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松土、施肥未达要求的扣8分，共8分；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7</w:t>
            </w:r>
          </w:p>
        </w:tc>
        <w:tc>
          <w:tcPr>
            <w:tcW w:w="3791" w:type="dxa"/>
            <w:vAlign w:val="center"/>
          </w:tcPr>
          <w:p>
            <w:pPr>
              <w:spacing w:line="240" w:lineRule="exact"/>
              <w:rPr>
                <w:sz w:val="18"/>
                <w:szCs w:val="18"/>
              </w:rPr>
            </w:pPr>
            <w:r>
              <w:rPr>
                <w:rFonts w:hint="eastAsia"/>
                <w:sz w:val="18"/>
                <w:szCs w:val="18"/>
              </w:rPr>
              <w:t>提倡综合防治病虫害，施用的药剂浓度用量合理，严格按操作规程进行，喷洒均匀，无明显病虫害(单株受害率&lt;5%)，达到园内生态平衡；</w:t>
            </w:r>
          </w:p>
        </w:tc>
        <w:tc>
          <w:tcPr>
            <w:tcW w:w="616" w:type="dxa"/>
            <w:vAlign w:val="center"/>
          </w:tcPr>
          <w:p>
            <w:pPr>
              <w:spacing w:line="240" w:lineRule="exact"/>
              <w:jc w:val="center"/>
              <w:rPr>
                <w:sz w:val="18"/>
                <w:szCs w:val="18"/>
              </w:rPr>
            </w:pPr>
            <w:r>
              <w:rPr>
                <w:rFonts w:hint="eastAsia"/>
                <w:sz w:val="18"/>
                <w:szCs w:val="18"/>
              </w:rPr>
              <w:t>8</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明显病虫害</w:t>
            </w:r>
            <w:r>
              <w:rPr>
                <w:rFonts w:hint="eastAsia" w:ascii="宋体" w:hAnsi="宋体"/>
                <w:sz w:val="18"/>
                <w:szCs w:val="18"/>
              </w:rPr>
              <w:t>每㎡</w:t>
            </w:r>
            <w:r>
              <w:rPr>
                <w:rFonts w:hint="eastAsia"/>
                <w:sz w:val="18"/>
                <w:szCs w:val="18"/>
              </w:rPr>
              <w:t>或每株扣0. 2分，共8分，病虫害危害严重，该项不得分：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8</w:t>
            </w:r>
          </w:p>
        </w:tc>
        <w:tc>
          <w:tcPr>
            <w:tcW w:w="3791" w:type="dxa"/>
            <w:vAlign w:val="center"/>
          </w:tcPr>
          <w:p>
            <w:pPr>
              <w:spacing w:line="240" w:lineRule="exact"/>
              <w:rPr>
                <w:sz w:val="18"/>
                <w:szCs w:val="18"/>
              </w:rPr>
            </w:pPr>
            <w:r>
              <w:rPr>
                <w:rFonts w:hint="eastAsia"/>
                <w:sz w:val="18"/>
                <w:szCs w:val="18"/>
              </w:rPr>
              <w:t>认真组织抗台、抗雪工作，台风季节前做好</w:t>
            </w:r>
            <w:r>
              <w:rPr>
                <w:rFonts w:hint="eastAsia" w:ascii="宋体" w:hAnsi="宋体"/>
                <w:sz w:val="18"/>
                <w:szCs w:val="18"/>
              </w:rPr>
              <w:t>Ф8</w:t>
            </w:r>
            <w:r>
              <w:rPr>
                <w:rFonts w:hint="eastAsia"/>
                <w:sz w:val="18"/>
                <w:szCs w:val="18"/>
              </w:rPr>
              <w:t xml:space="preserve"> cm </w:t>
            </w:r>
            <w:r>
              <w:rPr>
                <w:rFonts w:hint="eastAsia" w:ascii="宋体" w:hAnsi="宋体"/>
                <w:sz w:val="18"/>
                <w:szCs w:val="18"/>
              </w:rPr>
              <w:t>以上树木的支撑，台风过后</w:t>
            </w:r>
            <w:r>
              <w:rPr>
                <w:rFonts w:hint="eastAsia"/>
                <w:sz w:val="18"/>
                <w:szCs w:val="18"/>
              </w:rPr>
              <w:t>24小时内扶正树木并作支撑，无倒伏现象；</w:t>
            </w:r>
          </w:p>
        </w:tc>
        <w:tc>
          <w:tcPr>
            <w:tcW w:w="616" w:type="dxa"/>
            <w:vAlign w:val="center"/>
          </w:tcPr>
          <w:p>
            <w:pPr>
              <w:spacing w:line="240" w:lineRule="exact"/>
              <w:jc w:val="center"/>
              <w:rPr>
                <w:sz w:val="18"/>
                <w:szCs w:val="18"/>
              </w:rPr>
            </w:pPr>
            <w:r>
              <w:rPr>
                <w:rFonts w:hint="eastAsia"/>
                <w:sz w:val="18"/>
                <w:szCs w:val="18"/>
              </w:rPr>
              <w:t>6</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未支撑有倒伏现象，每处或每株扣0. 2分，共6分；未及时抗台、抗雪造成严重损失的，该项不得；</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9</w:t>
            </w:r>
          </w:p>
        </w:tc>
        <w:tc>
          <w:tcPr>
            <w:tcW w:w="3791" w:type="dxa"/>
            <w:vAlign w:val="center"/>
          </w:tcPr>
          <w:p>
            <w:pPr>
              <w:spacing w:line="240" w:lineRule="exact"/>
              <w:rPr>
                <w:sz w:val="18"/>
                <w:szCs w:val="18"/>
              </w:rPr>
            </w:pPr>
            <w:r>
              <w:rPr>
                <w:rFonts w:hint="eastAsia"/>
                <w:sz w:val="18"/>
                <w:szCs w:val="18"/>
              </w:rPr>
              <w:t>及时抗旱浇水，保证植物正常生长；</w:t>
            </w:r>
          </w:p>
        </w:tc>
        <w:tc>
          <w:tcPr>
            <w:tcW w:w="616" w:type="dxa"/>
            <w:vAlign w:val="center"/>
          </w:tcPr>
          <w:p>
            <w:pPr>
              <w:spacing w:line="240" w:lineRule="exact"/>
              <w:jc w:val="center"/>
              <w:rPr>
                <w:sz w:val="18"/>
                <w:szCs w:val="18"/>
              </w:rPr>
            </w:pPr>
            <w:r>
              <w:rPr>
                <w:rFonts w:hint="eastAsia"/>
                <w:sz w:val="18"/>
                <w:szCs w:val="18"/>
              </w:rPr>
              <w:t>6</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抗旱浇水不及时造成植物长势受到影响的，</w:t>
            </w:r>
            <w:r>
              <w:rPr>
                <w:rFonts w:hint="eastAsia" w:ascii="宋体" w:hAnsi="宋体"/>
                <w:sz w:val="18"/>
                <w:szCs w:val="18"/>
              </w:rPr>
              <w:t>每㎡</w:t>
            </w:r>
            <w:r>
              <w:rPr>
                <w:rFonts w:hint="eastAsia"/>
                <w:sz w:val="18"/>
                <w:szCs w:val="18"/>
              </w:rPr>
              <w:t>或每株扣0.2分，共6分；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Merge w:val="continue"/>
            <w:vAlign w:val="center"/>
          </w:tcPr>
          <w:p>
            <w:pPr>
              <w:jc w:val="center"/>
              <w:rPr>
                <w:sz w:val="18"/>
                <w:szCs w:val="18"/>
              </w:rPr>
            </w:pPr>
          </w:p>
        </w:tc>
        <w:tc>
          <w:tcPr>
            <w:tcW w:w="648" w:type="dxa"/>
            <w:vAlign w:val="center"/>
          </w:tcPr>
          <w:p>
            <w:pPr>
              <w:tabs>
                <w:tab w:val="center" w:pos="196"/>
              </w:tabs>
              <w:jc w:val="center"/>
              <w:rPr>
                <w:sz w:val="18"/>
                <w:szCs w:val="18"/>
              </w:rPr>
            </w:pPr>
            <w:r>
              <w:rPr>
                <w:rFonts w:hint="eastAsia"/>
                <w:sz w:val="18"/>
                <w:szCs w:val="18"/>
              </w:rPr>
              <w:t>10</w:t>
            </w:r>
          </w:p>
        </w:tc>
        <w:tc>
          <w:tcPr>
            <w:tcW w:w="3791" w:type="dxa"/>
            <w:vAlign w:val="center"/>
          </w:tcPr>
          <w:p>
            <w:pPr>
              <w:spacing w:line="240" w:lineRule="exact"/>
              <w:rPr>
                <w:sz w:val="18"/>
                <w:szCs w:val="18"/>
              </w:rPr>
            </w:pPr>
            <w:r>
              <w:rPr>
                <w:rFonts w:hint="eastAsia"/>
                <w:sz w:val="18"/>
                <w:szCs w:val="18"/>
              </w:rPr>
              <w:t>保持园林设施完好无损，花坛壁及侧石完好有效，有损坏及时上报或修复；</w:t>
            </w:r>
          </w:p>
        </w:tc>
        <w:tc>
          <w:tcPr>
            <w:tcW w:w="616" w:type="dxa"/>
            <w:vAlign w:val="center"/>
          </w:tcPr>
          <w:p>
            <w:pPr>
              <w:spacing w:line="240" w:lineRule="exact"/>
              <w:jc w:val="center"/>
              <w:rPr>
                <w:sz w:val="18"/>
                <w:szCs w:val="18"/>
              </w:rPr>
            </w:pPr>
            <w:r>
              <w:rPr>
                <w:rFonts w:hint="eastAsia"/>
                <w:sz w:val="18"/>
                <w:szCs w:val="18"/>
              </w:rPr>
              <w:t>6</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有损坏未在48小时内向业主报告或接到修复通知后48小时内未修复、补缺，每处扣0. 2分，共6分：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11</w:t>
            </w:r>
          </w:p>
        </w:tc>
        <w:tc>
          <w:tcPr>
            <w:tcW w:w="3791" w:type="dxa"/>
            <w:vAlign w:val="center"/>
          </w:tcPr>
          <w:p>
            <w:pPr>
              <w:spacing w:line="240" w:lineRule="exact"/>
              <w:jc w:val="center"/>
              <w:rPr>
                <w:sz w:val="18"/>
                <w:szCs w:val="18"/>
              </w:rPr>
            </w:pPr>
            <w:r>
              <w:rPr>
                <w:rFonts w:hint="eastAsia"/>
                <w:sz w:val="18"/>
                <w:szCs w:val="18"/>
              </w:rPr>
              <w:t>保持园林植物完好，未受破坏，树上无各类绑扎物，无毁坏、侵占绿地、绿带现象发生；</w:t>
            </w:r>
          </w:p>
        </w:tc>
        <w:tc>
          <w:tcPr>
            <w:tcW w:w="616" w:type="dxa"/>
            <w:vAlign w:val="center"/>
          </w:tcPr>
          <w:p>
            <w:pPr>
              <w:spacing w:line="240" w:lineRule="exact"/>
              <w:jc w:val="center"/>
              <w:rPr>
                <w:sz w:val="18"/>
                <w:szCs w:val="18"/>
              </w:rPr>
            </w:pPr>
            <w:r>
              <w:rPr>
                <w:rFonts w:hint="eastAsia"/>
                <w:sz w:val="18"/>
                <w:szCs w:val="18"/>
              </w:rPr>
              <w:t>6</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有损坏，未及时发现每次扣除0. 2分，树上有各类绑扎物，每处扣0. 2分，共6分；有毁坏、侵占绿地现象发生，该项不得分；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12</w:t>
            </w:r>
          </w:p>
        </w:tc>
        <w:tc>
          <w:tcPr>
            <w:tcW w:w="3791" w:type="dxa"/>
            <w:vAlign w:val="center"/>
          </w:tcPr>
          <w:p>
            <w:pPr>
              <w:spacing w:line="240" w:lineRule="exact"/>
              <w:rPr>
                <w:sz w:val="18"/>
                <w:szCs w:val="18"/>
              </w:rPr>
            </w:pPr>
            <w:r>
              <w:rPr>
                <w:rFonts w:hint="eastAsia" w:ascii="宋体" w:hAnsi="宋体"/>
                <w:sz w:val="18"/>
                <w:szCs w:val="18"/>
              </w:rPr>
              <w:t>Ф6公分以上树木</w:t>
            </w:r>
            <w:r>
              <w:rPr>
                <w:rFonts w:hint="eastAsia"/>
                <w:sz w:val="18"/>
                <w:szCs w:val="18"/>
              </w:rPr>
              <w:t>冬季涂白，易冻植物冬季保暖；</w:t>
            </w:r>
          </w:p>
        </w:tc>
        <w:tc>
          <w:tcPr>
            <w:tcW w:w="616" w:type="dxa"/>
            <w:vAlign w:val="center"/>
          </w:tcPr>
          <w:p>
            <w:pPr>
              <w:spacing w:line="240" w:lineRule="exact"/>
              <w:jc w:val="center"/>
              <w:rPr>
                <w:sz w:val="18"/>
                <w:szCs w:val="18"/>
              </w:rPr>
            </w:pPr>
            <w:r>
              <w:rPr>
                <w:rFonts w:hint="eastAsia"/>
                <w:sz w:val="18"/>
                <w:szCs w:val="18"/>
              </w:rPr>
              <w:t>7</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不符合要求的，每株扣0. 2分，共7分；未及时涂白或保暖，该项不得分；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13</w:t>
            </w:r>
          </w:p>
        </w:tc>
        <w:tc>
          <w:tcPr>
            <w:tcW w:w="3791" w:type="dxa"/>
            <w:vAlign w:val="center"/>
          </w:tcPr>
          <w:p>
            <w:pPr>
              <w:spacing w:line="240" w:lineRule="exact"/>
              <w:rPr>
                <w:sz w:val="18"/>
                <w:szCs w:val="18"/>
              </w:rPr>
            </w:pPr>
            <w:r>
              <w:rPr>
                <w:rFonts w:hint="eastAsia"/>
                <w:sz w:val="18"/>
                <w:szCs w:val="18"/>
              </w:rPr>
              <w:t>修剪物与枯枝残叶等绿化垃圾及时清理，保证日产日清，确保道路畅通，环境洁净。</w:t>
            </w:r>
          </w:p>
        </w:tc>
        <w:tc>
          <w:tcPr>
            <w:tcW w:w="616" w:type="dxa"/>
            <w:vAlign w:val="center"/>
          </w:tcPr>
          <w:p>
            <w:pPr>
              <w:spacing w:line="240" w:lineRule="exact"/>
              <w:jc w:val="center"/>
              <w:rPr>
                <w:sz w:val="18"/>
                <w:szCs w:val="18"/>
              </w:rPr>
            </w:pPr>
            <w:r>
              <w:rPr>
                <w:rFonts w:hint="eastAsia"/>
                <w:sz w:val="18"/>
                <w:szCs w:val="18"/>
              </w:rPr>
              <w:t>6</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未及时清理，每次扣0. 5分，共6分。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648" w:type="dxa"/>
            <w:vMerge w:val="restart"/>
            <w:vAlign w:val="center"/>
          </w:tcPr>
          <w:p>
            <w:pPr>
              <w:jc w:val="center"/>
              <w:rPr>
                <w:b/>
                <w:sz w:val="24"/>
              </w:rPr>
            </w:pPr>
            <w:r>
              <w:rPr>
                <w:rFonts w:hint="eastAsia"/>
                <w:sz w:val="18"/>
                <w:szCs w:val="18"/>
              </w:rPr>
              <w:t>二</w:t>
            </w:r>
          </w:p>
          <w:p>
            <w:pPr>
              <w:jc w:val="center"/>
              <w:rPr>
                <w:b/>
                <w:sz w:val="24"/>
              </w:rPr>
            </w:pPr>
          </w:p>
          <w:p>
            <w:pPr>
              <w:jc w:val="center"/>
              <w:rPr>
                <w:b/>
                <w:sz w:val="24"/>
              </w:rPr>
            </w:pPr>
            <w:r>
              <w:rPr>
                <w:rFonts w:hint="eastAsia"/>
                <w:b/>
                <w:sz w:val="24"/>
              </w:rPr>
              <w:t>其</w:t>
            </w:r>
          </w:p>
          <w:p>
            <w:pPr>
              <w:jc w:val="center"/>
              <w:rPr>
                <w:b/>
                <w:sz w:val="24"/>
              </w:rPr>
            </w:pPr>
            <w:r>
              <w:rPr>
                <w:rFonts w:hint="eastAsia"/>
                <w:b/>
                <w:sz w:val="24"/>
              </w:rPr>
              <w:t>它</w:t>
            </w:r>
          </w:p>
          <w:p>
            <w:pPr>
              <w:jc w:val="center"/>
              <w:rPr>
                <w:b/>
                <w:sz w:val="24"/>
              </w:rPr>
            </w:pPr>
            <w:r>
              <w:rPr>
                <w:rFonts w:hint="eastAsia"/>
                <w:b/>
                <w:sz w:val="24"/>
              </w:rPr>
              <w:t>共</w:t>
            </w:r>
          </w:p>
          <w:p>
            <w:pPr>
              <w:jc w:val="center"/>
              <w:rPr>
                <w:b/>
                <w:sz w:val="24"/>
              </w:rPr>
            </w:pPr>
            <w:r>
              <w:rPr>
                <w:rFonts w:hint="eastAsia"/>
                <w:b/>
                <w:sz w:val="24"/>
              </w:rPr>
              <w:t>15</w:t>
            </w:r>
          </w:p>
          <w:p>
            <w:pPr>
              <w:jc w:val="center"/>
              <w:rPr>
                <w:sz w:val="18"/>
                <w:szCs w:val="18"/>
              </w:rPr>
            </w:pPr>
            <w:r>
              <w:rPr>
                <w:rFonts w:hint="eastAsia"/>
                <w:b/>
                <w:sz w:val="24"/>
              </w:rPr>
              <w:t>分</w:t>
            </w:r>
          </w:p>
        </w:tc>
        <w:tc>
          <w:tcPr>
            <w:tcW w:w="648" w:type="dxa"/>
            <w:vAlign w:val="center"/>
          </w:tcPr>
          <w:p>
            <w:pPr>
              <w:jc w:val="center"/>
              <w:rPr>
                <w:sz w:val="18"/>
                <w:szCs w:val="18"/>
              </w:rPr>
            </w:pPr>
            <w:r>
              <w:rPr>
                <w:rFonts w:hint="eastAsia"/>
                <w:sz w:val="18"/>
                <w:szCs w:val="18"/>
              </w:rPr>
              <w:t>1</w:t>
            </w:r>
          </w:p>
        </w:tc>
        <w:tc>
          <w:tcPr>
            <w:tcW w:w="3791" w:type="dxa"/>
            <w:vAlign w:val="center"/>
          </w:tcPr>
          <w:p>
            <w:pPr>
              <w:spacing w:line="240" w:lineRule="exact"/>
              <w:rPr>
                <w:sz w:val="18"/>
                <w:szCs w:val="18"/>
              </w:rPr>
            </w:pPr>
            <w:r>
              <w:rPr>
                <w:rFonts w:hint="eastAsia"/>
                <w:sz w:val="18"/>
                <w:szCs w:val="18"/>
              </w:rPr>
              <w:t>安全施工，施工区域设置安全警示标志，施工人员统一穿着反光背心、戴安全帽，讲究文明，礼貌待人；</w:t>
            </w:r>
          </w:p>
        </w:tc>
        <w:tc>
          <w:tcPr>
            <w:tcW w:w="616" w:type="dxa"/>
            <w:vAlign w:val="center"/>
          </w:tcPr>
          <w:p>
            <w:pPr>
              <w:spacing w:line="240" w:lineRule="exact"/>
              <w:jc w:val="center"/>
              <w:rPr>
                <w:sz w:val="18"/>
                <w:szCs w:val="18"/>
              </w:rPr>
            </w:pPr>
            <w:r>
              <w:rPr>
                <w:rFonts w:hint="eastAsia"/>
                <w:sz w:val="18"/>
                <w:szCs w:val="18"/>
              </w:rPr>
              <w:t>6</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不达要求的，每人次扣1分，共6分；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2</w:t>
            </w:r>
          </w:p>
        </w:tc>
        <w:tc>
          <w:tcPr>
            <w:tcW w:w="3791" w:type="dxa"/>
            <w:vAlign w:val="center"/>
          </w:tcPr>
          <w:p>
            <w:pPr>
              <w:spacing w:line="240" w:lineRule="exact"/>
              <w:rPr>
                <w:sz w:val="18"/>
                <w:szCs w:val="18"/>
              </w:rPr>
            </w:pPr>
            <w:r>
              <w:rPr>
                <w:rFonts w:hint="eastAsia"/>
                <w:sz w:val="18"/>
                <w:szCs w:val="18"/>
              </w:rPr>
              <w:t>加强管理，未经业主批准绿地内不得违章设置广告，一经发现及时上报；</w:t>
            </w:r>
          </w:p>
        </w:tc>
        <w:tc>
          <w:tcPr>
            <w:tcW w:w="616" w:type="dxa"/>
            <w:vAlign w:val="center"/>
          </w:tcPr>
          <w:p>
            <w:pPr>
              <w:spacing w:line="240" w:lineRule="exact"/>
              <w:jc w:val="center"/>
              <w:rPr>
                <w:sz w:val="18"/>
                <w:szCs w:val="18"/>
              </w:rPr>
            </w:pPr>
            <w:r>
              <w:rPr>
                <w:rFonts w:hint="eastAsia"/>
                <w:sz w:val="18"/>
                <w:szCs w:val="18"/>
              </w:rPr>
              <w:t>3</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绿地内有违章设置广告，该项不得分；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Merge w:val="continue"/>
            <w:vAlign w:val="center"/>
          </w:tcPr>
          <w:p>
            <w:pPr>
              <w:jc w:val="center"/>
              <w:rPr>
                <w:sz w:val="18"/>
                <w:szCs w:val="18"/>
              </w:rPr>
            </w:pPr>
          </w:p>
        </w:tc>
        <w:tc>
          <w:tcPr>
            <w:tcW w:w="648" w:type="dxa"/>
            <w:vAlign w:val="center"/>
          </w:tcPr>
          <w:p>
            <w:pPr>
              <w:jc w:val="center"/>
              <w:rPr>
                <w:sz w:val="18"/>
                <w:szCs w:val="18"/>
              </w:rPr>
            </w:pPr>
            <w:r>
              <w:rPr>
                <w:rFonts w:hint="eastAsia"/>
                <w:sz w:val="18"/>
                <w:szCs w:val="18"/>
              </w:rPr>
              <w:t>3</w:t>
            </w:r>
          </w:p>
        </w:tc>
        <w:tc>
          <w:tcPr>
            <w:tcW w:w="3791" w:type="dxa"/>
            <w:vAlign w:val="center"/>
          </w:tcPr>
          <w:p>
            <w:pPr>
              <w:spacing w:line="240" w:lineRule="exact"/>
              <w:rPr>
                <w:sz w:val="18"/>
                <w:szCs w:val="18"/>
              </w:rPr>
            </w:pPr>
            <w:r>
              <w:rPr>
                <w:rFonts w:hint="eastAsia"/>
                <w:sz w:val="18"/>
                <w:szCs w:val="18"/>
              </w:rPr>
              <w:t>有固定联系电话，无投诉、曝光事件发生；</w:t>
            </w:r>
          </w:p>
        </w:tc>
        <w:tc>
          <w:tcPr>
            <w:tcW w:w="616" w:type="dxa"/>
            <w:vAlign w:val="center"/>
          </w:tcPr>
          <w:p>
            <w:pPr>
              <w:spacing w:line="240" w:lineRule="exact"/>
              <w:jc w:val="center"/>
              <w:rPr>
                <w:sz w:val="18"/>
                <w:szCs w:val="18"/>
              </w:rPr>
            </w:pPr>
            <w:r>
              <w:rPr>
                <w:rFonts w:hint="eastAsia"/>
                <w:sz w:val="18"/>
                <w:szCs w:val="18"/>
              </w:rPr>
              <w:t>3</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联系电话半小时内无人应接，扣0. 5分，共3分；被投诉、曝光的该项不得分。</w:t>
            </w:r>
          </w:p>
        </w:tc>
        <w:tc>
          <w:tcPr>
            <w:tcW w:w="525"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Merge w:val="continue"/>
            <w:tcBorders>
              <w:top w:val="nil"/>
            </w:tcBorders>
            <w:vAlign w:val="center"/>
          </w:tcPr>
          <w:p>
            <w:pPr>
              <w:jc w:val="center"/>
              <w:rPr>
                <w:sz w:val="18"/>
                <w:szCs w:val="18"/>
              </w:rPr>
            </w:pPr>
          </w:p>
        </w:tc>
        <w:tc>
          <w:tcPr>
            <w:tcW w:w="648" w:type="dxa"/>
            <w:vAlign w:val="center"/>
          </w:tcPr>
          <w:p>
            <w:pPr>
              <w:jc w:val="center"/>
              <w:rPr>
                <w:sz w:val="18"/>
                <w:szCs w:val="18"/>
              </w:rPr>
            </w:pPr>
            <w:r>
              <w:rPr>
                <w:rFonts w:hint="eastAsia"/>
                <w:sz w:val="18"/>
                <w:szCs w:val="18"/>
              </w:rPr>
              <w:t>4</w:t>
            </w:r>
          </w:p>
        </w:tc>
        <w:tc>
          <w:tcPr>
            <w:tcW w:w="3791" w:type="dxa"/>
            <w:vAlign w:val="center"/>
          </w:tcPr>
          <w:p>
            <w:pPr>
              <w:spacing w:line="240" w:lineRule="exact"/>
              <w:rPr>
                <w:sz w:val="18"/>
                <w:szCs w:val="18"/>
              </w:rPr>
            </w:pPr>
            <w:r>
              <w:rPr>
                <w:rFonts w:hint="eastAsia"/>
                <w:sz w:val="18"/>
                <w:szCs w:val="18"/>
              </w:rPr>
              <w:t>能完成突击性任务；</w:t>
            </w:r>
          </w:p>
        </w:tc>
        <w:tc>
          <w:tcPr>
            <w:tcW w:w="616" w:type="dxa"/>
            <w:vAlign w:val="center"/>
          </w:tcPr>
          <w:p>
            <w:pPr>
              <w:spacing w:line="240" w:lineRule="exact"/>
              <w:jc w:val="center"/>
              <w:rPr>
                <w:sz w:val="18"/>
                <w:szCs w:val="18"/>
              </w:rPr>
            </w:pPr>
            <w:r>
              <w:rPr>
                <w:rFonts w:hint="eastAsia"/>
                <w:sz w:val="18"/>
                <w:szCs w:val="18"/>
              </w:rPr>
              <w:t>3</w:t>
            </w:r>
          </w:p>
          <w:p>
            <w:pPr>
              <w:spacing w:line="240" w:lineRule="exact"/>
              <w:jc w:val="center"/>
              <w:rPr>
                <w:sz w:val="18"/>
                <w:szCs w:val="18"/>
              </w:rPr>
            </w:pPr>
            <w:r>
              <w:rPr>
                <w:rFonts w:hint="eastAsia"/>
                <w:sz w:val="18"/>
                <w:szCs w:val="18"/>
              </w:rPr>
              <w:t>分</w:t>
            </w:r>
          </w:p>
        </w:tc>
        <w:tc>
          <w:tcPr>
            <w:tcW w:w="4067" w:type="dxa"/>
            <w:vAlign w:val="center"/>
          </w:tcPr>
          <w:p>
            <w:pPr>
              <w:spacing w:line="240" w:lineRule="exact"/>
              <w:rPr>
                <w:sz w:val="18"/>
                <w:szCs w:val="18"/>
              </w:rPr>
            </w:pPr>
            <w:r>
              <w:rPr>
                <w:rFonts w:hint="eastAsia"/>
                <w:sz w:val="18"/>
                <w:szCs w:val="18"/>
              </w:rPr>
              <w:t>不能完成突击性任务，该项不得分，共3分。</w:t>
            </w:r>
          </w:p>
        </w:tc>
        <w:tc>
          <w:tcPr>
            <w:tcW w:w="525" w:type="dxa"/>
            <w:vAlign w:val="center"/>
          </w:tcPr>
          <w:p>
            <w:pPr>
              <w:jc w:val="center"/>
              <w:rPr>
                <w:sz w:val="18"/>
                <w:szCs w:val="18"/>
              </w:rPr>
            </w:pPr>
          </w:p>
        </w:tc>
      </w:tr>
    </w:tbl>
    <w:p>
      <w:pPr>
        <w:rPr>
          <w:rFonts w:ascii="宋体" w:hAnsi="宋体"/>
          <w:b/>
          <w:sz w:val="32"/>
          <w:szCs w:val="32"/>
        </w:rPr>
      </w:pPr>
    </w:p>
    <w:p>
      <w:pPr>
        <w:rPr>
          <w:rFonts w:ascii="宋体" w:hAnsi="宋体"/>
          <w:b/>
          <w:sz w:val="32"/>
          <w:szCs w:val="32"/>
        </w:rPr>
      </w:pPr>
    </w:p>
    <w:p>
      <w:pPr>
        <w:numPr>
          <w:ilvl w:val="0"/>
          <w:numId w:val="8"/>
        </w:numPr>
        <w:spacing w:afterLines="50"/>
        <w:rPr>
          <w:rFonts w:ascii="宋体" w:hAnsi="宋体"/>
          <w:b/>
          <w:sz w:val="24"/>
        </w:rPr>
      </w:pPr>
      <w:r>
        <w:rPr>
          <w:rFonts w:hint="eastAsia" w:ascii="宋体" w:hAnsi="宋体"/>
          <w:b/>
          <w:sz w:val="24"/>
        </w:rPr>
        <w:t>行道树</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00"/>
        <w:gridCol w:w="3791"/>
        <w:gridCol w:w="606"/>
        <w:gridCol w:w="4156"/>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Align w:val="center"/>
          </w:tcPr>
          <w:p>
            <w:pPr>
              <w:spacing w:line="280" w:lineRule="exact"/>
              <w:jc w:val="center"/>
              <w:rPr>
                <w:rFonts w:ascii="宋体" w:hAnsi="宋体"/>
                <w:szCs w:val="21"/>
              </w:rPr>
            </w:pPr>
            <w:r>
              <w:rPr>
                <w:rFonts w:hint="eastAsia" w:ascii="宋体" w:hAnsi="宋体"/>
                <w:szCs w:val="21"/>
              </w:rPr>
              <w:t>内</w:t>
            </w:r>
          </w:p>
          <w:p>
            <w:pPr>
              <w:spacing w:line="280" w:lineRule="exact"/>
              <w:jc w:val="center"/>
              <w:rPr>
                <w:rFonts w:ascii="宋体" w:hAnsi="宋体"/>
                <w:szCs w:val="21"/>
              </w:rPr>
            </w:pPr>
            <w:r>
              <w:rPr>
                <w:rFonts w:hint="eastAsia" w:ascii="宋体" w:hAnsi="宋体"/>
                <w:szCs w:val="21"/>
              </w:rPr>
              <w:t>容</w:t>
            </w:r>
          </w:p>
        </w:tc>
        <w:tc>
          <w:tcPr>
            <w:tcW w:w="500" w:type="dxa"/>
            <w:vAlign w:val="center"/>
          </w:tcPr>
          <w:p>
            <w:pPr>
              <w:spacing w:line="280" w:lineRule="exact"/>
              <w:jc w:val="center"/>
              <w:rPr>
                <w:rFonts w:ascii="宋体" w:hAnsi="宋体"/>
                <w:szCs w:val="21"/>
              </w:rPr>
            </w:pPr>
            <w:r>
              <w:rPr>
                <w:rFonts w:hint="eastAsia" w:ascii="宋体" w:hAnsi="宋体"/>
                <w:szCs w:val="21"/>
              </w:rPr>
              <w:t>序</w:t>
            </w:r>
          </w:p>
          <w:p>
            <w:pPr>
              <w:spacing w:line="280" w:lineRule="exact"/>
              <w:jc w:val="center"/>
              <w:rPr>
                <w:rFonts w:ascii="宋体" w:hAnsi="宋体"/>
                <w:szCs w:val="21"/>
              </w:rPr>
            </w:pPr>
            <w:r>
              <w:rPr>
                <w:rFonts w:hint="eastAsia" w:ascii="宋体" w:hAnsi="宋体"/>
                <w:szCs w:val="21"/>
              </w:rPr>
              <w:t>号</w:t>
            </w:r>
          </w:p>
        </w:tc>
        <w:tc>
          <w:tcPr>
            <w:tcW w:w="3791" w:type="dxa"/>
            <w:vAlign w:val="center"/>
          </w:tcPr>
          <w:p>
            <w:pPr>
              <w:spacing w:line="280" w:lineRule="exact"/>
              <w:jc w:val="center"/>
              <w:rPr>
                <w:rFonts w:ascii="宋体" w:hAnsi="宋体"/>
                <w:szCs w:val="21"/>
              </w:rPr>
            </w:pPr>
            <w:r>
              <w:rPr>
                <w:rFonts w:hint="eastAsia" w:ascii="宋体" w:hAnsi="宋体"/>
                <w:szCs w:val="21"/>
              </w:rPr>
              <w:t>质量标准</w:t>
            </w:r>
          </w:p>
        </w:tc>
        <w:tc>
          <w:tcPr>
            <w:tcW w:w="606" w:type="dxa"/>
            <w:vAlign w:val="center"/>
          </w:tcPr>
          <w:p>
            <w:pPr>
              <w:spacing w:line="280" w:lineRule="exact"/>
              <w:jc w:val="center"/>
              <w:rPr>
                <w:rFonts w:ascii="宋体" w:hAnsi="宋体"/>
                <w:szCs w:val="21"/>
              </w:rPr>
            </w:pPr>
            <w:r>
              <w:rPr>
                <w:rFonts w:hint="eastAsia" w:ascii="宋体" w:hAnsi="宋体"/>
                <w:szCs w:val="21"/>
              </w:rPr>
              <w:t>满</w:t>
            </w:r>
          </w:p>
          <w:p>
            <w:pPr>
              <w:spacing w:line="280" w:lineRule="exact"/>
              <w:jc w:val="center"/>
              <w:rPr>
                <w:rFonts w:ascii="宋体" w:hAnsi="宋体"/>
                <w:szCs w:val="21"/>
              </w:rPr>
            </w:pPr>
            <w:r>
              <w:rPr>
                <w:rFonts w:hint="eastAsia" w:ascii="宋体" w:hAnsi="宋体"/>
                <w:szCs w:val="21"/>
              </w:rPr>
              <w:t>分</w:t>
            </w:r>
          </w:p>
        </w:tc>
        <w:tc>
          <w:tcPr>
            <w:tcW w:w="4156" w:type="dxa"/>
            <w:vAlign w:val="center"/>
          </w:tcPr>
          <w:p>
            <w:pPr>
              <w:spacing w:line="280" w:lineRule="exact"/>
              <w:jc w:val="center"/>
              <w:rPr>
                <w:rFonts w:ascii="宋体" w:hAnsi="宋体"/>
                <w:szCs w:val="21"/>
              </w:rPr>
            </w:pPr>
            <w:r>
              <w:rPr>
                <w:rFonts w:hint="eastAsia" w:ascii="宋体" w:hAnsi="宋体"/>
                <w:szCs w:val="21"/>
              </w:rPr>
              <w:t>考核标准</w:t>
            </w:r>
          </w:p>
        </w:tc>
        <w:tc>
          <w:tcPr>
            <w:tcW w:w="616" w:type="dxa"/>
            <w:vAlign w:val="center"/>
          </w:tcPr>
          <w:p>
            <w:pPr>
              <w:spacing w:line="280" w:lineRule="exact"/>
              <w:jc w:val="center"/>
              <w:rPr>
                <w:rFonts w:ascii="宋体" w:hAnsi="宋体"/>
                <w:szCs w:val="21"/>
              </w:rPr>
            </w:pPr>
            <w:r>
              <w:rPr>
                <w:rFonts w:hint="eastAsia" w:ascii="宋体" w:hAnsi="宋体"/>
                <w:szCs w:val="21"/>
              </w:rPr>
              <w:t>得</w:t>
            </w:r>
          </w:p>
          <w:p>
            <w:pPr>
              <w:spacing w:line="280" w:lineRule="exact"/>
              <w:jc w:val="center"/>
              <w:rPr>
                <w:rFonts w:ascii="宋体" w:hAnsi="宋体"/>
                <w:szCs w:val="21"/>
              </w:rPr>
            </w:pP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Merge w:val="restart"/>
            <w:vAlign w:val="center"/>
          </w:tcPr>
          <w:p>
            <w:pPr>
              <w:spacing w:line="280" w:lineRule="exact"/>
              <w:jc w:val="center"/>
              <w:rPr>
                <w:rFonts w:ascii="宋体" w:hAnsi="宋体"/>
                <w:b/>
                <w:sz w:val="24"/>
              </w:rPr>
            </w:pPr>
            <w:r>
              <w:rPr>
                <w:rFonts w:hint="eastAsia" w:ascii="宋体" w:hAnsi="宋体"/>
                <w:b/>
                <w:sz w:val="24"/>
              </w:rPr>
              <w:t>一</w:t>
            </w:r>
          </w:p>
          <w:p>
            <w:pPr>
              <w:spacing w:line="280" w:lineRule="exact"/>
              <w:jc w:val="center"/>
              <w:rPr>
                <w:rFonts w:ascii="宋体" w:hAnsi="宋体"/>
                <w:b/>
                <w:sz w:val="24"/>
              </w:rPr>
            </w:pPr>
            <w:r>
              <w:rPr>
                <w:rFonts w:hint="eastAsia" w:ascii="宋体" w:hAnsi="宋体"/>
                <w:b/>
                <w:sz w:val="24"/>
              </w:rPr>
              <w:t>树</w:t>
            </w:r>
          </w:p>
          <w:p>
            <w:pPr>
              <w:spacing w:line="280" w:lineRule="exact"/>
              <w:jc w:val="center"/>
              <w:rPr>
                <w:rFonts w:ascii="宋体" w:hAnsi="宋体"/>
                <w:b/>
                <w:sz w:val="24"/>
              </w:rPr>
            </w:pPr>
            <w:r>
              <w:rPr>
                <w:rFonts w:hint="eastAsia" w:ascii="宋体" w:hAnsi="宋体"/>
                <w:b/>
                <w:sz w:val="24"/>
              </w:rPr>
              <w:t>木</w:t>
            </w:r>
          </w:p>
          <w:p>
            <w:pPr>
              <w:spacing w:line="280" w:lineRule="exact"/>
              <w:jc w:val="center"/>
              <w:rPr>
                <w:rFonts w:ascii="宋体" w:hAnsi="宋体"/>
                <w:b/>
                <w:sz w:val="24"/>
              </w:rPr>
            </w:pPr>
            <w:r>
              <w:rPr>
                <w:rFonts w:hint="eastAsia" w:ascii="宋体" w:hAnsi="宋体"/>
                <w:b/>
                <w:sz w:val="24"/>
              </w:rPr>
              <w:t>养</w:t>
            </w:r>
          </w:p>
          <w:p>
            <w:pPr>
              <w:spacing w:line="280" w:lineRule="exact"/>
              <w:jc w:val="center"/>
              <w:rPr>
                <w:rFonts w:ascii="宋体" w:hAnsi="宋体"/>
                <w:b/>
                <w:sz w:val="24"/>
              </w:rPr>
            </w:pPr>
            <w:r>
              <w:rPr>
                <w:rFonts w:hint="eastAsia" w:ascii="宋体" w:hAnsi="宋体"/>
                <w:b/>
                <w:sz w:val="24"/>
              </w:rPr>
              <w:t>护</w:t>
            </w:r>
          </w:p>
          <w:p>
            <w:pPr>
              <w:spacing w:line="280" w:lineRule="exact"/>
              <w:jc w:val="center"/>
              <w:rPr>
                <w:rFonts w:ascii="宋体" w:hAnsi="宋体"/>
                <w:b/>
                <w:sz w:val="24"/>
              </w:rPr>
            </w:pPr>
            <w:r>
              <w:rPr>
                <w:rFonts w:hint="eastAsia" w:ascii="宋体" w:hAnsi="宋体"/>
                <w:b/>
                <w:sz w:val="24"/>
              </w:rPr>
              <w:t>管</w:t>
            </w:r>
          </w:p>
          <w:p>
            <w:pPr>
              <w:spacing w:line="280" w:lineRule="exact"/>
              <w:jc w:val="center"/>
              <w:rPr>
                <w:rFonts w:ascii="宋体" w:hAnsi="宋体"/>
                <w:b/>
                <w:sz w:val="24"/>
              </w:rPr>
            </w:pPr>
            <w:r>
              <w:rPr>
                <w:rFonts w:hint="eastAsia" w:ascii="宋体" w:hAnsi="宋体"/>
                <w:b/>
                <w:sz w:val="24"/>
              </w:rPr>
              <w:t>理</w:t>
            </w:r>
          </w:p>
          <w:p>
            <w:pPr>
              <w:spacing w:line="280" w:lineRule="exact"/>
              <w:jc w:val="center"/>
              <w:rPr>
                <w:rFonts w:ascii="宋体" w:hAnsi="宋体"/>
                <w:b/>
                <w:sz w:val="24"/>
              </w:rPr>
            </w:pPr>
          </w:p>
          <w:p>
            <w:pPr>
              <w:spacing w:line="280" w:lineRule="exact"/>
              <w:jc w:val="center"/>
              <w:rPr>
                <w:rFonts w:ascii="宋体" w:hAnsi="宋体"/>
                <w:b/>
                <w:sz w:val="24"/>
              </w:rPr>
            </w:pPr>
            <w:r>
              <w:rPr>
                <w:rFonts w:hint="eastAsia" w:ascii="宋体" w:hAnsi="宋体"/>
                <w:b/>
                <w:sz w:val="24"/>
              </w:rPr>
              <w:t>共</w:t>
            </w:r>
          </w:p>
          <w:p>
            <w:pPr>
              <w:spacing w:line="280" w:lineRule="exact"/>
              <w:jc w:val="center"/>
              <w:rPr>
                <w:rFonts w:ascii="宋体" w:hAnsi="宋体"/>
                <w:b/>
                <w:sz w:val="24"/>
              </w:rPr>
            </w:pPr>
            <w:r>
              <w:rPr>
                <w:rFonts w:hint="eastAsia" w:ascii="宋体" w:hAnsi="宋体"/>
                <w:b/>
                <w:sz w:val="24"/>
              </w:rPr>
              <w:t>80</w:t>
            </w:r>
          </w:p>
          <w:p>
            <w:pPr>
              <w:spacing w:line="280" w:lineRule="exact"/>
              <w:jc w:val="center"/>
              <w:rPr>
                <w:rFonts w:ascii="宋体" w:hAnsi="宋体"/>
                <w:b/>
                <w:sz w:val="24"/>
              </w:rPr>
            </w:pPr>
            <w:r>
              <w:rPr>
                <w:rFonts w:hint="eastAsia" w:ascii="宋体" w:hAnsi="宋体"/>
                <w:b/>
                <w:sz w:val="24"/>
              </w:rPr>
              <w:t>分</w:t>
            </w: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1</w:t>
            </w:r>
          </w:p>
        </w:tc>
        <w:tc>
          <w:tcPr>
            <w:tcW w:w="3791" w:type="dxa"/>
            <w:vAlign w:val="center"/>
          </w:tcPr>
          <w:p>
            <w:pPr>
              <w:spacing w:line="260" w:lineRule="exact"/>
              <w:rPr>
                <w:rFonts w:ascii="宋体" w:hAnsi="宋体"/>
                <w:sz w:val="18"/>
                <w:szCs w:val="18"/>
              </w:rPr>
            </w:pPr>
            <w:r>
              <w:rPr>
                <w:rFonts w:hint="eastAsia" w:ascii="宋体" w:hAnsi="宋体"/>
                <w:sz w:val="18"/>
                <w:szCs w:val="18"/>
              </w:rPr>
              <w:t>行道树的养护严格按规范操作，无缺株，</w:t>
            </w:r>
          </w:p>
          <w:p>
            <w:pPr>
              <w:spacing w:line="260" w:lineRule="exact"/>
              <w:rPr>
                <w:rFonts w:ascii="宋体" w:hAnsi="宋体"/>
                <w:sz w:val="18"/>
                <w:szCs w:val="18"/>
              </w:rPr>
            </w:pPr>
            <w:r>
              <w:rPr>
                <w:rFonts w:hint="eastAsia" w:ascii="宋体" w:hAnsi="宋体"/>
                <w:sz w:val="18"/>
                <w:szCs w:val="18"/>
              </w:rPr>
              <w:t>树木保存率98%以上；</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10</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行道树种植不按规范操作，每株扣0.2分，共5分； 树木每缺少1株扣1分，树木保存率低于92%，该项不得分，共5分；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pacing w:line="280" w:lineRule="exact"/>
              <w:jc w:val="center"/>
              <w:rPr>
                <w:rFonts w:ascii="宋体" w:hAnsi="宋体"/>
                <w:b/>
                <w:sz w:val="24"/>
              </w:rPr>
            </w:pP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2</w:t>
            </w:r>
          </w:p>
        </w:tc>
        <w:tc>
          <w:tcPr>
            <w:tcW w:w="3791" w:type="dxa"/>
            <w:vAlign w:val="center"/>
          </w:tcPr>
          <w:p>
            <w:pPr>
              <w:spacing w:line="260" w:lineRule="exact"/>
              <w:rPr>
                <w:rFonts w:ascii="宋体" w:hAnsi="宋体"/>
                <w:sz w:val="18"/>
                <w:szCs w:val="18"/>
              </w:rPr>
            </w:pPr>
            <w:r>
              <w:rPr>
                <w:rFonts w:hint="eastAsia" w:ascii="宋体" w:hAnsi="宋体"/>
                <w:sz w:val="18"/>
                <w:szCs w:val="18"/>
              </w:rPr>
              <w:t>树木挺直，长势茂盛，树冠丰满完整，及时清除死树、枯枝、断枝，扶正倾斜树木；</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10</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未及时清除死树，每株扣1分，共5分；未及时清除枯枝、断枝、扶正倾斜树木，每处扣0.2分，共5分；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pacing w:line="280" w:lineRule="exact"/>
              <w:jc w:val="center"/>
              <w:rPr>
                <w:rFonts w:ascii="宋体" w:hAnsi="宋体"/>
                <w:b/>
                <w:sz w:val="24"/>
              </w:rPr>
            </w:pP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3</w:t>
            </w:r>
          </w:p>
        </w:tc>
        <w:tc>
          <w:tcPr>
            <w:tcW w:w="3791" w:type="dxa"/>
            <w:vAlign w:val="center"/>
          </w:tcPr>
          <w:p>
            <w:pPr>
              <w:spacing w:line="260" w:lineRule="exact"/>
              <w:rPr>
                <w:rFonts w:ascii="宋体" w:hAnsi="宋体"/>
                <w:sz w:val="18"/>
                <w:szCs w:val="18"/>
              </w:rPr>
            </w:pPr>
            <w:r>
              <w:rPr>
                <w:rFonts w:hint="eastAsia" w:ascii="宋体" w:hAnsi="宋体"/>
                <w:sz w:val="18"/>
                <w:szCs w:val="18"/>
              </w:rPr>
              <w:t>及时做好抗旱、抗台、防雪工作；</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10</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未及时抗旱浇水，每次扣3分，共6分；未及时抗台、抗雪造成严重损失的，该项不得；</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pacing w:line="280" w:lineRule="exact"/>
              <w:jc w:val="center"/>
              <w:rPr>
                <w:rFonts w:ascii="宋体" w:hAnsi="宋体"/>
                <w:b/>
                <w:sz w:val="24"/>
              </w:rPr>
            </w:pP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4</w:t>
            </w:r>
          </w:p>
        </w:tc>
        <w:tc>
          <w:tcPr>
            <w:tcW w:w="3791" w:type="dxa"/>
            <w:vAlign w:val="center"/>
          </w:tcPr>
          <w:p>
            <w:pPr>
              <w:spacing w:line="260" w:lineRule="exact"/>
              <w:rPr>
                <w:rFonts w:ascii="宋体" w:hAnsi="宋体"/>
                <w:sz w:val="18"/>
                <w:szCs w:val="18"/>
              </w:rPr>
            </w:pPr>
            <w:r>
              <w:rPr>
                <w:rFonts w:hint="eastAsia" w:ascii="宋体" w:hAnsi="宋体"/>
                <w:sz w:val="18"/>
                <w:szCs w:val="18"/>
              </w:rPr>
              <w:t>及时抹芽，主干、主枝上无残留萌芽，无徒长枝、并生枝、交叉枝、下垂枝；</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10</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蘗芽长度超过20㎝，每株扣0.2分，共5分；未及时清除徒长枝、并生枝、交叉枝、下垂枝，每株扣0.2分，共5分；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pacing w:line="280" w:lineRule="exact"/>
              <w:jc w:val="center"/>
              <w:rPr>
                <w:rFonts w:ascii="宋体" w:hAnsi="宋体"/>
                <w:b/>
                <w:sz w:val="24"/>
              </w:rPr>
            </w:pP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5</w:t>
            </w:r>
          </w:p>
        </w:tc>
        <w:tc>
          <w:tcPr>
            <w:tcW w:w="3791" w:type="dxa"/>
            <w:vAlign w:val="center"/>
          </w:tcPr>
          <w:p>
            <w:pPr>
              <w:spacing w:line="260" w:lineRule="exact"/>
              <w:rPr>
                <w:rFonts w:ascii="宋体" w:hAnsi="宋体"/>
                <w:sz w:val="18"/>
                <w:szCs w:val="18"/>
              </w:rPr>
            </w:pPr>
            <w:r>
              <w:rPr>
                <w:rFonts w:hint="eastAsia" w:ascii="宋体" w:hAnsi="宋体"/>
                <w:sz w:val="18"/>
                <w:szCs w:val="18"/>
              </w:rPr>
              <w:t>及时防治病虫害，施用的药剂、浓度要树立无公害理念，严格按规范合理施药，基本无病虫害危害迹象，其中蛀干性害虫危害率不超过3%；Ф6公分以上树木冬季树干涂白；</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15</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防治滞后，每天扣1分，共3分；明显病虫害，每株扣0. 2分，共5分；施药不合理每次扣1分，共2分；未及时涂白，每株扣0.1分，共5分；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pacing w:line="280" w:lineRule="exact"/>
              <w:jc w:val="center"/>
              <w:rPr>
                <w:rFonts w:ascii="宋体" w:hAnsi="宋体"/>
                <w:b/>
                <w:sz w:val="24"/>
              </w:rPr>
            </w:pP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6</w:t>
            </w:r>
          </w:p>
        </w:tc>
        <w:tc>
          <w:tcPr>
            <w:tcW w:w="3791" w:type="dxa"/>
            <w:vAlign w:val="center"/>
          </w:tcPr>
          <w:p>
            <w:pPr>
              <w:spacing w:line="260" w:lineRule="exact"/>
              <w:rPr>
                <w:rFonts w:ascii="宋体" w:hAnsi="宋体"/>
                <w:sz w:val="18"/>
                <w:szCs w:val="18"/>
              </w:rPr>
            </w:pPr>
            <w:r>
              <w:rPr>
                <w:rFonts w:hint="eastAsia" w:ascii="宋体" w:hAnsi="宋体"/>
                <w:sz w:val="18"/>
                <w:szCs w:val="18"/>
              </w:rPr>
              <w:t>整形修剪适时合理，合乎要求，保持树冠整齐匀称，树枝当日清除，确保道路畅通；</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10</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整形修剪不合理，不合要求，树冠不整齐匀称，每株扣0. 5分，共5分；树枝不及时清除，每处扣1分，共5分；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48" w:type="dxa"/>
            <w:vMerge w:val="continue"/>
            <w:vAlign w:val="center"/>
          </w:tcPr>
          <w:p>
            <w:pPr>
              <w:spacing w:line="280" w:lineRule="exact"/>
              <w:jc w:val="center"/>
              <w:rPr>
                <w:rFonts w:ascii="宋体" w:hAnsi="宋体"/>
                <w:b/>
                <w:sz w:val="24"/>
              </w:rPr>
            </w:pP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7</w:t>
            </w:r>
          </w:p>
        </w:tc>
        <w:tc>
          <w:tcPr>
            <w:tcW w:w="3791" w:type="dxa"/>
            <w:vAlign w:val="center"/>
          </w:tcPr>
          <w:p>
            <w:pPr>
              <w:spacing w:line="260" w:lineRule="exact"/>
              <w:rPr>
                <w:rFonts w:ascii="宋体" w:hAnsi="宋体"/>
                <w:sz w:val="18"/>
                <w:szCs w:val="18"/>
              </w:rPr>
            </w:pPr>
            <w:r>
              <w:rPr>
                <w:rFonts w:hint="eastAsia" w:ascii="宋体" w:hAnsi="宋体"/>
                <w:sz w:val="18"/>
                <w:szCs w:val="18"/>
              </w:rPr>
              <w:t>修剪、喷药、高空作业严格按操作规程进行，保证安全生产；</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10</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修剪、喷药、高空作业不按操作规程进行，每次扣1分，共5分；发生安全生产事故，扣5分，共5分；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648" w:type="dxa"/>
            <w:vMerge w:val="continue"/>
            <w:vAlign w:val="center"/>
          </w:tcPr>
          <w:p>
            <w:pPr>
              <w:spacing w:line="280" w:lineRule="exact"/>
              <w:jc w:val="center"/>
              <w:rPr>
                <w:rFonts w:ascii="宋体" w:hAnsi="宋体"/>
                <w:b/>
                <w:sz w:val="24"/>
              </w:rPr>
            </w:pP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8</w:t>
            </w:r>
          </w:p>
        </w:tc>
        <w:tc>
          <w:tcPr>
            <w:tcW w:w="3791" w:type="dxa"/>
            <w:vAlign w:val="center"/>
          </w:tcPr>
          <w:p>
            <w:pPr>
              <w:spacing w:line="260" w:lineRule="exact"/>
              <w:rPr>
                <w:rFonts w:ascii="宋体" w:hAnsi="宋体"/>
                <w:sz w:val="18"/>
                <w:szCs w:val="18"/>
              </w:rPr>
            </w:pPr>
            <w:r>
              <w:rPr>
                <w:rFonts w:hint="eastAsia" w:ascii="宋体" w:hAnsi="宋体"/>
                <w:sz w:val="18"/>
                <w:szCs w:val="18"/>
              </w:rPr>
              <w:t>保持树木完好，未受破坏，树上无各类绑扎物体、钉、线及广告物等；</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5</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每发现一处扣0.5分，共5分；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648" w:type="dxa"/>
            <w:vMerge w:val="restart"/>
            <w:vAlign w:val="center"/>
          </w:tcPr>
          <w:p>
            <w:pPr>
              <w:spacing w:line="280" w:lineRule="exact"/>
              <w:jc w:val="center"/>
              <w:rPr>
                <w:rFonts w:ascii="宋体" w:hAnsi="宋体"/>
                <w:b/>
                <w:sz w:val="24"/>
              </w:rPr>
            </w:pPr>
            <w:r>
              <w:rPr>
                <w:rFonts w:hint="eastAsia" w:ascii="宋体" w:hAnsi="宋体"/>
                <w:b/>
                <w:sz w:val="24"/>
              </w:rPr>
              <w:t>二</w:t>
            </w:r>
          </w:p>
          <w:p>
            <w:pPr>
              <w:spacing w:line="280" w:lineRule="exact"/>
              <w:jc w:val="center"/>
              <w:rPr>
                <w:rFonts w:ascii="宋体" w:hAnsi="宋体"/>
                <w:b/>
                <w:sz w:val="24"/>
              </w:rPr>
            </w:pPr>
            <w:r>
              <w:rPr>
                <w:rFonts w:hint="eastAsia" w:ascii="宋体" w:hAnsi="宋体"/>
                <w:b/>
                <w:sz w:val="24"/>
              </w:rPr>
              <w:t>树</w:t>
            </w:r>
          </w:p>
          <w:p>
            <w:pPr>
              <w:spacing w:line="280" w:lineRule="exact"/>
              <w:jc w:val="center"/>
              <w:rPr>
                <w:rFonts w:ascii="宋体" w:hAnsi="宋体"/>
                <w:b/>
                <w:sz w:val="24"/>
              </w:rPr>
            </w:pPr>
            <w:r>
              <w:rPr>
                <w:rFonts w:hint="eastAsia" w:ascii="宋体" w:hAnsi="宋体"/>
                <w:b/>
                <w:sz w:val="24"/>
              </w:rPr>
              <w:t>穴</w:t>
            </w:r>
          </w:p>
          <w:p>
            <w:pPr>
              <w:spacing w:line="280" w:lineRule="exact"/>
              <w:jc w:val="center"/>
              <w:rPr>
                <w:rFonts w:ascii="宋体" w:hAnsi="宋体"/>
                <w:b/>
                <w:sz w:val="24"/>
              </w:rPr>
            </w:pPr>
            <w:r>
              <w:rPr>
                <w:rFonts w:hint="eastAsia" w:ascii="宋体" w:hAnsi="宋体"/>
                <w:b/>
                <w:sz w:val="24"/>
              </w:rPr>
              <w:t>管</w:t>
            </w:r>
          </w:p>
          <w:p>
            <w:pPr>
              <w:spacing w:line="280" w:lineRule="exact"/>
              <w:jc w:val="center"/>
              <w:rPr>
                <w:rFonts w:ascii="宋体" w:hAnsi="宋体"/>
                <w:b/>
                <w:sz w:val="24"/>
              </w:rPr>
            </w:pPr>
            <w:r>
              <w:rPr>
                <w:rFonts w:hint="eastAsia" w:ascii="宋体" w:hAnsi="宋体"/>
                <w:b/>
                <w:sz w:val="24"/>
              </w:rPr>
              <w:t>理</w:t>
            </w:r>
          </w:p>
          <w:p>
            <w:pPr>
              <w:spacing w:line="280" w:lineRule="exact"/>
              <w:jc w:val="center"/>
              <w:rPr>
                <w:rFonts w:ascii="宋体" w:hAnsi="宋体"/>
                <w:b/>
                <w:sz w:val="24"/>
              </w:rPr>
            </w:pPr>
          </w:p>
          <w:p>
            <w:pPr>
              <w:spacing w:line="280" w:lineRule="exact"/>
              <w:jc w:val="center"/>
              <w:rPr>
                <w:rFonts w:ascii="宋体" w:hAnsi="宋体"/>
                <w:b/>
                <w:sz w:val="24"/>
              </w:rPr>
            </w:pPr>
            <w:r>
              <w:rPr>
                <w:rFonts w:hint="eastAsia" w:ascii="宋体" w:hAnsi="宋体"/>
                <w:b/>
                <w:sz w:val="24"/>
              </w:rPr>
              <w:t>共</w:t>
            </w:r>
          </w:p>
          <w:p>
            <w:pPr>
              <w:spacing w:line="280" w:lineRule="exact"/>
              <w:jc w:val="center"/>
              <w:rPr>
                <w:rFonts w:ascii="宋体" w:hAnsi="宋体"/>
                <w:b/>
                <w:sz w:val="24"/>
              </w:rPr>
            </w:pPr>
            <w:r>
              <w:rPr>
                <w:rFonts w:hint="eastAsia" w:ascii="宋体" w:hAnsi="宋体"/>
                <w:b/>
                <w:sz w:val="24"/>
              </w:rPr>
              <w:t>10</w:t>
            </w:r>
          </w:p>
          <w:p>
            <w:pPr>
              <w:spacing w:line="280" w:lineRule="exact"/>
              <w:jc w:val="center"/>
              <w:rPr>
                <w:rFonts w:ascii="宋体" w:hAnsi="宋体"/>
                <w:b/>
                <w:sz w:val="24"/>
              </w:rPr>
            </w:pPr>
            <w:r>
              <w:rPr>
                <w:rFonts w:hint="eastAsia" w:ascii="宋体" w:hAnsi="宋体"/>
                <w:b/>
                <w:sz w:val="24"/>
              </w:rPr>
              <w:t>分</w:t>
            </w: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1</w:t>
            </w:r>
          </w:p>
        </w:tc>
        <w:tc>
          <w:tcPr>
            <w:tcW w:w="3791" w:type="dxa"/>
            <w:vAlign w:val="center"/>
          </w:tcPr>
          <w:p>
            <w:pPr>
              <w:spacing w:line="260" w:lineRule="exact"/>
              <w:rPr>
                <w:rFonts w:ascii="宋体" w:hAnsi="宋体"/>
                <w:sz w:val="18"/>
                <w:szCs w:val="18"/>
              </w:rPr>
            </w:pPr>
            <w:r>
              <w:rPr>
                <w:rFonts w:hint="eastAsia" w:ascii="宋体" w:hAnsi="宋体"/>
                <w:sz w:val="18"/>
                <w:szCs w:val="18"/>
              </w:rPr>
              <w:t>穴内无杂草及堆积物，树穴内植被生长良好，发现缺损及时补植；</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5</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树穴内有杂草、堆积物每株扣0. l分，共2分；树穴内植被不合要求，有缺损未及时补植，每穴扣0.2分，共3分；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48" w:type="dxa"/>
            <w:vMerge w:val="continue"/>
            <w:vAlign w:val="center"/>
          </w:tcPr>
          <w:p>
            <w:pPr>
              <w:spacing w:line="280" w:lineRule="exact"/>
              <w:jc w:val="center"/>
              <w:rPr>
                <w:rFonts w:ascii="宋体" w:hAnsi="宋体"/>
                <w:b/>
                <w:sz w:val="24"/>
              </w:rPr>
            </w:pP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2</w:t>
            </w:r>
          </w:p>
        </w:tc>
        <w:tc>
          <w:tcPr>
            <w:tcW w:w="3791" w:type="dxa"/>
            <w:vAlign w:val="center"/>
          </w:tcPr>
          <w:p>
            <w:pPr>
              <w:spacing w:line="260" w:lineRule="exact"/>
              <w:rPr>
                <w:rFonts w:ascii="宋体" w:hAnsi="宋体"/>
                <w:sz w:val="18"/>
                <w:szCs w:val="18"/>
              </w:rPr>
            </w:pPr>
            <w:r>
              <w:rPr>
                <w:rFonts w:hint="eastAsia" w:ascii="宋体" w:hAnsi="宋体"/>
                <w:sz w:val="18"/>
                <w:szCs w:val="18"/>
              </w:rPr>
              <w:t>树穴内辅装完好，无缺损：有缺损48小时内修复；</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5</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未及时修复，发现一次扣0. 5分，共5分；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Merge w:val="restart"/>
            <w:vAlign w:val="center"/>
          </w:tcPr>
          <w:p>
            <w:pPr>
              <w:spacing w:line="280" w:lineRule="exact"/>
              <w:jc w:val="center"/>
              <w:rPr>
                <w:rFonts w:ascii="宋体" w:hAnsi="宋体"/>
                <w:b/>
                <w:sz w:val="24"/>
              </w:rPr>
            </w:pPr>
            <w:r>
              <w:rPr>
                <w:rFonts w:hint="eastAsia" w:ascii="宋体" w:hAnsi="宋体"/>
                <w:b/>
                <w:sz w:val="24"/>
              </w:rPr>
              <w:t>三</w:t>
            </w:r>
          </w:p>
          <w:p>
            <w:pPr>
              <w:spacing w:line="280" w:lineRule="exact"/>
              <w:jc w:val="center"/>
              <w:rPr>
                <w:rFonts w:ascii="宋体" w:hAnsi="宋体"/>
                <w:b/>
                <w:sz w:val="24"/>
              </w:rPr>
            </w:pPr>
            <w:r>
              <w:rPr>
                <w:rFonts w:hint="eastAsia" w:ascii="宋体" w:hAnsi="宋体"/>
                <w:b/>
                <w:sz w:val="24"/>
              </w:rPr>
              <w:t>其</w:t>
            </w:r>
          </w:p>
          <w:p>
            <w:pPr>
              <w:spacing w:line="280" w:lineRule="exact"/>
              <w:jc w:val="center"/>
              <w:rPr>
                <w:rFonts w:ascii="宋体" w:hAnsi="宋体"/>
                <w:b/>
                <w:sz w:val="24"/>
              </w:rPr>
            </w:pPr>
            <w:r>
              <w:rPr>
                <w:rFonts w:hint="eastAsia" w:ascii="宋体" w:hAnsi="宋体"/>
                <w:b/>
                <w:sz w:val="24"/>
              </w:rPr>
              <w:t>它</w:t>
            </w:r>
          </w:p>
          <w:p>
            <w:pPr>
              <w:spacing w:line="280" w:lineRule="exact"/>
              <w:jc w:val="center"/>
              <w:rPr>
                <w:rFonts w:ascii="宋体" w:hAnsi="宋体"/>
                <w:b/>
                <w:sz w:val="24"/>
              </w:rPr>
            </w:pPr>
          </w:p>
          <w:p>
            <w:pPr>
              <w:spacing w:line="280" w:lineRule="exact"/>
              <w:jc w:val="center"/>
              <w:rPr>
                <w:rFonts w:ascii="宋体" w:hAnsi="宋体"/>
                <w:b/>
                <w:sz w:val="24"/>
              </w:rPr>
            </w:pPr>
            <w:r>
              <w:rPr>
                <w:rFonts w:hint="eastAsia" w:ascii="宋体" w:hAnsi="宋体"/>
                <w:b/>
                <w:sz w:val="24"/>
              </w:rPr>
              <w:t>共</w:t>
            </w:r>
          </w:p>
          <w:p>
            <w:pPr>
              <w:spacing w:line="280" w:lineRule="exact"/>
              <w:jc w:val="center"/>
              <w:rPr>
                <w:rFonts w:ascii="宋体" w:hAnsi="宋体"/>
                <w:b/>
                <w:sz w:val="24"/>
              </w:rPr>
            </w:pPr>
            <w:r>
              <w:rPr>
                <w:rFonts w:hint="eastAsia" w:ascii="宋体" w:hAnsi="宋体"/>
                <w:b/>
                <w:sz w:val="24"/>
              </w:rPr>
              <w:t>10</w:t>
            </w:r>
          </w:p>
          <w:p>
            <w:pPr>
              <w:spacing w:line="280" w:lineRule="exact"/>
              <w:jc w:val="center"/>
              <w:rPr>
                <w:rFonts w:ascii="宋体" w:hAnsi="宋体"/>
                <w:b/>
                <w:sz w:val="24"/>
              </w:rPr>
            </w:pPr>
            <w:r>
              <w:rPr>
                <w:rFonts w:hint="eastAsia" w:ascii="宋体" w:hAnsi="宋体"/>
                <w:b/>
                <w:sz w:val="24"/>
              </w:rPr>
              <w:t>分</w:t>
            </w: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1</w:t>
            </w:r>
          </w:p>
        </w:tc>
        <w:tc>
          <w:tcPr>
            <w:tcW w:w="3791" w:type="dxa"/>
            <w:vAlign w:val="center"/>
          </w:tcPr>
          <w:p>
            <w:pPr>
              <w:spacing w:line="260" w:lineRule="exact"/>
              <w:rPr>
                <w:rFonts w:ascii="宋体" w:hAnsi="宋体"/>
                <w:sz w:val="18"/>
                <w:szCs w:val="18"/>
              </w:rPr>
            </w:pPr>
            <w:r>
              <w:rPr>
                <w:rFonts w:hint="eastAsia" w:ascii="宋体" w:hAnsi="宋体"/>
                <w:sz w:val="18"/>
                <w:szCs w:val="18"/>
              </w:rPr>
              <w:t>安全施工，施工区域设置安全警示标志，着反光背心、戴安全帽、系安全带，讲究文明，礼貌待人；</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5</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未达到要求的，每次扣0. 5分，共5分；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48" w:type="dxa"/>
            <w:vMerge w:val="continue"/>
          </w:tcPr>
          <w:p>
            <w:pPr>
              <w:spacing w:line="280" w:lineRule="exact"/>
              <w:rPr>
                <w:rFonts w:ascii="宋体" w:hAnsi="宋体"/>
                <w:sz w:val="18"/>
                <w:szCs w:val="18"/>
              </w:rPr>
            </w:pP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2</w:t>
            </w:r>
          </w:p>
        </w:tc>
        <w:tc>
          <w:tcPr>
            <w:tcW w:w="3791" w:type="dxa"/>
            <w:vAlign w:val="center"/>
          </w:tcPr>
          <w:p>
            <w:pPr>
              <w:spacing w:line="260" w:lineRule="exact"/>
              <w:rPr>
                <w:rFonts w:ascii="宋体" w:hAnsi="宋体"/>
                <w:sz w:val="18"/>
                <w:szCs w:val="18"/>
              </w:rPr>
            </w:pPr>
            <w:r>
              <w:rPr>
                <w:rFonts w:hint="eastAsia" w:ascii="宋体" w:hAnsi="宋体"/>
                <w:sz w:val="18"/>
                <w:szCs w:val="18"/>
              </w:rPr>
              <w:t>当场阻止毁绿、损绿现象，及时上报业主或行政执法部门；</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2</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未当场有效阻止的，每次扣0. 5分；不及时上报的，每次扣0. 5分，共2分；</w:t>
            </w:r>
          </w:p>
        </w:tc>
        <w:tc>
          <w:tcPr>
            <w:tcW w:w="616" w:type="dxa"/>
          </w:tcPr>
          <w:p>
            <w:pPr>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648" w:type="dxa"/>
            <w:vMerge w:val="continue"/>
          </w:tcPr>
          <w:p>
            <w:pPr>
              <w:spacing w:line="280" w:lineRule="exact"/>
              <w:rPr>
                <w:rFonts w:ascii="宋体" w:hAnsi="宋体"/>
                <w:sz w:val="18"/>
                <w:szCs w:val="18"/>
              </w:rPr>
            </w:pPr>
          </w:p>
        </w:tc>
        <w:tc>
          <w:tcPr>
            <w:tcW w:w="500" w:type="dxa"/>
            <w:vAlign w:val="center"/>
          </w:tcPr>
          <w:p>
            <w:pPr>
              <w:spacing w:line="280" w:lineRule="exact"/>
              <w:jc w:val="center"/>
              <w:rPr>
                <w:rFonts w:ascii="宋体" w:hAnsi="宋体"/>
                <w:sz w:val="18"/>
                <w:szCs w:val="18"/>
              </w:rPr>
            </w:pPr>
            <w:r>
              <w:rPr>
                <w:rFonts w:hint="eastAsia" w:ascii="宋体" w:hAnsi="宋体"/>
                <w:sz w:val="18"/>
                <w:szCs w:val="18"/>
              </w:rPr>
              <w:t>3</w:t>
            </w:r>
          </w:p>
        </w:tc>
        <w:tc>
          <w:tcPr>
            <w:tcW w:w="3791" w:type="dxa"/>
            <w:vAlign w:val="center"/>
          </w:tcPr>
          <w:p>
            <w:pPr>
              <w:spacing w:line="260" w:lineRule="exact"/>
              <w:rPr>
                <w:rFonts w:ascii="宋体" w:hAnsi="宋体"/>
                <w:sz w:val="18"/>
                <w:szCs w:val="18"/>
              </w:rPr>
            </w:pPr>
            <w:r>
              <w:rPr>
                <w:rFonts w:hint="eastAsia" w:ascii="宋体" w:hAnsi="宋体"/>
                <w:sz w:val="18"/>
                <w:szCs w:val="18"/>
              </w:rPr>
              <w:t>有固定联系电话，无投诉、曝光事件发生；</w:t>
            </w:r>
          </w:p>
        </w:tc>
        <w:tc>
          <w:tcPr>
            <w:tcW w:w="606" w:type="dxa"/>
            <w:vAlign w:val="center"/>
          </w:tcPr>
          <w:p>
            <w:pPr>
              <w:spacing w:line="260" w:lineRule="exact"/>
              <w:jc w:val="center"/>
              <w:rPr>
                <w:rFonts w:ascii="宋体" w:hAnsi="宋体"/>
                <w:sz w:val="18"/>
                <w:szCs w:val="18"/>
              </w:rPr>
            </w:pPr>
            <w:r>
              <w:rPr>
                <w:rFonts w:hint="eastAsia" w:ascii="宋体" w:hAnsi="宋体"/>
                <w:sz w:val="18"/>
                <w:szCs w:val="18"/>
              </w:rPr>
              <w:t>3</w:t>
            </w:r>
          </w:p>
          <w:p>
            <w:pPr>
              <w:spacing w:line="260" w:lineRule="exact"/>
              <w:jc w:val="center"/>
              <w:rPr>
                <w:rFonts w:ascii="宋体" w:hAnsi="宋体"/>
                <w:sz w:val="18"/>
                <w:szCs w:val="18"/>
              </w:rPr>
            </w:pPr>
            <w:r>
              <w:rPr>
                <w:rFonts w:hint="eastAsia" w:ascii="宋体" w:hAnsi="宋体"/>
                <w:sz w:val="18"/>
                <w:szCs w:val="18"/>
              </w:rPr>
              <w:t>分</w:t>
            </w:r>
          </w:p>
        </w:tc>
        <w:tc>
          <w:tcPr>
            <w:tcW w:w="4156" w:type="dxa"/>
            <w:vAlign w:val="center"/>
          </w:tcPr>
          <w:p>
            <w:pPr>
              <w:spacing w:line="260" w:lineRule="exact"/>
              <w:rPr>
                <w:rFonts w:ascii="宋体" w:hAnsi="宋体"/>
                <w:sz w:val="18"/>
                <w:szCs w:val="18"/>
              </w:rPr>
            </w:pPr>
            <w:r>
              <w:rPr>
                <w:rFonts w:hint="eastAsia" w:ascii="宋体" w:hAnsi="宋体"/>
                <w:sz w:val="18"/>
                <w:szCs w:val="18"/>
              </w:rPr>
              <w:t>联系电话半小时内无人应接，扣0.5分，共3分；被投诉、曝光的该项不得分。</w:t>
            </w:r>
          </w:p>
        </w:tc>
        <w:tc>
          <w:tcPr>
            <w:tcW w:w="616" w:type="dxa"/>
          </w:tcPr>
          <w:p>
            <w:pPr>
              <w:spacing w:line="280" w:lineRule="exact"/>
              <w:rPr>
                <w:rFonts w:ascii="宋体" w:hAnsi="宋体"/>
                <w:sz w:val="18"/>
                <w:szCs w:val="18"/>
              </w:rPr>
            </w:pPr>
          </w:p>
        </w:tc>
      </w:tr>
    </w:tbl>
    <w:p>
      <w:pPr>
        <w:spacing w:afterLines="50"/>
        <w:rPr>
          <w:rFonts w:ascii="宋体" w:hAnsi="宋体"/>
          <w:b/>
          <w:sz w:val="24"/>
        </w:rPr>
      </w:pPr>
    </w:p>
    <w:p>
      <w:pPr>
        <w:spacing w:afterLines="50"/>
        <w:rPr>
          <w:rFonts w:ascii="宋体" w:hAnsi="宋体"/>
          <w:b/>
          <w:sz w:val="24"/>
        </w:rPr>
      </w:pPr>
    </w:p>
    <w:p>
      <w:pPr>
        <w:rPr>
          <w:sz w:val="32"/>
          <w:szCs w:val="32"/>
        </w:rPr>
      </w:pPr>
    </w:p>
    <w:p>
      <w:pPr>
        <w:rPr>
          <w:sz w:val="32"/>
          <w:szCs w:val="32"/>
        </w:rPr>
      </w:pPr>
    </w:p>
    <w:p>
      <w:pPr>
        <w:rPr>
          <w:sz w:val="32"/>
          <w:szCs w:val="32"/>
        </w:rPr>
      </w:pPr>
    </w:p>
    <w:p>
      <w:pPr>
        <w:rPr>
          <w:b/>
          <w:sz w:val="24"/>
        </w:rPr>
      </w:pPr>
      <w:r>
        <w:rPr>
          <w:rFonts w:hint="eastAsia"/>
          <w:b/>
          <w:sz w:val="24"/>
        </w:rPr>
        <w:t>四、草花</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48"/>
        <w:gridCol w:w="3791"/>
        <w:gridCol w:w="616"/>
        <w:gridCol w:w="4069"/>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Align w:val="center"/>
          </w:tcPr>
          <w:p>
            <w:pPr>
              <w:jc w:val="center"/>
              <w:rPr>
                <w:szCs w:val="21"/>
              </w:rPr>
            </w:pPr>
            <w:r>
              <w:rPr>
                <w:rFonts w:hint="eastAsia"/>
                <w:szCs w:val="21"/>
              </w:rPr>
              <w:t>内</w:t>
            </w:r>
          </w:p>
          <w:p>
            <w:pPr>
              <w:jc w:val="center"/>
              <w:rPr>
                <w:szCs w:val="21"/>
              </w:rPr>
            </w:pPr>
            <w:r>
              <w:rPr>
                <w:rFonts w:hint="eastAsia"/>
                <w:szCs w:val="21"/>
              </w:rPr>
              <w:t>容</w:t>
            </w:r>
          </w:p>
        </w:tc>
        <w:tc>
          <w:tcPr>
            <w:tcW w:w="648" w:type="dxa"/>
            <w:vAlign w:val="center"/>
          </w:tcPr>
          <w:p>
            <w:pPr>
              <w:jc w:val="center"/>
              <w:rPr>
                <w:szCs w:val="21"/>
              </w:rPr>
            </w:pPr>
            <w:r>
              <w:rPr>
                <w:rFonts w:hint="eastAsia"/>
                <w:szCs w:val="21"/>
              </w:rPr>
              <w:t>序</w:t>
            </w:r>
          </w:p>
          <w:p>
            <w:pPr>
              <w:jc w:val="center"/>
              <w:rPr>
                <w:szCs w:val="21"/>
              </w:rPr>
            </w:pPr>
            <w:r>
              <w:rPr>
                <w:rFonts w:hint="eastAsia"/>
                <w:szCs w:val="21"/>
              </w:rPr>
              <w:t>号</w:t>
            </w:r>
          </w:p>
        </w:tc>
        <w:tc>
          <w:tcPr>
            <w:tcW w:w="3791" w:type="dxa"/>
            <w:vAlign w:val="center"/>
          </w:tcPr>
          <w:p>
            <w:pPr>
              <w:jc w:val="center"/>
              <w:rPr>
                <w:szCs w:val="21"/>
              </w:rPr>
            </w:pPr>
            <w:r>
              <w:rPr>
                <w:rFonts w:hint="eastAsia"/>
                <w:szCs w:val="21"/>
              </w:rPr>
              <w:t>质量标准</w:t>
            </w:r>
          </w:p>
        </w:tc>
        <w:tc>
          <w:tcPr>
            <w:tcW w:w="616" w:type="dxa"/>
            <w:vAlign w:val="center"/>
          </w:tcPr>
          <w:p>
            <w:pPr>
              <w:jc w:val="center"/>
              <w:rPr>
                <w:szCs w:val="21"/>
              </w:rPr>
            </w:pPr>
            <w:r>
              <w:rPr>
                <w:rFonts w:hint="eastAsia"/>
                <w:szCs w:val="21"/>
              </w:rPr>
              <w:t>满</w:t>
            </w:r>
          </w:p>
          <w:p>
            <w:pPr>
              <w:jc w:val="center"/>
              <w:rPr>
                <w:szCs w:val="21"/>
              </w:rPr>
            </w:pPr>
            <w:r>
              <w:rPr>
                <w:rFonts w:hint="eastAsia"/>
                <w:szCs w:val="21"/>
              </w:rPr>
              <w:t>分</w:t>
            </w:r>
          </w:p>
        </w:tc>
        <w:tc>
          <w:tcPr>
            <w:tcW w:w="4069" w:type="dxa"/>
            <w:vAlign w:val="center"/>
          </w:tcPr>
          <w:p>
            <w:pPr>
              <w:jc w:val="center"/>
              <w:rPr>
                <w:szCs w:val="21"/>
              </w:rPr>
            </w:pPr>
            <w:r>
              <w:rPr>
                <w:rFonts w:hint="eastAsia"/>
                <w:szCs w:val="21"/>
              </w:rPr>
              <w:t>考核标准</w:t>
            </w:r>
          </w:p>
        </w:tc>
        <w:tc>
          <w:tcPr>
            <w:tcW w:w="616" w:type="dxa"/>
            <w:vAlign w:val="center"/>
          </w:tcPr>
          <w:p>
            <w:pPr>
              <w:jc w:val="center"/>
              <w:rPr>
                <w:szCs w:val="21"/>
              </w:rPr>
            </w:pPr>
            <w:r>
              <w:rPr>
                <w:rFonts w:hint="eastAsia"/>
                <w:szCs w:val="21"/>
              </w:rPr>
              <w:t>得</w:t>
            </w:r>
          </w:p>
          <w:p>
            <w:pPr>
              <w:jc w:val="center"/>
              <w:rPr>
                <w:szCs w:val="21"/>
              </w:rPr>
            </w:pP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restart"/>
            <w:vAlign w:val="center"/>
          </w:tcPr>
          <w:p>
            <w:pPr>
              <w:jc w:val="center"/>
              <w:rPr>
                <w:b/>
                <w:sz w:val="24"/>
              </w:rPr>
            </w:pPr>
            <w:r>
              <w:rPr>
                <w:rFonts w:hint="eastAsia"/>
                <w:b/>
                <w:sz w:val="24"/>
              </w:rPr>
              <w:t>一</w:t>
            </w:r>
          </w:p>
          <w:p>
            <w:pPr>
              <w:jc w:val="center"/>
              <w:rPr>
                <w:b/>
                <w:sz w:val="24"/>
              </w:rPr>
            </w:pPr>
            <w:r>
              <w:rPr>
                <w:rFonts w:hint="eastAsia"/>
                <w:b/>
                <w:sz w:val="24"/>
              </w:rPr>
              <w:t>布</w:t>
            </w:r>
          </w:p>
          <w:p>
            <w:pPr>
              <w:jc w:val="center"/>
              <w:rPr>
                <w:b/>
                <w:sz w:val="24"/>
              </w:rPr>
            </w:pPr>
            <w:r>
              <w:rPr>
                <w:rFonts w:hint="eastAsia"/>
                <w:b/>
                <w:sz w:val="24"/>
              </w:rPr>
              <w:t>置</w:t>
            </w:r>
          </w:p>
          <w:p>
            <w:pPr>
              <w:jc w:val="center"/>
              <w:rPr>
                <w:b/>
                <w:sz w:val="24"/>
              </w:rPr>
            </w:pPr>
            <w:r>
              <w:rPr>
                <w:rFonts w:hint="eastAsia"/>
                <w:b/>
                <w:sz w:val="24"/>
              </w:rPr>
              <w:t>养</w:t>
            </w:r>
          </w:p>
          <w:p>
            <w:pPr>
              <w:jc w:val="center"/>
              <w:rPr>
                <w:b/>
                <w:sz w:val="24"/>
              </w:rPr>
            </w:pPr>
            <w:r>
              <w:rPr>
                <w:rFonts w:hint="eastAsia"/>
                <w:b/>
                <w:sz w:val="24"/>
              </w:rPr>
              <w:t>护</w:t>
            </w:r>
          </w:p>
          <w:p>
            <w:pPr>
              <w:jc w:val="center"/>
              <w:rPr>
                <w:b/>
                <w:sz w:val="24"/>
              </w:rPr>
            </w:pPr>
          </w:p>
          <w:p>
            <w:pPr>
              <w:jc w:val="center"/>
              <w:rPr>
                <w:b/>
                <w:sz w:val="24"/>
              </w:rPr>
            </w:pPr>
            <w:r>
              <w:rPr>
                <w:rFonts w:hint="eastAsia"/>
                <w:b/>
                <w:sz w:val="24"/>
              </w:rPr>
              <w:t>共</w:t>
            </w:r>
          </w:p>
          <w:p>
            <w:pPr>
              <w:jc w:val="center"/>
              <w:rPr>
                <w:b/>
                <w:sz w:val="24"/>
              </w:rPr>
            </w:pPr>
            <w:r>
              <w:rPr>
                <w:rFonts w:hint="eastAsia"/>
                <w:b/>
                <w:sz w:val="24"/>
              </w:rPr>
              <w:t>85</w:t>
            </w:r>
          </w:p>
          <w:p>
            <w:pPr>
              <w:jc w:val="center"/>
              <w:rPr>
                <w:b/>
                <w:sz w:val="24"/>
              </w:rPr>
            </w:pPr>
            <w:r>
              <w:rPr>
                <w:rFonts w:hint="eastAsia"/>
                <w:b/>
                <w:sz w:val="24"/>
              </w:rPr>
              <w:t>分</w:t>
            </w:r>
          </w:p>
        </w:tc>
        <w:tc>
          <w:tcPr>
            <w:tcW w:w="648" w:type="dxa"/>
            <w:vAlign w:val="center"/>
          </w:tcPr>
          <w:p>
            <w:pPr>
              <w:jc w:val="center"/>
              <w:rPr>
                <w:sz w:val="18"/>
                <w:szCs w:val="18"/>
              </w:rPr>
            </w:pPr>
            <w:r>
              <w:rPr>
                <w:rFonts w:hint="eastAsia"/>
                <w:sz w:val="18"/>
                <w:szCs w:val="18"/>
              </w:rPr>
              <w:t>1</w:t>
            </w:r>
          </w:p>
        </w:tc>
        <w:tc>
          <w:tcPr>
            <w:tcW w:w="3791" w:type="dxa"/>
            <w:vAlign w:val="center"/>
          </w:tcPr>
          <w:p>
            <w:pPr>
              <w:rPr>
                <w:sz w:val="18"/>
                <w:szCs w:val="18"/>
              </w:rPr>
            </w:pPr>
            <w:r>
              <w:rPr>
                <w:rFonts w:hint="eastAsia"/>
                <w:sz w:val="18"/>
                <w:szCs w:val="18"/>
              </w:rPr>
              <w:t>鲜花花丛整齐，花卉株型饱满、大小匀称，冠幅要大于15</w:t>
            </w:r>
            <w:r>
              <w:rPr>
                <w:sz w:val="18"/>
                <w:szCs w:val="18"/>
              </w:rPr>
              <w:t>cm</w:t>
            </w:r>
            <w:r>
              <w:rPr>
                <w:rFonts w:hint="eastAsia"/>
                <w:sz w:val="18"/>
                <w:szCs w:val="18"/>
              </w:rPr>
              <w:t>以上，高度大于</w:t>
            </w:r>
            <w:r>
              <w:rPr>
                <w:sz w:val="18"/>
                <w:szCs w:val="18"/>
              </w:rPr>
              <w:t>2</w:t>
            </w:r>
            <w:r>
              <w:rPr>
                <w:rFonts w:hint="eastAsia"/>
                <w:sz w:val="18"/>
                <w:szCs w:val="18"/>
              </w:rPr>
              <w:t>0</w:t>
            </w:r>
            <w:r>
              <w:rPr>
                <w:sz w:val="18"/>
                <w:szCs w:val="18"/>
              </w:rPr>
              <w:t>cm</w:t>
            </w:r>
            <w:r>
              <w:rPr>
                <w:rFonts w:hint="eastAsia"/>
                <w:sz w:val="18"/>
                <w:szCs w:val="18"/>
              </w:rPr>
              <w:t>以上，花丛整齐，花卉株型饱满、大小匀称、无徒长、畸形现象；</w:t>
            </w:r>
          </w:p>
        </w:tc>
        <w:tc>
          <w:tcPr>
            <w:tcW w:w="616" w:type="dxa"/>
            <w:vAlign w:val="center"/>
          </w:tcPr>
          <w:p>
            <w:pPr>
              <w:jc w:val="center"/>
              <w:rPr>
                <w:sz w:val="18"/>
                <w:szCs w:val="18"/>
              </w:rPr>
            </w:pPr>
            <w:r>
              <w:rPr>
                <w:rFonts w:hint="eastAsia"/>
                <w:sz w:val="18"/>
                <w:szCs w:val="18"/>
              </w:rPr>
              <w:t>8</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发现徒长、畸形或参差不齐花卉或缺株的</w:t>
            </w:r>
            <w:r>
              <w:rPr>
                <w:rFonts w:hint="eastAsia"/>
                <w:sz w:val="24"/>
              </w:rPr>
              <w:t>，</w:t>
            </w:r>
            <w:r>
              <w:rPr>
                <w:rFonts w:hint="eastAsia"/>
                <w:sz w:val="18"/>
                <w:szCs w:val="18"/>
              </w:rPr>
              <w:t>每盆或每棵0. 2分；花丛不整齐、株型不饱满，冠幅、高度达不到要求，该项不得分；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47" w:type="dxa"/>
            <w:vMerge w:val="continue"/>
            <w:vAlign w:val="center"/>
          </w:tcPr>
          <w:p>
            <w:pPr>
              <w:jc w:val="center"/>
              <w:rPr>
                <w:b/>
                <w:sz w:val="24"/>
              </w:rPr>
            </w:pPr>
          </w:p>
        </w:tc>
        <w:tc>
          <w:tcPr>
            <w:tcW w:w="648" w:type="dxa"/>
            <w:vAlign w:val="center"/>
          </w:tcPr>
          <w:p>
            <w:pPr>
              <w:jc w:val="center"/>
              <w:rPr>
                <w:sz w:val="18"/>
                <w:szCs w:val="18"/>
              </w:rPr>
            </w:pPr>
            <w:r>
              <w:rPr>
                <w:rFonts w:hint="eastAsia"/>
                <w:sz w:val="18"/>
                <w:szCs w:val="18"/>
              </w:rPr>
              <w:t>2</w:t>
            </w:r>
          </w:p>
        </w:tc>
        <w:tc>
          <w:tcPr>
            <w:tcW w:w="3791" w:type="dxa"/>
            <w:vAlign w:val="center"/>
          </w:tcPr>
          <w:p>
            <w:pPr>
              <w:rPr>
                <w:sz w:val="18"/>
                <w:szCs w:val="18"/>
              </w:rPr>
            </w:pPr>
            <w:r>
              <w:rPr>
                <w:rFonts w:hint="eastAsia"/>
                <w:sz w:val="18"/>
                <w:szCs w:val="18"/>
              </w:rPr>
              <w:t>花卉健康无病害，着花蕾率10</w:t>
            </w:r>
            <w:r>
              <w:rPr>
                <w:rFonts w:hint="eastAsia" w:ascii="宋体" w:hAnsi="宋体"/>
                <w:sz w:val="18"/>
                <w:szCs w:val="18"/>
              </w:rPr>
              <w:t>0﹪，布置时开花率20—30﹪；</w:t>
            </w:r>
          </w:p>
        </w:tc>
        <w:tc>
          <w:tcPr>
            <w:tcW w:w="616" w:type="dxa"/>
            <w:vAlign w:val="center"/>
          </w:tcPr>
          <w:p>
            <w:pPr>
              <w:jc w:val="center"/>
              <w:rPr>
                <w:sz w:val="18"/>
                <w:szCs w:val="18"/>
              </w:rPr>
            </w:pPr>
            <w:r>
              <w:rPr>
                <w:rFonts w:hint="eastAsia"/>
                <w:sz w:val="18"/>
                <w:szCs w:val="18"/>
              </w:rPr>
              <w:t>9</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不合要求，每盆或每棵扣0.2分；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47" w:type="dxa"/>
            <w:vMerge w:val="continue"/>
            <w:vAlign w:val="center"/>
          </w:tcPr>
          <w:p>
            <w:pPr>
              <w:jc w:val="center"/>
              <w:rPr>
                <w:b/>
                <w:sz w:val="24"/>
              </w:rPr>
            </w:pPr>
          </w:p>
        </w:tc>
        <w:tc>
          <w:tcPr>
            <w:tcW w:w="648" w:type="dxa"/>
            <w:vAlign w:val="center"/>
          </w:tcPr>
          <w:p>
            <w:pPr>
              <w:jc w:val="center"/>
              <w:rPr>
                <w:sz w:val="18"/>
                <w:szCs w:val="18"/>
              </w:rPr>
            </w:pPr>
            <w:r>
              <w:rPr>
                <w:rFonts w:hint="eastAsia"/>
                <w:sz w:val="18"/>
                <w:szCs w:val="18"/>
              </w:rPr>
              <w:t>3</w:t>
            </w:r>
          </w:p>
        </w:tc>
        <w:tc>
          <w:tcPr>
            <w:tcW w:w="3791" w:type="dxa"/>
            <w:vAlign w:val="center"/>
          </w:tcPr>
          <w:p>
            <w:pPr>
              <w:rPr>
                <w:sz w:val="18"/>
                <w:szCs w:val="18"/>
              </w:rPr>
            </w:pPr>
            <w:r>
              <w:rPr>
                <w:rFonts w:hint="eastAsia"/>
                <w:sz w:val="18"/>
                <w:szCs w:val="18"/>
              </w:rPr>
              <w:t>花卉种植密度要求以黄土不露天为主，标准株型为25株</w:t>
            </w:r>
            <w:r>
              <w:rPr>
                <w:rFonts w:hint="eastAsia" w:ascii="宋体" w:hAnsi="宋体"/>
                <w:sz w:val="18"/>
                <w:szCs w:val="18"/>
              </w:rPr>
              <w:t>/㎡</w:t>
            </w:r>
            <w:r>
              <w:rPr>
                <w:rFonts w:hint="eastAsia"/>
                <w:sz w:val="18"/>
                <w:szCs w:val="18"/>
              </w:rPr>
              <w:t>，如株型偏小</w:t>
            </w:r>
            <w:r>
              <w:rPr>
                <w:rFonts w:hint="eastAsia"/>
                <w:sz w:val="24"/>
              </w:rPr>
              <w:t>，</w:t>
            </w:r>
            <w:r>
              <w:rPr>
                <w:rFonts w:hint="eastAsia"/>
                <w:sz w:val="18"/>
                <w:szCs w:val="18"/>
              </w:rPr>
              <w:t>应增加密度，无缺棵现象；</w:t>
            </w:r>
          </w:p>
        </w:tc>
        <w:tc>
          <w:tcPr>
            <w:tcW w:w="616" w:type="dxa"/>
            <w:vAlign w:val="center"/>
          </w:tcPr>
          <w:p>
            <w:pPr>
              <w:jc w:val="center"/>
              <w:rPr>
                <w:sz w:val="18"/>
                <w:szCs w:val="18"/>
              </w:rPr>
            </w:pPr>
            <w:r>
              <w:rPr>
                <w:rFonts w:hint="eastAsia"/>
                <w:sz w:val="18"/>
                <w:szCs w:val="18"/>
              </w:rPr>
              <w:t>8</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不合要求，每平方米扣1 分；缺棵，每棵扣0.5分；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jc w:val="center"/>
              <w:rPr>
                <w:b/>
                <w:sz w:val="24"/>
              </w:rPr>
            </w:pPr>
          </w:p>
        </w:tc>
        <w:tc>
          <w:tcPr>
            <w:tcW w:w="648" w:type="dxa"/>
            <w:vAlign w:val="center"/>
          </w:tcPr>
          <w:p>
            <w:pPr>
              <w:jc w:val="center"/>
              <w:rPr>
                <w:sz w:val="18"/>
                <w:szCs w:val="18"/>
              </w:rPr>
            </w:pPr>
            <w:r>
              <w:rPr>
                <w:rFonts w:hint="eastAsia"/>
                <w:sz w:val="18"/>
                <w:szCs w:val="18"/>
              </w:rPr>
              <w:t>4</w:t>
            </w:r>
          </w:p>
        </w:tc>
        <w:tc>
          <w:tcPr>
            <w:tcW w:w="3791" w:type="dxa"/>
            <w:vAlign w:val="center"/>
          </w:tcPr>
          <w:p>
            <w:pPr>
              <w:rPr>
                <w:sz w:val="18"/>
                <w:szCs w:val="18"/>
              </w:rPr>
            </w:pPr>
            <w:r>
              <w:rPr>
                <w:rFonts w:hint="eastAsia"/>
                <w:sz w:val="18"/>
                <w:szCs w:val="18"/>
              </w:rPr>
              <w:t>换花须科学、及时，换花露土时间不超讨12小时；</w:t>
            </w:r>
          </w:p>
        </w:tc>
        <w:tc>
          <w:tcPr>
            <w:tcW w:w="616" w:type="dxa"/>
            <w:vAlign w:val="center"/>
          </w:tcPr>
          <w:p>
            <w:pPr>
              <w:jc w:val="center"/>
              <w:rPr>
                <w:sz w:val="18"/>
                <w:szCs w:val="18"/>
              </w:rPr>
            </w:pPr>
            <w:r>
              <w:rPr>
                <w:rFonts w:hint="eastAsia"/>
                <w:sz w:val="18"/>
                <w:szCs w:val="18"/>
              </w:rPr>
              <w:t>8</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换花露土时间超过12小时，每平方米扣0. 2 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jc w:val="center"/>
              <w:rPr>
                <w:b/>
                <w:sz w:val="24"/>
              </w:rPr>
            </w:pPr>
          </w:p>
        </w:tc>
        <w:tc>
          <w:tcPr>
            <w:tcW w:w="648" w:type="dxa"/>
            <w:vAlign w:val="center"/>
          </w:tcPr>
          <w:p>
            <w:pPr>
              <w:jc w:val="center"/>
              <w:rPr>
                <w:sz w:val="18"/>
                <w:szCs w:val="18"/>
              </w:rPr>
            </w:pPr>
            <w:r>
              <w:rPr>
                <w:rFonts w:hint="eastAsia"/>
                <w:sz w:val="18"/>
                <w:szCs w:val="18"/>
              </w:rPr>
              <w:t>5</w:t>
            </w:r>
          </w:p>
        </w:tc>
        <w:tc>
          <w:tcPr>
            <w:tcW w:w="3791" w:type="dxa"/>
            <w:vAlign w:val="center"/>
          </w:tcPr>
          <w:p>
            <w:pPr>
              <w:rPr>
                <w:sz w:val="18"/>
                <w:szCs w:val="18"/>
              </w:rPr>
            </w:pPr>
            <w:r>
              <w:rPr>
                <w:rFonts w:hint="eastAsia"/>
                <w:sz w:val="18"/>
                <w:szCs w:val="18"/>
              </w:rPr>
              <w:t>花卉摆放有序，花间距不大于3厘米或叶与叶交叉；盆花种植呈弧形，草花垂直投影面积超过内径7厘米；</w:t>
            </w:r>
          </w:p>
        </w:tc>
        <w:tc>
          <w:tcPr>
            <w:tcW w:w="616" w:type="dxa"/>
            <w:vAlign w:val="center"/>
          </w:tcPr>
          <w:p>
            <w:pPr>
              <w:jc w:val="center"/>
              <w:rPr>
                <w:sz w:val="18"/>
                <w:szCs w:val="18"/>
              </w:rPr>
            </w:pPr>
            <w:r>
              <w:rPr>
                <w:rFonts w:hint="eastAsia"/>
                <w:sz w:val="18"/>
                <w:szCs w:val="18"/>
              </w:rPr>
              <w:t>8</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不合要求，每盆扣0.1分；花间距不合要求，每平方米扣2 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jc w:val="center"/>
              <w:rPr>
                <w:b/>
                <w:sz w:val="24"/>
              </w:rPr>
            </w:pPr>
          </w:p>
        </w:tc>
        <w:tc>
          <w:tcPr>
            <w:tcW w:w="648" w:type="dxa"/>
            <w:vAlign w:val="center"/>
          </w:tcPr>
          <w:p>
            <w:pPr>
              <w:jc w:val="center"/>
              <w:rPr>
                <w:sz w:val="18"/>
                <w:szCs w:val="18"/>
              </w:rPr>
            </w:pPr>
            <w:r>
              <w:rPr>
                <w:rFonts w:hint="eastAsia"/>
                <w:sz w:val="18"/>
                <w:szCs w:val="18"/>
              </w:rPr>
              <w:t>6</w:t>
            </w:r>
          </w:p>
        </w:tc>
        <w:tc>
          <w:tcPr>
            <w:tcW w:w="3791" w:type="dxa"/>
            <w:vAlign w:val="center"/>
          </w:tcPr>
          <w:p>
            <w:pPr>
              <w:rPr>
                <w:sz w:val="18"/>
                <w:szCs w:val="18"/>
              </w:rPr>
            </w:pPr>
            <w:r>
              <w:rPr>
                <w:rFonts w:hint="eastAsia"/>
                <w:sz w:val="18"/>
                <w:szCs w:val="18"/>
              </w:rPr>
              <w:t>花卉品种、规格符合要求，色彩搭配合理；</w:t>
            </w:r>
          </w:p>
        </w:tc>
        <w:tc>
          <w:tcPr>
            <w:tcW w:w="616" w:type="dxa"/>
            <w:vAlign w:val="center"/>
          </w:tcPr>
          <w:p>
            <w:pPr>
              <w:jc w:val="center"/>
              <w:rPr>
                <w:sz w:val="18"/>
                <w:szCs w:val="18"/>
              </w:rPr>
            </w:pPr>
            <w:r>
              <w:rPr>
                <w:rFonts w:hint="eastAsia"/>
                <w:sz w:val="18"/>
                <w:szCs w:val="18"/>
              </w:rPr>
              <w:t>9</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花卉品种、色彩、规格不符合要求，每盆或每棵扣0. 1分；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jc w:val="center"/>
              <w:rPr>
                <w:b/>
                <w:sz w:val="24"/>
              </w:rPr>
            </w:pPr>
          </w:p>
        </w:tc>
        <w:tc>
          <w:tcPr>
            <w:tcW w:w="648" w:type="dxa"/>
            <w:vAlign w:val="center"/>
          </w:tcPr>
          <w:p>
            <w:pPr>
              <w:jc w:val="center"/>
              <w:rPr>
                <w:sz w:val="18"/>
                <w:szCs w:val="18"/>
              </w:rPr>
            </w:pPr>
            <w:r>
              <w:rPr>
                <w:rFonts w:hint="eastAsia"/>
                <w:sz w:val="18"/>
                <w:szCs w:val="18"/>
              </w:rPr>
              <w:t>7</w:t>
            </w:r>
          </w:p>
        </w:tc>
        <w:tc>
          <w:tcPr>
            <w:tcW w:w="3791" w:type="dxa"/>
            <w:vAlign w:val="center"/>
          </w:tcPr>
          <w:p>
            <w:pPr>
              <w:rPr>
                <w:sz w:val="18"/>
                <w:szCs w:val="18"/>
              </w:rPr>
            </w:pPr>
            <w:r>
              <w:rPr>
                <w:rFonts w:hint="eastAsia"/>
                <w:sz w:val="18"/>
                <w:szCs w:val="18"/>
              </w:rPr>
              <w:t>及时摘除谢花、枯叶，补施追肥保持鲜花的景观效果；</w:t>
            </w:r>
          </w:p>
        </w:tc>
        <w:tc>
          <w:tcPr>
            <w:tcW w:w="616" w:type="dxa"/>
            <w:vAlign w:val="center"/>
          </w:tcPr>
          <w:p>
            <w:pPr>
              <w:jc w:val="center"/>
              <w:rPr>
                <w:sz w:val="18"/>
                <w:szCs w:val="18"/>
              </w:rPr>
            </w:pPr>
            <w:r>
              <w:rPr>
                <w:rFonts w:hint="eastAsia"/>
                <w:sz w:val="18"/>
                <w:szCs w:val="18"/>
              </w:rPr>
              <w:t>9</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不合要求，每盆或每棵扣0.2分；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647" w:type="dxa"/>
            <w:vMerge w:val="continue"/>
            <w:vAlign w:val="center"/>
          </w:tcPr>
          <w:p>
            <w:pPr>
              <w:jc w:val="center"/>
              <w:rPr>
                <w:b/>
                <w:sz w:val="24"/>
              </w:rPr>
            </w:pPr>
          </w:p>
        </w:tc>
        <w:tc>
          <w:tcPr>
            <w:tcW w:w="648" w:type="dxa"/>
            <w:vAlign w:val="center"/>
          </w:tcPr>
          <w:p>
            <w:pPr>
              <w:jc w:val="center"/>
              <w:rPr>
                <w:sz w:val="18"/>
                <w:szCs w:val="18"/>
              </w:rPr>
            </w:pPr>
            <w:r>
              <w:rPr>
                <w:rFonts w:hint="eastAsia"/>
                <w:sz w:val="18"/>
                <w:szCs w:val="18"/>
              </w:rPr>
              <w:t>8</w:t>
            </w:r>
          </w:p>
        </w:tc>
        <w:tc>
          <w:tcPr>
            <w:tcW w:w="3791" w:type="dxa"/>
            <w:vAlign w:val="center"/>
          </w:tcPr>
          <w:p>
            <w:pPr>
              <w:rPr>
                <w:sz w:val="18"/>
                <w:szCs w:val="18"/>
              </w:rPr>
            </w:pPr>
            <w:r>
              <w:rPr>
                <w:rFonts w:hint="eastAsia"/>
                <w:sz w:val="18"/>
                <w:szCs w:val="18"/>
              </w:rPr>
              <w:t>及时浇水、治虫，无明显病虫害，花卉病虫害控制率达95%以上，及时更换病株；</w:t>
            </w:r>
          </w:p>
        </w:tc>
        <w:tc>
          <w:tcPr>
            <w:tcW w:w="616" w:type="dxa"/>
            <w:vAlign w:val="center"/>
          </w:tcPr>
          <w:p>
            <w:pPr>
              <w:jc w:val="center"/>
              <w:rPr>
                <w:sz w:val="18"/>
                <w:szCs w:val="18"/>
              </w:rPr>
            </w:pPr>
            <w:r>
              <w:rPr>
                <w:rFonts w:hint="eastAsia"/>
                <w:sz w:val="18"/>
                <w:szCs w:val="18"/>
              </w:rPr>
              <w:t>9</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缺水而造成花卉枯萎、枯黄或死亡的，每盆或每棵扣0. 2分；明显病虫害或未及时更换，每盆或每棵扣0. 2分；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47" w:type="dxa"/>
            <w:vMerge w:val="continue"/>
            <w:vAlign w:val="center"/>
          </w:tcPr>
          <w:p>
            <w:pPr>
              <w:jc w:val="center"/>
              <w:rPr>
                <w:b/>
                <w:sz w:val="24"/>
              </w:rPr>
            </w:pPr>
          </w:p>
        </w:tc>
        <w:tc>
          <w:tcPr>
            <w:tcW w:w="648" w:type="dxa"/>
            <w:vAlign w:val="center"/>
          </w:tcPr>
          <w:p>
            <w:pPr>
              <w:jc w:val="center"/>
              <w:rPr>
                <w:sz w:val="18"/>
                <w:szCs w:val="18"/>
              </w:rPr>
            </w:pPr>
            <w:r>
              <w:rPr>
                <w:rFonts w:hint="eastAsia"/>
                <w:sz w:val="18"/>
                <w:szCs w:val="18"/>
              </w:rPr>
              <w:t>9</w:t>
            </w:r>
          </w:p>
        </w:tc>
        <w:tc>
          <w:tcPr>
            <w:tcW w:w="3791" w:type="dxa"/>
            <w:vAlign w:val="center"/>
          </w:tcPr>
          <w:p>
            <w:pPr>
              <w:rPr>
                <w:sz w:val="18"/>
                <w:szCs w:val="18"/>
              </w:rPr>
            </w:pPr>
            <w:r>
              <w:rPr>
                <w:rFonts w:hint="eastAsia"/>
                <w:sz w:val="18"/>
                <w:szCs w:val="18"/>
              </w:rPr>
              <w:t>盆栽、地栽鲜花保持整洁，无杂草；</w:t>
            </w:r>
          </w:p>
        </w:tc>
        <w:tc>
          <w:tcPr>
            <w:tcW w:w="616" w:type="dxa"/>
            <w:vAlign w:val="center"/>
          </w:tcPr>
          <w:p>
            <w:pPr>
              <w:jc w:val="center"/>
              <w:rPr>
                <w:sz w:val="18"/>
                <w:szCs w:val="18"/>
              </w:rPr>
            </w:pPr>
            <w:r>
              <w:rPr>
                <w:rFonts w:hint="eastAsia"/>
                <w:sz w:val="18"/>
                <w:szCs w:val="18"/>
              </w:rPr>
              <w:t>8</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有杂草，盆栽每盆扣0.2分，地栽每平方米扣2分；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vAlign w:val="center"/>
          </w:tcPr>
          <w:p>
            <w:pPr>
              <w:jc w:val="center"/>
              <w:rPr>
                <w:b/>
                <w:sz w:val="24"/>
              </w:rPr>
            </w:pPr>
          </w:p>
        </w:tc>
        <w:tc>
          <w:tcPr>
            <w:tcW w:w="648" w:type="dxa"/>
            <w:vAlign w:val="center"/>
          </w:tcPr>
          <w:p>
            <w:pPr>
              <w:jc w:val="center"/>
              <w:rPr>
                <w:sz w:val="18"/>
                <w:szCs w:val="18"/>
              </w:rPr>
            </w:pPr>
            <w:r>
              <w:rPr>
                <w:rFonts w:hint="eastAsia"/>
                <w:sz w:val="18"/>
                <w:szCs w:val="18"/>
              </w:rPr>
              <w:t>10</w:t>
            </w:r>
          </w:p>
        </w:tc>
        <w:tc>
          <w:tcPr>
            <w:tcW w:w="3791" w:type="dxa"/>
            <w:vAlign w:val="center"/>
          </w:tcPr>
          <w:p>
            <w:pPr>
              <w:rPr>
                <w:sz w:val="18"/>
                <w:szCs w:val="18"/>
              </w:rPr>
            </w:pPr>
            <w:r>
              <w:rPr>
                <w:rFonts w:hint="eastAsia"/>
                <w:sz w:val="18"/>
                <w:szCs w:val="18"/>
              </w:rPr>
              <w:t>盆口、盆脚保持清洁，无明显灰尘、泥土、垃圾及广告物等。</w:t>
            </w:r>
          </w:p>
        </w:tc>
        <w:tc>
          <w:tcPr>
            <w:tcW w:w="616" w:type="dxa"/>
            <w:vAlign w:val="center"/>
          </w:tcPr>
          <w:p>
            <w:pPr>
              <w:jc w:val="center"/>
              <w:rPr>
                <w:sz w:val="18"/>
                <w:szCs w:val="18"/>
              </w:rPr>
            </w:pPr>
            <w:r>
              <w:rPr>
                <w:rFonts w:hint="eastAsia"/>
                <w:sz w:val="18"/>
                <w:szCs w:val="18"/>
              </w:rPr>
              <w:t>9</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不合要求，每盆扣0. 2分；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647" w:type="dxa"/>
            <w:vMerge w:val="restart"/>
            <w:vAlign w:val="center"/>
          </w:tcPr>
          <w:p>
            <w:pPr>
              <w:jc w:val="center"/>
              <w:rPr>
                <w:b/>
                <w:sz w:val="24"/>
              </w:rPr>
            </w:pPr>
          </w:p>
          <w:p>
            <w:pPr>
              <w:jc w:val="center"/>
              <w:rPr>
                <w:b/>
                <w:sz w:val="24"/>
              </w:rPr>
            </w:pPr>
            <w:r>
              <w:rPr>
                <w:rFonts w:hint="eastAsia"/>
                <w:b/>
                <w:sz w:val="24"/>
              </w:rPr>
              <w:t>二</w:t>
            </w:r>
          </w:p>
          <w:p>
            <w:pPr>
              <w:jc w:val="center"/>
              <w:rPr>
                <w:b/>
                <w:sz w:val="24"/>
              </w:rPr>
            </w:pPr>
            <w:r>
              <w:rPr>
                <w:rFonts w:hint="eastAsia"/>
                <w:b/>
                <w:sz w:val="24"/>
              </w:rPr>
              <w:t>其</w:t>
            </w:r>
          </w:p>
          <w:p>
            <w:pPr>
              <w:jc w:val="center"/>
              <w:rPr>
                <w:b/>
                <w:sz w:val="24"/>
              </w:rPr>
            </w:pPr>
            <w:r>
              <w:rPr>
                <w:rFonts w:hint="eastAsia"/>
                <w:b/>
                <w:sz w:val="24"/>
              </w:rPr>
              <w:t>它</w:t>
            </w:r>
          </w:p>
          <w:p>
            <w:pPr>
              <w:jc w:val="center"/>
              <w:rPr>
                <w:b/>
                <w:sz w:val="24"/>
              </w:rPr>
            </w:pPr>
          </w:p>
          <w:p>
            <w:pPr>
              <w:jc w:val="center"/>
              <w:rPr>
                <w:b/>
                <w:sz w:val="24"/>
              </w:rPr>
            </w:pPr>
            <w:r>
              <w:rPr>
                <w:rFonts w:hint="eastAsia"/>
                <w:b/>
                <w:sz w:val="24"/>
              </w:rPr>
              <w:t>共</w:t>
            </w:r>
          </w:p>
          <w:p>
            <w:pPr>
              <w:jc w:val="center"/>
              <w:rPr>
                <w:b/>
                <w:sz w:val="24"/>
              </w:rPr>
            </w:pPr>
            <w:r>
              <w:rPr>
                <w:rFonts w:hint="eastAsia"/>
                <w:b/>
                <w:sz w:val="24"/>
              </w:rPr>
              <w:t>15</w:t>
            </w:r>
          </w:p>
          <w:p>
            <w:pPr>
              <w:jc w:val="center"/>
              <w:rPr>
                <w:b/>
                <w:sz w:val="24"/>
              </w:rPr>
            </w:pPr>
            <w:r>
              <w:rPr>
                <w:rFonts w:hint="eastAsia"/>
                <w:b/>
                <w:sz w:val="24"/>
              </w:rPr>
              <w:t>分</w:t>
            </w:r>
          </w:p>
        </w:tc>
        <w:tc>
          <w:tcPr>
            <w:tcW w:w="648" w:type="dxa"/>
            <w:vAlign w:val="center"/>
          </w:tcPr>
          <w:p>
            <w:pPr>
              <w:jc w:val="center"/>
              <w:rPr>
                <w:sz w:val="18"/>
                <w:szCs w:val="18"/>
              </w:rPr>
            </w:pPr>
            <w:r>
              <w:rPr>
                <w:rFonts w:hint="eastAsia"/>
                <w:sz w:val="18"/>
                <w:szCs w:val="18"/>
              </w:rPr>
              <w:t>1</w:t>
            </w:r>
          </w:p>
        </w:tc>
        <w:tc>
          <w:tcPr>
            <w:tcW w:w="3791" w:type="dxa"/>
            <w:vAlign w:val="center"/>
          </w:tcPr>
          <w:p>
            <w:pPr>
              <w:rPr>
                <w:sz w:val="18"/>
                <w:szCs w:val="18"/>
              </w:rPr>
            </w:pPr>
            <w:r>
              <w:rPr>
                <w:rFonts w:hint="eastAsia"/>
                <w:sz w:val="18"/>
                <w:szCs w:val="18"/>
              </w:rPr>
              <w:t>安全施工，施工区域设置安全警示标志，施工人员统一穿着反光背心，讲究文明，礼貌待人；</w:t>
            </w:r>
          </w:p>
        </w:tc>
        <w:tc>
          <w:tcPr>
            <w:tcW w:w="616" w:type="dxa"/>
            <w:vAlign w:val="center"/>
          </w:tcPr>
          <w:p>
            <w:pPr>
              <w:jc w:val="center"/>
              <w:rPr>
                <w:sz w:val="18"/>
                <w:szCs w:val="18"/>
              </w:rPr>
            </w:pPr>
            <w:r>
              <w:rPr>
                <w:rFonts w:hint="eastAsia"/>
                <w:sz w:val="18"/>
                <w:szCs w:val="18"/>
              </w:rPr>
              <w:t>5</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不达要求，每人次扣0. 5分；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47" w:type="dxa"/>
            <w:vMerge w:val="continue"/>
          </w:tcPr>
          <w:p>
            <w:pPr>
              <w:rPr>
                <w:sz w:val="18"/>
                <w:szCs w:val="18"/>
              </w:rPr>
            </w:pPr>
          </w:p>
        </w:tc>
        <w:tc>
          <w:tcPr>
            <w:tcW w:w="648" w:type="dxa"/>
            <w:vAlign w:val="center"/>
          </w:tcPr>
          <w:p>
            <w:pPr>
              <w:jc w:val="center"/>
              <w:rPr>
                <w:sz w:val="18"/>
                <w:szCs w:val="18"/>
              </w:rPr>
            </w:pPr>
            <w:r>
              <w:rPr>
                <w:rFonts w:hint="eastAsia"/>
                <w:sz w:val="18"/>
                <w:szCs w:val="18"/>
              </w:rPr>
              <w:t>2</w:t>
            </w:r>
          </w:p>
        </w:tc>
        <w:tc>
          <w:tcPr>
            <w:tcW w:w="3791" w:type="dxa"/>
            <w:vAlign w:val="center"/>
          </w:tcPr>
          <w:p>
            <w:pPr>
              <w:rPr>
                <w:sz w:val="18"/>
                <w:szCs w:val="18"/>
              </w:rPr>
            </w:pPr>
            <w:r>
              <w:rPr>
                <w:rFonts w:hint="eastAsia"/>
                <w:sz w:val="18"/>
                <w:szCs w:val="18"/>
              </w:rPr>
              <w:t>做好防汛、防台、抗雪工作，倒盆12小时内处理，积雪24小时内清除完毕；</w:t>
            </w:r>
          </w:p>
        </w:tc>
        <w:tc>
          <w:tcPr>
            <w:tcW w:w="616" w:type="dxa"/>
            <w:vAlign w:val="center"/>
          </w:tcPr>
          <w:p>
            <w:pPr>
              <w:jc w:val="center"/>
              <w:rPr>
                <w:sz w:val="18"/>
                <w:szCs w:val="18"/>
              </w:rPr>
            </w:pPr>
            <w:r>
              <w:rPr>
                <w:rFonts w:hint="eastAsia"/>
                <w:sz w:val="18"/>
                <w:szCs w:val="18"/>
              </w:rPr>
              <w:t>5</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不合要求，每盆扣0.1分；地栽每平方米扣2分；</w:t>
            </w:r>
          </w:p>
        </w:tc>
        <w:tc>
          <w:tcPr>
            <w:tcW w:w="616"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7" w:type="dxa"/>
            <w:vMerge w:val="continue"/>
          </w:tcPr>
          <w:p>
            <w:pPr>
              <w:rPr>
                <w:sz w:val="18"/>
                <w:szCs w:val="18"/>
              </w:rPr>
            </w:pPr>
          </w:p>
        </w:tc>
        <w:tc>
          <w:tcPr>
            <w:tcW w:w="648" w:type="dxa"/>
            <w:vAlign w:val="center"/>
          </w:tcPr>
          <w:p>
            <w:pPr>
              <w:jc w:val="center"/>
              <w:rPr>
                <w:sz w:val="18"/>
                <w:szCs w:val="18"/>
              </w:rPr>
            </w:pPr>
            <w:r>
              <w:rPr>
                <w:rFonts w:hint="eastAsia"/>
                <w:sz w:val="18"/>
                <w:szCs w:val="18"/>
              </w:rPr>
              <w:t>3</w:t>
            </w:r>
          </w:p>
        </w:tc>
        <w:tc>
          <w:tcPr>
            <w:tcW w:w="3791" w:type="dxa"/>
            <w:vAlign w:val="center"/>
          </w:tcPr>
          <w:p>
            <w:pPr>
              <w:rPr>
                <w:sz w:val="18"/>
                <w:szCs w:val="18"/>
              </w:rPr>
            </w:pPr>
            <w:r>
              <w:rPr>
                <w:rFonts w:hint="eastAsia"/>
                <w:sz w:val="18"/>
                <w:szCs w:val="18"/>
              </w:rPr>
              <w:t>有固定办公地点及联系电话，无投诉、曝光发生；</w:t>
            </w:r>
          </w:p>
        </w:tc>
        <w:tc>
          <w:tcPr>
            <w:tcW w:w="616" w:type="dxa"/>
            <w:vAlign w:val="center"/>
          </w:tcPr>
          <w:p>
            <w:pPr>
              <w:jc w:val="center"/>
              <w:rPr>
                <w:sz w:val="18"/>
                <w:szCs w:val="18"/>
              </w:rPr>
            </w:pPr>
            <w:r>
              <w:rPr>
                <w:rFonts w:hint="eastAsia"/>
                <w:sz w:val="18"/>
                <w:szCs w:val="18"/>
              </w:rPr>
              <w:t>5</w:t>
            </w:r>
          </w:p>
          <w:p>
            <w:pPr>
              <w:jc w:val="center"/>
              <w:rPr>
                <w:sz w:val="18"/>
                <w:szCs w:val="18"/>
              </w:rPr>
            </w:pPr>
            <w:r>
              <w:rPr>
                <w:rFonts w:hint="eastAsia"/>
                <w:sz w:val="18"/>
                <w:szCs w:val="18"/>
              </w:rPr>
              <w:t>分</w:t>
            </w:r>
          </w:p>
        </w:tc>
        <w:tc>
          <w:tcPr>
            <w:tcW w:w="4069" w:type="dxa"/>
            <w:vAlign w:val="center"/>
          </w:tcPr>
          <w:p>
            <w:pPr>
              <w:rPr>
                <w:sz w:val="18"/>
                <w:szCs w:val="18"/>
              </w:rPr>
            </w:pPr>
            <w:r>
              <w:rPr>
                <w:rFonts w:hint="eastAsia"/>
                <w:sz w:val="18"/>
                <w:szCs w:val="18"/>
              </w:rPr>
              <w:t>联系电话半小时内无人应接，扣0. 5分，共3分；被投诉、曝光的该项不得分。</w:t>
            </w:r>
          </w:p>
        </w:tc>
        <w:tc>
          <w:tcPr>
            <w:tcW w:w="616" w:type="dxa"/>
          </w:tcPr>
          <w:p>
            <w:pPr>
              <w:rPr>
                <w:sz w:val="18"/>
                <w:szCs w:val="18"/>
              </w:rPr>
            </w:pPr>
          </w:p>
        </w:tc>
      </w:tr>
    </w:tbl>
    <w:p>
      <w:pPr>
        <w:rPr>
          <w:color w:val="FF0000"/>
          <w:sz w:val="32"/>
          <w:szCs w:val="32"/>
        </w:rPr>
      </w:pPr>
    </w:p>
    <w:p>
      <w:pPr>
        <w:pStyle w:val="42"/>
        <w:spacing w:after="240"/>
        <w:rPr>
          <w:rFonts w:ascii="Times New Roman" w:hAnsi="Times New Roman"/>
          <w:color w:val="FF0000"/>
          <w:kern w:val="44"/>
        </w:rPr>
      </w:pPr>
    </w:p>
    <w:p>
      <w:pPr>
        <w:pStyle w:val="42"/>
        <w:spacing w:after="240"/>
        <w:rPr>
          <w:rFonts w:ascii="Times New Roman" w:hAnsi="Times New Roman"/>
          <w:color w:val="FF0000"/>
          <w:kern w:val="44"/>
        </w:rPr>
      </w:pPr>
    </w:p>
    <w:p>
      <w:pPr>
        <w:pStyle w:val="42"/>
        <w:spacing w:after="240"/>
        <w:rPr>
          <w:rFonts w:ascii="Times New Roman" w:hAnsi="Times New Roman"/>
          <w:color w:val="FF0000"/>
          <w:kern w:val="44"/>
        </w:rPr>
      </w:pPr>
    </w:p>
    <w:p>
      <w:pPr>
        <w:pStyle w:val="42"/>
        <w:spacing w:after="240"/>
        <w:rPr>
          <w:rFonts w:ascii="Times New Roman" w:hAnsi="Times New Roman"/>
          <w:color w:val="FF0000"/>
          <w:kern w:val="44"/>
        </w:rPr>
      </w:pPr>
    </w:p>
    <w:p>
      <w:pPr>
        <w:pStyle w:val="42"/>
        <w:spacing w:after="120"/>
        <w:rPr>
          <w:rFonts w:ascii="Times New Roman" w:hAnsi="Times New Roman"/>
          <w:color w:val="FF0000"/>
          <w:kern w:val="44"/>
        </w:rPr>
      </w:pPr>
    </w:p>
    <w:p>
      <w:pPr>
        <w:pStyle w:val="42"/>
        <w:spacing w:after="240"/>
        <w:rPr>
          <w:rFonts w:ascii="Times New Roman" w:hAnsi="Times New Roman"/>
          <w:kern w:val="44"/>
        </w:rPr>
      </w:pPr>
      <w:r>
        <w:rPr>
          <w:rFonts w:ascii="Times New Roman" w:hAnsi="Times New Roman"/>
          <w:kern w:val="44"/>
        </w:rPr>
        <w:t>第</w:t>
      </w:r>
      <w:r>
        <w:rPr>
          <w:rFonts w:hint="eastAsia" w:ascii="Times New Roman" w:hAnsi="Times New Roman"/>
          <w:kern w:val="44"/>
        </w:rPr>
        <w:t>六章</w:t>
      </w:r>
      <w:r>
        <w:rPr>
          <w:rFonts w:ascii="Times New Roman" w:hAnsi="Times New Roman"/>
          <w:kern w:val="44"/>
        </w:rPr>
        <w:t xml:space="preserve"> 合同</w:t>
      </w:r>
      <w:r>
        <w:rPr>
          <w:rFonts w:hint="eastAsia" w:ascii="Times New Roman" w:hAnsi="Times New Roman"/>
          <w:kern w:val="44"/>
        </w:rPr>
        <w:t>主要</w:t>
      </w:r>
      <w:r>
        <w:rPr>
          <w:rFonts w:ascii="Times New Roman" w:hAnsi="Times New Roman"/>
          <w:kern w:val="44"/>
        </w:rPr>
        <w:t>条款</w:t>
      </w:r>
      <w:bookmarkEnd w:id="58"/>
      <w:bookmarkEnd w:id="59"/>
      <w:bookmarkEnd w:id="60"/>
      <w:bookmarkEnd w:id="95"/>
    </w:p>
    <w:p>
      <w:pPr>
        <w:adjustRightInd w:val="0"/>
        <w:snapToGrid w:val="0"/>
        <w:spacing w:line="360" w:lineRule="exact"/>
        <w:rPr>
          <w:rFonts w:ascii="宋体" w:hAnsi="宋体" w:cs="宋体"/>
          <w:w w:val="80"/>
          <w:szCs w:val="21"/>
        </w:rPr>
      </w:pPr>
      <w:r>
        <w:rPr>
          <w:rFonts w:hint="eastAsia"/>
          <w:szCs w:val="24"/>
        </w:rPr>
        <w:t>甲方（发包方）</w:t>
      </w:r>
    </w:p>
    <w:p>
      <w:pPr>
        <w:spacing w:line="360" w:lineRule="exact"/>
        <w:rPr>
          <w:rFonts w:ascii="宋体" w:hAnsi="宋体" w:cs="宋体"/>
          <w:w w:val="80"/>
          <w:szCs w:val="21"/>
          <w:u w:val="single"/>
        </w:rPr>
      </w:pPr>
      <w:r>
        <w:rPr>
          <w:rFonts w:hint="eastAsia"/>
          <w:szCs w:val="24"/>
        </w:rPr>
        <w:t>乙方（承包方）</w:t>
      </w:r>
    </w:p>
    <w:p>
      <w:pPr>
        <w:adjustRightInd w:val="0"/>
        <w:snapToGrid w:val="0"/>
        <w:spacing w:line="360" w:lineRule="exact"/>
        <w:ind w:left="94" w:leftChars="45" w:firstLine="411" w:firstLineChars="196"/>
        <w:rPr>
          <w:szCs w:val="24"/>
        </w:rPr>
      </w:pPr>
      <w:r>
        <w:rPr>
          <w:rFonts w:hint="eastAsia"/>
          <w:szCs w:val="24"/>
        </w:rPr>
        <w:t>为明确甲乙双方的权利义务，依照《中华人民共和国合同法》、《宁波市城市绿地养护质量等级标准》、《宁海县绿化养护管理考核实施细则》及其他有关法律、法规的规定并结合本项目招标文件及乙方的投标文件，遵循平等、自愿、公平和诚实信用的原则，双方就事宜协商一致，订立本合同（合同一年一签）。</w:t>
      </w:r>
    </w:p>
    <w:p>
      <w:pPr>
        <w:adjustRightInd w:val="0"/>
        <w:snapToGrid w:val="0"/>
        <w:spacing w:line="360" w:lineRule="exact"/>
        <w:ind w:firstLine="411" w:firstLineChars="196"/>
        <w:rPr>
          <w:szCs w:val="24"/>
        </w:rPr>
      </w:pPr>
      <w:r>
        <w:rPr>
          <w:rFonts w:hint="eastAsia"/>
          <w:szCs w:val="24"/>
        </w:rPr>
        <w:t>第一条  项目概况及养护期限</w:t>
      </w:r>
    </w:p>
    <w:p>
      <w:pPr>
        <w:adjustRightInd w:val="0"/>
        <w:snapToGrid w:val="0"/>
        <w:spacing w:line="360" w:lineRule="exact"/>
        <w:ind w:firstLine="411" w:firstLineChars="196"/>
        <w:rPr>
          <w:rFonts w:ascii="宋体" w:hAnsi="宋体" w:cs="宋体"/>
          <w:w w:val="80"/>
          <w:kern w:val="0"/>
          <w:szCs w:val="21"/>
        </w:rPr>
      </w:pPr>
      <w:r>
        <w:rPr>
          <w:rFonts w:hint="eastAsia"/>
          <w:szCs w:val="24"/>
        </w:rPr>
        <w:t>1、项目名称：</w:t>
      </w:r>
    </w:p>
    <w:p>
      <w:pPr>
        <w:adjustRightInd w:val="0"/>
        <w:snapToGrid w:val="0"/>
        <w:spacing w:line="360" w:lineRule="exact"/>
        <w:ind w:firstLine="411" w:firstLineChars="196"/>
        <w:rPr>
          <w:rFonts w:ascii="宋体" w:hAnsi="宋体" w:cs="宋体"/>
          <w:w w:val="80"/>
          <w:kern w:val="0"/>
          <w:szCs w:val="21"/>
        </w:rPr>
      </w:pPr>
      <w:r>
        <w:rPr>
          <w:rFonts w:hint="eastAsia"/>
          <w:szCs w:val="24"/>
        </w:rPr>
        <w:t>2、养护面积：</w:t>
      </w:r>
    </w:p>
    <w:p>
      <w:pPr>
        <w:adjustRightInd w:val="0"/>
        <w:snapToGrid w:val="0"/>
        <w:spacing w:line="360" w:lineRule="exact"/>
        <w:ind w:firstLine="411" w:firstLineChars="196"/>
        <w:rPr>
          <w:rFonts w:ascii="宋体" w:hAnsi="宋体" w:cs="宋体"/>
          <w:w w:val="80"/>
          <w:kern w:val="0"/>
          <w:szCs w:val="21"/>
          <w:u w:val="single"/>
        </w:rPr>
      </w:pPr>
      <w:r>
        <w:rPr>
          <w:rFonts w:hint="eastAsia"/>
          <w:szCs w:val="24"/>
        </w:rPr>
        <w:t>3、养护范围：</w:t>
      </w:r>
    </w:p>
    <w:p>
      <w:pPr>
        <w:adjustRightInd w:val="0"/>
        <w:snapToGrid w:val="0"/>
        <w:spacing w:line="360" w:lineRule="exact"/>
        <w:ind w:firstLine="411" w:firstLineChars="196"/>
        <w:rPr>
          <w:rFonts w:ascii="宋体" w:hAnsi="宋体" w:cs="宋体"/>
          <w:w w:val="80"/>
          <w:kern w:val="0"/>
          <w:szCs w:val="21"/>
        </w:rPr>
      </w:pPr>
      <w:r>
        <w:rPr>
          <w:rFonts w:hint="eastAsia"/>
          <w:szCs w:val="24"/>
        </w:rPr>
        <w:t>4、养护期限</w:t>
      </w:r>
      <w:r>
        <w:rPr>
          <w:rFonts w:hint="eastAsia" w:ascii="宋体" w:hAnsi="宋体" w:cs="宋体"/>
          <w:w w:val="80"/>
          <w:kern w:val="0"/>
          <w:szCs w:val="21"/>
        </w:rPr>
        <w:t>：</w:t>
      </w:r>
      <w:r>
        <w:rPr>
          <w:rFonts w:hint="eastAsia"/>
          <w:szCs w:val="24"/>
        </w:rPr>
        <w:t>个月，即自年月日起至年月日止。</w:t>
      </w:r>
    </w:p>
    <w:p>
      <w:pPr>
        <w:adjustRightInd w:val="0"/>
        <w:snapToGrid w:val="0"/>
        <w:spacing w:line="360" w:lineRule="exact"/>
        <w:ind w:firstLine="411" w:firstLineChars="196"/>
        <w:rPr>
          <w:rFonts w:ascii="宋体" w:hAnsi="宋体" w:cs="宋体"/>
          <w:w w:val="80"/>
          <w:kern w:val="0"/>
          <w:szCs w:val="21"/>
          <w:u w:val="single"/>
        </w:rPr>
      </w:pPr>
      <w:r>
        <w:rPr>
          <w:rFonts w:hint="eastAsia"/>
          <w:szCs w:val="24"/>
        </w:rPr>
        <w:t>5、养护内容：</w:t>
      </w:r>
    </w:p>
    <w:p>
      <w:pPr>
        <w:adjustRightInd w:val="0"/>
        <w:snapToGrid w:val="0"/>
        <w:spacing w:line="360" w:lineRule="exact"/>
        <w:ind w:firstLine="411" w:firstLineChars="196"/>
        <w:rPr>
          <w:szCs w:val="24"/>
        </w:rPr>
      </w:pPr>
      <w:r>
        <w:rPr>
          <w:rFonts w:hint="eastAsia"/>
          <w:szCs w:val="24"/>
        </w:rPr>
        <w:t>6、养护管理工程量：详见交接清单。对于乙方超出合同约定范围和因乙方原因造成返工的养护工作，甲方不予计量。</w:t>
      </w:r>
    </w:p>
    <w:p>
      <w:pPr>
        <w:adjustRightInd w:val="0"/>
        <w:snapToGrid w:val="0"/>
        <w:spacing w:line="360" w:lineRule="exact"/>
        <w:ind w:firstLine="411" w:firstLineChars="196"/>
        <w:rPr>
          <w:szCs w:val="24"/>
        </w:rPr>
      </w:pPr>
      <w:r>
        <w:rPr>
          <w:rFonts w:hint="eastAsia"/>
          <w:szCs w:val="24"/>
        </w:rPr>
        <w:t>第二条  养护经费及支付方式</w:t>
      </w:r>
    </w:p>
    <w:p>
      <w:pPr>
        <w:adjustRightInd w:val="0"/>
        <w:snapToGrid w:val="0"/>
        <w:spacing w:line="360" w:lineRule="exact"/>
        <w:ind w:firstLine="411" w:firstLineChars="196"/>
        <w:rPr>
          <w:szCs w:val="24"/>
        </w:rPr>
      </w:pPr>
      <w:r>
        <w:rPr>
          <w:rFonts w:hint="eastAsia"/>
          <w:szCs w:val="24"/>
        </w:rPr>
        <w:t>1、养护经费</w:t>
      </w:r>
    </w:p>
    <w:p>
      <w:pPr>
        <w:adjustRightInd w:val="0"/>
        <w:snapToGrid w:val="0"/>
        <w:spacing w:line="360" w:lineRule="exact"/>
        <w:ind w:left="164" w:leftChars="78" w:firstLine="411" w:firstLineChars="196"/>
        <w:rPr>
          <w:rFonts w:ascii="宋体" w:hAnsi="宋体" w:cs="宋体"/>
          <w:w w:val="80"/>
          <w:kern w:val="0"/>
          <w:szCs w:val="21"/>
        </w:rPr>
      </w:pPr>
      <w:r>
        <w:rPr>
          <w:rFonts w:hint="eastAsia"/>
          <w:szCs w:val="24"/>
        </w:rPr>
        <w:t>（1）本项目年度养护经费为元（大写：人民币</w:t>
      </w:r>
      <w:r>
        <w:rPr>
          <w:rFonts w:hint="eastAsia" w:ascii="宋体" w:hAnsi="宋体" w:cs="宋体"/>
          <w:w w:val="80"/>
          <w:kern w:val="0"/>
          <w:szCs w:val="21"/>
        </w:rPr>
        <w:t>），</w:t>
      </w:r>
    </w:p>
    <w:p>
      <w:pPr>
        <w:adjustRightInd w:val="0"/>
        <w:snapToGrid w:val="0"/>
        <w:spacing w:line="360" w:lineRule="exact"/>
        <w:ind w:firstLine="411" w:firstLineChars="196"/>
        <w:rPr>
          <w:rFonts w:ascii="宋体" w:hAnsi="宋体" w:cs="宋体"/>
          <w:w w:val="80"/>
          <w:kern w:val="0"/>
          <w:szCs w:val="21"/>
        </w:rPr>
      </w:pPr>
      <w:r>
        <w:rPr>
          <w:rFonts w:hint="eastAsia"/>
          <w:szCs w:val="24"/>
        </w:rPr>
        <w:t>季度养护经费均为元（大写：人民币</w:t>
      </w:r>
      <w:r>
        <w:rPr>
          <w:rFonts w:hint="eastAsia" w:ascii="宋体" w:hAnsi="宋体" w:cs="宋体"/>
          <w:w w:val="80"/>
          <w:kern w:val="0"/>
          <w:szCs w:val="21"/>
        </w:rPr>
        <w:t>）；</w:t>
      </w:r>
    </w:p>
    <w:p>
      <w:pPr>
        <w:adjustRightInd w:val="0"/>
        <w:snapToGrid w:val="0"/>
        <w:spacing w:line="360" w:lineRule="exact"/>
        <w:ind w:firstLine="411" w:firstLineChars="196"/>
        <w:rPr>
          <w:rFonts w:ascii="宋体" w:hAnsi="宋体" w:cs="宋体"/>
          <w:w w:val="80"/>
          <w:kern w:val="0"/>
          <w:szCs w:val="21"/>
          <w:u w:val="single"/>
        </w:rPr>
      </w:pPr>
      <w:r>
        <w:rPr>
          <w:rFonts w:hint="eastAsia"/>
          <w:szCs w:val="24"/>
        </w:rPr>
        <w:t>（2）合同价款的计算如下：</w:t>
      </w:r>
    </w:p>
    <w:p>
      <w:pPr>
        <w:spacing w:line="360" w:lineRule="exact"/>
        <w:ind w:firstLine="411" w:firstLineChars="196"/>
        <w:rPr>
          <w:szCs w:val="24"/>
        </w:rPr>
      </w:pPr>
      <w:r>
        <w:rPr>
          <w:rFonts w:hint="eastAsia"/>
          <w:szCs w:val="24"/>
        </w:rPr>
        <w:t>双方确认的计算合同价款的工作量清单或预算书，可作为合同附件。</w:t>
      </w:r>
    </w:p>
    <w:p>
      <w:pPr>
        <w:adjustRightInd w:val="0"/>
        <w:snapToGrid w:val="0"/>
        <w:spacing w:line="360" w:lineRule="exact"/>
        <w:ind w:firstLine="411" w:firstLineChars="196"/>
        <w:rPr>
          <w:szCs w:val="24"/>
        </w:rPr>
      </w:pPr>
      <w:r>
        <w:rPr>
          <w:rFonts w:hint="eastAsia"/>
          <w:szCs w:val="24"/>
        </w:rPr>
        <w:t>2、支付方式：根据检查和考核结果，下一季度上旬按规定拔付相应的养护经费。</w:t>
      </w:r>
    </w:p>
    <w:p>
      <w:pPr>
        <w:adjustRightInd w:val="0"/>
        <w:snapToGrid w:val="0"/>
        <w:spacing w:line="360" w:lineRule="exact"/>
        <w:ind w:firstLine="411" w:firstLineChars="196"/>
        <w:rPr>
          <w:szCs w:val="24"/>
        </w:rPr>
      </w:pPr>
      <w:r>
        <w:rPr>
          <w:rFonts w:hint="eastAsia"/>
          <w:szCs w:val="24"/>
        </w:rPr>
        <w:t>第三条  养护质量及考核方式</w:t>
      </w:r>
    </w:p>
    <w:p>
      <w:pPr>
        <w:adjustRightInd w:val="0"/>
        <w:snapToGrid w:val="0"/>
        <w:spacing w:line="360" w:lineRule="exact"/>
        <w:ind w:firstLine="411" w:firstLineChars="196"/>
        <w:rPr>
          <w:szCs w:val="24"/>
        </w:rPr>
      </w:pPr>
      <w:r>
        <w:rPr>
          <w:rFonts w:hint="eastAsia"/>
          <w:szCs w:val="24"/>
        </w:rPr>
        <w:t>1、养护质量：必须达到《宁波市城市绿地养护质量等级标准》及《宁海县绿化养护管理考核实施细则》规定的要求。</w:t>
      </w:r>
    </w:p>
    <w:p>
      <w:pPr>
        <w:adjustRightInd w:val="0"/>
        <w:snapToGrid w:val="0"/>
        <w:spacing w:line="360" w:lineRule="exact"/>
        <w:ind w:firstLine="411" w:firstLineChars="196"/>
        <w:rPr>
          <w:szCs w:val="24"/>
        </w:rPr>
      </w:pPr>
      <w:r>
        <w:rPr>
          <w:rFonts w:hint="eastAsia"/>
          <w:szCs w:val="24"/>
        </w:rPr>
        <w:t>2、养护考核</w:t>
      </w:r>
    </w:p>
    <w:p>
      <w:pPr>
        <w:adjustRightInd w:val="0"/>
        <w:snapToGrid w:val="0"/>
        <w:spacing w:line="360" w:lineRule="exact"/>
        <w:ind w:firstLine="411" w:firstLineChars="196"/>
        <w:rPr>
          <w:szCs w:val="24"/>
        </w:rPr>
      </w:pPr>
      <w:r>
        <w:rPr>
          <w:rFonts w:hint="eastAsia"/>
          <w:szCs w:val="24"/>
        </w:rPr>
        <w:t xml:space="preserve"> （1）乙方应认真按照园林绿化行业的标准、规范、本合同的要求以及甲方依据本合同发出的指令进行养护，随时接受甲方的检查和考核，为检查、考核提供便利条件。</w:t>
      </w:r>
    </w:p>
    <w:p>
      <w:pPr>
        <w:adjustRightInd w:val="0"/>
        <w:snapToGrid w:val="0"/>
        <w:spacing w:line="360" w:lineRule="exact"/>
        <w:rPr>
          <w:szCs w:val="24"/>
        </w:rPr>
      </w:pPr>
      <w:r>
        <w:rPr>
          <w:rFonts w:hint="eastAsia"/>
          <w:szCs w:val="24"/>
        </w:rPr>
        <w:t xml:space="preserve">     （2）甲方可进行随机检查和定期考核，发现养护质量达不到约定标准的部分，甲方可要求乙方采取补种、更换、重做、修复等一切补救措施，直到符合约定标准。因乙方原因达不到约定标准，由乙方承担由于采取补救措施而产生的一切费用。</w:t>
      </w:r>
    </w:p>
    <w:p>
      <w:pPr>
        <w:adjustRightInd w:val="0"/>
        <w:snapToGrid w:val="0"/>
        <w:spacing w:line="360" w:lineRule="exact"/>
        <w:ind w:firstLine="411" w:firstLineChars="196"/>
        <w:rPr>
          <w:szCs w:val="24"/>
        </w:rPr>
      </w:pPr>
      <w:r>
        <w:rPr>
          <w:rFonts w:hint="eastAsia"/>
          <w:szCs w:val="24"/>
        </w:rPr>
        <w:t xml:space="preserve"> （3）因养护不当造成的绿化树木、花卉死亡或损坏由乙方无偿补种修复。若乙方认为造成绿化树木、花卉死亡或者损坏的责任不在乙方，由乙方承担举证责任。</w:t>
      </w:r>
    </w:p>
    <w:p>
      <w:pPr>
        <w:adjustRightInd w:val="0"/>
        <w:snapToGrid w:val="0"/>
        <w:spacing w:line="360" w:lineRule="exact"/>
        <w:ind w:firstLine="411" w:firstLineChars="196"/>
        <w:rPr>
          <w:szCs w:val="24"/>
        </w:rPr>
      </w:pPr>
      <w:r>
        <w:rPr>
          <w:rFonts w:hint="eastAsia"/>
          <w:szCs w:val="24"/>
        </w:rPr>
        <w:t>3、考核评分</w:t>
      </w:r>
    </w:p>
    <w:p>
      <w:pPr>
        <w:adjustRightInd w:val="0"/>
        <w:snapToGrid w:val="0"/>
        <w:spacing w:line="360" w:lineRule="exact"/>
        <w:ind w:firstLine="411" w:firstLineChars="196"/>
        <w:rPr>
          <w:szCs w:val="24"/>
        </w:rPr>
      </w:pPr>
      <w:r>
        <w:rPr>
          <w:rFonts w:hint="eastAsia"/>
          <w:szCs w:val="24"/>
        </w:rPr>
        <w:t>（1）综合考核分在90分（含）及以上的为优秀，全额核拨月度养护经费；考核分在85（含）-90分之间的为良好，在90分基础上每下降1分扣除月度养护经费的5%，依次类推；考核分在80（含）-85分之间的为合格，在85分基础上每下降1分扣除月度养护经费的10%，依次类推；考核分在80分以下的为不合格，不予拨付月度养护经费；如连续两个月或全年累计三个月考核不合格，甲方有权解除合同，并从合同履约保证金中扣除年度养护费总额的5%。</w:t>
      </w:r>
    </w:p>
    <w:p>
      <w:pPr>
        <w:adjustRightInd w:val="0"/>
        <w:snapToGrid w:val="0"/>
        <w:spacing w:line="360" w:lineRule="exact"/>
        <w:ind w:firstLine="411" w:firstLineChars="196"/>
        <w:rPr>
          <w:szCs w:val="24"/>
        </w:rPr>
      </w:pPr>
      <w:r>
        <w:rPr>
          <w:rFonts w:hint="eastAsia"/>
          <w:szCs w:val="24"/>
        </w:rPr>
        <w:t>（2）草花项目单独考核，总分为100分，其中布置养护占85分，其它占15分。考核分在85分（含）及以上为合格，在85分基础上每下降1分扣除草花经费的5%，依次类推。</w:t>
      </w:r>
    </w:p>
    <w:p>
      <w:pPr>
        <w:adjustRightInd w:val="0"/>
        <w:snapToGrid w:val="0"/>
        <w:spacing w:line="360" w:lineRule="exact"/>
        <w:ind w:firstLine="411" w:firstLineChars="196"/>
        <w:rPr>
          <w:szCs w:val="24"/>
        </w:rPr>
      </w:pPr>
      <w:r>
        <w:rPr>
          <w:rFonts w:hint="eastAsia"/>
          <w:szCs w:val="24"/>
        </w:rPr>
        <w:t>第四条  养护管理要求</w:t>
      </w:r>
    </w:p>
    <w:p>
      <w:pPr>
        <w:adjustRightInd w:val="0"/>
        <w:snapToGrid w:val="0"/>
        <w:spacing w:line="360" w:lineRule="exact"/>
        <w:ind w:firstLine="411" w:firstLineChars="196"/>
        <w:rPr>
          <w:szCs w:val="24"/>
        </w:rPr>
      </w:pPr>
      <w:r>
        <w:rPr>
          <w:rFonts w:hint="eastAsia"/>
          <w:szCs w:val="24"/>
        </w:rPr>
        <w:t>1、景观效果。总体景观好，植物长势良好，树冠完整，无病虫枝、枯枝、死杈、徒长枝，无缺株、死树、残桩，无明显倾斜或倒伏；叶色、叶形正常，无不正常落叶或提前落叶；绿篱、色块整齐，生长良好；草坪覆盖率达到100%且生长良好，无裸地、无杂草、无积水，高度符合标准；草花开花正常，无残花败叶；植物无病虫害。</w:t>
      </w:r>
    </w:p>
    <w:p>
      <w:pPr>
        <w:adjustRightInd w:val="0"/>
        <w:snapToGrid w:val="0"/>
        <w:spacing w:line="360" w:lineRule="exact"/>
        <w:ind w:firstLine="411" w:firstLineChars="196"/>
        <w:rPr>
          <w:szCs w:val="24"/>
        </w:rPr>
      </w:pPr>
      <w:r>
        <w:rPr>
          <w:rFonts w:hint="eastAsia"/>
          <w:szCs w:val="24"/>
        </w:rPr>
        <w:t>2、病虫害防治。要掌握各类植物病虫害的发生规律，做到勤观察、早发现，合理选用药物，每年根据病虫害的发生情况，及时进行防治。喷洒药物须均匀覆盖植物，不得有遗留区位，确保绿地植物不受病虫危害。</w:t>
      </w:r>
    </w:p>
    <w:p>
      <w:pPr>
        <w:adjustRightInd w:val="0"/>
        <w:snapToGrid w:val="0"/>
        <w:spacing w:line="360" w:lineRule="exact"/>
        <w:ind w:firstLine="411" w:firstLineChars="196"/>
        <w:rPr>
          <w:szCs w:val="24"/>
        </w:rPr>
      </w:pPr>
      <w:r>
        <w:rPr>
          <w:rFonts w:hint="eastAsia"/>
          <w:szCs w:val="24"/>
        </w:rPr>
        <w:t>3、松土施肥。对养护植物必须落实松土施肥作业。每年植物周边松土、施肥不得少于2次，草坪打孔不得小于1次，做到施肥到位、肥量充足，施肥量D8 cm或φ6 cm以上树木平均不得少于0.5㎏/株， 其它绿地植物平均不得小于0.15㎏/㎡。</w:t>
      </w:r>
    </w:p>
    <w:p>
      <w:pPr>
        <w:adjustRightInd w:val="0"/>
        <w:snapToGrid w:val="0"/>
        <w:spacing w:line="360" w:lineRule="exact"/>
        <w:ind w:firstLine="411" w:firstLineChars="196"/>
        <w:rPr>
          <w:szCs w:val="24"/>
        </w:rPr>
      </w:pPr>
      <w:r>
        <w:rPr>
          <w:rFonts w:hint="eastAsia"/>
          <w:szCs w:val="24"/>
        </w:rPr>
        <w:t>4、浇水。要掌握气候变化情况，检查绿化土壤湿度，及时采取浇水作业以补充水份，防止植物缺水影响生长或枯死。</w:t>
      </w:r>
    </w:p>
    <w:p>
      <w:pPr>
        <w:adjustRightInd w:val="0"/>
        <w:snapToGrid w:val="0"/>
        <w:spacing w:line="360" w:lineRule="exact"/>
        <w:ind w:firstLine="411" w:firstLineChars="196"/>
        <w:rPr>
          <w:szCs w:val="24"/>
        </w:rPr>
      </w:pPr>
      <w:r>
        <w:rPr>
          <w:rFonts w:hint="eastAsia"/>
          <w:szCs w:val="24"/>
        </w:rPr>
        <w:t>5、修剪、造型。要根据植物的生长情况，及时对乔、灌木、绿篱、色块、造型树和草坪进行分类修剪、抹芽、除蘖等作业。每年绿篱修剪不得少于6次，草坪修剪不得少于4次，乔木修剪不得少于1次（11-12月）。乔、灌木、绿篱、色块、造型树等不得留有病虫枝、枯枝、徒长枝，绿篱、色块有生气，造型树上的铁丝要有专业人员解除，草坪高度不得超过6cm、绿地边缘草坪或小灌木类生长不得超出侧石，确保植物生长良好、造型美观。修剪物必须及时清理、外运。</w:t>
      </w:r>
    </w:p>
    <w:p>
      <w:pPr>
        <w:adjustRightInd w:val="0"/>
        <w:snapToGrid w:val="0"/>
        <w:spacing w:line="360" w:lineRule="exact"/>
        <w:ind w:firstLine="411" w:firstLineChars="196"/>
        <w:rPr>
          <w:szCs w:val="24"/>
        </w:rPr>
      </w:pPr>
      <w:r>
        <w:rPr>
          <w:rFonts w:hint="eastAsia"/>
          <w:szCs w:val="24"/>
        </w:rPr>
        <w:t>6、扶正、补植。要及时对缺损、死亡等缺株植物和残缺、露土草坪等进行补植，补植规格应与原有标准相符，保持无缺株植物和草坪覆盖率。因季节原因无法补植的，应报经甲方同意后在适宜季节及时补植。要及时对倾斜或倒伏植物进行扶正。</w:t>
      </w:r>
    </w:p>
    <w:p>
      <w:pPr>
        <w:adjustRightInd w:val="0"/>
        <w:snapToGrid w:val="0"/>
        <w:spacing w:line="360" w:lineRule="exact"/>
        <w:ind w:firstLine="411" w:firstLineChars="196"/>
        <w:rPr>
          <w:szCs w:val="24"/>
        </w:rPr>
      </w:pPr>
      <w:r>
        <w:rPr>
          <w:rFonts w:hint="eastAsia"/>
          <w:szCs w:val="24"/>
        </w:rPr>
        <w:t>7、保暖防冻。每年冬季应对规格D8 cm或 φ6 cm以上树干涂白1次；对易受冻植物应采取防冻保暖措施，确保植物不因受冻死亡。</w:t>
      </w:r>
    </w:p>
    <w:p>
      <w:pPr>
        <w:adjustRightInd w:val="0"/>
        <w:snapToGrid w:val="0"/>
        <w:spacing w:line="360" w:lineRule="exact"/>
        <w:ind w:firstLine="411" w:firstLineChars="196"/>
        <w:rPr>
          <w:szCs w:val="24"/>
        </w:rPr>
      </w:pPr>
      <w:r>
        <w:rPr>
          <w:rFonts w:hint="eastAsia"/>
          <w:szCs w:val="24"/>
        </w:rPr>
        <w:t>8、清除杂草。绿地杂草控制在5%以内且高度不得超过10cm，有超过标准的应及时组织清除。清除杂草不得使用药物。</w:t>
      </w:r>
    </w:p>
    <w:p>
      <w:pPr>
        <w:adjustRightInd w:val="0"/>
        <w:snapToGrid w:val="0"/>
        <w:spacing w:line="360" w:lineRule="exact"/>
        <w:ind w:firstLine="411" w:firstLineChars="196"/>
        <w:rPr>
          <w:szCs w:val="24"/>
        </w:rPr>
      </w:pPr>
      <w:r>
        <w:rPr>
          <w:rFonts w:hint="eastAsia"/>
          <w:szCs w:val="24"/>
        </w:rPr>
        <w:t>9、加固围护。台风季节应按照甲方要求，对规格D8cm或φ6 cm以上的树木及时采取支撑加固措施，加固时支点应有保护措施，台风过后应及时拆除；对竹类植物在出笋期应采取围护措施，出笋期后应及时拆除。</w:t>
      </w:r>
    </w:p>
    <w:p>
      <w:pPr>
        <w:adjustRightInd w:val="0"/>
        <w:snapToGrid w:val="0"/>
        <w:spacing w:line="360" w:lineRule="exact"/>
        <w:ind w:firstLine="411" w:firstLineChars="196"/>
        <w:rPr>
          <w:szCs w:val="24"/>
        </w:rPr>
      </w:pPr>
      <w:r>
        <w:rPr>
          <w:rFonts w:hint="eastAsia"/>
          <w:szCs w:val="24"/>
        </w:rPr>
        <w:t>10、草花摆放与种植。做到一年四季有花，节日布置重点有创意。草花生长旺盛，花色鲜艳，株型饱满、大小匀称，无徒长、畸形现象，无明显缺株、枯萎、缺水缺肥及病虫害现象。</w:t>
      </w:r>
    </w:p>
    <w:p>
      <w:pPr>
        <w:adjustRightInd w:val="0"/>
        <w:snapToGrid w:val="0"/>
        <w:spacing w:line="360" w:lineRule="exact"/>
        <w:ind w:firstLine="411" w:firstLineChars="196"/>
        <w:rPr>
          <w:szCs w:val="24"/>
        </w:rPr>
      </w:pPr>
      <w:r>
        <w:rPr>
          <w:rFonts w:hint="eastAsia"/>
          <w:szCs w:val="24"/>
        </w:rPr>
        <w:t>11、绿地保护。保持绿地植物完好，树木不得有钉拴刻画、挂牌、架线，无吊挂、晾晒，无堆物堆料、搭棚圈栏，无侵占绿地现象。</w:t>
      </w:r>
    </w:p>
    <w:p>
      <w:pPr>
        <w:spacing w:line="360" w:lineRule="exact"/>
        <w:ind w:firstLine="420" w:firstLineChars="200"/>
        <w:rPr>
          <w:szCs w:val="24"/>
        </w:rPr>
      </w:pPr>
      <w:r>
        <w:rPr>
          <w:rFonts w:hint="eastAsia"/>
          <w:szCs w:val="24"/>
        </w:rPr>
        <w:t>12、技术指导。要聘请绿化养护专业技术人员。绿化养护作业时，应有专业技术人员现场指导，不得进行无技术指导而擅自、野蛮作业。注重道路养护安全，作业时须设置安全警示标志，养护人员统一穿着反光背心、戴安全帽。</w:t>
      </w:r>
    </w:p>
    <w:p>
      <w:pPr>
        <w:adjustRightInd w:val="0"/>
        <w:snapToGrid w:val="0"/>
        <w:spacing w:line="360" w:lineRule="exact"/>
        <w:ind w:firstLine="411" w:firstLineChars="196"/>
        <w:rPr>
          <w:szCs w:val="24"/>
        </w:rPr>
      </w:pPr>
      <w:r>
        <w:rPr>
          <w:rFonts w:hint="eastAsia"/>
          <w:szCs w:val="24"/>
        </w:rPr>
        <w:t>13、设施管护</w:t>
      </w:r>
    </w:p>
    <w:p>
      <w:pPr>
        <w:adjustRightInd w:val="0"/>
        <w:snapToGrid w:val="0"/>
        <w:spacing w:line="360" w:lineRule="exact"/>
        <w:ind w:firstLine="411" w:firstLineChars="196"/>
        <w:rPr>
          <w:szCs w:val="24"/>
        </w:rPr>
      </w:pPr>
      <w:r>
        <w:rPr>
          <w:rFonts w:hint="eastAsia"/>
          <w:szCs w:val="24"/>
        </w:rPr>
        <w:t>（1）要落实专门人员加强对园林设施安全检查。要保持园林建筑、雕塑小品、侧石、花坛壁、防护栏、座椅座凳、园路、铺装、标志标牌、照明灯杆、灯具和环卫、健身设施一切园林设施完好无损。发现损坏应在第一时间向甲方报告，并查明原因做好台帐记录。</w:t>
      </w:r>
    </w:p>
    <w:p>
      <w:pPr>
        <w:adjustRightInd w:val="0"/>
        <w:snapToGrid w:val="0"/>
        <w:spacing w:line="360" w:lineRule="exact"/>
        <w:ind w:firstLine="411" w:firstLineChars="196"/>
        <w:rPr>
          <w:szCs w:val="24"/>
        </w:rPr>
      </w:pPr>
      <w:r>
        <w:rPr>
          <w:rFonts w:hint="eastAsia"/>
          <w:szCs w:val="24"/>
        </w:rPr>
        <w:t>（2）指定专人负责，严格按规定操作规程使用喷泉设备系统，及时检查音乐喷泉系统设备的完好性，确保喷泉使用正常、安全。发现问题及时向甲方报告。</w:t>
      </w:r>
    </w:p>
    <w:p>
      <w:pPr>
        <w:adjustRightInd w:val="0"/>
        <w:snapToGrid w:val="0"/>
        <w:spacing w:line="360" w:lineRule="exact"/>
        <w:ind w:firstLine="411" w:firstLineChars="196"/>
        <w:rPr>
          <w:szCs w:val="24"/>
        </w:rPr>
      </w:pPr>
      <w:r>
        <w:rPr>
          <w:rFonts w:hint="eastAsia"/>
          <w:szCs w:val="24"/>
        </w:rPr>
        <w:t>14、环卫保洁</w:t>
      </w:r>
    </w:p>
    <w:p>
      <w:pPr>
        <w:adjustRightInd w:val="0"/>
        <w:snapToGrid w:val="0"/>
        <w:spacing w:line="360" w:lineRule="exact"/>
        <w:ind w:firstLine="411" w:firstLineChars="196"/>
        <w:rPr>
          <w:szCs w:val="24"/>
        </w:rPr>
      </w:pPr>
      <w:r>
        <w:rPr>
          <w:rFonts w:hint="eastAsia"/>
          <w:szCs w:val="24"/>
        </w:rPr>
        <w:t>（1）公园铺装及绿地保洁</w:t>
      </w:r>
    </w:p>
    <w:p>
      <w:pPr>
        <w:adjustRightInd w:val="0"/>
        <w:snapToGrid w:val="0"/>
        <w:spacing w:line="360" w:lineRule="exact"/>
        <w:ind w:left="464" w:leftChars="221" w:firstLine="411" w:firstLineChars="196"/>
        <w:rPr>
          <w:szCs w:val="24"/>
        </w:rPr>
      </w:pPr>
      <w:r>
        <w:rPr>
          <w:rFonts w:hint="eastAsia"/>
          <w:szCs w:val="24"/>
        </w:rPr>
        <w:t>①环卫保洁工作实行单班制，时间安排6：30-11：00，13：30-17：00，保洁人员年龄要求男性在60周岁以下、女性在50周岁以下，保洁人员应着统一服装，穿反光背心。</w:t>
      </w:r>
    </w:p>
    <w:p>
      <w:pPr>
        <w:adjustRightInd w:val="0"/>
        <w:snapToGrid w:val="0"/>
        <w:spacing w:line="360" w:lineRule="exact"/>
        <w:ind w:left="466" w:leftChars="222" w:firstLine="411" w:firstLineChars="196"/>
        <w:rPr>
          <w:szCs w:val="24"/>
        </w:rPr>
      </w:pPr>
      <w:r>
        <w:rPr>
          <w:rFonts w:hint="eastAsia"/>
          <w:szCs w:val="24"/>
        </w:rPr>
        <w:t>②环卫保洁质量应达到“四无四净一通”标准。四无：无零星垃圾、无果皮纸屑烟蒂、无杂物瓦砾、无积水；四净：路面净、阴井沟眼净、树穴净、绿化隔离带净；一通：下水道口通。</w:t>
      </w:r>
    </w:p>
    <w:p>
      <w:pPr>
        <w:adjustRightInd w:val="0"/>
        <w:snapToGrid w:val="0"/>
        <w:spacing w:line="360" w:lineRule="exact"/>
        <w:ind w:left="466" w:leftChars="222" w:firstLine="411" w:firstLineChars="196"/>
        <w:rPr>
          <w:szCs w:val="24"/>
        </w:rPr>
      </w:pPr>
      <w:r>
        <w:rPr>
          <w:rFonts w:hint="eastAsia"/>
          <w:szCs w:val="24"/>
        </w:rPr>
        <w:t>③做好垃圾收集箱内垃圾的日清和垃圾套袋更换工作，保持无臭味、无积尘、外表清洁。严禁在养护区域内焚烧杂物。及时清理雨污水井、排水管网和截污井积物，保持雨污水井及排水畅通不堵塞。做好园路、绿地侧石边的泥沙清理工作，不得有明显的泥沙存积。</w:t>
      </w:r>
    </w:p>
    <w:p>
      <w:pPr>
        <w:adjustRightInd w:val="0"/>
        <w:snapToGrid w:val="0"/>
        <w:spacing w:line="360" w:lineRule="exact"/>
        <w:ind w:left="466" w:leftChars="222" w:firstLine="411" w:firstLineChars="196"/>
        <w:rPr>
          <w:szCs w:val="24"/>
        </w:rPr>
      </w:pPr>
      <w:r>
        <w:rPr>
          <w:rFonts w:hint="eastAsia"/>
          <w:szCs w:val="24"/>
        </w:rPr>
        <w:t>④及时清理园林建筑雕塑小品、铺装地面、花坛、侧石、护栏、座椅凳、灯杆、标识标牌、健身设施等污迹，养护区域不得有乱张贴、乱涂画现象。</w:t>
      </w:r>
    </w:p>
    <w:p>
      <w:pPr>
        <w:adjustRightInd w:val="0"/>
        <w:snapToGrid w:val="0"/>
        <w:spacing w:line="360" w:lineRule="exact"/>
        <w:ind w:left="466" w:leftChars="222" w:firstLine="411" w:firstLineChars="196"/>
        <w:rPr>
          <w:szCs w:val="24"/>
        </w:rPr>
      </w:pPr>
      <w:r>
        <w:rPr>
          <w:rFonts w:hint="eastAsia"/>
          <w:szCs w:val="24"/>
        </w:rPr>
        <w:t>⑤及时清理水体表面漂浮物、垃圾，水池底不得有明显沉积物、杂物等；水生植物保持无残枝、残叶。</w:t>
      </w:r>
    </w:p>
    <w:p>
      <w:pPr>
        <w:adjustRightInd w:val="0"/>
        <w:snapToGrid w:val="0"/>
        <w:spacing w:line="360" w:lineRule="exact"/>
        <w:ind w:left="466" w:leftChars="222" w:firstLine="411" w:firstLineChars="196"/>
        <w:rPr>
          <w:szCs w:val="24"/>
        </w:rPr>
      </w:pPr>
      <w:r>
        <w:rPr>
          <w:rFonts w:hint="eastAsia"/>
          <w:szCs w:val="24"/>
        </w:rPr>
        <w:t>⑥保持保洁器具清洁，保洁车辆无乱吊乱挂现象，保洁工具放置有序，不得乱停乱放。</w:t>
      </w:r>
    </w:p>
    <w:p>
      <w:pPr>
        <w:numPr>
          <w:ilvl w:val="0"/>
          <w:numId w:val="5"/>
        </w:numPr>
        <w:adjustRightInd w:val="0"/>
        <w:snapToGrid w:val="0"/>
        <w:spacing w:line="360" w:lineRule="exact"/>
        <w:ind w:firstLine="411" w:firstLineChars="196"/>
      </w:pPr>
      <w:r>
        <w:rPr>
          <w:rFonts w:hint="eastAsia"/>
          <w:szCs w:val="24"/>
        </w:rPr>
        <w:t>其它道路及小区绿地保洁。保持绿地整洁，及时做好枯枝叶、断枝及修剪物等绿化垃圾的清理工作，随见随清并及时向甲方报告。</w:t>
      </w:r>
    </w:p>
    <w:p>
      <w:pPr>
        <w:adjustRightInd w:val="0"/>
        <w:snapToGrid w:val="0"/>
        <w:spacing w:line="360" w:lineRule="exact"/>
        <w:ind w:firstLine="411" w:firstLineChars="196"/>
        <w:rPr>
          <w:szCs w:val="24"/>
        </w:rPr>
      </w:pPr>
      <w:r>
        <w:rPr>
          <w:rFonts w:hint="eastAsia"/>
          <w:szCs w:val="24"/>
        </w:rPr>
        <w:t>15、秩序维护</w:t>
      </w:r>
    </w:p>
    <w:p>
      <w:pPr>
        <w:adjustRightInd w:val="0"/>
        <w:snapToGrid w:val="0"/>
        <w:spacing w:line="360" w:lineRule="exact"/>
        <w:ind w:firstLine="411" w:firstLineChars="196"/>
        <w:rPr>
          <w:szCs w:val="24"/>
        </w:rPr>
      </w:pPr>
      <w:r>
        <w:rPr>
          <w:rFonts w:hint="eastAsia"/>
          <w:szCs w:val="24"/>
        </w:rPr>
        <w:t>（1）落实专人负责养护范围内的秩序维护工作，巡查人员配备名，应为男性，年龄在60周岁及以下，每缺1名扣除相应经费。巡查人员工资不得低于职工最低工资标准，社会保障和工资福利等待遇按有关规定执行。</w:t>
      </w:r>
    </w:p>
    <w:p>
      <w:pPr>
        <w:adjustRightInd w:val="0"/>
        <w:snapToGrid w:val="0"/>
        <w:spacing w:line="360" w:lineRule="exact"/>
        <w:ind w:firstLine="411" w:firstLineChars="196"/>
        <w:rPr>
          <w:szCs w:val="24"/>
        </w:rPr>
      </w:pPr>
      <w:r>
        <w:rPr>
          <w:rFonts w:hint="eastAsia"/>
          <w:szCs w:val="24"/>
        </w:rPr>
        <w:t>（2）秩序维护工作实行二班制，每班人，时间安排6：00-22：00，其中只有1名巡查人员的实行单班制，单班制时间安排6：30-11：00，13：30-17：00。秩序维护保持动态巡回检查，巡查人员不得蹲点值勤；巡查人员应着统一服装，制服清洁平整，各项配置标志齐全规范，值勤时仪表端正。</w:t>
      </w:r>
    </w:p>
    <w:p>
      <w:pPr>
        <w:adjustRightInd w:val="0"/>
        <w:snapToGrid w:val="0"/>
        <w:spacing w:line="360" w:lineRule="exact"/>
        <w:ind w:firstLine="411" w:firstLineChars="196"/>
        <w:rPr>
          <w:szCs w:val="24"/>
        </w:rPr>
      </w:pPr>
      <w:r>
        <w:rPr>
          <w:rFonts w:hint="eastAsia"/>
          <w:szCs w:val="24"/>
        </w:rPr>
        <w:t>（3）要加强养护管理范围内的园林设施和绿地看护管理工作，及时制止偷盗、损毁、破坏绿化和设施行为，对遭偷盗、损毁、破坏的绿化和设施，要详细做好台帐记录并及时向甲方和有关部门报告。</w:t>
      </w:r>
    </w:p>
    <w:p>
      <w:pPr>
        <w:adjustRightInd w:val="0"/>
        <w:snapToGrid w:val="0"/>
        <w:spacing w:line="360" w:lineRule="exact"/>
        <w:ind w:firstLine="411" w:firstLineChars="196"/>
        <w:rPr>
          <w:szCs w:val="24"/>
        </w:rPr>
      </w:pPr>
      <w:r>
        <w:rPr>
          <w:rFonts w:hint="eastAsia"/>
          <w:szCs w:val="24"/>
        </w:rPr>
        <w:t>（4）要加强秩序维护工作，注意观察出入养护管理区域的人员情况，发现疑点应当及时询问。及时阻止小商小贩进入养护区域乱设摊、乱摆卖行为，控制盲流。及时阻止乱张贴、乱刻划、乱涂画行为。</w:t>
      </w:r>
    </w:p>
    <w:p>
      <w:pPr>
        <w:adjustRightInd w:val="0"/>
        <w:snapToGrid w:val="0"/>
        <w:spacing w:line="360" w:lineRule="exact"/>
        <w:ind w:firstLine="411" w:firstLineChars="196"/>
        <w:rPr>
          <w:szCs w:val="24"/>
        </w:rPr>
      </w:pPr>
      <w:r>
        <w:rPr>
          <w:rFonts w:hint="eastAsia"/>
          <w:szCs w:val="24"/>
        </w:rPr>
        <w:t>（5）要加强文明教育管理工作，开展以“不随地吐痰、不乱扔垃圾、不随地便溺、不乱停车辆”为主要内容的文明宣传教育活动，严禁机动车出入养护区域（停车场除外），对出入养护管理区域的非机动车辆，要做好安全行驶教育，规范车辆停放。</w:t>
      </w:r>
    </w:p>
    <w:p>
      <w:pPr>
        <w:adjustRightInd w:val="0"/>
        <w:snapToGrid w:val="0"/>
        <w:spacing w:line="360" w:lineRule="exact"/>
        <w:ind w:firstLine="411" w:firstLineChars="196"/>
        <w:rPr>
          <w:szCs w:val="24"/>
        </w:rPr>
      </w:pPr>
      <w:r>
        <w:rPr>
          <w:rFonts w:hint="eastAsia"/>
          <w:szCs w:val="24"/>
        </w:rPr>
        <w:t>（6）巡查人员应配备必要的安全防护装备及对讲机，值勤时如发生遭人身侵害或无法阻止偷盗、损毁、破坏养护管理区域绿化和设施或无法制止严重扰乱养护管理区域秩序等情况，应及时报警求助，避免事态扩大或恶化。</w:t>
      </w:r>
    </w:p>
    <w:p>
      <w:pPr>
        <w:adjustRightInd w:val="0"/>
        <w:snapToGrid w:val="0"/>
        <w:spacing w:line="360" w:lineRule="exact"/>
        <w:ind w:firstLine="411" w:firstLineChars="196"/>
        <w:rPr>
          <w:szCs w:val="24"/>
        </w:rPr>
      </w:pPr>
      <w:r>
        <w:rPr>
          <w:rFonts w:hint="eastAsia"/>
          <w:szCs w:val="24"/>
        </w:rPr>
        <w:t>16、其它</w:t>
      </w:r>
    </w:p>
    <w:p>
      <w:pPr>
        <w:adjustRightInd w:val="0"/>
        <w:snapToGrid w:val="0"/>
        <w:spacing w:line="360" w:lineRule="exact"/>
        <w:ind w:firstLine="411" w:firstLineChars="196"/>
        <w:rPr>
          <w:szCs w:val="24"/>
        </w:rPr>
      </w:pPr>
      <w:r>
        <w:rPr>
          <w:rFonts w:hint="eastAsia"/>
          <w:szCs w:val="24"/>
        </w:rPr>
        <w:t>（1）根据甲方安排的时间做好喷泉开启关闭工作。</w:t>
      </w:r>
    </w:p>
    <w:p>
      <w:pPr>
        <w:adjustRightInd w:val="0"/>
        <w:snapToGrid w:val="0"/>
        <w:spacing w:line="360" w:lineRule="exact"/>
        <w:ind w:firstLine="411" w:firstLineChars="196"/>
        <w:rPr>
          <w:szCs w:val="24"/>
        </w:rPr>
      </w:pPr>
      <w:r>
        <w:rPr>
          <w:rFonts w:hint="eastAsia"/>
          <w:szCs w:val="24"/>
        </w:rPr>
        <w:t>（2）根据甲方安排做好养护管理区域鲜花摆放和种植工作。</w:t>
      </w:r>
    </w:p>
    <w:p>
      <w:pPr>
        <w:adjustRightInd w:val="0"/>
        <w:snapToGrid w:val="0"/>
        <w:spacing w:line="360" w:lineRule="exact"/>
        <w:ind w:firstLine="411" w:firstLineChars="196"/>
        <w:rPr>
          <w:szCs w:val="24"/>
        </w:rPr>
      </w:pPr>
      <w:r>
        <w:rPr>
          <w:rFonts w:hint="eastAsia"/>
          <w:szCs w:val="24"/>
        </w:rPr>
        <w:t>（3）根据甲方安排做好国旗升降工作。</w:t>
      </w:r>
    </w:p>
    <w:p>
      <w:pPr>
        <w:adjustRightInd w:val="0"/>
        <w:snapToGrid w:val="0"/>
        <w:spacing w:line="360" w:lineRule="exact"/>
        <w:ind w:firstLine="411" w:firstLineChars="196"/>
        <w:rPr>
          <w:szCs w:val="24"/>
        </w:rPr>
      </w:pPr>
      <w:r>
        <w:rPr>
          <w:rFonts w:hint="eastAsia"/>
          <w:szCs w:val="24"/>
        </w:rPr>
        <w:t>（4）根据甲方批准开展的养护管理区域活动，配合举办方做好相关工作。</w:t>
      </w:r>
    </w:p>
    <w:p>
      <w:pPr>
        <w:adjustRightInd w:val="0"/>
        <w:snapToGrid w:val="0"/>
        <w:spacing w:line="360" w:lineRule="exact"/>
        <w:ind w:firstLine="411" w:firstLineChars="196"/>
        <w:rPr>
          <w:szCs w:val="24"/>
        </w:rPr>
      </w:pPr>
      <w:r>
        <w:rPr>
          <w:rFonts w:hint="eastAsia"/>
          <w:szCs w:val="24"/>
        </w:rPr>
        <w:t>（5）配合甲方做好园林绿化的各项迎检和重大活动工作。</w:t>
      </w:r>
    </w:p>
    <w:p>
      <w:pPr>
        <w:adjustRightInd w:val="0"/>
        <w:snapToGrid w:val="0"/>
        <w:spacing w:line="360" w:lineRule="exact"/>
        <w:ind w:firstLine="411" w:firstLineChars="196"/>
        <w:rPr>
          <w:szCs w:val="24"/>
        </w:rPr>
      </w:pPr>
      <w:r>
        <w:rPr>
          <w:rFonts w:hint="eastAsia"/>
          <w:szCs w:val="24"/>
        </w:rPr>
        <w:t>第五条  双方责任</w:t>
      </w:r>
    </w:p>
    <w:p>
      <w:pPr>
        <w:adjustRightInd w:val="0"/>
        <w:snapToGrid w:val="0"/>
        <w:spacing w:line="360" w:lineRule="exact"/>
        <w:ind w:firstLine="411" w:firstLineChars="196"/>
        <w:rPr>
          <w:szCs w:val="24"/>
        </w:rPr>
      </w:pPr>
      <w:r>
        <w:rPr>
          <w:rFonts w:hint="eastAsia"/>
          <w:szCs w:val="24"/>
        </w:rPr>
        <w:t>1、甲方责任</w:t>
      </w:r>
    </w:p>
    <w:p>
      <w:pPr>
        <w:adjustRightInd w:val="0"/>
        <w:snapToGrid w:val="0"/>
        <w:spacing w:line="360" w:lineRule="exact"/>
        <w:ind w:firstLine="411" w:firstLineChars="196"/>
        <w:rPr>
          <w:szCs w:val="24"/>
        </w:rPr>
      </w:pPr>
      <w:r>
        <w:rPr>
          <w:rFonts w:hint="eastAsia"/>
          <w:szCs w:val="24"/>
        </w:rPr>
        <w:t>（1）本合同签订时，甲方应将承包的养护工程的范围、内容和绿化、设施（按清单）交付给乙方。</w:t>
      </w:r>
    </w:p>
    <w:p>
      <w:pPr>
        <w:adjustRightInd w:val="0"/>
        <w:snapToGrid w:val="0"/>
        <w:spacing w:line="360" w:lineRule="exact"/>
        <w:ind w:firstLine="411" w:firstLineChars="196"/>
        <w:rPr>
          <w:szCs w:val="24"/>
        </w:rPr>
      </w:pPr>
      <w:r>
        <w:rPr>
          <w:rFonts w:hint="eastAsia"/>
          <w:szCs w:val="24"/>
        </w:rPr>
        <w:t>（2）每月不少于2次（不定期）对乙方承包的养护管理质量进行考核评分，考核评分标准按照《宁海县绿化养护管理考核实施细则》执行，考核评分作为拨付乙方养护经费和履行合同条件的依据。</w:t>
      </w:r>
    </w:p>
    <w:p>
      <w:pPr>
        <w:adjustRightInd w:val="0"/>
        <w:snapToGrid w:val="0"/>
        <w:spacing w:line="360" w:lineRule="exact"/>
        <w:ind w:firstLine="411" w:firstLineChars="196"/>
        <w:rPr>
          <w:szCs w:val="24"/>
        </w:rPr>
      </w:pPr>
      <w:r>
        <w:rPr>
          <w:rFonts w:hint="eastAsia"/>
          <w:szCs w:val="24"/>
        </w:rPr>
        <w:t>（3）根据考核结果的相关问题，以书面形式对乙方提出整改意见并监督实施整改和验收。</w:t>
      </w:r>
    </w:p>
    <w:p>
      <w:pPr>
        <w:adjustRightInd w:val="0"/>
        <w:snapToGrid w:val="0"/>
        <w:spacing w:line="360" w:lineRule="exact"/>
        <w:ind w:firstLine="411" w:firstLineChars="196"/>
        <w:rPr>
          <w:szCs w:val="24"/>
        </w:rPr>
      </w:pPr>
      <w:r>
        <w:rPr>
          <w:rFonts w:hint="eastAsia"/>
          <w:szCs w:val="24"/>
        </w:rPr>
        <w:t>（4）配合乙方做好养护管理工作中与供电、供水、市政、照明、园林、环卫、交警等有关部门的协调工作。</w:t>
      </w:r>
    </w:p>
    <w:p>
      <w:pPr>
        <w:adjustRightInd w:val="0"/>
        <w:snapToGrid w:val="0"/>
        <w:spacing w:line="360" w:lineRule="exact"/>
        <w:ind w:firstLine="411" w:firstLineChars="196"/>
        <w:rPr>
          <w:szCs w:val="24"/>
        </w:rPr>
      </w:pPr>
      <w:r>
        <w:rPr>
          <w:rFonts w:hint="eastAsia"/>
          <w:szCs w:val="24"/>
        </w:rPr>
        <w:t>（5）负责养护管理经费核算和拨付工作。</w:t>
      </w:r>
    </w:p>
    <w:p>
      <w:pPr>
        <w:adjustRightInd w:val="0"/>
        <w:snapToGrid w:val="0"/>
        <w:spacing w:line="360" w:lineRule="exact"/>
        <w:ind w:firstLine="411" w:firstLineChars="196"/>
        <w:rPr>
          <w:szCs w:val="24"/>
        </w:rPr>
      </w:pPr>
      <w:r>
        <w:rPr>
          <w:rFonts w:hint="eastAsia"/>
          <w:szCs w:val="24"/>
        </w:rPr>
        <w:t>（6）协议期限满时，对养护范围内的所有苗木、设施、设备进行核查。</w:t>
      </w:r>
    </w:p>
    <w:p>
      <w:pPr>
        <w:adjustRightInd w:val="0"/>
        <w:snapToGrid w:val="0"/>
        <w:spacing w:line="360" w:lineRule="exact"/>
        <w:ind w:firstLine="411" w:firstLineChars="196"/>
        <w:rPr>
          <w:szCs w:val="24"/>
        </w:rPr>
      </w:pPr>
      <w:r>
        <w:rPr>
          <w:rFonts w:hint="eastAsia"/>
          <w:szCs w:val="24"/>
        </w:rPr>
        <w:t>2、乙方职责</w:t>
      </w:r>
    </w:p>
    <w:p>
      <w:pPr>
        <w:adjustRightInd w:val="0"/>
        <w:snapToGrid w:val="0"/>
        <w:spacing w:line="360" w:lineRule="exact"/>
        <w:ind w:firstLine="411" w:firstLineChars="196"/>
        <w:rPr>
          <w:szCs w:val="24"/>
        </w:rPr>
      </w:pPr>
      <w:r>
        <w:rPr>
          <w:rFonts w:hint="eastAsia"/>
          <w:szCs w:val="24"/>
        </w:rPr>
        <w:t>（1）乙方严格按照本合同的养护管理要求和《宁海县绿化养护管理考核实施细则》相关标准做好养护管理工作。养护职责范围：绿地保洁、草坪打孔、割草、除草、除虫、修剪、浇水、扶正、补植、涂白、松土、施肥、看护等；绿地面积达6000—7000平方米，必须配备1名养护人员进行日常管理，依此类推。</w:t>
      </w:r>
    </w:p>
    <w:p>
      <w:pPr>
        <w:adjustRightInd w:val="0"/>
        <w:snapToGrid w:val="0"/>
        <w:spacing w:line="360" w:lineRule="exact"/>
        <w:ind w:firstLine="411" w:firstLineChars="196"/>
        <w:rPr>
          <w:szCs w:val="24"/>
        </w:rPr>
      </w:pPr>
      <w:r>
        <w:rPr>
          <w:rFonts w:hint="eastAsia"/>
          <w:szCs w:val="24"/>
        </w:rPr>
        <w:t>（2）对本合同养护项目实施养护管理所需的一切劳动力、材料、设备、养护设施由乙方自行组织，由此产生的一切费用由乙方承担，其中包括养护人员社会保障经费。</w:t>
      </w:r>
    </w:p>
    <w:p>
      <w:pPr>
        <w:adjustRightInd w:val="0"/>
        <w:snapToGrid w:val="0"/>
        <w:spacing w:line="360" w:lineRule="exact"/>
        <w:ind w:firstLine="411" w:firstLineChars="196"/>
        <w:rPr>
          <w:szCs w:val="24"/>
        </w:rPr>
      </w:pPr>
      <w:r>
        <w:rPr>
          <w:rFonts w:hint="eastAsia"/>
          <w:szCs w:val="24"/>
        </w:rPr>
        <w:t>（3）制订科学合理的养护管理实施方案、养护制度和突发事件应急预案，并提交甲方备案；严格按照甲方核定名额配备养护管理人员和必需的养护管理设备、器具，并对投入使用的机械、材料、器具设备的质量负责，符合安全标准。养护管理人员名册、联系方式和设备、器具配备清单应提交甲方备查。</w:t>
      </w:r>
    </w:p>
    <w:p>
      <w:pPr>
        <w:adjustRightInd w:val="0"/>
        <w:snapToGrid w:val="0"/>
        <w:spacing w:line="360" w:lineRule="exact"/>
        <w:ind w:firstLine="411" w:firstLineChars="196"/>
        <w:rPr>
          <w:szCs w:val="24"/>
        </w:rPr>
      </w:pPr>
      <w:r>
        <w:rPr>
          <w:rFonts w:hint="eastAsia"/>
          <w:szCs w:val="24"/>
        </w:rPr>
        <w:t>（4）每月25日前做好养护管理工作自查自评，并按要求填写上报月度养护管理情况报表；自觉主动接受省、市、县行业主管部门和甲方的检查考核，积极配合甲方要求完成的突击性任务和各项迎检活动。</w:t>
      </w:r>
    </w:p>
    <w:p>
      <w:pPr>
        <w:adjustRightInd w:val="0"/>
        <w:snapToGrid w:val="0"/>
        <w:spacing w:line="360" w:lineRule="exact"/>
        <w:ind w:firstLine="411" w:firstLineChars="196"/>
        <w:rPr>
          <w:szCs w:val="24"/>
        </w:rPr>
      </w:pPr>
      <w:r>
        <w:rPr>
          <w:rFonts w:hint="eastAsia"/>
          <w:szCs w:val="24"/>
        </w:rPr>
        <w:t>（5）负责区域内各类植物养护及日常巡视检查，并做好养护范围内的地下管线和现有建筑物、构筑物的保护工作，如发现各类苗木、设施有被损、被盗等情况时，应及时向甲方汇报。负责国旗的升降工作，主要落实好元旦、春节、“五.一”劳动节、 “5.19”开游节、国庆节等节日的国旗升降，做到早晨升起、晚上降落；如其他日子需升降国旗，甲方则会另行通知。</w:t>
      </w:r>
    </w:p>
    <w:p>
      <w:pPr>
        <w:adjustRightInd w:val="0"/>
        <w:snapToGrid w:val="0"/>
        <w:spacing w:line="360" w:lineRule="exact"/>
        <w:ind w:firstLine="411" w:firstLineChars="196"/>
        <w:rPr>
          <w:szCs w:val="24"/>
        </w:rPr>
      </w:pPr>
      <w:r>
        <w:rPr>
          <w:rFonts w:hint="eastAsia"/>
          <w:szCs w:val="24"/>
        </w:rPr>
        <w:t>（6）因乙方责任原因造成养护绿化质量不合格，园林设施损坏的，绿化部分由乙方自行负责补植，园林设施部分由甲方负责维修，维修费用由乙方承担。非因乙方责任原因导致上述问题的，乙方负责及时报告，经费和修补责任由甲方负责。</w:t>
      </w:r>
    </w:p>
    <w:p>
      <w:pPr>
        <w:adjustRightInd w:val="0"/>
        <w:snapToGrid w:val="0"/>
        <w:spacing w:line="360" w:lineRule="exact"/>
        <w:ind w:firstLine="411" w:firstLineChars="196"/>
        <w:rPr>
          <w:szCs w:val="24"/>
        </w:rPr>
      </w:pPr>
      <w:r>
        <w:rPr>
          <w:rFonts w:hint="eastAsia"/>
          <w:szCs w:val="24"/>
        </w:rPr>
        <w:t>（7）开展养护工作时，严格遵守政府和有关主管部门对噪音污染、环境保护和安全生产等的管理规定，文明施工；对外开放的养护区域，处理好养护工作与游客的关系。绿化垃圾须及时负责清理外运。</w:t>
      </w:r>
    </w:p>
    <w:p>
      <w:pPr>
        <w:adjustRightInd w:val="0"/>
        <w:snapToGrid w:val="0"/>
        <w:spacing w:line="360" w:lineRule="exact"/>
        <w:ind w:firstLine="411" w:firstLineChars="196"/>
        <w:rPr>
          <w:szCs w:val="24"/>
        </w:rPr>
      </w:pPr>
      <w:r>
        <w:rPr>
          <w:rFonts w:hint="eastAsia"/>
          <w:szCs w:val="24"/>
        </w:rPr>
        <w:t>（8）自觉主动接受省、市、县行业主管部门和甲方的检查考核，积极配合甲方要求完成的突击性任务和各项迎检活动。接受甲方的管理、监督、检查和考核，对甲方发出的整改通知，应及时按甲方的要求进行整改。乙方无正当理由拒绝整改时，甲方可以另行委托他人予以整改，所发生的费用由乙方承担。</w:t>
      </w:r>
    </w:p>
    <w:p>
      <w:pPr>
        <w:adjustRightInd w:val="0"/>
        <w:snapToGrid w:val="0"/>
        <w:spacing w:line="360" w:lineRule="exact"/>
        <w:ind w:firstLine="411" w:firstLineChars="196"/>
        <w:rPr>
          <w:szCs w:val="24"/>
        </w:rPr>
      </w:pPr>
      <w:r>
        <w:rPr>
          <w:rFonts w:hint="eastAsia"/>
          <w:szCs w:val="24"/>
        </w:rPr>
        <w:t>（9）养护期间，除12级以上台风、地震、水涝等不可预见因素外引起的养护项目苗木数量发生减少及毁损，乙方应及时补齐，并自行承担所需费用；本合同终止时，应及时向甲方移交全部管理用房及有关财产，相关管理档案及有关资料。</w:t>
      </w:r>
    </w:p>
    <w:p>
      <w:pPr>
        <w:adjustRightInd w:val="0"/>
        <w:snapToGrid w:val="0"/>
        <w:spacing w:line="360" w:lineRule="exact"/>
        <w:ind w:firstLine="411" w:firstLineChars="196"/>
        <w:rPr>
          <w:szCs w:val="24"/>
        </w:rPr>
      </w:pPr>
      <w:r>
        <w:rPr>
          <w:rFonts w:hint="eastAsia"/>
          <w:szCs w:val="24"/>
        </w:rPr>
        <w:t>第六条  安全防护及事故处理</w:t>
      </w:r>
    </w:p>
    <w:p>
      <w:pPr>
        <w:adjustRightInd w:val="0"/>
        <w:snapToGrid w:val="0"/>
        <w:spacing w:line="360" w:lineRule="exact"/>
        <w:ind w:firstLine="411" w:firstLineChars="196"/>
        <w:rPr>
          <w:szCs w:val="24"/>
        </w:rPr>
      </w:pPr>
      <w:r>
        <w:rPr>
          <w:rFonts w:hint="eastAsia"/>
          <w:szCs w:val="24"/>
        </w:rPr>
        <w:t>1、安全防护</w:t>
      </w:r>
    </w:p>
    <w:p>
      <w:pPr>
        <w:adjustRightInd w:val="0"/>
        <w:snapToGrid w:val="0"/>
        <w:spacing w:line="360" w:lineRule="exact"/>
        <w:ind w:firstLine="411" w:firstLineChars="196"/>
        <w:rPr>
          <w:szCs w:val="24"/>
        </w:rPr>
      </w:pPr>
      <w:r>
        <w:rPr>
          <w:rFonts w:hint="eastAsia"/>
          <w:szCs w:val="24"/>
        </w:rPr>
        <w:t>（1）乙方在养护期间，应严格遵守安全生产作业的有关管理制度，并随时接受行业安全检查人员依法实施的监督检查，采取必要的安全防护措施，消除事故隐患。由于乙方安全措施不力造成事故的责任和因此发生的费用，由乙方承担。乙方应对其在养护场地的工作人员进行安全教育，并对他们的安全负责。</w:t>
      </w:r>
    </w:p>
    <w:p>
      <w:pPr>
        <w:adjustRightInd w:val="0"/>
        <w:snapToGrid w:val="0"/>
        <w:spacing w:line="360" w:lineRule="exact"/>
        <w:ind w:firstLine="411" w:firstLineChars="196"/>
        <w:rPr>
          <w:szCs w:val="24"/>
        </w:rPr>
      </w:pPr>
      <w:r>
        <w:rPr>
          <w:rFonts w:hint="eastAsia"/>
          <w:szCs w:val="24"/>
        </w:rPr>
        <w:t>（2）乙方在从事喷洒农药控制病虫害、修剪树木、设施维护、行道树管理、防台防汛等工作时应自行采取相应的安全防护措施。除双方另有约定外，安全防护费用由乙方自行承担。</w:t>
      </w:r>
    </w:p>
    <w:p>
      <w:pPr>
        <w:adjustRightInd w:val="0"/>
        <w:snapToGrid w:val="0"/>
        <w:spacing w:line="360" w:lineRule="exact"/>
        <w:ind w:firstLine="411" w:firstLineChars="196"/>
        <w:rPr>
          <w:szCs w:val="24"/>
        </w:rPr>
      </w:pPr>
      <w:r>
        <w:rPr>
          <w:rFonts w:hint="eastAsia"/>
          <w:szCs w:val="24"/>
        </w:rPr>
        <w:t>（3）乙方应保证养护范围内的各项设施能够安全使用，对于存在安全隐患的设施、物品，应及时提请甲方予以修理或更换。对养护范围内的树林、水体或其他可能造成人员伤亡的场所，乙方应提请甲方设置禁止吸烟、禁止火种、禁止游泳等安全警告铭牌。</w:t>
      </w:r>
    </w:p>
    <w:p>
      <w:pPr>
        <w:adjustRightInd w:val="0"/>
        <w:snapToGrid w:val="0"/>
        <w:spacing w:line="360" w:lineRule="exact"/>
        <w:ind w:firstLine="411" w:firstLineChars="196"/>
        <w:rPr>
          <w:szCs w:val="24"/>
        </w:rPr>
      </w:pPr>
      <w:r>
        <w:rPr>
          <w:rFonts w:hint="eastAsia"/>
          <w:szCs w:val="24"/>
        </w:rPr>
        <w:t>（4）乙方对土壤进行消毒或防治病虫害时，应使用符合环保要求的药剂，不得使用国家禁止使用的剧毒、高残留或可能造成其它公害的药剂。乙方喷洒药物之前，须将喷洒时间、药物种类提前报甲方批准，按甲方批准的时间和路线进行喷洒。瓜果类植物在挂果期间不得喷洒药剂，以防发生意外。残留药剂和容器，乙方应按规定妥善收集和处理。乙方未按规定使用药剂，造成的责任由乙方自行承担。</w:t>
      </w:r>
    </w:p>
    <w:p>
      <w:pPr>
        <w:adjustRightInd w:val="0"/>
        <w:snapToGrid w:val="0"/>
        <w:spacing w:line="360" w:lineRule="exact"/>
        <w:ind w:firstLine="411" w:firstLineChars="196"/>
        <w:rPr>
          <w:szCs w:val="24"/>
        </w:rPr>
      </w:pPr>
      <w:r>
        <w:rPr>
          <w:rFonts w:hint="eastAsia"/>
          <w:szCs w:val="24"/>
        </w:rPr>
        <w:t>2、事故处理</w:t>
      </w:r>
    </w:p>
    <w:p>
      <w:pPr>
        <w:adjustRightInd w:val="0"/>
        <w:snapToGrid w:val="0"/>
        <w:spacing w:line="360" w:lineRule="exact"/>
        <w:ind w:firstLine="411" w:firstLineChars="196"/>
        <w:rPr>
          <w:szCs w:val="24"/>
        </w:rPr>
      </w:pPr>
      <w:r>
        <w:rPr>
          <w:rFonts w:hint="eastAsia"/>
          <w:szCs w:val="24"/>
        </w:rPr>
        <w:t>（1）养护期间，乙方应按安全生产的有关规定，采用严格、科学的安全防护措施，确保养护工作顺利进行；若发生重大伤亡及其他安全事故，乙方应按有关规定立即向甲方报告，甲方为抢救提供必要的帮助，所发生的费用由事故责任方承担。</w:t>
      </w:r>
    </w:p>
    <w:p>
      <w:pPr>
        <w:adjustRightInd w:val="0"/>
        <w:snapToGrid w:val="0"/>
        <w:spacing w:line="360" w:lineRule="exact"/>
        <w:ind w:firstLine="411" w:firstLineChars="196"/>
        <w:rPr>
          <w:szCs w:val="24"/>
        </w:rPr>
      </w:pPr>
      <w:r>
        <w:rPr>
          <w:rFonts w:hint="eastAsia"/>
          <w:szCs w:val="24"/>
        </w:rPr>
        <w:t>（2）甲方、乙方对事故责任有争议时，应按政府有关部门的认定处理。</w:t>
      </w:r>
    </w:p>
    <w:p>
      <w:pPr>
        <w:adjustRightInd w:val="0"/>
        <w:snapToGrid w:val="0"/>
        <w:spacing w:line="360" w:lineRule="exact"/>
        <w:ind w:firstLine="411" w:firstLineChars="196"/>
        <w:rPr>
          <w:szCs w:val="24"/>
        </w:rPr>
      </w:pPr>
      <w:r>
        <w:rPr>
          <w:rFonts w:hint="eastAsia"/>
          <w:szCs w:val="24"/>
        </w:rPr>
        <w:t>第七条  合同价款调整</w:t>
      </w:r>
    </w:p>
    <w:p>
      <w:pPr>
        <w:adjustRightInd w:val="0"/>
        <w:snapToGrid w:val="0"/>
        <w:spacing w:line="360" w:lineRule="exact"/>
        <w:ind w:firstLine="411" w:firstLineChars="196"/>
        <w:rPr>
          <w:szCs w:val="24"/>
        </w:rPr>
      </w:pPr>
      <w:r>
        <w:rPr>
          <w:rFonts w:hint="eastAsia"/>
          <w:szCs w:val="24"/>
        </w:rPr>
        <w:t>1、有以下情况之一的合同价款可作相应调整。</w:t>
      </w:r>
    </w:p>
    <w:p>
      <w:pPr>
        <w:adjustRightInd w:val="0"/>
        <w:snapToGrid w:val="0"/>
        <w:spacing w:line="360" w:lineRule="exact"/>
        <w:ind w:firstLine="411" w:firstLineChars="196"/>
        <w:rPr>
          <w:szCs w:val="24"/>
        </w:rPr>
      </w:pPr>
      <w:r>
        <w:rPr>
          <w:rFonts w:hint="eastAsia"/>
          <w:szCs w:val="24"/>
        </w:rPr>
        <w:t>（1）社会平均工资的上涨，调整幅度经双方协商确定。</w:t>
      </w:r>
    </w:p>
    <w:p>
      <w:pPr>
        <w:adjustRightInd w:val="0"/>
        <w:snapToGrid w:val="0"/>
        <w:spacing w:line="360" w:lineRule="exact"/>
        <w:ind w:firstLine="411" w:firstLineChars="196"/>
        <w:rPr>
          <w:szCs w:val="24"/>
        </w:rPr>
      </w:pPr>
      <w:r>
        <w:rPr>
          <w:rFonts w:hint="eastAsia"/>
          <w:szCs w:val="24"/>
        </w:rPr>
        <w:t>（2）养护管理范围、内容发生增减变化的。</w:t>
      </w:r>
    </w:p>
    <w:p>
      <w:pPr>
        <w:adjustRightInd w:val="0"/>
        <w:snapToGrid w:val="0"/>
        <w:spacing w:line="360" w:lineRule="exact"/>
        <w:ind w:firstLine="411" w:firstLineChars="196"/>
        <w:rPr>
          <w:szCs w:val="24"/>
        </w:rPr>
      </w:pPr>
      <w:r>
        <w:rPr>
          <w:rFonts w:hint="eastAsia"/>
          <w:szCs w:val="24"/>
        </w:rPr>
        <w:t>（3）甲方要求增配养护管理人员的。</w:t>
      </w:r>
    </w:p>
    <w:p>
      <w:pPr>
        <w:adjustRightInd w:val="0"/>
        <w:snapToGrid w:val="0"/>
        <w:spacing w:line="360" w:lineRule="exact"/>
        <w:ind w:firstLine="411" w:firstLineChars="196"/>
        <w:rPr>
          <w:szCs w:val="24"/>
        </w:rPr>
      </w:pPr>
      <w:r>
        <w:rPr>
          <w:rFonts w:hint="eastAsia"/>
          <w:szCs w:val="24"/>
        </w:rPr>
        <w:t>2、有下述项目之一的，按项目实际发生经费另行结算。</w:t>
      </w:r>
    </w:p>
    <w:p>
      <w:pPr>
        <w:adjustRightInd w:val="0"/>
        <w:snapToGrid w:val="0"/>
        <w:spacing w:line="360" w:lineRule="exact"/>
        <w:ind w:firstLine="411" w:firstLineChars="196"/>
        <w:rPr>
          <w:szCs w:val="24"/>
        </w:rPr>
      </w:pPr>
      <w:r>
        <w:rPr>
          <w:rFonts w:hint="eastAsia"/>
          <w:szCs w:val="24"/>
        </w:rPr>
        <w:t>（1）遇不可抗力致使乙方增加养护管理经费的。</w:t>
      </w:r>
    </w:p>
    <w:p>
      <w:pPr>
        <w:adjustRightInd w:val="0"/>
        <w:snapToGrid w:val="0"/>
        <w:spacing w:line="360" w:lineRule="exact"/>
        <w:ind w:firstLine="411" w:firstLineChars="196"/>
        <w:rPr>
          <w:szCs w:val="24"/>
        </w:rPr>
      </w:pPr>
      <w:r>
        <w:rPr>
          <w:rFonts w:hint="eastAsia"/>
          <w:szCs w:val="24"/>
        </w:rPr>
        <w:t>（2）乙方按甲方要求摆放鲜花的。</w:t>
      </w:r>
    </w:p>
    <w:p>
      <w:pPr>
        <w:adjustRightInd w:val="0"/>
        <w:snapToGrid w:val="0"/>
        <w:spacing w:line="360" w:lineRule="exact"/>
        <w:ind w:firstLine="411" w:firstLineChars="196"/>
        <w:rPr>
          <w:szCs w:val="24"/>
        </w:rPr>
      </w:pPr>
      <w:r>
        <w:rPr>
          <w:rFonts w:hint="eastAsia"/>
          <w:szCs w:val="24"/>
        </w:rPr>
        <w:t>（3）乙方按甲方要求增加修剪、施肥、治虫等规定养护次数的。</w:t>
      </w:r>
    </w:p>
    <w:p>
      <w:pPr>
        <w:adjustRightInd w:val="0"/>
        <w:snapToGrid w:val="0"/>
        <w:spacing w:line="360" w:lineRule="exact"/>
        <w:ind w:firstLine="411" w:firstLineChars="196"/>
        <w:rPr>
          <w:szCs w:val="24"/>
        </w:rPr>
      </w:pPr>
      <w:r>
        <w:rPr>
          <w:rFonts w:hint="eastAsia"/>
          <w:szCs w:val="24"/>
        </w:rPr>
        <w:t>（4）乙方按甲方要求增加音乐喷泉开启时间所发生的电费。</w:t>
      </w:r>
    </w:p>
    <w:p>
      <w:pPr>
        <w:adjustRightInd w:val="0"/>
        <w:snapToGrid w:val="0"/>
        <w:spacing w:line="360" w:lineRule="exact"/>
        <w:ind w:firstLine="411" w:firstLineChars="196"/>
        <w:rPr>
          <w:szCs w:val="24"/>
        </w:rPr>
      </w:pPr>
      <w:r>
        <w:rPr>
          <w:rFonts w:hint="eastAsia"/>
          <w:szCs w:val="24"/>
        </w:rPr>
        <w:t>（5）经甲方同意由乙方实施的其它项目。</w:t>
      </w:r>
    </w:p>
    <w:p>
      <w:pPr>
        <w:adjustRightInd w:val="0"/>
        <w:snapToGrid w:val="0"/>
        <w:spacing w:line="360" w:lineRule="exact"/>
        <w:ind w:firstLine="411" w:firstLineChars="196"/>
        <w:rPr>
          <w:szCs w:val="24"/>
        </w:rPr>
      </w:pPr>
      <w:r>
        <w:rPr>
          <w:rFonts w:hint="eastAsia"/>
          <w:szCs w:val="24"/>
        </w:rPr>
        <w:t>第八条  违约责任</w:t>
      </w:r>
    </w:p>
    <w:p>
      <w:pPr>
        <w:adjustRightInd w:val="0"/>
        <w:snapToGrid w:val="0"/>
        <w:spacing w:line="360" w:lineRule="exact"/>
        <w:ind w:firstLine="411" w:firstLineChars="196"/>
        <w:rPr>
          <w:szCs w:val="24"/>
        </w:rPr>
      </w:pPr>
      <w:r>
        <w:rPr>
          <w:rFonts w:hint="eastAsia"/>
          <w:szCs w:val="24"/>
        </w:rPr>
        <w:t>1、 合同双方任何一方不能全面履行合同条款的均属违约，违约造成的经济损失由违约方承担。</w:t>
      </w:r>
    </w:p>
    <w:p>
      <w:pPr>
        <w:adjustRightInd w:val="0"/>
        <w:snapToGrid w:val="0"/>
        <w:spacing w:line="360" w:lineRule="exact"/>
        <w:rPr>
          <w:szCs w:val="24"/>
        </w:rPr>
      </w:pPr>
      <w:r>
        <w:rPr>
          <w:rFonts w:hint="eastAsia"/>
          <w:szCs w:val="24"/>
        </w:rPr>
        <w:t xml:space="preserve">    2、乙方在签订合同时，需向甲方提交履约保证金（不计息） ，保证金可以现金、银行转账、银行保函形式支付，合同期满并办理交接手续后，甲方返还履约保证金。 </w:t>
      </w:r>
    </w:p>
    <w:p>
      <w:pPr>
        <w:adjustRightInd w:val="0"/>
        <w:snapToGrid w:val="0"/>
        <w:spacing w:line="360" w:lineRule="exact"/>
        <w:ind w:firstLine="411" w:firstLineChars="196"/>
        <w:rPr>
          <w:szCs w:val="24"/>
        </w:rPr>
      </w:pPr>
      <w:r>
        <w:rPr>
          <w:rFonts w:hint="eastAsia"/>
          <w:szCs w:val="24"/>
        </w:rPr>
        <w:t>3、未经甲方同意，乙方擅自更改、调整养护方案和擅自将承包的养护项目进行分包或转包给他人，给甲方造成损失的，应承担赔偿责任。</w:t>
      </w:r>
    </w:p>
    <w:p>
      <w:pPr>
        <w:adjustRightInd w:val="0"/>
        <w:snapToGrid w:val="0"/>
        <w:spacing w:line="360" w:lineRule="exact"/>
        <w:ind w:firstLine="411" w:firstLineChars="196"/>
        <w:rPr>
          <w:szCs w:val="24"/>
        </w:rPr>
      </w:pPr>
      <w:r>
        <w:rPr>
          <w:rFonts w:hint="eastAsia"/>
          <w:szCs w:val="24"/>
        </w:rPr>
        <w:t>4、若乙方违约致使合同不能履行，甲方有权没收履约保证金用于弥补因乙方违约给甲方造成的损失。当该履约保证金不足已弥补甲方损失时，甲方保留向乙方追讨赔偿损失的权利。</w:t>
      </w:r>
    </w:p>
    <w:p>
      <w:pPr>
        <w:adjustRightInd w:val="0"/>
        <w:snapToGrid w:val="0"/>
        <w:spacing w:line="360" w:lineRule="exact"/>
        <w:ind w:firstLine="411" w:firstLineChars="196"/>
        <w:rPr>
          <w:szCs w:val="24"/>
        </w:rPr>
      </w:pPr>
      <w:r>
        <w:rPr>
          <w:rFonts w:hint="eastAsia"/>
          <w:szCs w:val="24"/>
        </w:rPr>
        <w:t>5、因乙方违约致甲方维修所发生的经费，甲方有权在履约保证金或月度养护经费中扣除。</w:t>
      </w:r>
    </w:p>
    <w:p>
      <w:pPr>
        <w:adjustRightInd w:val="0"/>
        <w:snapToGrid w:val="0"/>
        <w:spacing w:line="360" w:lineRule="exact"/>
        <w:ind w:firstLine="411" w:firstLineChars="196"/>
        <w:rPr>
          <w:szCs w:val="24"/>
        </w:rPr>
      </w:pPr>
      <w:r>
        <w:rPr>
          <w:rFonts w:hint="eastAsia"/>
          <w:szCs w:val="24"/>
        </w:rPr>
        <w:t>6、因乙方违约未达到养护管理质量要求的，甲方按《宁海县绿化养护管理考核实施细则》执行。</w:t>
      </w:r>
    </w:p>
    <w:p>
      <w:pPr>
        <w:adjustRightInd w:val="0"/>
        <w:snapToGrid w:val="0"/>
        <w:spacing w:line="360" w:lineRule="exact"/>
        <w:ind w:firstLine="411" w:firstLineChars="196"/>
        <w:rPr>
          <w:szCs w:val="24"/>
        </w:rPr>
      </w:pPr>
      <w:r>
        <w:rPr>
          <w:rFonts w:hint="eastAsia"/>
          <w:szCs w:val="24"/>
        </w:rPr>
        <w:t>第九条  合同解除</w:t>
      </w:r>
    </w:p>
    <w:p>
      <w:pPr>
        <w:adjustRightInd w:val="0"/>
        <w:snapToGrid w:val="0"/>
        <w:spacing w:line="360" w:lineRule="exact"/>
        <w:ind w:firstLine="411" w:firstLineChars="196"/>
        <w:rPr>
          <w:szCs w:val="24"/>
        </w:rPr>
      </w:pPr>
      <w:r>
        <w:rPr>
          <w:rFonts w:hint="eastAsia"/>
          <w:szCs w:val="24"/>
        </w:rPr>
        <w:t>1、合同期满后本合同自行解除。</w:t>
      </w:r>
    </w:p>
    <w:p>
      <w:pPr>
        <w:adjustRightInd w:val="0"/>
        <w:snapToGrid w:val="0"/>
        <w:spacing w:line="360" w:lineRule="exact"/>
        <w:ind w:firstLine="411" w:firstLineChars="196"/>
        <w:rPr>
          <w:szCs w:val="24"/>
        </w:rPr>
      </w:pPr>
      <w:r>
        <w:rPr>
          <w:rFonts w:hint="eastAsia"/>
          <w:szCs w:val="24"/>
        </w:rPr>
        <w:t>2、合同期间连续2个月或全年累计3个月考核不合格的，终止本合同。</w:t>
      </w:r>
    </w:p>
    <w:p>
      <w:pPr>
        <w:adjustRightInd w:val="0"/>
        <w:snapToGrid w:val="0"/>
        <w:spacing w:line="360" w:lineRule="exact"/>
        <w:ind w:firstLine="411" w:firstLineChars="196"/>
        <w:rPr>
          <w:szCs w:val="24"/>
        </w:rPr>
      </w:pPr>
      <w:r>
        <w:rPr>
          <w:rFonts w:hint="eastAsia"/>
          <w:szCs w:val="24"/>
        </w:rPr>
        <w:t>3、乙方违约致使养护工程在重大活动中迎检不到位，造成严重影响的，终止本合同。</w:t>
      </w:r>
    </w:p>
    <w:p>
      <w:pPr>
        <w:adjustRightInd w:val="0"/>
        <w:snapToGrid w:val="0"/>
        <w:spacing w:line="360" w:lineRule="exact"/>
        <w:ind w:firstLine="411" w:firstLineChars="196"/>
        <w:rPr>
          <w:szCs w:val="24"/>
        </w:rPr>
      </w:pPr>
      <w:r>
        <w:rPr>
          <w:rFonts w:hint="eastAsia"/>
          <w:szCs w:val="24"/>
        </w:rPr>
        <w:t>4、乙方违约致使重大责任事故发生的，终止本合同。</w:t>
      </w:r>
    </w:p>
    <w:p>
      <w:pPr>
        <w:adjustRightInd w:val="0"/>
        <w:snapToGrid w:val="0"/>
        <w:spacing w:line="360" w:lineRule="exact"/>
        <w:ind w:firstLine="411" w:firstLineChars="196"/>
        <w:rPr>
          <w:szCs w:val="24"/>
        </w:rPr>
      </w:pPr>
      <w:r>
        <w:rPr>
          <w:rFonts w:hint="eastAsia"/>
          <w:szCs w:val="24"/>
        </w:rPr>
        <w:t>第十条 合同生效</w:t>
      </w:r>
    </w:p>
    <w:p>
      <w:pPr>
        <w:adjustRightInd w:val="0"/>
        <w:snapToGrid w:val="0"/>
        <w:spacing w:line="360" w:lineRule="exact"/>
        <w:ind w:firstLine="411" w:firstLineChars="196"/>
        <w:rPr>
          <w:szCs w:val="24"/>
        </w:rPr>
      </w:pPr>
      <w:r>
        <w:rPr>
          <w:rFonts w:hint="eastAsia"/>
          <w:szCs w:val="24"/>
        </w:rPr>
        <w:t>本合同经甲、乙双方法定代表人或其委托代表人签字并加盖法人印章后生效。</w:t>
      </w:r>
    </w:p>
    <w:p>
      <w:pPr>
        <w:adjustRightInd w:val="0"/>
        <w:snapToGrid w:val="0"/>
        <w:spacing w:line="360" w:lineRule="exact"/>
        <w:ind w:firstLine="411" w:firstLineChars="196"/>
        <w:rPr>
          <w:szCs w:val="24"/>
        </w:rPr>
      </w:pPr>
      <w:r>
        <w:rPr>
          <w:rFonts w:hint="eastAsia"/>
          <w:szCs w:val="24"/>
        </w:rPr>
        <w:t>第十一条 合同份数及附件</w:t>
      </w:r>
    </w:p>
    <w:p>
      <w:pPr>
        <w:adjustRightInd w:val="0"/>
        <w:snapToGrid w:val="0"/>
        <w:spacing w:line="360" w:lineRule="exact"/>
        <w:ind w:firstLine="411" w:firstLineChars="196"/>
        <w:rPr>
          <w:szCs w:val="24"/>
        </w:rPr>
      </w:pPr>
      <w:r>
        <w:rPr>
          <w:rFonts w:hint="eastAsia"/>
          <w:szCs w:val="24"/>
        </w:rPr>
        <w:t>本合同一式四份，甲方执叁份、乙方执壹份。本合同未尽事宜，可经双方协商同意后附予本合同后，所有附件均为构成本合同不可分割的组成部分。</w:t>
      </w:r>
    </w:p>
    <w:p>
      <w:pPr>
        <w:adjustRightInd w:val="0"/>
        <w:snapToGrid w:val="0"/>
        <w:spacing w:line="360" w:lineRule="exact"/>
        <w:ind w:firstLine="411" w:firstLineChars="196"/>
        <w:rPr>
          <w:szCs w:val="24"/>
        </w:rPr>
      </w:pPr>
      <w:r>
        <w:rPr>
          <w:rFonts w:hint="eastAsia"/>
          <w:szCs w:val="24"/>
        </w:rPr>
        <w:t>合同履行过程中，双方可根据有关法律、行政法规规定，结合养护项目的实际情况，经协商一致后订立补充协议。补充协议视为本合同的组成部分。</w:t>
      </w:r>
    </w:p>
    <w:p>
      <w:pPr>
        <w:adjustRightInd w:val="0"/>
        <w:snapToGrid w:val="0"/>
        <w:spacing w:line="360" w:lineRule="exact"/>
        <w:ind w:firstLine="567"/>
        <w:rPr>
          <w:rFonts w:ascii="宋体" w:hAnsi="宋体" w:cs="宋体"/>
          <w:b/>
          <w:w w:val="80"/>
          <w:kern w:val="0"/>
          <w:szCs w:val="21"/>
        </w:rPr>
      </w:pPr>
      <w:r>
        <w:rPr>
          <w:rFonts w:hint="eastAsia"/>
          <w:szCs w:val="24"/>
        </w:rPr>
        <w:t>附</w:t>
      </w:r>
      <w:r>
        <w:rPr>
          <w:rFonts w:hint="eastAsia" w:ascii="宋体" w:hAnsi="宋体" w:cs="宋体"/>
          <w:b/>
          <w:w w:val="80"/>
          <w:kern w:val="0"/>
          <w:szCs w:val="21"/>
        </w:rPr>
        <w:t>：</w:t>
      </w:r>
      <w:r>
        <w:rPr>
          <w:rFonts w:hint="eastAsia"/>
          <w:szCs w:val="24"/>
        </w:rPr>
        <w:t>标段绿化养护工程量交接清单</w:t>
      </w:r>
    </w:p>
    <w:p>
      <w:pPr>
        <w:adjustRightInd w:val="0"/>
        <w:snapToGrid w:val="0"/>
        <w:spacing w:line="360" w:lineRule="exact"/>
        <w:rPr>
          <w:rFonts w:ascii="宋体" w:hAnsi="宋体" w:cs="宋体"/>
          <w:b/>
          <w:w w:val="80"/>
          <w:kern w:val="0"/>
          <w:szCs w:val="21"/>
        </w:rPr>
      </w:pPr>
    </w:p>
    <w:p>
      <w:pPr>
        <w:adjustRightInd w:val="0"/>
        <w:snapToGrid w:val="0"/>
        <w:spacing w:line="360" w:lineRule="exact"/>
        <w:rPr>
          <w:rFonts w:ascii="宋体" w:hAnsi="宋体" w:cs="宋体"/>
          <w:w w:val="80"/>
          <w:kern w:val="0"/>
          <w:szCs w:val="21"/>
        </w:rPr>
      </w:pPr>
      <w:r>
        <w:rPr>
          <w:rFonts w:hint="eastAsia"/>
          <w:szCs w:val="24"/>
        </w:rPr>
        <w:t xml:space="preserve">（以下为签字页） </w:t>
      </w:r>
    </w:p>
    <w:p>
      <w:pPr>
        <w:adjustRightInd w:val="0"/>
        <w:snapToGrid w:val="0"/>
        <w:spacing w:line="360" w:lineRule="exact"/>
        <w:ind w:firstLine="567"/>
        <w:rPr>
          <w:rFonts w:ascii="宋体" w:hAnsi="宋体" w:cs="宋体"/>
          <w:w w:val="80"/>
          <w:kern w:val="0"/>
          <w:szCs w:val="21"/>
        </w:rPr>
      </w:pPr>
    </w:p>
    <w:p>
      <w:pPr>
        <w:adjustRightInd w:val="0"/>
        <w:snapToGrid w:val="0"/>
        <w:spacing w:line="360" w:lineRule="exact"/>
        <w:ind w:left="682" w:leftChars="178" w:hanging="308" w:hangingChars="147"/>
        <w:rPr>
          <w:szCs w:val="24"/>
        </w:rPr>
      </w:pPr>
      <w:r>
        <w:rPr>
          <w:rFonts w:hint="eastAsia"/>
          <w:szCs w:val="24"/>
        </w:rPr>
        <w:t xml:space="preserve">甲    方：（公章）                </w:t>
      </w:r>
      <w:r>
        <w:rPr>
          <w:rFonts w:hint="eastAsia"/>
          <w:szCs w:val="24"/>
        </w:rPr>
        <w:tab/>
      </w:r>
      <w:r>
        <w:rPr>
          <w:rFonts w:hint="eastAsia"/>
          <w:szCs w:val="24"/>
        </w:rPr>
        <w:t xml:space="preserve">  乙    方：（公章）             </w:t>
      </w:r>
    </w:p>
    <w:p>
      <w:pPr>
        <w:adjustRightInd w:val="0"/>
        <w:snapToGrid w:val="0"/>
        <w:spacing w:line="360" w:lineRule="exact"/>
        <w:ind w:left="682" w:leftChars="178" w:hanging="308" w:hangingChars="147"/>
        <w:rPr>
          <w:szCs w:val="24"/>
        </w:rPr>
      </w:pPr>
      <w:r>
        <w:rPr>
          <w:rFonts w:hint="eastAsia"/>
          <w:szCs w:val="24"/>
        </w:rPr>
        <w:t xml:space="preserve">代 表 人：                     </w:t>
      </w:r>
      <w:r>
        <w:rPr>
          <w:rFonts w:hint="eastAsia"/>
          <w:szCs w:val="24"/>
        </w:rPr>
        <w:tab/>
      </w:r>
      <w:r>
        <w:rPr>
          <w:rFonts w:hint="eastAsia"/>
          <w:szCs w:val="24"/>
        </w:rPr>
        <w:t xml:space="preserve">      代 表 人：                     </w:t>
      </w:r>
    </w:p>
    <w:p>
      <w:pPr>
        <w:adjustRightInd w:val="0"/>
        <w:snapToGrid w:val="0"/>
        <w:spacing w:line="360" w:lineRule="exact"/>
        <w:ind w:left="682" w:leftChars="178" w:hanging="308" w:hangingChars="147"/>
        <w:rPr>
          <w:szCs w:val="24"/>
        </w:rPr>
      </w:pPr>
      <w:r>
        <w:rPr>
          <w:rFonts w:hint="eastAsia"/>
          <w:szCs w:val="24"/>
        </w:rPr>
        <w:t xml:space="preserve">联系电话：                     </w:t>
      </w:r>
      <w:r>
        <w:rPr>
          <w:rFonts w:hint="eastAsia"/>
          <w:szCs w:val="24"/>
        </w:rPr>
        <w:tab/>
      </w:r>
      <w:r>
        <w:rPr>
          <w:rFonts w:hint="eastAsia"/>
          <w:szCs w:val="24"/>
        </w:rPr>
        <w:t xml:space="preserve">      联系电话：                     </w:t>
      </w:r>
    </w:p>
    <w:p>
      <w:pPr>
        <w:adjustRightInd w:val="0"/>
        <w:snapToGrid w:val="0"/>
        <w:spacing w:line="360" w:lineRule="exact"/>
        <w:ind w:left="682" w:leftChars="178" w:hanging="308" w:hangingChars="147"/>
        <w:rPr>
          <w:szCs w:val="24"/>
        </w:rPr>
      </w:pPr>
      <w:r>
        <w:rPr>
          <w:rFonts w:hint="eastAsia"/>
          <w:szCs w:val="24"/>
        </w:rPr>
        <w:t>合同订立时间：      年     月     日</w:t>
      </w:r>
    </w:p>
    <w:p>
      <w:pPr>
        <w:adjustRightInd w:val="0"/>
        <w:snapToGrid w:val="0"/>
        <w:spacing w:line="360" w:lineRule="exact"/>
        <w:ind w:left="682" w:leftChars="178" w:hanging="308" w:hangingChars="147"/>
        <w:rPr>
          <w:rFonts w:ascii="黑体" w:eastAsia="黑体"/>
          <w:color w:val="000000"/>
          <w:sz w:val="52"/>
          <w:szCs w:val="52"/>
        </w:rPr>
      </w:pPr>
      <w:r>
        <w:rPr>
          <w:rFonts w:hint="eastAsia"/>
          <w:szCs w:val="24"/>
        </w:rPr>
        <w:t xml:space="preserve">合同订立地点：                              </w:t>
      </w:r>
    </w:p>
    <w:p>
      <w:pPr>
        <w:jc w:val="center"/>
        <w:rPr>
          <w:kern w:val="44"/>
        </w:rPr>
      </w:pPr>
      <w:r>
        <w:rPr>
          <w:w w:val="80"/>
          <w:szCs w:val="24"/>
        </w:rPr>
        <w:br w:type="page"/>
      </w:r>
      <w:bookmarkStart w:id="96" w:name="_Toc435088081"/>
      <w:r>
        <w:rPr>
          <w:rFonts w:hint="eastAsia"/>
          <w:b/>
          <w:bCs/>
          <w:kern w:val="44"/>
          <w:sz w:val="32"/>
          <w:szCs w:val="32"/>
        </w:rPr>
        <w:t>第七部分 格式与表格</w:t>
      </w:r>
      <w:bookmarkEnd w:id="0"/>
      <w:bookmarkEnd w:id="96"/>
    </w:p>
    <w:p>
      <w:pPr>
        <w:snapToGrid w:val="0"/>
        <w:spacing w:line="400" w:lineRule="exact"/>
        <w:jc w:val="center"/>
        <w:outlineLvl w:val="1"/>
        <w:rPr>
          <w:rFonts w:ascii="宋体" w:hAnsi="宋体" w:cs="宋体"/>
          <w:b/>
          <w:bCs/>
          <w:szCs w:val="21"/>
        </w:rPr>
      </w:pPr>
      <w:bookmarkStart w:id="97" w:name="_Toc97372566"/>
    </w:p>
    <w:p>
      <w:pPr>
        <w:snapToGrid w:val="0"/>
        <w:spacing w:line="400" w:lineRule="exact"/>
        <w:jc w:val="center"/>
        <w:outlineLvl w:val="1"/>
        <w:rPr>
          <w:rFonts w:ascii="宋体" w:hAnsi="宋体" w:cs="宋体"/>
          <w:b/>
          <w:bCs/>
          <w:szCs w:val="21"/>
        </w:rPr>
      </w:pPr>
      <w:r>
        <w:rPr>
          <w:rFonts w:hint="eastAsia" w:ascii="宋体" w:hAnsi="宋体" w:cs="宋体"/>
          <w:b/>
          <w:bCs/>
          <w:szCs w:val="21"/>
        </w:rPr>
        <w:t>一、投标文件外层包装封面格式</w:t>
      </w:r>
    </w:p>
    <w:p>
      <w:pPr>
        <w:snapToGrid w:val="0"/>
        <w:spacing w:line="400" w:lineRule="exact"/>
        <w:rPr>
          <w:rFonts w:ascii="宋体" w:hAnsi="宋体" w:cs="宋体"/>
          <w:szCs w:val="21"/>
        </w:rPr>
      </w:pPr>
      <w:r>
        <w:rPr>
          <w:rFonts w:hint="eastAsia" w:ascii="宋体" w:hAnsi="宋体" w:cs="宋体"/>
          <w:szCs w:val="21"/>
        </w:rPr>
        <w:t>所有投标文件的外包装封面格式：(可选用)</w:t>
      </w:r>
    </w:p>
    <w:p>
      <w:pPr>
        <w:snapToGrid w:val="0"/>
        <w:spacing w:line="400" w:lineRule="exact"/>
        <w:rPr>
          <w:rFonts w:ascii="宋体" w:hAnsi="宋体" w:cs="宋体"/>
          <w:bCs/>
          <w:szCs w:val="21"/>
        </w:rPr>
      </w:pPr>
    </w:p>
    <w:p>
      <w:pPr>
        <w:snapToGrid w:val="0"/>
        <w:spacing w:beforeLines="50" w:after="50"/>
        <w:ind w:firstLine="3675" w:firstLineChars="1750"/>
        <w:rPr>
          <w:rFonts w:ascii="宋体" w:hAnsi="宋体"/>
          <w:szCs w:val="21"/>
        </w:rPr>
      </w:pPr>
      <w:r>
        <w:rPr>
          <w:rFonts w:hint="eastAsia" w:ascii="宋体" w:hAnsi="宋体"/>
          <w:szCs w:val="21"/>
        </w:rPr>
        <w:t>资格审查文件</w:t>
      </w:r>
    </w:p>
    <w:p>
      <w:pPr>
        <w:snapToGrid w:val="0"/>
        <w:spacing w:line="400" w:lineRule="exact"/>
        <w:jc w:val="center"/>
        <w:rPr>
          <w:rFonts w:ascii="宋体" w:hAnsi="宋体" w:cs="宋体"/>
          <w:b/>
          <w:szCs w:val="21"/>
        </w:rPr>
      </w:pPr>
    </w:p>
    <w:p>
      <w:pPr>
        <w:snapToGrid w:val="0"/>
        <w:spacing w:line="400" w:lineRule="exact"/>
        <w:rPr>
          <w:rFonts w:ascii="宋体" w:hAnsi="宋体" w:cs="宋体"/>
          <w:bCs/>
          <w:szCs w:val="21"/>
        </w:rPr>
      </w:pPr>
    </w:p>
    <w:p>
      <w:pPr>
        <w:snapToGrid w:val="0"/>
        <w:spacing w:line="400" w:lineRule="exact"/>
        <w:rPr>
          <w:rFonts w:ascii="宋体" w:hAnsi="宋体" w:cs="宋体"/>
          <w:bCs/>
          <w:szCs w:val="21"/>
        </w:rPr>
      </w:pPr>
    </w:p>
    <w:p>
      <w:pPr>
        <w:snapToGrid w:val="0"/>
        <w:spacing w:line="400" w:lineRule="exact"/>
        <w:ind w:firstLine="1050" w:firstLineChars="500"/>
        <w:rPr>
          <w:rFonts w:ascii="宋体" w:hAnsi="宋体" w:cs="宋体"/>
          <w:bCs/>
          <w:szCs w:val="21"/>
        </w:rPr>
      </w:pPr>
      <w:r>
        <w:rPr>
          <w:rFonts w:hint="eastAsia" w:ascii="宋体" w:hAnsi="宋体" w:cs="宋体"/>
          <w:bCs/>
          <w:szCs w:val="21"/>
        </w:rPr>
        <w:t>项目名称：</w:t>
      </w:r>
    </w:p>
    <w:p>
      <w:pPr>
        <w:snapToGrid w:val="0"/>
        <w:spacing w:line="400" w:lineRule="exact"/>
        <w:ind w:firstLine="1050" w:firstLineChars="500"/>
        <w:rPr>
          <w:rFonts w:ascii="宋体" w:hAnsi="宋体" w:cs="宋体"/>
          <w:bCs/>
          <w:szCs w:val="21"/>
        </w:rPr>
      </w:pPr>
      <w:r>
        <w:rPr>
          <w:rFonts w:hint="eastAsia" w:ascii="宋体" w:hAnsi="宋体" w:cs="宋体"/>
          <w:bCs/>
          <w:szCs w:val="21"/>
        </w:rPr>
        <w:t>项目编号：</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投标文件名称：投标文件</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投标人名称：</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投标人地址：</w:t>
      </w:r>
    </w:p>
    <w:p>
      <w:pPr>
        <w:snapToGrid w:val="0"/>
        <w:spacing w:line="400" w:lineRule="exact"/>
        <w:ind w:firstLine="1050" w:firstLineChars="500"/>
        <w:rPr>
          <w:rFonts w:ascii="宋体" w:hAnsi="宋体" w:cs="宋体"/>
          <w:bCs/>
          <w:szCs w:val="21"/>
        </w:rPr>
      </w:pPr>
      <w:r>
        <w:rPr>
          <w:rFonts w:hint="eastAsia" w:ascii="宋体" w:hAnsi="宋体" w:cs="宋体"/>
          <w:bCs/>
          <w:szCs w:val="21"/>
        </w:rPr>
        <w:t>在  年  月  日  时  分之前不得启封</w:t>
      </w:r>
    </w:p>
    <w:p>
      <w:pPr>
        <w:snapToGrid w:val="0"/>
        <w:spacing w:line="400" w:lineRule="exact"/>
        <w:ind w:firstLine="3570" w:firstLineChars="1700"/>
        <w:rPr>
          <w:rFonts w:ascii="宋体" w:hAnsi="宋体" w:cs="宋体"/>
          <w:bCs/>
          <w:szCs w:val="21"/>
        </w:rPr>
      </w:pPr>
    </w:p>
    <w:p>
      <w:pPr>
        <w:snapToGrid w:val="0"/>
        <w:spacing w:line="400" w:lineRule="exact"/>
        <w:ind w:firstLine="645"/>
        <w:jc w:val="center"/>
        <w:rPr>
          <w:rFonts w:ascii="宋体" w:hAnsi="宋体" w:cs="宋体"/>
          <w:bCs/>
          <w:szCs w:val="21"/>
        </w:rPr>
      </w:pPr>
      <w:r>
        <w:rPr>
          <w:rFonts w:hint="eastAsia" w:ascii="宋体" w:hAnsi="宋体" w:cs="宋体"/>
          <w:bCs/>
          <w:szCs w:val="21"/>
        </w:rPr>
        <w:t xml:space="preserve">                                          年  月  日</w:t>
      </w:r>
    </w:p>
    <w:p>
      <w:pPr>
        <w:snapToGrid w:val="0"/>
        <w:spacing w:line="400" w:lineRule="exact"/>
        <w:rPr>
          <w:rFonts w:ascii="宋体" w:hAnsi="宋体" w:cs="宋体"/>
          <w:b/>
          <w:bCs/>
          <w:szCs w:val="21"/>
        </w:rPr>
      </w:pPr>
    </w:p>
    <w:p>
      <w:pPr>
        <w:snapToGrid w:val="0"/>
        <w:spacing w:line="400" w:lineRule="exact"/>
        <w:jc w:val="center"/>
        <w:rPr>
          <w:rFonts w:ascii="宋体" w:hAnsi="宋体" w:cs="宋体"/>
          <w:b/>
          <w:bCs/>
          <w:szCs w:val="21"/>
        </w:rPr>
      </w:pPr>
      <w:r>
        <w:rPr>
          <w:rFonts w:hint="eastAsia" w:ascii="宋体" w:hAnsi="宋体" w:cs="宋体"/>
          <w:b/>
          <w:bCs/>
          <w:szCs w:val="21"/>
        </w:rPr>
        <w:t>二、投标文件封面格式</w:t>
      </w:r>
    </w:p>
    <w:p>
      <w:pPr>
        <w:snapToGrid w:val="0"/>
        <w:spacing w:line="400" w:lineRule="exact"/>
        <w:rPr>
          <w:rFonts w:ascii="宋体" w:hAnsi="宋体" w:cs="宋体"/>
          <w:szCs w:val="21"/>
        </w:rPr>
      </w:pPr>
      <w:r>
        <w:rPr>
          <w:rFonts w:hint="eastAsia" w:ascii="宋体" w:hAnsi="宋体" w:cs="宋体"/>
          <w:szCs w:val="21"/>
        </w:rPr>
        <w:t xml:space="preserve">投标文件封面格式： </w:t>
      </w:r>
    </w:p>
    <w:p>
      <w:pPr>
        <w:snapToGrid w:val="0"/>
        <w:spacing w:line="400" w:lineRule="exact"/>
        <w:jc w:val="right"/>
        <w:rPr>
          <w:rFonts w:ascii="宋体" w:hAnsi="宋体" w:cs="宋体"/>
          <w:b/>
          <w:bCs/>
          <w:szCs w:val="21"/>
        </w:rPr>
      </w:pPr>
      <w:r>
        <w:rPr>
          <w:rFonts w:hint="eastAsia" w:ascii="宋体" w:hAnsi="宋体" w:cs="宋体"/>
          <w:b/>
          <w:bCs/>
          <w:szCs w:val="21"/>
        </w:rPr>
        <w:t>正本/或副本</w:t>
      </w:r>
    </w:p>
    <w:p>
      <w:pPr>
        <w:snapToGrid w:val="0"/>
        <w:spacing w:line="400" w:lineRule="exact"/>
        <w:rPr>
          <w:rFonts w:ascii="宋体" w:hAnsi="宋体" w:cs="宋体"/>
          <w:bCs/>
          <w:szCs w:val="21"/>
        </w:rPr>
      </w:pPr>
    </w:p>
    <w:p>
      <w:pPr>
        <w:snapToGrid w:val="0"/>
        <w:spacing w:line="400" w:lineRule="exact"/>
        <w:jc w:val="center"/>
        <w:rPr>
          <w:rFonts w:ascii="宋体" w:hAnsi="宋体" w:cs="宋体"/>
          <w:bCs/>
          <w:szCs w:val="21"/>
        </w:rPr>
      </w:pPr>
    </w:p>
    <w:p>
      <w:pPr>
        <w:snapToGrid w:val="0"/>
        <w:spacing w:beforeLines="50" w:after="50"/>
        <w:ind w:firstLine="3675" w:firstLineChars="1750"/>
        <w:rPr>
          <w:rFonts w:ascii="宋体" w:hAnsi="宋体"/>
          <w:szCs w:val="21"/>
        </w:rPr>
      </w:pPr>
      <w:r>
        <w:rPr>
          <w:rFonts w:hint="eastAsia" w:ascii="宋体" w:hAnsi="宋体"/>
          <w:szCs w:val="21"/>
        </w:rPr>
        <w:t>资格审查文件</w:t>
      </w:r>
    </w:p>
    <w:p>
      <w:pPr>
        <w:snapToGrid w:val="0"/>
        <w:spacing w:line="400" w:lineRule="exact"/>
        <w:rPr>
          <w:rFonts w:ascii="宋体" w:hAnsi="宋体" w:cs="宋体"/>
          <w:bCs/>
          <w:szCs w:val="21"/>
        </w:rPr>
      </w:pPr>
    </w:p>
    <w:p>
      <w:pPr>
        <w:snapToGrid w:val="0"/>
        <w:spacing w:line="400" w:lineRule="exact"/>
        <w:ind w:left="1470" w:leftChars="400" w:hanging="630" w:hangingChars="300"/>
        <w:rPr>
          <w:rFonts w:ascii="宋体" w:hAnsi="宋体" w:cs="宋体"/>
          <w:b/>
          <w:szCs w:val="21"/>
          <w:u w:val="single"/>
          <w:lang w:val="zh-CN"/>
        </w:rPr>
      </w:pPr>
      <w:r>
        <w:rPr>
          <w:rFonts w:hint="eastAsia" w:ascii="宋体" w:hAnsi="宋体" w:cs="宋体"/>
          <w:bCs/>
          <w:szCs w:val="21"/>
        </w:rPr>
        <w:t>项目名称：</w:t>
      </w:r>
    </w:p>
    <w:p>
      <w:pPr>
        <w:snapToGrid w:val="0"/>
        <w:spacing w:line="400" w:lineRule="exact"/>
        <w:ind w:firstLine="840" w:firstLineChars="400"/>
        <w:rPr>
          <w:rFonts w:ascii="宋体" w:hAnsi="宋体" w:cs="宋体"/>
          <w:bCs/>
          <w:szCs w:val="21"/>
        </w:rPr>
      </w:pPr>
      <w:r>
        <w:rPr>
          <w:rFonts w:hint="eastAsia" w:ascii="宋体" w:hAnsi="宋体" w:cs="宋体"/>
          <w:bCs/>
          <w:szCs w:val="21"/>
        </w:rPr>
        <w:t>项目编号：</w:t>
      </w:r>
    </w:p>
    <w:p>
      <w:pPr>
        <w:snapToGrid w:val="0"/>
        <w:spacing w:line="400" w:lineRule="exact"/>
        <w:ind w:firstLine="840" w:firstLineChars="400"/>
        <w:rPr>
          <w:rFonts w:ascii="宋体" w:hAnsi="宋体" w:cs="宋体"/>
          <w:bCs/>
          <w:szCs w:val="21"/>
        </w:rPr>
      </w:pPr>
      <w:r>
        <w:rPr>
          <w:rFonts w:hint="eastAsia" w:ascii="宋体" w:hAnsi="宋体" w:cs="宋体"/>
          <w:bCs/>
          <w:szCs w:val="21"/>
        </w:rPr>
        <w:t>投标人名称：</w:t>
      </w:r>
    </w:p>
    <w:p>
      <w:pPr>
        <w:pStyle w:val="9"/>
        <w:snapToGrid w:val="0"/>
        <w:spacing w:line="400" w:lineRule="exact"/>
        <w:ind w:firstLine="840" w:firstLineChars="400"/>
        <w:rPr>
          <w:rFonts w:hAnsi="宋体" w:cs="宋体"/>
          <w:bCs/>
          <w:szCs w:val="21"/>
        </w:rPr>
      </w:pPr>
      <w:r>
        <w:rPr>
          <w:rFonts w:hint="eastAsia" w:hAnsi="宋体" w:cs="宋体"/>
          <w:bCs/>
          <w:szCs w:val="21"/>
        </w:rPr>
        <w:t>投标人地址：</w:t>
      </w:r>
    </w:p>
    <w:p>
      <w:pPr>
        <w:pStyle w:val="9"/>
        <w:snapToGrid w:val="0"/>
        <w:spacing w:line="400" w:lineRule="exact"/>
        <w:ind w:firstLine="0"/>
        <w:rPr>
          <w:rFonts w:hAnsi="宋体" w:cs="宋体"/>
          <w:bCs/>
          <w:szCs w:val="21"/>
        </w:rPr>
      </w:pPr>
    </w:p>
    <w:p>
      <w:pPr>
        <w:snapToGrid w:val="0"/>
        <w:spacing w:line="400" w:lineRule="exact"/>
        <w:rPr>
          <w:rFonts w:ascii="宋体" w:hAnsi="宋体" w:cs="宋体"/>
          <w:szCs w:val="21"/>
        </w:rPr>
      </w:pPr>
    </w:p>
    <w:p>
      <w:pPr>
        <w:snapToGrid w:val="0"/>
        <w:spacing w:line="400" w:lineRule="exact"/>
        <w:ind w:firstLine="645"/>
        <w:jc w:val="center"/>
        <w:rPr>
          <w:rFonts w:ascii="宋体" w:hAnsi="宋体" w:cs="宋体"/>
          <w:szCs w:val="21"/>
        </w:rPr>
      </w:pPr>
      <w:r>
        <w:rPr>
          <w:rFonts w:hint="eastAsia" w:ascii="宋体" w:hAnsi="宋体" w:cs="宋体"/>
          <w:szCs w:val="21"/>
        </w:rPr>
        <w:t xml:space="preserve">                                            年  月  日</w:t>
      </w:r>
    </w:p>
    <w:p>
      <w:pPr>
        <w:snapToGrid w:val="0"/>
        <w:spacing w:beforeLines="50" w:after="60"/>
        <w:jc w:val="center"/>
        <w:rPr>
          <w:rFonts w:ascii="宋体" w:hAnsi="宋体"/>
          <w:b/>
          <w:color w:val="000000"/>
          <w:w w:val="80"/>
          <w:sz w:val="44"/>
          <w:szCs w:val="44"/>
        </w:rPr>
      </w:pPr>
    </w:p>
    <w:p>
      <w:pPr>
        <w:snapToGrid w:val="0"/>
        <w:spacing w:line="400" w:lineRule="exact"/>
        <w:rPr>
          <w:rFonts w:ascii="宋体" w:hAnsi="宋体" w:cs="宋体"/>
          <w:szCs w:val="21"/>
        </w:rPr>
      </w:pPr>
    </w:p>
    <w:p>
      <w:pPr>
        <w:rPr>
          <w:b/>
        </w:rPr>
      </w:pPr>
      <w:r>
        <w:rPr>
          <w:rFonts w:hint="eastAsia"/>
          <w:b/>
        </w:rPr>
        <w:t>1.资格条件自查表格式</w:t>
      </w:r>
    </w:p>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资格条件自查表</w:t>
      </w:r>
    </w:p>
    <w:tbl>
      <w:tblPr>
        <w:tblStyle w:val="46"/>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519"/>
        <w:gridCol w:w="1345"/>
        <w:gridCol w:w="2238"/>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0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49"/>
                <w:rFonts w:hint="eastAsia" w:ascii="宋体" w:hAnsi="宋体"/>
                <w:szCs w:val="21"/>
              </w:rPr>
              <w:t>评审内容</w:t>
            </w:r>
          </w:p>
        </w:tc>
        <w:tc>
          <w:tcPr>
            <w:tcW w:w="4519"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49"/>
                <w:rFonts w:hint="eastAsia" w:ascii="宋体" w:hAnsi="宋体"/>
                <w:szCs w:val="21"/>
              </w:rPr>
              <w:t>采购文件要求</w:t>
            </w:r>
          </w:p>
        </w:tc>
        <w:tc>
          <w:tcPr>
            <w:tcW w:w="13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49"/>
                <w:rFonts w:hint="eastAsia" w:ascii="宋体" w:hAnsi="宋体"/>
                <w:szCs w:val="21"/>
              </w:rPr>
              <w:t>自查结论</w:t>
            </w:r>
          </w:p>
        </w:tc>
        <w:tc>
          <w:tcPr>
            <w:tcW w:w="2238"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49"/>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151"/>
              <w:adjustRightInd w:val="0"/>
              <w:snapToGrid w:val="0"/>
              <w:spacing w:before="0" w:beforeAutospacing="0" w:after="0" w:afterAutospacing="0"/>
              <w:jc w:val="center"/>
              <w:rPr>
                <w:b/>
                <w:sz w:val="21"/>
                <w:szCs w:val="21"/>
              </w:rPr>
            </w:pPr>
            <w:r>
              <w:rPr>
                <w:rFonts w:hint="eastAsia"/>
                <w:b/>
                <w:sz w:val="21"/>
                <w:szCs w:val="21"/>
              </w:rPr>
              <w:t>资</w:t>
            </w:r>
          </w:p>
          <w:p>
            <w:pPr>
              <w:pStyle w:val="151"/>
              <w:adjustRightInd w:val="0"/>
              <w:snapToGrid w:val="0"/>
              <w:spacing w:before="0" w:beforeAutospacing="0" w:after="0" w:afterAutospacing="0"/>
              <w:jc w:val="center"/>
              <w:rPr>
                <w:b/>
                <w:sz w:val="21"/>
                <w:szCs w:val="21"/>
              </w:rPr>
            </w:pPr>
            <w:r>
              <w:rPr>
                <w:rFonts w:hint="eastAsia"/>
                <w:b/>
                <w:sz w:val="21"/>
                <w:szCs w:val="21"/>
              </w:rPr>
              <w:t>格</w:t>
            </w:r>
          </w:p>
          <w:p>
            <w:pPr>
              <w:pStyle w:val="151"/>
              <w:adjustRightInd w:val="0"/>
              <w:snapToGrid w:val="0"/>
              <w:spacing w:before="0" w:beforeAutospacing="0" w:after="0" w:afterAutospacing="0"/>
              <w:jc w:val="center"/>
              <w:rPr>
                <w:b/>
                <w:sz w:val="21"/>
                <w:szCs w:val="21"/>
              </w:rPr>
            </w:pPr>
            <w:r>
              <w:rPr>
                <w:rFonts w:hint="eastAsia"/>
                <w:b/>
                <w:sz w:val="21"/>
                <w:szCs w:val="21"/>
              </w:rPr>
              <w:t>性</w:t>
            </w:r>
          </w:p>
          <w:p>
            <w:pPr>
              <w:pStyle w:val="151"/>
              <w:adjustRightInd w:val="0"/>
              <w:snapToGrid w:val="0"/>
              <w:spacing w:before="0" w:beforeAutospacing="0" w:after="0" w:afterAutospacing="0"/>
              <w:jc w:val="center"/>
              <w:rPr>
                <w:b/>
                <w:sz w:val="21"/>
                <w:szCs w:val="21"/>
              </w:rPr>
            </w:pPr>
            <w:r>
              <w:rPr>
                <w:rFonts w:hint="eastAsia"/>
                <w:b/>
                <w:sz w:val="21"/>
                <w:szCs w:val="21"/>
              </w:rPr>
              <w:t>审</w:t>
            </w:r>
          </w:p>
          <w:p>
            <w:pPr>
              <w:pStyle w:val="151"/>
              <w:adjustRightInd w:val="0"/>
              <w:snapToGrid w:val="0"/>
              <w:spacing w:before="0" w:beforeAutospacing="0" w:after="0" w:afterAutospacing="0"/>
              <w:jc w:val="center"/>
              <w:rPr>
                <w:b/>
                <w:sz w:val="21"/>
                <w:szCs w:val="21"/>
              </w:rPr>
            </w:pPr>
            <w:r>
              <w:rPr>
                <w:rFonts w:hint="eastAsia"/>
                <w:b/>
                <w:sz w:val="21"/>
                <w:szCs w:val="21"/>
              </w:rPr>
              <w:t>查</w:t>
            </w: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一.投标人具备《政府采购法》第二十二条所规定的条件：</w:t>
            </w:r>
          </w:p>
        </w:tc>
        <w:tc>
          <w:tcPr>
            <w:tcW w:w="1345"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151"/>
              <w:adjustRightInd w:val="0"/>
              <w:snapToGrid w:val="0"/>
              <w:spacing w:before="0" w:beforeAutospacing="0" w:after="0" w:afterAutospacing="0"/>
              <w:jc w:val="center"/>
              <w:rPr>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r>
              <w:rPr>
                <w:rFonts w:hint="eastAsia"/>
              </w:rPr>
              <w:t>1、有效的</w:t>
            </w:r>
            <w:r>
              <w:rPr>
                <w:rFonts w:hint="eastAsia" w:ascii="宋体" w:hAnsi="宋体" w:cs="宋体"/>
                <w:szCs w:val="21"/>
              </w:rPr>
              <w:t>企业法人营业执照或事业单位法人证书</w:t>
            </w:r>
            <w:r>
              <w:rPr>
                <w:rFonts w:hint="eastAsia"/>
              </w:rPr>
              <w:t>；</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151"/>
              <w:adjustRightInd w:val="0"/>
              <w:snapToGrid w:val="0"/>
              <w:spacing w:before="0" w:beforeAutospacing="0" w:after="0" w:afterAutospacing="0"/>
              <w:jc w:val="center"/>
              <w:rPr>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2、投标人如果有名称变更的，应提供由行政主管部门出具的变更证明文件；</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5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3、2018年财务状况报告复印件，其他组织或投标人新成立不足一年提供银行出具的资信证明材料复印件；</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5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4、2019年开具的缴纳税收的凭据证明材料复印件；如依法免税的，应提供相应文件证明其依法免税；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5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5、2019年开具的缴纳社会保险的凭据证明材料复印件；如依法不需要缴纳社会保障资金的，应提供相应文件证明其依法不需要缴纳社会保障资金；</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5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6、</w:t>
            </w:r>
            <w:r>
              <w:rPr>
                <w:rFonts w:hint="eastAsia"/>
              </w:rPr>
              <w:t>提供</w:t>
            </w:r>
            <w:r>
              <w:t>具有履行合同所必需的设备和专业技术能力</w:t>
            </w:r>
            <w:r>
              <w:rPr>
                <w:rFonts w:hint="eastAsia"/>
              </w:rPr>
              <w:t>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15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7、</w:t>
            </w:r>
            <w:r>
              <w:rPr>
                <w:rFonts w:hint="eastAsia"/>
              </w:rPr>
              <w:t>提供参加政府采购活动前</w:t>
            </w:r>
            <w:r>
              <w:t>3</w:t>
            </w:r>
            <w:r>
              <w:rPr>
                <w:rFonts w:hint="eastAsia"/>
              </w:rPr>
              <w:t>年内在经营活动中没有重大违法记录的书面声明；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46" w:hRule="atLeast"/>
          <w:jc w:val="center"/>
        </w:trPr>
        <w:tc>
          <w:tcPr>
            <w:tcW w:w="831" w:type="dxa"/>
            <w:vMerge w:val="continue"/>
            <w:tcBorders>
              <w:left w:val="single" w:color="auto" w:sz="12" w:space="0"/>
              <w:right w:val="outset" w:color="111111" w:sz="6" w:space="0"/>
            </w:tcBorders>
            <w:vAlign w:val="center"/>
          </w:tcPr>
          <w:p>
            <w:pPr>
              <w:pStyle w:val="151"/>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宋体"/>
                <w:szCs w:val="21"/>
              </w:rPr>
              <w:t>8、若以不具有独立承担民事责任能力的分支机构投标，须取得</w:t>
            </w:r>
            <w:r>
              <w:rPr>
                <w:rFonts w:hint="eastAsia" w:ascii="宋体" w:hAnsi="宋体"/>
                <w:szCs w:val="21"/>
              </w:rPr>
              <w:t>具有法人资格的总公司的授权书，并提供总公司营业执照副本复印件。</w:t>
            </w:r>
          </w:p>
        </w:tc>
        <w:tc>
          <w:tcPr>
            <w:tcW w:w="1345" w:type="dxa"/>
            <w:tcBorders>
              <w:top w:val="single" w:color="auto" w:sz="4"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single" w:color="auto" w:sz="4"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3"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二.</w:t>
            </w:r>
            <w:r>
              <w:rPr>
                <w:rFonts w:hint="eastAsia" w:ascii="宋体" w:hAnsi="宋体" w:cs="宋体"/>
                <w:bCs/>
                <w:szCs w:val="21"/>
              </w:rPr>
              <w:t>为采购项目提供整体设计、规范编制或者项目管理、监理、检测等服务的投标人及其附属机构，不得再参加本项目投标。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46"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三.本项目不接受联合体投标。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527"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hAnsi="宋体" w:cs="宋体"/>
                <w:szCs w:val="21"/>
              </w:rPr>
            </w:pPr>
            <w:r>
              <w:rPr>
                <w:rFonts w:hint="eastAsia" w:ascii="宋体" w:hAnsi="宋体" w:cs="宋体"/>
              </w:rPr>
              <w:t>四．</w:t>
            </w:r>
            <w:r>
              <w:rPr>
                <w:rFonts w:hint="eastAsia" w:ascii="宋体" w:hAnsi="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查询结果为准，如相关失信记录已失效，投标人需提供相关证明资料）。</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39"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hAnsi="宋体"/>
                <w:szCs w:val="21"/>
              </w:rPr>
            </w:pPr>
            <w:r>
              <w:rPr>
                <w:rFonts w:hint="eastAsia" w:ascii="宋体" w:hAnsi="宋体"/>
                <w:szCs w:val="21"/>
              </w:rPr>
              <w:t>五.特定条件：</w:t>
            </w:r>
          </w:p>
          <w:p>
            <w:pPr>
              <w:adjustRightInd w:val="0"/>
              <w:snapToGrid w:val="0"/>
              <w:rPr>
                <w:rFonts w:ascii="宋体" w:hAnsi="宋体"/>
                <w:szCs w:val="21"/>
              </w:rPr>
            </w:pPr>
            <w:r>
              <w:rPr>
                <w:rFonts w:hint="eastAsia" w:ascii="宋体" w:hAnsi="宋体"/>
                <w:szCs w:val="21"/>
              </w:rPr>
              <w:t>1、项目经理须具有园林绿化专业中级及以上职称；</w:t>
            </w:r>
          </w:p>
          <w:p>
            <w:pPr>
              <w:adjustRightInd w:val="0"/>
              <w:snapToGrid w:val="0"/>
              <w:rPr>
                <w:rFonts w:ascii="宋体" w:hAnsi="宋体" w:cs="宋体"/>
                <w:szCs w:val="21"/>
              </w:rPr>
            </w:pPr>
            <w:r>
              <w:rPr>
                <w:rFonts w:hint="eastAsia" w:ascii="宋体" w:hAnsi="宋体"/>
                <w:szCs w:val="21"/>
              </w:rPr>
              <w:t>（必须为本单位在职职工，并缴纳社会养老保险（注：投标人须提供拟派的项目负责人在2019年3月以后（含3月）连续六个月的社保证明，如投标人未提供，资格审查不予通过））；</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hAnsi="宋体" w:cs="宋体"/>
                <w:szCs w:val="21"/>
              </w:rPr>
            </w:pPr>
            <w:r>
              <w:rPr>
                <w:rFonts w:hint="eastAsia" w:ascii="宋体" w:hAnsi="宋体" w:cs="宋体"/>
                <w:szCs w:val="21"/>
              </w:rPr>
              <w:t>六.</w:t>
            </w:r>
            <w:r>
              <w:rPr>
                <w:rFonts w:hint="eastAsia" w:ascii="宋体" w:hAnsi="宋体" w:cs="宋体"/>
              </w:rPr>
              <w:t>采购文件要求的其他资格条件证明材料（如有）。</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bl>
    <w:p>
      <w:pPr>
        <w:adjustRightInd w:val="0"/>
        <w:snapToGrid w:val="0"/>
        <w:spacing w:line="440" w:lineRule="exact"/>
        <w:rPr>
          <w:rFonts w:ascii="宋体" w:hAnsi="宋体"/>
          <w:b/>
          <w:szCs w:val="21"/>
        </w:rPr>
      </w:pPr>
      <w:r>
        <w:rPr>
          <w:rFonts w:hint="eastAsia" w:ascii="宋体" w:hAnsi="宋体"/>
          <w:b/>
          <w:szCs w:val="21"/>
        </w:rPr>
        <w:t xml:space="preserve">备注：资格条件自查表将作为投标人有效性审查的重要内容之一，投标人必须严格按照其内容及序列要求在投标文件中对应如实提供！ </w:t>
      </w:r>
    </w:p>
    <w:p>
      <w:pPr>
        <w:pStyle w:val="5"/>
        <w:spacing w:line="240" w:lineRule="auto"/>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rPr>
          <w:rFonts w:hAnsi="宋体"/>
          <w:sz w:val="24"/>
          <w:szCs w:val="24"/>
        </w:rPr>
      </w:pPr>
    </w:p>
    <w:p>
      <w:pPr>
        <w:snapToGrid w:val="0"/>
        <w:spacing w:line="400" w:lineRule="exact"/>
        <w:rPr>
          <w:rFonts w:ascii="宋体" w:hAnsi="宋体" w:cs="宋体"/>
          <w:szCs w:val="21"/>
        </w:rPr>
      </w:pPr>
      <w:bookmarkStart w:id="98" w:name="_Toc20947"/>
      <w:bookmarkStart w:id="99" w:name="_Toc25845"/>
      <w:bookmarkStart w:id="100" w:name="_Toc463726846"/>
      <w:bookmarkStart w:id="101" w:name="_Toc14330"/>
      <w:r>
        <w:rPr>
          <w:rFonts w:hint="eastAsia" w:ascii="宋体" w:hAnsi="宋体" w:cs="宋体"/>
          <w:szCs w:val="21"/>
        </w:rPr>
        <w:t>格式一：投标声明书</w:t>
      </w:r>
      <w:bookmarkEnd w:id="98"/>
      <w:bookmarkEnd w:id="99"/>
      <w:bookmarkEnd w:id="100"/>
      <w:bookmarkEnd w:id="101"/>
    </w:p>
    <w:p>
      <w:pPr>
        <w:snapToGrid w:val="0"/>
        <w:spacing w:line="400" w:lineRule="exact"/>
        <w:jc w:val="center"/>
        <w:rPr>
          <w:rFonts w:ascii="宋体" w:hAnsi="宋体" w:cs="宋体"/>
          <w:b/>
          <w:bCs/>
          <w:sz w:val="28"/>
          <w:szCs w:val="28"/>
        </w:rPr>
      </w:pPr>
      <w:r>
        <w:rPr>
          <w:rFonts w:ascii="宋体" w:hAnsi="宋体" w:cs="宋体"/>
          <w:b/>
          <w:bCs/>
          <w:sz w:val="28"/>
          <w:szCs w:val="28"/>
        </w:rPr>
        <w:t>投标声明书</w:t>
      </w:r>
    </w:p>
    <w:p>
      <w:pPr>
        <w:snapToGrid w:val="0"/>
        <w:spacing w:line="400" w:lineRule="exact"/>
        <w:rPr>
          <w:rFonts w:ascii="宋体" w:hAnsi="宋体" w:cs="宋体"/>
          <w:szCs w:val="21"/>
        </w:rPr>
      </w:pPr>
    </w:p>
    <w:p>
      <w:pPr>
        <w:snapToGrid w:val="0"/>
        <w:spacing w:line="360" w:lineRule="auto"/>
        <w:rPr>
          <w:rFonts w:ascii="宋体" w:hAnsi="宋体" w:cs="宋体"/>
          <w:szCs w:val="21"/>
        </w:rPr>
      </w:pPr>
      <w:r>
        <w:rPr>
          <w:rFonts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360" w:lineRule="auto"/>
        <w:rPr>
          <w:rFonts w:ascii="宋体" w:hAnsi="宋体" w:cs="宋体"/>
          <w:szCs w:val="21"/>
        </w:rPr>
      </w:pPr>
      <w:r>
        <w:rPr>
          <w:rFonts w:ascii="宋体" w:hAnsi="宋体" w:cs="宋体"/>
          <w:szCs w:val="21"/>
        </w:rPr>
        <w:t>（投标人名称）系中华人民共和国合法企业，经营地址。</w:t>
      </w:r>
    </w:p>
    <w:p>
      <w:pPr>
        <w:snapToGrid w:val="0"/>
        <w:spacing w:line="360" w:lineRule="auto"/>
        <w:ind w:firstLine="420" w:firstLineChars="200"/>
        <w:rPr>
          <w:rFonts w:ascii="宋体" w:hAnsi="宋体" w:cs="宋体"/>
          <w:szCs w:val="21"/>
        </w:rPr>
      </w:pPr>
      <w:r>
        <w:rPr>
          <w:rFonts w:ascii="宋体" w:hAnsi="宋体" w:cs="宋体"/>
          <w:szCs w:val="21"/>
        </w:rPr>
        <w:t xml:space="preserve">我 </w:t>
      </w:r>
      <w:r>
        <w:rPr>
          <w:rFonts w:ascii="宋体" w:hAnsi="宋体" w:cs="宋体"/>
          <w:szCs w:val="21"/>
          <w:u w:val="single"/>
        </w:rPr>
        <w:t xml:space="preserve">            （姓名）</w:t>
      </w:r>
      <w:r>
        <w:rPr>
          <w:rFonts w:ascii="宋体" w:hAnsi="宋体" w:cs="宋体"/>
          <w:szCs w:val="21"/>
        </w:rPr>
        <w:t>系（投标人名称）的法定代表人，我方愿意参加贵方组织的项目的投标，为便于贵方公正、择优地确定中标人及其投标产品和服务，我方就本次投标有关事项郑重声明如下：</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投标人，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本公司（企业）及法定代表人未被列入“全国法院失信被执行人名单”（http://shixin.court.gov.cn/网站查询为准）。否则，由此所造成的损失、不良后果及法律责任，一律由我公司（企业）承担。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snapToGrid w:val="0"/>
        <w:spacing w:line="360" w:lineRule="auto"/>
        <w:rPr>
          <w:rFonts w:ascii="宋体" w:hAnsi="宋体" w:cs="宋体"/>
          <w:szCs w:val="21"/>
        </w:rPr>
      </w:pPr>
    </w:p>
    <w:p>
      <w:pPr>
        <w:snapToGrid w:val="0"/>
        <w:spacing w:line="360" w:lineRule="auto"/>
        <w:rPr>
          <w:rFonts w:ascii="宋体" w:hAnsi="宋体" w:cs="宋体"/>
          <w:szCs w:val="21"/>
        </w:rPr>
      </w:pPr>
      <w:r>
        <w:rPr>
          <w:rFonts w:ascii="宋体" w:hAnsi="宋体" w:cs="宋体"/>
          <w:szCs w:val="21"/>
        </w:rPr>
        <w:t xml:space="preserve">法定代表人或授权代表（签字或盖章）：             </w:t>
      </w:r>
    </w:p>
    <w:p>
      <w:pPr>
        <w:snapToGrid w:val="0"/>
        <w:spacing w:line="360" w:lineRule="auto"/>
        <w:rPr>
          <w:rFonts w:ascii="宋体" w:hAnsi="宋体" w:cs="宋体"/>
          <w:szCs w:val="21"/>
        </w:rPr>
      </w:pPr>
      <w:r>
        <w:rPr>
          <w:rFonts w:ascii="宋体" w:hAnsi="宋体" w:cs="宋体"/>
          <w:szCs w:val="21"/>
        </w:rPr>
        <w:t xml:space="preserve">投标人全称（加盖公章）：                  </w:t>
      </w:r>
    </w:p>
    <w:p>
      <w:pPr>
        <w:snapToGrid w:val="0"/>
        <w:spacing w:line="360" w:lineRule="auto"/>
        <w:rPr>
          <w:rFonts w:ascii="宋体" w:hAnsi="宋体" w:cs="宋体"/>
          <w:szCs w:val="21"/>
        </w:rPr>
      </w:pPr>
      <w:r>
        <w:rPr>
          <w:rFonts w:ascii="宋体" w:hAnsi="宋体" w:cs="宋体"/>
          <w:szCs w:val="21"/>
        </w:rPr>
        <w:t xml:space="preserve">               年    月    日</w:t>
      </w:r>
    </w:p>
    <w:p>
      <w:pPr>
        <w:spacing w:line="360" w:lineRule="auto"/>
        <w:rPr>
          <w:rFonts w:ascii="宋体" w:hAnsi="宋体"/>
          <w:bCs/>
        </w:rPr>
      </w:pPr>
      <w:r>
        <w:rPr>
          <w:rFonts w:ascii="宋体" w:hAnsi="宋体" w:cs="宋体"/>
          <w:szCs w:val="21"/>
        </w:rPr>
        <w:br w:type="page"/>
      </w:r>
      <w:r>
        <w:rPr>
          <w:rFonts w:hint="eastAsia" w:ascii="宋体" w:hAnsi="宋体" w:cs="宋体"/>
          <w:szCs w:val="21"/>
        </w:rPr>
        <w:t>格式二：</w:t>
      </w:r>
      <w:r>
        <w:rPr>
          <w:rFonts w:hint="eastAsia" w:ascii="宋体" w:hAnsi="宋体"/>
          <w:bCs/>
        </w:rPr>
        <w:t>《中华人民共和国政府采购法》第二十二条规定的投标人资格条件</w:t>
      </w:r>
    </w:p>
    <w:p>
      <w:pPr>
        <w:spacing w:line="360" w:lineRule="auto"/>
        <w:ind w:firstLine="420" w:firstLineChars="200"/>
      </w:pPr>
    </w:p>
    <w:p>
      <w:pPr>
        <w:spacing w:line="360" w:lineRule="auto"/>
        <w:ind w:firstLine="420" w:firstLineChars="200"/>
      </w:pPr>
      <w:r>
        <w:rPr>
          <w:rFonts w:hint="eastAsia"/>
        </w:rPr>
        <w:t>（1）有效的</w:t>
      </w:r>
      <w:r>
        <w:rPr>
          <w:rFonts w:hint="eastAsia" w:ascii="宋体" w:hAnsi="宋体" w:cs="宋体"/>
          <w:szCs w:val="21"/>
        </w:rPr>
        <w:t>企业法人营业执照或事业单位法人</w:t>
      </w:r>
      <w:r>
        <w:rPr>
          <w:rFonts w:hint="eastAsia"/>
        </w:rPr>
        <w:t>证书复印件；</w:t>
      </w:r>
    </w:p>
    <w:p>
      <w:pPr>
        <w:spacing w:line="360" w:lineRule="auto"/>
        <w:ind w:firstLine="420" w:firstLineChars="200"/>
      </w:pPr>
      <w:r>
        <w:rPr>
          <w:rFonts w:hint="eastAsia"/>
        </w:rPr>
        <w:t>（2）2018年财务状况报告复印件，其他组织或投标人新成立不足一年，提供银行出具的资信证明材料复印件；</w:t>
      </w:r>
    </w:p>
    <w:p>
      <w:pPr>
        <w:spacing w:line="360" w:lineRule="auto"/>
        <w:ind w:firstLine="420" w:firstLineChars="200"/>
      </w:pPr>
      <w:r>
        <w:rPr>
          <w:rFonts w:hint="eastAsia"/>
        </w:rPr>
        <w:t>（3）2019年开具的缴纳税收的凭据证明材料复印件；如依法免税的，应提供相应文件证明其依法免税；</w:t>
      </w:r>
    </w:p>
    <w:p>
      <w:pPr>
        <w:spacing w:line="360" w:lineRule="auto"/>
        <w:ind w:firstLine="420" w:firstLineChars="200"/>
      </w:pPr>
      <w:r>
        <w:rPr>
          <w:rFonts w:hint="eastAsia"/>
        </w:rPr>
        <w:t>（4）2019年开具的缴纳社会保险的凭据证明材料复印件；如依法不需要缴纳社会保障资金的，应提供相应文件证明其依法不需要缴纳社会保障资金。</w:t>
      </w: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pacing w:line="360" w:lineRule="auto"/>
      </w:pPr>
      <w:r>
        <w:rPr>
          <w:rFonts w:hint="eastAsia"/>
        </w:rPr>
        <w:t>格式三：提供</w:t>
      </w:r>
      <w:r>
        <w:t>具有履行合同所必需的设备和专业技术能力</w:t>
      </w:r>
      <w:r>
        <w:rPr>
          <w:rFonts w:hint="eastAsia"/>
        </w:rPr>
        <w:t>的书面声明</w:t>
      </w:r>
    </w:p>
    <w:p>
      <w:pPr>
        <w:jc w:val="center"/>
        <w:rPr>
          <w:b/>
          <w:sz w:val="32"/>
          <w:szCs w:val="32"/>
        </w:rPr>
      </w:pPr>
    </w:p>
    <w:p>
      <w:pPr>
        <w:jc w:val="center"/>
        <w:rPr>
          <w:b/>
          <w:sz w:val="32"/>
          <w:szCs w:val="32"/>
        </w:rPr>
      </w:pPr>
      <w:r>
        <w:rPr>
          <w:rFonts w:hint="eastAsia"/>
          <w:b/>
          <w:sz w:val="32"/>
          <w:szCs w:val="32"/>
        </w:rPr>
        <w:t>具备履行合同所需的设备和专业技术能力的声明</w:t>
      </w:r>
    </w:p>
    <w:p/>
    <w:p>
      <w:pPr>
        <w:spacing w:line="360" w:lineRule="auto"/>
      </w:pPr>
    </w:p>
    <w:p>
      <w:pPr>
        <w:spacing w:line="360" w:lineRule="auto"/>
        <w:ind w:firstLine="420" w:firstLineChars="200"/>
      </w:pPr>
      <w:r>
        <w:rPr>
          <w:rFonts w:hint="eastAsia"/>
        </w:rPr>
        <w:t>我公司（单位）具备履行合同所需的设备和专业技术能力，具体情况介绍如下：</w:t>
      </w:r>
    </w:p>
    <w:p>
      <w:pPr>
        <w:spacing w:line="360" w:lineRule="auto"/>
      </w:pPr>
      <w:r>
        <w:rPr>
          <w:rFonts w:hint="eastAsia"/>
        </w:rPr>
        <w:t xml:space="preserve">        （内容包括：主要设备、专业技术人员、公司资质等）                                          </w:t>
      </w:r>
    </w:p>
    <w:p>
      <w:pPr>
        <w:spacing w:line="360" w:lineRule="auto"/>
      </w:pPr>
    </w:p>
    <w:p>
      <w:pPr>
        <w:spacing w:line="360" w:lineRule="auto"/>
      </w:pPr>
      <w:r>
        <w:t>……</w:t>
      </w:r>
      <w:r>
        <w:rPr>
          <w:rFonts w:hint="eastAsia"/>
        </w:rPr>
        <w:t>..</w:t>
      </w:r>
    </w:p>
    <w:p>
      <w:pPr>
        <w:spacing w:line="360" w:lineRule="auto"/>
      </w:pPr>
      <w:r>
        <w:rPr>
          <w:rFonts w:hint="eastAsia"/>
        </w:rPr>
        <w:t xml:space="preserve">     特此承诺。</w:t>
      </w:r>
    </w:p>
    <w:p>
      <w:pPr>
        <w:spacing w:line="360" w:lineRule="auto"/>
      </w:pPr>
    </w:p>
    <w:p>
      <w:pPr>
        <w:spacing w:line="360" w:lineRule="auto"/>
      </w:pPr>
    </w:p>
    <w:p>
      <w:pPr>
        <w:spacing w:line="360" w:lineRule="auto"/>
      </w:pPr>
      <w:r>
        <w:rPr>
          <w:rFonts w:hint="eastAsia"/>
        </w:rPr>
        <w:t>投标人（盖章）</w:t>
      </w:r>
    </w:p>
    <w:p>
      <w:pPr>
        <w:spacing w:line="360" w:lineRule="auto"/>
      </w:pPr>
      <w:r>
        <w:rPr>
          <w:rFonts w:hint="eastAsia"/>
        </w:rPr>
        <w:t>法定代表人或授权代表（签名或印章）：</w:t>
      </w:r>
    </w:p>
    <w:p>
      <w:pPr>
        <w:spacing w:line="360" w:lineRule="auto"/>
      </w:pPr>
      <w:r>
        <w:rPr>
          <w:rFonts w:hint="eastAsia"/>
        </w:rPr>
        <w:t>日期：</w:t>
      </w:r>
    </w:p>
    <w:p>
      <w:pPr>
        <w:spacing w:line="360" w:lineRule="auto"/>
        <w:ind w:firstLine="420" w:firstLineChars="200"/>
      </w:pPr>
    </w:p>
    <w:p>
      <w:pPr>
        <w:spacing w:line="360" w:lineRule="auto"/>
      </w:pPr>
    </w:p>
    <w:p>
      <w:pPr>
        <w:spacing w:line="360" w:lineRule="auto"/>
      </w:pPr>
      <w:r>
        <w:rPr>
          <w:rFonts w:hint="eastAsia"/>
        </w:rPr>
        <w:t>格式四：提供参加政府采购活动前</w:t>
      </w:r>
      <w:r>
        <w:t>3</w:t>
      </w:r>
      <w:r>
        <w:rPr>
          <w:rFonts w:hint="eastAsia"/>
        </w:rPr>
        <w:t>年内在经营活动中没有重大违法记录的书面声明</w:t>
      </w:r>
    </w:p>
    <w:p/>
    <w:p/>
    <w:p>
      <w:pPr>
        <w:jc w:val="center"/>
        <w:rPr>
          <w:b/>
          <w:sz w:val="32"/>
          <w:szCs w:val="32"/>
        </w:rPr>
      </w:pPr>
    </w:p>
    <w:p>
      <w:pPr>
        <w:jc w:val="center"/>
        <w:rPr>
          <w:b/>
          <w:sz w:val="32"/>
          <w:szCs w:val="32"/>
        </w:rPr>
      </w:pPr>
      <w:r>
        <w:rPr>
          <w:rFonts w:hint="eastAsia"/>
          <w:b/>
          <w:sz w:val="32"/>
          <w:szCs w:val="32"/>
        </w:rPr>
        <w:t>近三年在政府采购活动中无重大违法记录的声明</w:t>
      </w:r>
    </w:p>
    <w:p/>
    <w:p/>
    <w:p>
      <w:pPr>
        <w:spacing w:line="360" w:lineRule="auto"/>
      </w:pPr>
      <w:r>
        <w:rPr>
          <w:rFonts w:hint="eastAsia"/>
        </w:rPr>
        <w:t xml:space="preserve">     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pPr>
      <w:r>
        <w:rPr>
          <w:rFonts w:hint="eastAsia"/>
        </w:rPr>
        <w:t>投标人（盖章）</w:t>
      </w:r>
    </w:p>
    <w:p>
      <w:pPr>
        <w:spacing w:line="360" w:lineRule="auto"/>
      </w:pPr>
      <w:r>
        <w:rPr>
          <w:rFonts w:hint="eastAsia"/>
        </w:rPr>
        <w:t>法定代表人或授权代表（签名或印章）：</w:t>
      </w:r>
    </w:p>
    <w:p>
      <w:pPr>
        <w:spacing w:line="360" w:lineRule="auto"/>
      </w:pPr>
      <w:r>
        <w:rPr>
          <w:rFonts w:hint="eastAsia"/>
        </w:rPr>
        <w:t>日    期：</w:t>
      </w:r>
    </w:p>
    <w:p>
      <w:pPr>
        <w:spacing w:line="360" w:lineRule="auto"/>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rPr>
          <w:b/>
        </w:rPr>
      </w:pPr>
      <w:r>
        <w:rPr>
          <w:rFonts w:hint="eastAsia"/>
          <w:b/>
        </w:rPr>
        <w:t>格式五：投标人特定资格条件的证明文件</w:t>
      </w:r>
    </w:p>
    <w:p>
      <w:pPr>
        <w:rPr>
          <w:b/>
        </w:rPr>
      </w:pPr>
    </w:p>
    <w:p>
      <w:pPr>
        <w:rPr>
          <w:b/>
        </w:rPr>
      </w:pPr>
    </w:p>
    <w:p>
      <w:pPr>
        <w:rPr>
          <w:b/>
        </w:rPr>
      </w:pPr>
    </w:p>
    <w:p>
      <w:pPr>
        <w:rPr>
          <w:b/>
        </w:rPr>
      </w:pPr>
    </w:p>
    <w:p>
      <w:pPr>
        <w:rPr>
          <w:b/>
        </w:rPr>
      </w:pPr>
      <w:r>
        <w:rPr>
          <w:rFonts w:hint="eastAsia"/>
          <w:b/>
        </w:rPr>
        <w:t>格式六：招标文件要求及投标人认为需要提供的其他证明材料（如有）</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jc w:val="center"/>
      </w:pPr>
      <w:r>
        <w:rPr>
          <w:rFonts w:hint="eastAsia"/>
        </w:rPr>
        <w:t>二、商务技术文件格式</w:t>
      </w:r>
    </w:p>
    <w:p>
      <w:pPr>
        <w:snapToGrid w:val="0"/>
        <w:spacing w:beforeLines="50" w:after="50"/>
        <w:jc w:val="center"/>
        <w:rPr>
          <w:rFonts w:ascii="宋体" w:hAnsi="宋体"/>
          <w:szCs w:val="21"/>
        </w:rPr>
      </w:pPr>
    </w:p>
    <w:p>
      <w:pPr>
        <w:snapToGrid w:val="0"/>
        <w:spacing w:beforeLines="50" w:after="50"/>
        <w:rPr>
          <w:rFonts w:ascii="宋体" w:hAnsi="宋体"/>
          <w:bCs/>
          <w:szCs w:val="21"/>
        </w:rPr>
      </w:pPr>
      <w:r>
        <w:rPr>
          <w:rFonts w:hint="eastAsia" w:ascii="宋体" w:hAnsi="宋体"/>
          <w:szCs w:val="21"/>
        </w:rPr>
        <w:t>1.商务技术文件</w:t>
      </w:r>
      <w:r>
        <w:rPr>
          <w:rFonts w:hint="eastAsia" w:ascii="宋体" w:hAnsi="宋体"/>
          <w:bCs/>
          <w:szCs w:val="21"/>
        </w:rPr>
        <w:t>的外包装封面格式（不可缺）：</w:t>
      </w:r>
    </w:p>
    <w:p>
      <w:pPr>
        <w:snapToGrid w:val="0"/>
        <w:spacing w:beforeLines="50" w:after="50"/>
        <w:rPr>
          <w:rFonts w:ascii="宋体" w:hAnsi="宋体"/>
          <w:bCs/>
          <w:szCs w:val="21"/>
        </w:rPr>
      </w:pPr>
    </w:p>
    <w:p>
      <w:pPr>
        <w:snapToGrid w:val="0"/>
        <w:spacing w:beforeLines="50" w:after="50"/>
        <w:ind w:firstLine="3675" w:firstLineChars="1750"/>
        <w:rPr>
          <w:rFonts w:ascii="宋体" w:hAnsi="宋体"/>
          <w:bCs/>
          <w:szCs w:val="21"/>
        </w:rPr>
      </w:pPr>
      <w:r>
        <w:rPr>
          <w:rFonts w:hint="eastAsia" w:ascii="宋体" w:hAnsi="宋体"/>
          <w:szCs w:val="21"/>
        </w:rPr>
        <w:t>商务技术文件</w:t>
      </w: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hAnsi="宋体"/>
          <w:bCs/>
          <w:szCs w:val="21"/>
        </w:rPr>
      </w:pPr>
      <w:r>
        <w:rPr>
          <w:rFonts w:hint="eastAsia" w:ascii="宋体" w:hAnsi="宋体"/>
          <w:bCs/>
          <w:szCs w:val="21"/>
        </w:rPr>
        <w:t>项目编号：</w:t>
      </w:r>
    </w:p>
    <w:p>
      <w:pPr>
        <w:snapToGrid w:val="0"/>
        <w:spacing w:beforeLines="50" w:after="50"/>
        <w:ind w:firstLine="932" w:firstLineChars="444"/>
        <w:rPr>
          <w:rFonts w:ascii="宋体" w:hAnsi="宋体"/>
          <w:bCs/>
          <w:szCs w:val="21"/>
        </w:rPr>
      </w:pPr>
    </w:p>
    <w:p>
      <w:pPr>
        <w:pStyle w:val="9"/>
        <w:snapToGrid w:val="0"/>
        <w:spacing w:before="50" w:after="50"/>
        <w:ind w:firstLine="932" w:firstLineChars="444"/>
        <w:rPr>
          <w:rFonts w:hAnsi="宋体"/>
          <w:szCs w:val="21"/>
        </w:rPr>
      </w:pPr>
      <w:r>
        <w:rPr>
          <w:rFonts w:hint="eastAsia" w:hAnsi="宋体"/>
          <w:szCs w:val="21"/>
        </w:rPr>
        <w:t>投标人名称：</w:t>
      </w:r>
    </w:p>
    <w:p>
      <w:pPr>
        <w:pStyle w:val="9"/>
        <w:snapToGrid w:val="0"/>
        <w:spacing w:before="50" w:after="50"/>
        <w:ind w:firstLine="932" w:firstLineChars="444"/>
        <w:rPr>
          <w:rFonts w:hAnsi="宋体"/>
          <w:szCs w:val="21"/>
        </w:rPr>
      </w:pPr>
      <w:r>
        <w:rPr>
          <w:rFonts w:hint="eastAsia" w:hAnsi="宋体"/>
          <w:szCs w:val="21"/>
        </w:rPr>
        <w:t>投标人地址：</w:t>
      </w:r>
    </w:p>
    <w:p>
      <w:pPr>
        <w:pStyle w:val="9"/>
        <w:snapToGrid w:val="0"/>
        <w:spacing w:before="50" w:after="50"/>
        <w:ind w:firstLine="932" w:firstLineChars="444"/>
        <w:jc w:val="center"/>
        <w:rPr>
          <w:rFonts w:hAnsi="宋体"/>
          <w:bCs/>
          <w:szCs w:val="21"/>
        </w:rPr>
      </w:pPr>
      <w:r>
        <w:rPr>
          <w:rFonts w:hint="eastAsia"/>
        </w:rPr>
        <w:t>开标时启封</w:t>
      </w:r>
    </w:p>
    <w:p>
      <w:pPr>
        <w:pStyle w:val="9"/>
        <w:snapToGrid w:val="0"/>
        <w:spacing w:before="50" w:after="50"/>
        <w:ind w:firstLine="873" w:firstLineChars="416"/>
        <w:rPr>
          <w:rFonts w:hAnsi="宋体"/>
          <w:szCs w:val="21"/>
        </w:rPr>
      </w:pPr>
    </w:p>
    <w:p>
      <w:pPr>
        <w:snapToGrid w:val="0"/>
        <w:spacing w:beforeLines="50" w:after="50"/>
        <w:ind w:firstLine="645"/>
        <w:jc w:val="center"/>
        <w:rPr>
          <w:rFonts w:ascii="宋体" w:hAnsi="宋体"/>
          <w:szCs w:val="21"/>
        </w:rPr>
      </w:pPr>
      <w:r>
        <w:rPr>
          <w:rFonts w:hint="eastAsia" w:ascii="宋体" w:hAnsi="宋体"/>
          <w:szCs w:val="21"/>
        </w:rPr>
        <w:t>年月日</w:t>
      </w:r>
    </w:p>
    <w:p>
      <w:pPr>
        <w:snapToGrid w:val="0"/>
        <w:spacing w:beforeLines="50" w:after="50"/>
        <w:jc w:val="center"/>
        <w:rPr>
          <w:rFonts w:ascii="宋体" w:hAnsi="宋体"/>
          <w:szCs w:val="21"/>
        </w:rPr>
      </w:pPr>
    </w:p>
    <w:p>
      <w:pPr>
        <w:snapToGrid w:val="0"/>
        <w:spacing w:beforeLines="50" w:after="50"/>
        <w:jc w:val="center"/>
        <w:rPr>
          <w:rFonts w:ascii="宋体" w:hAnsi="宋体"/>
          <w:szCs w:val="21"/>
        </w:rPr>
      </w:pPr>
    </w:p>
    <w:p>
      <w:pPr>
        <w:snapToGrid w:val="0"/>
        <w:spacing w:beforeLines="50" w:after="50"/>
        <w:rPr>
          <w:rFonts w:ascii="宋体" w:hAnsi="宋体"/>
          <w:szCs w:val="21"/>
        </w:rPr>
      </w:pPr>
    </w:p>
    <w:p>
      <w:pPr>
        <w:snapToGrid w:val="0"/>
        <w:spacing w:beforeLines="50" w:after="50"/>
        <w:rPr>
          <w:rFonts w:ascii="宋体" w:hAnsi="宋体"/>
          <w:szCs w:val="21"/>
        </w:rPr>
      </w:pPr>
      <w:r>
        <w:rPr>
          <w:rFonts w:hint="eastAsia" w:ascii="宋体" w:hAnsi="宋体"/>
          <w:szCs w:val="21"/>
        </w:rPr>
        <w:t>2. 商务技术文件封面格式：</w:t>
      </w:r>
    </w:p>
    <w:p>
      <w:pPr>
        <w:snapToGrid w:val="0"/>
        <w:spacing w:beforeLines="50" w:after="50"/>
        <w:jc w:val="right"/>
        <w:rPr>
          <w:rFonts w:ascii="宋体" w:hAnsi="宋体"/>
          <w:b/>
          <w:bCs/>
          <w:szCs w:val="21"/>
        </w:rPr>
      </w:pP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Lines="50" w:after="50"/>
        <w:rPr>
          <w:rFonts w:ascii="宋体" w:hAnsi="宋体"/>
          <w:szCs w:val="21"/>
        </w:rPr>
      </w:pPr>
    </w:p>
    <w:p>
      <w:pPr>
        <w:snapToGrid w:val="0"/>
        <w:spacing w:beforeLines="50" w:after="50"/>
        <w:jc w:val="center"/>
        <w:rPr>
          <w:rFonts w:ascii="宋体" w:hAnsi="宋体"/>
          <w:bCs/>
          <w:szCs w:val="21"/>
        </w:rPr>
      </w:pPr>
    </w:p>
    <w:p>
      <w:pPr>
        <w:snapToGrid w:val="0"/>
        <w:spacing w:before="50" w:afterLines="50" w:line="360" w:lineRule="auto"/>
        <w:jc w:val="center"/>
        <w:rPr>
          <w:rFonts w:ascii="宋体" w:hAnsi="宋体" w:cs="宋体"/>
          <w:b/>
          <w:bCs/>
        </w:rPr>
      </w:pPr>
      <w:r>
        <w:rPr>
          <w:rFonts w:hint="eastAsia" w:ascii="宋体" w:hAnsi="宋体" w:cs="宋体"/>
          <w:b/>
          <w:bCs/>
        </w:rPr>
        <w:t>商务技术文件</w:t>
      </w: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hAnsi="宋体"/>
          <w:bCs/>
          <w:szCs w:val="21"/>
        </w:rPr>
      </w:pPr>
      <w:r>
        <w:rPr>
          <w:rFonts w:hint="eastAsia" w:ascii="宋体" w:hAnsi="宋体"/>
          <w:bCs/>
          <w:szCs w:val="21"/>
        </w:rPr>
        <w:t>项目编号：</w:t>
      </w:r>
    </w:p>
    <w:p>
      <w:pPr>
        <w:snapToGrid w:val="0"/>
        <w:spacing w:beforeLines="50" w:after="50"/>
        <w:ind w:firstLine="932" w:firstLineChars="444"/>
        <w:rPr>
          <w:rFonts w:ascii="宋体" w:hAnsi="宋体"/>
          <w:bCs/>
          <w:szCs w:val="21"/>
        </w:rPr>
      </w:pPr>
    </w:p>
    <w:p>
      <w:pPr>
        <w:snapToGrid w:val="0"/>
        <w:spacing w:beforeLines="50" w:after="50"/>
        <w:ind w:firstLine="932" w:firstLineChars="444"/>
        <w:rPr>
          <w:rFonts w:ascii="宋体" w:hAnsi="宋体"/>
          <w:bCs/>
          <w:szCs w:val="21"/>
        </w:rPr>
      </w:pPr>
      <w:r>
        <w:rPr>
          <w:rFonts w:hint="eastAsia" w:ascii="宋体" w:hAnsi="宋体"/>
          <w:bCs/>
          <w:szCs w:val="21"/>
        </w:rPr>
        <w:t>投标人名称：</w:t>
      </w:r>
    </w:p>
    <w:p>
      <w:pPr>
        <w:pStyle w:val="9"/>
        <w:snapToGrid w:val="0"/>
        <w:spacing w:before="50" w:after="50"/>
        <w:ind w:firstLine="932" w:firstLineChars="444"/>
        <w:rPr>
          <w:rFonts w:hAnsi="宋体"/>
          <w:bCs/>
          <w:szCs w:val="21"/>
        </w:rPr>
      </w:pPr>
      <w:r>
        <w:rPr>
          <w:rFonts w:hint="eastAsia" w:hAnsi="宋体"/>
          <w:bCs/>
          <w:szCs w:val="21"/>
        </w:rPr>
        <w:t>投标人地址：</w:t>
      </w:r>
    </w:p>
    <w:p>
      <w:pPr>
        <w:pStyle w:val="9"/>
        <w:snapToGrid w:val="0"/>
        <w:spacing w:before="50" w:after="50"/>
        <w:ind w:firstLine="840" w:firstLineChars="400"/>
        <w:rPr>
          <w:rFonts w:hAnsi="宋体"/>
          <w:bCs/>
          <w:szCs w:val="21"/>
        </w:rPr>
      </w:pPr>
    </w:p>
    <w:p>
      <w:pPr>
        <w:pStyle w:val="9"/>
        <w:snapToGrid w:val="0"/>
        <w:spacing w:before="50" w:after="50"/>
        <w:ind w:firstLine="873" w:firstLineChars="416"/>
        <w:rPr>
          <w:rFonts w:hAnsi="宋体"/>
          <w:szCs w:val="21"/>
        </w:rPr>
      </w:pPr>
    </w:p>
    <w:p>
      <w:pPr>
        <w:snapToGrid w:val="0"/>
        <w:spacing w:beforeLines="50" w:after="50"/>
        <w:ind w:firstLine="645"/>
        <w:jc w:val="center"/>
        <w:rPr>
          <w:rFonts w:ascii="宋体" w:hAnsi="宋体"/>
          <w:szCs w:val="21"/>
        </w:rPr>
      </w:pPr>
      <w:r>
        <w:rPr>
          <w:rFonts w:hint="eastAsia" w:ascii="宋体" w:hAnsi="宋体"/>
          <w:szCs w:val="21"/>
        </w:rPr>
        <w:t>年月日</w:t>
      </w:r>
    </w:p>
    <w:p>
      <w:pPr>
        <w:snapToGrid w:val="0"/>
        <w:spacing w:beforeLines="50" w:after="50"/>
        <w:rPr>
          <w:rFonts w:ascii="宋体" w:hAnsi="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pacing w:line="360" w:lineRule="auto"/>
        <w:rPr>
          <w:b/>
        </w:rPr>
      </w:pPr>
      <w:r>
        <w:rPr>
          <w:rFonts w:hint="eastAsia" w:ascii="宋体" w:hAnsi="宋体"/>
          <w:b/>
          <w:bCs/>
          <w:szCs w:val="21"/>
        </w:rPr>
        <w:t>1.符合性自查表格式</w:t>
      </w:r>
    </w:p>
    <w:p>
      <w:pPr>
        <w:adjustRightInd w:val="0"/>
        <w:snapToGrid w:val="0"/>
        <w:jc w:val="center"/>
        <w:rPr>
          <w:rFonts w:ascii="宋体" w:hAnsi="宋体"/>
          <w:b/>
          <w:sz w:val="24"/>
        </w:rPr>
      </w:pPr>
    </w:p>
    <w:p>
      <w:pPr>
        <w:snapToGrid w:val="0"/>
        <w:spacing w:beforeLines="50" w:after="50"/>
        <w:jc w:val="center"/>
        <w:rPr>
          <w:rFonts w:ascii="宋体" w:hAnsi="宋体"/>
          <w:b/>
          <w:szCs w:val="21"/>
        </w:rPr>
      </w:pPr>
      <w:r>
        <w:rPr>
          <w:rFonts w:hint="eastAsia" w:ascii="宋体" w:hAnsi="宋体"/>
          <w:b/>
          <w:szCs w:val="21"/>
        </w:rPr>
        <w:t>符合性自查表</w:t>
      </w:r>
    </w:p>
    <w:p>
      <w:pPr>
        <w:jc w:val="center"/>
        <w:rPr>
          <w:b/>
        </w:rPr>
      </w:pPr>
    </w:p>
    <w:tbl>
      <w:tblPr>
        <w:tblStyle w:val="46"/>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pPr>
            <w:r>
              <w:rPr>
                <w:rFonts w:hint="eastAsia"/>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pPr>
            <w:r>
              <w:rPr>
                <w:rFonts w:hint="eastAsia"/>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240" w:lineRule="exact"/>
            </w:pPr>
            <w:r>
              <w:rPr>
                <w:rFonts w:hint="eastAsia"/>
              </w:rPr>
              <w:t>符</w:t>
            </w:r>
          </w:p>
          <w:p>
            <w:pPr>
              <w:spacing w:line="240" w:lineRule="exact"/>
            </w:pPr>
            <w:r>
              <w:rPr>
                <w:rFonts w:hint="eastAsia"/>
              </w:rPr>
              <w:t>合</w:t>
            </w:r>
          </w:p>
          <w:p>
            <w:pPr>
              <w:spacing w:line="240" w:lineRule="exact"/>
            </w:pPr>
            <w:r>
              <w:rPr>
                <w:rFonts w:hint="eastAsia"/>
              </w:rPr>
              <w:t>性</w:t>
            </w:r>
          </w:p>
          <w:p>
            <w:pPr>
              <w:spacing w:line="240" w:lineRule="exact"/>
            </w:pPr>
            <w:r>
              <w:rPr>
                <w:rFonts w:hint="eastAsia"/>
              </w:rPr>
              <w:t>审</w:t>
            </w:r>
          </w:p>
          <w:p>
            <w:pPr>
              <w:spacing w:line="240" w:lineRule="exact"/>
            </w:pPr>
            <w:r>
              <w:rPr>
                <w:rFonts w:hint="eastAsia"/>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spacing w:line="240" w:lineRule="exact"/>
            </w:pPr>
            <w:r>
              <w:rPr>
                <w:rFonts w:hint="eastAsia"/>
              </w:rPr>
              <w:t>1、投标函</w:t>
            </w:r>
          </w:p>
        </w:tc>
        <w:tc>
          <w:tcPr>
            <w:tcW w:w="1270" w:type="dxa"/>
            <w:tcBorders>
              <w:top w:val="outset" w:color="111111" w:sz="6" w:space="0"/>
              <w:left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single" w:color="auto" w:sz="4"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3"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2、投标人按采购文件要求缴纳投标保证金的；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3、投标文件完全满足采购文件的实质性条款（即标注</w:t>
            </w:r>
            <w:r>
              <w:rPr>
                <w:rFonts w:hint="eastAsia" w:ascii="宋体" w:hAnsi="宋体" w:cs="宋体"/>
                <w:lang w:val="zh-CN"/>
              </w:rPr>
              <w:t>★</w:t>
            </w:r>
            <w:r>
              <w:rPr>
                <w:rFonts w:hint="eastAsia"/>
              </w:rPr>
              <w:t>号条款）无负偏离的；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4.法定代表人证明书/法定代表人授权书。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5.没有其他未实质性投标文件要求的。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6、投标文件没有采购文件中规定的其它无效投标条款的；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7、按有关法律、法规、规章不属于投标无效的；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rPr>
              <w:t xml:space="preserve">□通过 </w:t>
            </w:r>
          </w:p>
          <w:p>
            <w:pPr>
              <w:spacing w:line="240" w:lineRule="exact"/>
            </w:pPr>
            <w:r>
              <w:rPr>
                <w:rFonts w:hint="eastAsia"/>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ascii="宋体" w:hAnsi="宋体" w:cs="宋体"/>
              </w:rPr>
              <w:t>8、按照采购文件要求提供其他证明材料。</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pPr>
            <w:r>
              <w:rPr>
                <w:rFonts w:hint="eastAsia" w:ascii="宋体" w:hAnsi="宋体" w:cs="宋体"/>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ascii="宋体" w:hAnsi="宋体" w:cs="宋体"/>
              </w:rPr>
              <w:t>第（ ）页</w:t>
            </w:r>
          </w:p>
        </w:tc>
      </w:tr>
    </w:tbl>
    <w:p>
      <w:pPr>
        <w:adjustRightInd w:val="0"/>
        <w:snapToGrid w:val="0"/>
        <w:spacing w:line="440" w:lineRule="exact"/>
        <w:rPr>
          <w:rFonts w:ascii="宋体" w:hAnsi="宋体"/>
          <w:b/>
          <w:szCs w:val="21"/>
        </w:rPr>
      </w:pPr>
      <w:r>
        <w:rPr>
          <w:rFonts w:hint="eastAsia" w:ascii="宋体" w:hAnsi="宋体"/>
          <w:b/>
          <w:szCs w:val="21"/>
        </w:rPr>
        <w:t xml:space="preserve">备注：符合性自查表将作为投标人有效性审查的重要内容之一，投标人必须严格按照其内容及序列要求在投标文件中对应如实提供！ </w:t>
      </w:r>
    </w:p>
    <w:p/>
    <w:p/>
    <w:p/>
    <w:p>
      <w:r>
        <w:br w:type="page"/>
      </w:r>
      <w:r>
        <w:rPr>
          <w:rFonts w:hint="eastAsia"/>
        </w:rPr>
        <w:t>格式一：投标人响应表</w:t>
      </w:r>
    </w:p>
    <w:p/>
    <w:p>
      <w:pPr>
        <w:jc w:val="center"/>
        <w:rPr>
          <w:b/>
          <w:sz w:val="32"/>
          <w:szCs w:val="32"/>
        </w:rPr>
      </w:pPr>
      <w:r>
        <w:rPr>
          <w:rFonts w:hint="eastAsia"/>
          <w:b/>
          <w:sz w:val="32"/>
          <w:szCs w:val="32"/>
        </w:rPr>
        <w:t>投标人响应表</w:t>
      </w:r>
    </w:p>
    <w:p/>
    <w:p>
      <w:r>
        <w:rPr>
          <w:rFonts w:hint="eastAsia" w:ascii="宋体" w:hAnsi="宋体" w:cs="宋体"/>
          <w:szCs w:val="21"/>
        </w:rPr>
        <w:t>项目编号：</w:t>
      </w:r>
      <w:r>
        <w:rPr>
          <w:rFonts w:hint="eastAsia" w:ascii="宋体" w:hAnsi="宋体" w:cs="宋体"/>
          <w:bCs/>
          <w:szCs w:val="21"/>
        </w:rPr>
        <w:t>项目名称</w:t>
      </w:r>
      <w:r>
        <w:rPr>
          <w:rFonts w:hint="eastAsia" w:ascii="宋体" w:hAnsi="宋体" w:cs="宋体"/>
          <w:szCs w:val="21"/>
        </w:rPr>
        <w:t>：</w:t>
      </w:r>
    </w:p>
    <w:tbl>
      <w:tblPr>
        <w:tblStyle w:val="46"/>
        <w:tblW w:w="0" w:type="auto"/>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评审内容</w:t>
            </w: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bl>
    <w:p>
      <w:pPr>
        <w:rPr>
          <w:b/>
        </w:rPr>
      </w:pPr>
      <w:r>
        <w:rPr>
          <w:rFonts w:hint="eastAsia"/>
          <w:b/>
        </w:rPr>
        <w:t>根据评分标准逐条填写。</w:t>
      </w:r>
    </w:p>
    <w:p/>
    <w:p>
      <w:pPr>
        <w:ind w:firstLine="6090" w:firstLineChars="2900"/>
      </w:pPr>
      <w:r>
        <w:rPr>
          <w:rFonts w:hint="eastAsia"/>
        </w:rPr>
        <w:t>投标人名称：</w:t>
      </w:r>
    </w:p>
    <w:p/>
    <w:p>
      <w:pPr>
        <w:ind w:firstLine="6090" w:firstLineChars="2900"/>
      </w:pPr>
      <w:r>
        <w:rPr>
          <w:rFonts w:hint="eastAsia"/>
        </w:rPr>
        <w:t>年  月  日</w:t>
      </w:r>
    </w:p>
    <w:p/>
    <w:p/>
    <w:p>
      <w:pPr>
        <w:snapToGrid w:val="0"/>
        <w:spacing w:before="50" w:after="50"/>
        <w:rPr>
          <w:rFonts w:ascii="宋体" w:hAnsi="宋体"/>
          <w:b/>
          <w:bCs/>
          <w:szCs w:val="21"/>
        </w:rPr>
      </w:pPr>
      <w:r>
        <w:br w:type="page"/>
      </w:r>
      <w:r>
        <w:rPr>
          <w:rFonts w:hint="eastAsia"/>
        </w:rPr>
        <w:t>格式二：投标保证金缴纳凭证复印件加盖公章</w:t>
      </w:r>
    </w:p>
    <w:p>
      <w:pPr>
        <w:snapToGrid w:val="0"/>
        <w:spacing w:line="400" w:lineRule="exact"/>
        <w:rPr>
          <w:rFonts w:ascii="宋体" w:hAnsi="宋体" w:cs="宋体"/>
          <w:szCs w:val="21"/>
        </w:rPr>
      </w:pPr>
      <w:r>
        <w:rPr>
          <w:rFonts w:hint="eastAsia" w:ascii="宋体" w:hAnsi="宋体"/>
          <w:b/>
          <w:bCs/>
          <w:szCs w:val="21"/>
        </w:rPr>
        <w:br w:type="page"/>
      </w:r>
      <w:r>
        <w:rPr>
          <w:rFonts w:hint="eastAsia" w:ascii="宋体" w:hAnsi="宋体" w:cs="宋体"/>
          <w:szCs w:val="21"/>
        </w:rPr>
        <w:t>格式三：投标函</w:t>
      </w:r>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投标函</w:t>
      </w:r>
    </w:p>
    <w:p>
      <w:pPr>
        <w:snapToGrid w:val="0"/>
        <w:spacing w:line="400" w:lineRule="exact"/>
        <w:jc w:val="center"/>
        <w:rPr>
          <w:rFonts w:ascii="宋体" w:hAnsi="宋体" w:cs="宋体"/>
          <w:szCs w:val="21"/>
        </w:rPr>
      </w:pPr>
    </w:p>
    <w:p>
      <w:pPr>
        <w:snapToGrid w:val="0"/>
        <w:spacing w:line="400" w:lineRule="exact"/>
        <w:rPr>
          <w:rFonts w:ascii="宋体" w:hAnsi="宋体" w:cs="宋体"/>
          <w:szCs w:val="21"/>
        </w:rPr>
      </w:pPr>
      <w:r>
        <w:rPr>
          <w:rFonts w:ascii="宋体" w:hAnsi="宋体" w:cs="宋体"/>
          <w:szCs w:val="21"/>
        </w:rPr>
        <w:t>致</w:t>
      </w:r>
      <w:r>
        <w:rPr>
          <w:rFonts w:hint="eastAsia" w:ascii="宋体" w:hAnsi="宋体" w:cs="宋体"/>
          <w:szCs w:val="21"/>
          <w:u w:val="single"/>
        </w:rPr>
        <w:t>宁波工建工程造价咨询有限公司</w:t>
      </w:r>
      <w:r>
        <w:rPr>
          <w:rFonts w:ascii="宋体" w:hAnsi="宋体" w:cs="宋体"/>
          <w:szCs w:val="21"/>
        </w:rPr>
        <w:t>：</w:t>
      </w:r>
    </w:p>
    <w:p>
      <w:pPr>
        <w:snapToGrid w:val="0"/>
        <w:spacing w:line="400" w:lineRule="exact"/>
        <w:ind w:firstLine="420" w:firstLineChars="200"/>
        <w:rPr>
          <w:rFonts w:ascii="宋体" w:hAnsi="宋体" w:cs="宋体"/>
          <w:szCs w:val="21"/>
        </w:rPr>
      </w:pPr>
      <w:r>
        <w:rPr>
          <w:rFonts w:ascii="宋体" w:hAnsi="宋体" w:cs="宋体"/>
          <w:szCs w:val="21"/>
        </w:rPr>
        <w:t>根据贵方项目的招标公告（招标编号：），签字代表（全名）经正式授权并代表投标人（投标人名称）提交投标文件正本份、副本份。</w:t>
      </w:r>
    </w:p>
    <w:p>
      <w:pPr>
        <w:snapToGrid w:val="0"/>
        <w:spacing w:line="400" w:lineRule="exact"/>
        <w:rPr>
          <w:rFonts w:ascii="宋体" w:hAnsi="宋体" w:cs="宋体"/>
          <w:szCs w:val="21"/>
        </w:rPr>
      </w:pPr>
      <w:r>
        <w:rPr>
          <w:rFonts w:hint="eastAsia" w:ascii="宋体" w:hAnsi="宋体" w:cs="宋体"/>
          <w:szCs w:val="21"/>
        </w:rPr>
        <w:t>1</w:t>
      </w:r>
      <w:r>
        <w:rPr>
          <w:rFonts w:ascii="宋体" w:hAnsi="宋体" w:cs="宋体"/>
          <w:szCs w:val="21"/>
        </w:rPr>
        <w:t>．据此函，签字代表宣布并承诺如下：</w:t>
      </w:r>
    </w:p>
    <w:p>
      <w:pPr>
        <w:snapToGrid w:val="0"/>
        <w:spacing w:line="400" w:lineRule="exact"/>
        <w:rPr>
          <w:rFonts w:ascii="宋体" w:hAnsi="宋体" w:cs="宋体"/>
          <w:szCs w:val="21"/>
        </w:rPr>
      </w:pPr>
      <w:r>
        <w:rPr>
          <w:rFonts w:ascii="宋体" w:hAnsi="宋体" w:cs="宋体"/>
          <w:szCs w:val="21"/>
        </w:rPr>
        <w:t>我方对招标项目愿以</w:t>
      </w:r>
      <w:r>
        <w:rPr>
          <w:rFonts w:hint="eastAsia" w:ascii="宋体" w:hAnsi="宋体" w:cs="宋体"/>
          <w:szCs w:val="21"/>
        </w:rPr>
        <w:t>承诺</w:t>
      </w:r>
      <w:r>
        <w:rPr>
          <w:rFonts w:ascii="宋体" w:hAnsi="宋体" w:cs="宋体"/>
          <w:szCs w:val="21"/>
        </w:rPr>
        <w:t>的</w:t>
      </w:r>
      <w:r>
        <w:rPr>
          <w:rFonts w:hint="eastAsia" w:ascii="宋体" w:hAnsi="宋体" w:cs="宋体"/>
          <w:szCs w:val="21"/>
        </w:rPr>
        <w:t>投标</w:t>
      </w:r>
      <w:r>
        <w:rPr>
          <w:rFonts w:ascii="宋体" w:hAnsi="宋体" w:cs="宋体"/>
          <w:szCs w:val="21"/>
        </w:rPr>
        <w:t>总价承担招标文件规定</w:t>
      </w:r>
      <w:r>
        <w:rPr>
          <w:rFonts w:hint="eastAsia" w:ascii="宋体" w:hAnsi="宋体" w:cs="宋体"/>
          <w:szCs w:val="21"/>
        </w:rPr>
        <w:t>全部</w:t>
      </w:r>
      <w:r>
        <w:rPr>
          <w:rFonts w:ascii="宋体" w:hAnsi="宋体" w:cs="宋体"/>
          <w:szCs w:val="21"/>
        </w:rPr>
        <w:t>内容的服务。</w:t>
      </w:r>
    </w:p>
    <w:p>
      <w:pPr>
        <w:snapToGrid w:val="0"/>
        <w:spacing w:line="400" w:lineRule="exact"/>
        <w:rPr>
          <w:rFonts w:ascii="宋体" w:hAnsi="宋体" w:cs="宋体"/>
          <w:szCs w:val="21"/>
        </w:rPr>
      </w:pPr>
      <w:r>
        <w:rPr>
          <w:rFonts w:hint="eastAsia" w:ascii="宋体" w:hAnsi="宋体" w:cs="宋体"/>
          <w:szCs w:val="21"/>
        </w:rPr>
        <w:t>提交的投标保证金为人民币元，投标保证金为（形式）。</w:t>
      </w:r>
    </w:p>
    <w:p>
      <w:pPr>
        <w:snapToGrid w:val="0"/>
        <w:spacing w:line="400" w:lineRule="exact"/>
        <w:rPr>
          <w:rFonts w:ascii="宋体" w:hAnsi="宋体" w:cs="宋体"/>
          <w:szCs w:val="21"/>
        </w:rPr>
      </w:pPr>
      <w:r>
        <w:rPr>
          <w:rFonts w:ascii="宋体" w:hAnsi="宋体" w:cs="宋体"/>
          <w:szCs w:val="21"/>
        </w:rPr>
        <w:t>本报价已经包含了所提供服务应纳的税金及招标文件规定的报价方式应包含的其它费用。</w:t>
      </w:r>
      <w:r>
        <w:rPr>
          <w:rFonts w:ascii="宋体" w:hAnsi="宋体" w:cs="宋体"/>
          <w:szCs w:val="21"/>
        </w:rPr>
        <w:br w:type="textWrapping"/>
      </w:r>
      <w:r>
        <w:rPr>
          <w:rFonts w:ascii="宋体" w:hAnsi="宋体" w:cs="宋体"/>
          <w:szCs w:val="21"/>
        </w:rPr>
        <w:t>本报价在投标有效期内固定不变，并在合同有效期内不受利率波动的影响。</w:t>
      </w:r>
    </w:p>
    <w:p>
      <w:pPr>
        <w:snapToGrid w:val="0"/>
        <w:spacing w:line="400" w:lineRule="exact"/>
        <w:rPr>
          <w:rFonts w:ascii="宋体" w:hAnsi="宋体" w:cs="宋体"/>
          <w:szCs w:val="21"/>
        </w:rPr>
      </w:pPr>
      <w:r>
        <w:rPr>
          <w:rFonts w:ascii="宋体" w:hAnsi="宋体" w:cs="宋体"/>
          <w:szCs w:val="21"/>
        </w:rPr>
        <w:t>本投标自开标之日起天内有效。</w:t>
      </w:r>
    </w:p>
    <w:p>
      <w:pPr>
        <w:snapToGrid w:val="0"/>
        <w:spacing w:line="400" w:lineRule="exact"/>
        <w:rPr>
          <w:rFonts w:ascii="宋体" w:hAnsi="宋体" w:cs="宋体"/>
          <w:szCs w:val="21"/>
        </w:rPr>
      </w:pPr>
      <w:r>
        <w:rPr>
          <w:rFonts w:ascii="宋体" w:hAnsi="宋体" w:cs="宋体"/>
          <w:szCs w:val="21"/>
        </w:rPr>
        <w:t>我们已详细审查全部招标文件及有关的澄清/修改文件(</w:t>
      </w:r>
      <w:r>
        <w:rPr>
          <w:rFonts w:hint="eastAsia" w:ascii="宋体" w:hAnsi="宋体" w:cs="宋体"/>
          <w:szCs w:val="21"/>
        </w:rPr>
        <w:t>如有</w:t>
      </w:r>
      <w:r>
        <w:rPr>
          <w:rFonts w:ascii="宋体" w:hAnsi="宋体" w:cs="宋体"/>
          <w:szCs w:val="21"/>
        </w:rPr>
        <w:t>)，我们完全理解并同意放弃对这方面提出任何异议的权利。保证遵守招标文件有关条款规定。</w:t>
      </w:r>
    </w:p>
    <w:p>
      <w:pPr>
        <w:snapToGrid w:val="0"/>
        <w:spacing w:line="400" w:lineRule="exact"/>
        <w:rPr>
          <w:rFonts w:ascii="宋体" w:hAnsi="宋体" w:cs="宋体"/>
          <w:szCs w:val="21"/>
        </w:rPr>
      </w:pPr>
      <w:r>
        <w:rPr>
          <w:rFonts w:ascii="宋体" w:hAnsi="宋体" w:cs="宋体"/>
          <w:szCs w:val="21"/>
        </w:rPr>
        <w:t>保证在中标后忠实地执行与招标人所签署的合同，并承担合同规定的责任义务。保证在中标后按照招标文件的规定支付招标代理服务费。</w:t>
      </w:r>
    </w:p>
    <w:p>
      <w:pPr>
        <w:snapToGrid w:val="0"/>
        <w:spacing w:line="400" w:lineRule="exact"/>
        <w:rPr>
          <w:rFonts w:ascii="宋体" w:hAnsi="宋体" w:cs="宋体"/>
          <w:szCs w:val="21"/>
        </w:rPr>
      </w:pPr>
      <w:r>
        <w:rPr>
          <w:rFonts w:hint="eastAsia" w:ascii="宋体" w:hAnsi="宋体" w:cs="宋体"/>
          <w:szCs w:val="21"/>
        </w:rPr>
        <w:t>2</w:t>
      </w:r>
      <w:r>
        <w:rPr>
          <w:rFonts w:ascii="宋体" w:hAnsi="宋体" w:cs="宋体"/>
          <w:szCs w:val="21"/>
        </w:rPr>
        <w:t>．我们郑重声明：我公司符合有关法律法规规定的参加采购活动应当具备的条件：具有健全的财务会计制度、依法缴纳税收和社会保障资金、参加本次采购活动之前的三年内，在经营活动中无重大违法活动。</w:t>
      </w:r>
    </w:p>
    <w:p>
      <w:pPr>
        <w:snapToGrid w:val="0"/>
        <w:spacing w:line="400" w:lineRule="exact"/>
        <w:rPr>
          <w:rFonts w:ascii="宋体" w:hAnsi="宋体" w:cs="宋体"/>
          <w:szCs w:val="21"/>
        </w:rPr>
      </w:pPr>
      <w:r>
        <w:rPr>
          <w:rFonts w:hint="eastAsia" w:ascii="宋体" w:hAnsi="宋体" w:cs="宋体"/>
          <w:szCs w:val="21"/>
        </w:rPr>
        <w:t>3</w:t>
      </w:r>
      <w:r>
        <w:rPr>
          <w:rFonts w:ascii="宋体" w:hAnsi="宋体" w:cs="宋体"/>
          <w:szCs w:val="21"/>
        </w:rPr>
        <w:t>．与本投标有关的一切正式往来信函请寄：</w:t>
      </w:r>
    </w:p>
    <w:p>
      <w:pPr>
        <w:snapToGrid w:val="0"/>
        <w:spacing w:line="400" w:lineRule="exact"/>
        <w:rPr>
          <w:rFonts w:ascii="宋体" w:hAnsi="宋体" w:cs="宋体"/>
          <w:szCs w:val="21"/>
        </w:rPr>
      </w:pPr>
      <w:r>
        <w:rPr>
          <w:rFonts w:ascii="宋体" w:hAnsi="宋体" w:cs="宋体"/>
          <w:szCs w:val="21"/>
        </w:rPr>
        <w:t xml:space="preserve">投标人全称（加盖公章）:                                               </w:t>
      </w:r>
    </w:p>
    <w:p>
      <w:pPr>
        <w:snapToGrid w:val="0"/>
        <w:spacing w:line="400" w:lineRule="exact"/>
        <w:rPr>
          <w:rFonts w:ascii="宋体" w:hAnsi="宋体" w:cs="宋体"/>
          <w:szCs w:val="21"/>
        </w:rPr>
      </w:pPr>
      <w:r>
        <w:rPr>
          <w:rFonts w:ascii="宋体" w:hAnsi="宋体" w:cs="宋体"/>
          <w:szCs w:val="21"/>
        </w:rPr>
        <w:t xml:space="preserve">地址：                       邮编：__________   </w:t>
      </w:r>
    </w:p>
    <w:p>
      <w:pPr>
        <w:snapToGrid w:val="0"/>
        <w:spacing w:line="400" w:lineRule="exact"/>
        <w:rPr>
          <w:rFonts w:ascii="宋体" w:hAnsi="宋体" w:cs="宋体"/>
          <w:szCs w:val="21"/>
        </w:rPr>
      </w:pPr>
      <w:r>
        <w:rPr>
          <w:rFonts w:ascii="宋体" w:hAnsi="宋体" w:cs="宋体"/>
          <w:szCs w:val="21"/>
        </w:rPr>
        <w:t>电话：                       传真：__________</w:t>
      </w:r>
    </w:p>
    <w:p>
      <w:pPr>
        <w:snapToGrid w:val="0"/>
        <w:spacing w:line="400" w:lineRule="exact"/>
        <w:rPr>
          <w:rFonts w:ascii="宋体" w:hAnsi="宋体" w:cs="宋体"/>
          <w:szCs w:val="21"/>
          <w:u w:val="single"/>
        </w:rPr>
      </w:pPr>
      <w:r>
        <w:rPr>
          <w:rFonts w:ascii="宋体" w:hAnsi="宋体" w:cs="宋体"/>
          <w:szCs w:val="21"/>
        </w:rPr>
        <w:t>投标人代表姓名 ___________  职务：</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ascii="宋体" w:hAnsi="宋体" w:cs="宋体"/>
          <w:szCs w:val="21"/>
        </w:rPr>
        <w:t xml:space="preserve">                                            授权代表签字:___________ </w:t>
      </w:r>
    </w:p>
    <w:p>
      <w:pPr>
        <w:snapToGrid w:val="0"/>
        <w:spacing w:line="400" w:lineRule="exact"/>
        <w:rPr>
          <w:rFonts w:ascii="宋体" w:hAnsi="宋体" w:cs="宋体"/>
          <w:szCs w:val="21"/>
        </w:rPr>
      </w:pPr>
      <w:r>
        <w:rPr>
          <w:rFonts w:ascii="宋体" w:hAnsi="宋体" w:cs="宋体"/>
          <w:szCs w:val="21"/>
        </w:rPr>
        <w:t xml:space="preserve">     日期:_____年___月___日</w:t>
      </w:r>
    </w:p>
    <w:p>
      <w:pPr>
        <w:snapToGrid w:val="0"/>
        <w:spacing w:line="400" w:lineRule="exact"/>
        <w:rPr>
          <w:rFonts w:ascii="宋体" w:hAnsi="宋体" w:cs="宋体"/>
          <w:szCs w:val="21"/>
        </w:rPr>
      </w:pPr>
      <w:r>
        <w:rPr>
          <w:rFonts w:ascii="宋体" w:hAnsi="宋体" w:cs="宋体"/>
          <w:szCs w:val="21"/>
        </w:rPr>
        <w:br w:type="page"/>
      </w:r>
      <w:bookmarkStart w:id="102" w:name="_Toc25216"/>
      <w:bookmarkStart w:id="103" w:name="_Toc10297"/>
      <w:bookmarkStart w:id="104" w:name="_Toc13391"/>
      <w:bookmarkStart w:id="105" w:name="_Toc463726847"/>
      <w:r>
        <w:rPr>
          <w:rFonts w:hint="eastAsia" w:ascii="宋体" w:hAnsi="宋体" w:cs="宋体"/>
          <w:szCs w:val="21"/>
        </w:rPr>
        <w:t>格式四：法定代表人授权委托书格式</w:t>
      </w:r>
      <w:bookmarkEnd w:id="102"/>
      <w:bookmarkEnd w:id="103"/>
      <w:bookmarkEnd w:id="104"/>
      <w:bookmarkEnd w:id="105"/>
    </w:p>
    <w:p>
      <w:pPr>
        <w:snapToGrid w:val="0"/>
        <w:spacing w:line="400" w:lineRule="exact"/>
        <w:rPr>
          <w:rFonts w:ascii="宋体" w:hAnsi="宋体" w:cs="宋体"/>
          <w:szCs w:val="21"/>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法定代表人授权委托书</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400" w:lineRule="exact"/>
        <w:ind w:firstLine="420" w:firstLineChars="200"/>
        <w:rPr>
          <w:rFonts w:ascii="宋体" w:hAnsi="宋体" w:cs="宋体"/>
          <w:szCs w:val="21"/>
        </w:rPr>
      </w:pPr>
      <w:r>
        <w:rPr>
          <w:rFonts w:hint="eastAsia" w:ascii="宋体" w:hAnsi="宋体" w:cs="宋体"/>
          <w:szCs w:val="21"/>
        </w:rPr>
        <w:t>我（姓名）系（投标人名称）的法定代表人，现授权委托本单位在职职工（姓名）以我方的名义参加</w:t>
      </w:r>
    </w:p>
    <w:p>
      <w:pPr>
        <w:snapToGrid w:val="0"/>
        <w:spacing w:line="400" w:lineRule="exact"/>
        <w:rPr>
          <w:rFonts w:ascii="宋体" w:hAnsi="宋体" w:cs="宋体"/>
          <w:szCs w:val="21"/>
        </w:rPr>
      </w:pPr>
      <w:r>
        <w:rPr>
          <w:rFonts w:hint="eastAsia" w:ascii="宋体" w:hAnsi="宋体" w:cs="宋体"/>
          <w:szCs w:val="21"/>
        </w:rPr>
        <w:t>项目的投标活动，并代表我方全权办理针对上述项目的投标、开标、评标、签约等具体事务和签署相关文件。</w:t>
      </w:r>
    </w:p>
    <w:p>
      <w:pPr>
        <w:snapToGrid w:val="0"/>
        <w:spacing w:line="400" w:lineRule="exact"/>
        <w:rPr>
          <w:rFonts w:ascii="宋体" w:hAnsi="宋体" w:cs="宋体"/>
          <w:szCs w:val="21"/>
        </w:rPr>
      </w:pPr>
      <w:r>
        <w:rPr>
          <w:rFonts w:hint="eastAsia" w:ascii="宋体" w:hAnsi="宋体" w:cs="宋体"/>
          <w:szCs w:val="21"/>
        </w:rPr>
        <w:t>我方对被授权人的签名事项负全部责任。</w:t>
      </w:r>
    </w:p>
    <w:p>
      <w:pPr>
        <w:snapToGrid w:val="0"/>
        <w:spacing w:line="400" w:lineRule="exact"/>
        <w:rPr>
          <w:rFonts w:ascii="宋体" w:hAns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400" w:lineRule="exact"/>
        <w:rPr>
          <w:rFonts w:ascii="宋体" w:hAnsi="宋体" w:cs="宋体"/>
          <w:szCs w:val="21"/>
        </w:rPr>
      </w:pPr>
      <w:r>
        <w:rPr>
          <w:rFonts w:hint="eastAsia" w:ascii="宋体" w:hAnsi="宋体" w:cs="宋体"/>
          <w:szCs w:val="21"/>
        </w:rPr>
        <w:t>被授权人无转委托权，特此委托。</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被授权人签名：  法定代表人（签名或盖章）：</w:t>
      </w:r>
    </w:p>
    <w:p>
      <w:pPr>
        <w:snapToGrid w:val="0"/>
        <w:spacing w:line="400" w:lineRule="exact"/>
        <w:rPr>
          <w:rFonts w:ascii="宋体" w:hAnsi="宋体" w:cs="宋体"/>
          <w:szCs w:val="21"/>
        </w:rPr>
      </w:pPr>
      <w:r>
        <w:rPr>
          <w:rFonts w:hint="eastAsia" w:ascii="宋体" w:hAnsi="宋体" w:cs="宋体"/>
          <w:szCs w:val="21"/>
        </w:rPr>
        <w:t>职务：职务：</w:t>
      </w:r>
    </w:p>
    <w:p>
      <w:pPr>
        <w:snapToGrid w:val="0"/>
        <w:spacing w:line="400" w:lineRule="exact"/>
        <w:rPr>
          <w:rFonts w:ascii="宋体" w:hAnsi="宋体" w:cs="宋体"/>
          <w:szCs w:val="21"/>
        </w:rPr>
      </w:pPr>
      <w:r>
        <w:rPr>
          <w:rFonts w:hint="eastAsia" w:ascii="宋体" w:hAnsi="宋体" w:cs="宋体"/>
          <w:szCs w:val="21"/>
        </w:rPr>
        <w:t>被授权人身份证号码：</w:t>
      </w: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hint="eastAsia" w:ascii="宋体" w:hAnsi="宋体" w:cs="宋体"/>
          <w:szCs w:val="21"/>
        </w:rPr>
        <w:t>年月日</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ascii="宋体" w:hAnsi="宋体" w:cs="宋体"/>
          <w:szCs w:val="21"/>
        </w:rPr>
        <w:t>注：后附法定代表人和被授权人的身份证复印件（正反两面）</w:t>
      </w:r>
      <w:r>
        <w:rPr>
          <w:rFonts w:hint="eastAsia" w:ascii="宋体" w:hAnsi="宋体" w:cs="宋体"/>
          <w:szCs w:val="21"/>
        </w:rPr>
        <w:t>。</w:t>
      </w:r>
    </w:p>
    <w:p>
      <w:pPr>
        <w:snapToGrid w:val="0"/>
        <w:spacing w:line="400" w:lineRule="exact"/>
        <w:rPr>
          <w:rFonts w:ascii="宋体" w:hAnsi="宋体" w:cs="宋体"/>
          <w:szCs w:val="21"/>
        </w:rPr>
      </w:pPr>
      <w:r>
        <w:rPr>
          <w:rFonts w:hint="eastAsia" w:ascii="宋体" w:hAnsi="宋体" w:cs="宋体"/>
          <w:szCs w:val="21"/>
        </w:rPr>
        <w:br w:type="page"/>
      </w:r>
      <w:bookmarkStart w:id="106" w:name="_Toc27342"/>
      <w:bookmarkStart w:id="107" w:name="_Toc463726851"/>
      <w:bookmarkStart w:id="108" w:name="_Toc3392"/>
      <w:bookmarkStart w:id="109" w:name="_Toc4098"/>
      <w:r>
        <w:rPr>
          <w:rFonts w:hint="eastAsia" w:ascii="宋体" w:hAnsi="宋体" w:cs="宋体"/>
          <w:szCs w:val="21"/>
        </w:rPr>
        <w:t>格式五：服务条款偏离</w:t>
      </w:r>
      <w:r>
        <w:rPr>
          <w:rFonts w:ascii="宋体" w:hAnsi="宋体" w:cs="宋体"/>
          <w:szCs w:val="21"/>
        </w:rPr>
        <w:t>表</w:t>
      </w:r>
      <w:bookmarkEnd w:id="106"/>
      <w:bookmarkEnd w:id="107"/>
      <w:bookmarkEnd w:id="108"/>
      <w:bookmarkEnd w:id="109"/>
    </w:p>
    <w:p>
      <w:pPr>
        <w:snapToGrid w:val="0"/>
        <w:spacing w:line="400" w:lineRule="exact"/>
        <w:jc w:val="center"/>
        <w:rPr>
          <w:rFonts w:ascii="宋体" w:hAnsi="宋体" w:cs="宋体"/>
          <w:b/>
          <w:bCs/>
          <w:sz w:val="28"/>
          <w:szCs w:val="28"/>
        </w:rPr>
      </w:pPr>
      <w:r>
        <w:rPr>
          <w:rFonts w:hint="eastAsia" w:ascii="宋体" w:hAnsi="宋体" w:cs="宋体"/>
          <w:b/>
          <w:bCs/>
          <w:sz w:val="28"/>
          <w:szCs w:val="28"/>
        </w:rPr>
        <w:t>服</w:t>
      </w:r>
      <w:r>
        <w:rPr>
          <w:rFonts w:ascii="宋体" w:hAnsi="宋体" w:cs="宋体"/>
          <w:b/>
          <w:bCs/>
          <w:sz w:val="28"/>
          <w:szCs w:val="28"/>
        </w:rPr>
        <w:t>务</w:t>
      </w:r>
      <w:r>
        <w:rPr>
          <w:rFonts w:hint="eastAsia" w:ascii="宋体" w:hAnsi="宋体" w:cs="宋体"/>
          <w:b/>
          <w:bCs/>
          <w:sz w:val="28"/>
          <w:szCs w:val="28"/>
        </w:rPr>
        <w:t>条款偏离</w:t>
      </w:r>
      <w:r>
        <w:rPr>
          <w:rFonts w:ascii="宋体" w:hAnsi="宋体" w:cs="宋体"/>
          <w:b/>
          <w:bCs/>
          <w:sz w:val="28"/>
          <w:szCs w:val="28"/>
        </w:rPr>
        <w:t>表</w:t>
      </w:r>
    </w:p>
    <w:p>
      <w:pPr>
        <w:snapToGrid w:val="0"/>
        <w:spacing w:line="400" w:lineRule="exact"/>
        <w:rPr>
          <w:rFonts w:ascii="宋体" w:hAnsi="宋体" w:cs="宋体"/>
          <w:szCs w:val="21"/>
        </w:rPr>
      </w:pPr>
      <w:r>
        <w:rPr>
          <w:rFonts w:ascii="宋体" w:hAnsi="宋体" w:cs="宋体"/>
          <w:szCs w:val="21"/>
        </w:rPr>
        <w:t>项目编号：项目名称：</w:t>
      </w:r>
    </w:p>
    <w:tbl>
      <w:tblPr>
        <w:tblStyle w:val="4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72" w:hRule="atLeast"/>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hint="eastAsia" w:ascii="宋体" w:hAnsi="宋体" w:cs="宋体"/>
                <w:szCs w:val="21"/>
              </w:rPr>
              <w:t>序</w:t>
            </w:r>
            <w:r>
              <w:rPr>
                <w:rFonts w:ascii="宋体" w:hAnsi="宋体" w:cs="宋体"/>
                <w:szCs w:val="21"/>
              </w:rPr>
              <w:t>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投标人的承诺和说明</w:t>
            </w:r>
          </w:p>
        </w:tc>
        <w:tc>
          <w:tcPr>
            <w:tcW w:w="6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是否</w:t>
            </w:r>
          </w:p>
          <w:p>
            <w:pPr>
              <w:snapToGrid w:val="0"/>
              <w:spacing w:line="400" w:lineRule="exact"/>
              <w:jc w:val="center"/>
              <w:rPr>
                <w:rFonts w:ascii="宋体" w:hAnsi="宋体" w:cs="宋体"/>
                <w:szCs w:val="21"/>
              </w:rPr>
            </w:pPr>
            <w:r>
              <w:rPr>
                <w:rFonts w:hint="eastAsia" w:ascii="宋体" w:hAnsi="宋体" w:cs="宋体"/>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0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6"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其他商务条款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响应招标文件的其他商务条款。</w:t>
            </w: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无偏离</w:t>
            </w:r>
          </w:p>
        </w:tc>
      </w:tr>
    </w:tbl>
    <w:p>
      <w:pPr>
        <w:snapToGrid w:val="0"/>
        <w:spacing w:line="400" w:lineRule="exact"/>
        <w:rPr>
          <w:rFonts w:ascii="宋体" w:hAnsi="宋体" w:cs="宋体"/>
          <w:szCs w:val="21"/>
        </w:rPr>
      </w:pPr>
      <w:r>
        <w:rPr>
          <w:rFonts w:hint="eastAsia" w:ascii="宋体" w:hAnsi="宋体" w:cs="宋体"/>
          <w:szCs w:val="21"/>
        </w:rPr>
        <w:t>注：1、招标文件要求具体见招标文件商务条款的相关内容；2、是否偏离应在本表空白处醒目地注明“正偏离或无偏离或负偏离”等字样。</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hint="eastAsia" w:ascii="宋体" w:hAnsi="宋体" w:cs="宋体"/>
          <w:szCs w:val="21"/>
        </w:rPr>
        <w:t>法定代表人或授权代表（签字或盖章）：</w:t>
      </w:r>
    </w:p>
    <w:p>
      <w:pPr>
        <w:snapToGrid w:val="0"/>
        <w:spacing w:line="400" w:lineRule="exact"/>
        <w:rPr>
          <w:rFonts w:ascii="宋体" w:hAnsi="宋体" w:cs="宋体"/>
          <w:szCs w:val="21"/>
        </w:rPr>
        <w:sectPr>
          <w:headerReference r:id="rId18" w:type="first"/>
          <w:footerReference r:id="rId20" w:type="first"/>
          <w:headerReference r:id="rId17" w:type="default"/>
          <w:footerReference r:id="rId19" w:type="default"/>
          <w:pgSz w:w="11906" w:h="16838"/>
          <w:pgMar w:top="1247" w:right="1531" w:bottom="1304" w:left="1531" w:header="851" w:footer="851" w:gutter="0"/>
          <w:cols w:space="720" w:num="1"/>
          <w:titlePg/>
          <w:docGrid w:linePitch="312" w:charSpace="0"/>
        </w:sectPr>
      </w:pPr>
      <w:r>
        <w:rPr>
          <w:rFonts w:ascii="宋体" w:hAnsi="宋体" w:cs="宋体"/>
          <w:szCs w:val="21"/>
        </w:rPr>
        <w:t>年    月    日</w:t>
      </w:r>
    </w:p>
    <w:p>
      <w:pPr>
        <w:numPr>
          <w:ilvl w:val="0"/>
          <w:numId w:val="9"/>
        </w:numPr>
        <w:snapToGrid w:val="0"/>
        <w:spacing w:before="50" w:afterLines="50"/>
        <w:jc w:val="center"/>
        <w:rPr>
          <w:rFonts w:ascii="宋体" w:hAnsi="宋体"/>
          <w:szCs w:val="21"/>
        </w:rPr>
      </w:pPr>
      <w:r>
        <w:rPr>
          <w:rFonts w:hint="eastAsia" w:ascii="宋体" w:hAnsi="宋体"/>
          <w:szCs w:val="21"/>
        </w:rPr>
        <w:t>报价文件格式</w:t>
      </w:r>
    </w:p>
    <w:p>
      <w:pPr>
        <w:snapToGrid w:val="0"/>
        <w:spacing w:before="50" w:afterLines="50"/>
        <w:rPr>
          <w:rFonts w:ascii="宋体" w:hAnsi="宋体"/>
          <w:b/>
          <w:szCs w:val="21"/>
        </w:rPr>
      </w:pPr>
    </w:p>
    <w:p>
      <w:pPr>
        <w:snapToGrid w:val="0"/>
        <w:spacing w:before="50" w:afterLines="50"/>
        <w:rPr>
          <w:rFonts w:ascii="宋体" w:hAnsi="宋体"/>
          <w:b/>
          <w:bCs/>
          <w:szCs w:val="21"/>
        </w:rPr>
      </w:pPr>
      <w:r>
        <w:rPr>
          <w:rFonts w:hint="eastAsia" w:ascii="宋体" w:hAnsi="宋体"/>
          <w:b/>
          <w:szCs w:val="21"/>
        </w:rPr>
        <w:t>1.</w:t>
      </w:r>
      <w:r>
        <w:rPr>
          <w:rFonts w:hint="eastAsia" w:ascii="宋体" w:hAnsi="宋体"/>
          <w:b/>
          <w:bCs/>
          <w:szCs w:val="21"/>
        </w:rPr>
        <w:t>报价文件的外包装封面格式（不可缺）：</w:t>
      </w:r>
    </w:p>
    <w:p>
      <w:pPr>
        <w:snapToGrid w:val="0"/>
        <w:spacing w:beforeLines="50" w:after="50"/>
        <w:rPr>
          <w:rFonts w:ascii="宋体" w:hAnsi="宋体"/>
          <w:bCs/>
          <w:szCs w:val="21"/>
        </w:rPr>
      </w:pPr>
    </w:p>
    <w:p>
      <w:pPr>
        <w:snapToGrid w:val="0"/>
        <w:spacing w:beforeLines="50" w:after="50"/>
        <w:jc w:val="center"/>
        <w:rPr>
          <w:rFonts w:ascii="宋体" w:hAnsi="宋体"/>
          <w:bCs/>
          <w:szCs w:val="21"/>
        </w:rPr>
      </w:pPr>
      <w:r>
        <w:rPr>
          <w:rFonts w:hint="eastAsia" w:ascii="宋体" w:hAnsi="宋体"/>
          <w:bCs/>
          <w:szCs w:val="21"/>
        </w:rPr>
        <w:t>报价文件</w:t>
      </w:r>
    </w:p>
    <w:p>
      <w:pPr>
        <w:snapToGrid w:val="0"/>
        <w:spacing w:beforeLines="50" w:after="50"/>
        <w:rPr>
          <w:rFonts w:ascii="宋体" w:hAnsi="宋体"/>
          <w:bCs/>
          <w:szCs w:val="21"/>
        </w:rPr>
      </w:pPr>
    </w:p>
    <w:p>
      <w:pPr>
        <w:snapToGrid w:val="0"/>
        <w:spacing w:beforeLines="50" w:after="50"/>
        <w:ind w:firstLine="932" w:firstLineChars="444"/>
      </w:pPr>
      <w:r>
        <w:rPr>
          <w:rFonts w:hint="eastAsia" w:ascii="宋体" w:hAnsi="宋体"/>
          <w:bCs/>
          <w:szCs w:val="21"/>
        </w:rPr>
        <w:t>项目名称：</w:t>
      </w:r>
    </w:p>
    <w:p>
      <w:pPr>
        <w:snapToGrid w:val="0"/>
        <w:spacing w:beforeLines="50" w:after="50"/>
        <w:ind w:firstLine="932" w:firstLineChars="444"/>
        <w:rPr>
          <w:rFonts w:ascii="宋体" w:hAnsi="宋体"/>
          <w:bCs/>
          <w:szCs w:val="21"/>
        </w:rPr>
      </w:pPr>
      <w:r>
        <w:rPr>
          <w:rFonts w:hint="eastAsia" w:ascii="宋体" w:hAnsi="宋体"/>
          <w:bCs/>
          <w:szCs w:val="21"/>
        </w:rPr>
        <w:t>项目编号：</w:t>
      </w:r>
    </w:p>
    <w:p>
      <w:pPr>
        <w:snapToGrid w:val="0"/>
        <w:spacing w:beforeLines="50" w:after="50"/>
        <w:ind w:firstLine="1142" w:firstLineChars="544"/>
        <w:rPr>
          <w:rFonts w:hint="eastAsia" w:ascii="宋体" w:hAnsi="宋体" w:eastAsia="宋体"/>
          <w:bCs/>
          <w:szCs w:val="21"/>
          <w:lang w:eastAsia="zh-CN"/>
        </w:rPr>
      </w:pPr>
      <w:r>
        <w:rPr>
          <w:rFonts w:hint="eastAsia" w:ascii="宋体" w:hAnsi="宋体"/>
          <w:bCs/>
          <w:szCs w:val="21"/>
          <w:lang w:eastAsia="zh-CN"/>
        </w:rPr>
        <w:t>子包号：</w:t>
      </w:r>
    </w:p>
    <w:p>
      <w:pPr>
        <w:snapToGrid w:val="0"/>
        <w:spacing w:beforeLines="50" w:after="50"/>
        <w:ind w:firstLine="840" w:firstLineChars="400"/>
        <w:rPr>
          <w:rFonts w:ascii="宋体" w:hAnsi="宋体"/>
          <w:bCs/>
          <w:szCs w:val="21"/>
        </w:rPr>
      </w:pPr>
      <w:r>
        <w:rPr>
          <w:rFonts w:hint="eastAsia" w:ascii="宋体" w:hAnsi="宋体"/>
          <w:bCs/>
          <w:szCs w:val="21"/>
        </w:rPr>
        <w:t>投标人名称：</w:t>
      </w:r>
    </w:p>
    <w:p>
      <w:pPr>
        <w:snapToGrid w:val="0"/>
        <w:spacing w:beforeLines="50" w:after="50"/>
        <w:ind w:firstLine="840" w:firstLineChars="400"/>
        <w:rPr>
          <w:rFonts w:ascii="宋体" w:hAnsi="宋体"/>
          <w:bCs/>
          <w:szCs w:val="21"/>
        </w:rPr>
      </w:pPr>
      <w:r>
        <w:rPr>
          <w:rFonts w:hint="eastAsia" w:ascii="宋体" w:hAnsi="宋体"/>
          <w:bCs/>
          <w:szCs w:val="21"/>
        </w:rPr>
        <w:t>投标人地址：</w:t>
      </w:r>
    </w:p>
    <w:p>
      <w:pPr>
        <w:pStyle w:val="9"/>
        <w:snapToGrid w:val="0"/>
        <w:spacing w:before="50" w:after="50"/>
        <w:ind w:firstLine="932" w:firstLineChars="444"/>
        <w:jc w:val="center"/>
        <w:rPr>
          <w:rFonts w:hAnsi="宋体"/>
          <w:bCs/>
          <w:szCs w:val="21"/>
        </w:rPr>
      </w:pPr>
      <w:r>
        <w:rPr>
          <w:rFonts w:hint="eastAsia" w:hAnsi="宋体"/>
          <w:bCs/>
          <w:szCs w:val="21"/>
        </w:rPr>
        <w:t>开标时启封</w:t>
      </w:r>
    </w:p>
    <w:p>
      <w:pPr>
        <w:pStyle w:val="9"/>
        <w:snapToGrid w:val="0"/>
        <w:spacing w:before="50" w:after="50"/>
        <w:ind w:firstLine="873" w:firstLineChars="416"/>
        <w:rPr>
          <w:rFonts w:hAnsi="宋体"/>
          <w:szCs w:val="21"/>
        </w:rPr>
      </w:pPr>
    </w:p>
    <w:p>
      <w:pPr>
        <w:jc w:val="right"/>
      </w:pPr>
      <w:r>
        <w:rPr>
          <w:rFonts w:hint="eastAsia"/>
        </w:rPr>
        <w:t>年月日</w:t>
      </w:r>
    </w:p>
    <w:p/>
    <w:p>
      <w:pPr>
        <w:snapToGrid w:val="0"/>
        <w:spacing w:beforeLines="50" w:after="50"/>
        <w:rPr>
          <w:rFonts w:ascii="宋体" w:hAnsi="宋体"/>
          <w:szCs w:val="21"/>
        </w:rPr>
      </w:pPr>
      <w:r>
        <w:rPr>
          <w:rFonts w:hint="eastAsia" w:ascii="宋体" w:hAnsi="宋体"/>
          <w:b/>
          <w:bCs/>
          <w:szCs w:val="21"/>
        </w:rPr>
        <w:t>2.报价文件封面格式：</w:t>
      </w:r>
    </w:p>
    <w:p>
      <w:pPr>
        <w:snapToGrid w:val="0"/>
        <w:spacing w:beforeLines="50" w:after="50"/>
        <w:jc w:val="right"/>
        <w:rPr>
          <w:rFonts w:ascii="宋体" w:hAnsi="宋体"/>
          <w:b/>
          <w:bCs/>
          <w:szCs w:val="21"/>
        </w:rPr>
      </w:pP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Lines="50" w:after="50"/>
        <w:rPr>
          <w:rFonts w:ascii="宋体" w:hAnsi="宋体"/>
          <w:szCs w:val="21"/>
        </w:rPr>
      </w:pPr>
    </w:p>
    <w:p>
      <w:pPr>
        <w:snapToGrid w:val="0"/>
        <w:spacing w:beforeLines="50" w:after="50"/>
        <w:jc w:val="center"/>
        <w:rPr>
          <w:rFonts w:ascii="宋体" w:hAnsi="宋体"/>
          <w:bCs/>
          <w:szCs w:val="21"/>
        </w:rPr>
      </w:pPr>
      <w:r>
        <w:rPr>
          <w:rFonts w:hint="eastAsia" w:ascii="宋体" w:hAnsi="宋体"/>
          <w:bCs/>
          <w:szCs w:val="21"/>
        </w:rPr>
        <w:t>报价文件</w:t>
      </w:r>
    </w:p>
    <w:p>
      <w:pPr>
        <w:snapToGrid w:val="0"/>
        <w:spacing w:beforeLines="50" w:after="50"/>
        <w:rPr>
          <w:rFonts w:ascii="宋体" w:hAnsi="宋体"/>
          <w:bCs/>
          <w:szCs w:val="21"/>
        </w:rPr>
      </w:pPr>
    </w:p>
    <w:p>
      <w:pPr>
        <w:snapToGrid w:val="0"/>
        <w:spacing w:beforeLines="50" w:after="50"/>
        <w:rPr>
          <w:rFonts w:ascii="宋体" w:hAnsi="宋体"/>
          <w:bCs/>
          <w:szCs w:val="21"/>
        </w:rPr>
      </w:pPr>
      <w:r>
        <w:rPr>
          <w:rFonts w:hint="eastAsia" w:ascii="宋体" w:hAnsi="宋体"/>
          <w:bCs/>
          <w:szCs w:val="21"/>
        </w:rPr>
        <w:t xml:space="preserve">    </w:t>
      </w:r>
      <w:r>
        <w:rPr>
          <w:rFonts w:hint="eastAsia" w:ascii="宋体" w:hAnsi="宋体"/>
          <w:bCs/>
          <w:szCs w:val="21"/>
          <w:lang w:val="en-US" w:eastAsia="zh-CN"/>
        </w:rPr>
        <w:t xml:space="preserve"> </w:t>
      </w:r>
      <w:bookmarkStart w:id="111" w:name="_GoBack"/>
      <w:bookmarkEnd w:id="111"/>
      <w:r>
        <w:rPr>
          <w:rFonts w:hint="eastAsia" w:ascii="宋体" w:hAnsi="宋体"/>
          <w:bCs/>
          <w:szCs w:val="21"/>
        </w:rPr>
        <w:t xml:space="preserve"> 项目名称：</w:t>
      </w:r>
    </w:p>
    <w:p>
      <w:pPr>
        <w:snapToGrid w:val="0"/>
        <w:spacing w:beforeLines="50" w:after="50"/>
        <w:ind w:firstLine="714" w:firstLineChars="340"/>
        <w:rPr>
          <w:rFonts w:ascii="宋体" w:hAnsi="宋体"/>
          <w:bCs/>
          <w:szCs w:val="21"/>
        </w:rPr>
      </w:pPr>
      <w:r>
        <w:rPr>
          <w:rFonts w:hint="eastAsia" w:ascii="宋体" w:hAnsi="宋体"/>
          <w:bCs/>
          <w:szCs w:val="21"/>
        </w:rPr>
        <w:t>项目编号：</w:t>
      </w:r>
    </w:p>
    <w:p>
      <w:pPr>
        <w:snapToGrid w:val="0"/>
        <w:spacing w:beforeLines="50" w:after="50"/>
        <w:ind w:firstLine="840" w:firstLineChars="400"/>
        <w:rPr>
          <w:rFonts w:ascii="宋体" w:hAnsi="宋体"/>
          <w:bCs/>
          <w:szCs w:val="21"/>
        </w:rPr>
      </w:pPr>
      <w:r>
        <w:rPr>
          <w:rFonts w:hint="eastAsia" w:ascii="宋体" w:hAnsi="宋体"/>
          <w:bCs/>
          <w:szCs w:val="21"/>
          <w:lang w:eastAsia="zh-CN"/>
        </w:rPr>
        <w:t>子包号：</w:t>
      </w:r>
    </w:p>
    <w:p>
      <w:pPr>
        <w:snapToGrid w:val="0"/>
        <w:spacing w:beforeLines="50" w:after="50"/>
        <w:ind w:firstLine="504" w:firstLineChars="240"/>
        <w:rPr>
          <w:rFonts w:ascii="宋体" w:hAnsi="宋体"/>
          <w:bCs/>
          <w:szCs w:val="21"/>
        </w:rPr>
      </w:pPr>
      <w:r>
        <w:rPr>
          <w:rFonts w:hint="eastAsia" w:ascii="宋体" w:hAnsi="宋体"/>
          <w:bCs/>
          <w:szCs w:val="21"/>
        </w:rPr>
        <w:t>投标人名称：</w:t>
      </w:r>
    </w:p>
    <w:p>
      <w:pPr>
        <w:snapToGrid w:val="0"/>
        <w:spacing w:beforeLines="50" w:after="50"/>
        <w:ind w:firstLine="504" w:firstLineChars="240"/>
        <w:rPr>
          <w:rFonts w:ascii="宋体" w:hAnsi="宋体"/>
          <w:bCs/>
          <w:szCs w:val="21"/>
        </w:rPr>
      </w:pPr>
      <w:r>
        <w:rPr>
          <w:rFonts w:hint="eastAsia" w:ascii="宋体" w:hAnsi="宋体"/>
          <w:bCs/>
          <w:szCs w:val="21"/>
        </w:rPr>
        <w:t>投标人地址：</w:t>
      </w:r>
    </w:p>
    <w:p>
      <w:pPr>
        <w:pStyle w:val="24"/>
        <w:snapToGrid w:val="0"/>
        <w:spacing w:before="120" w:after="120"/>
        <w:jc w:val="right"/>
        <w:rPr>
          <w:rFonts w:hint="eastAsia" w:ascii="Times New Roman" w:hAnsi="Times New Roman" w:eastAsia="宋体" w:cs="Times New Roman"/>
          <w:kern w:val="2"/>
          <w:sz w:val="21"/>
          <w:szCs w:val="22"/>
          <w:lang w:val="en-US" w:eastAsia="zh-CN" w:bidi="ar-SA"/>
        </w:rPr>
      </w:pPr>
      <w:r>
        <w:rPr>
          <w:rFonts w:hAnsi="宋体"/>
        </w:rPr>
        <w:t xml:space="preserve">                                            </w:t>
      </w:r>
      <w:r>
        <w:rPr>
          <w:rFonts w:hint="eastAsia" w:ascii="Times New Roman" w:hAnsi="Times New Roman" w:eastAsia="宋体" w:cs="Times New Roman"/>
          <w:kern w:val="2"/>
          <w:sz w:val="21"/>
          <w:szCs w:val="22"/>
          <w:lang w:val="en-US" w:eastAsia="zh-CN" w:bidi="ar-SA"/>
        </w:rPr>
        <w:t xml:space="preserve"> 年  月  日</w:t>
      </w:r>
    </w:p>
    <w:p>
      <w:pPr>
        <w:pStyle w:val="19"/>
        <w:spacing w:line="360" w:lineRule="auto"/>
        <w:ind w:firstLine="0"/>
        <w:rPr>
          <w:rFonts w:hAnsi="宋体" w:cs="宋体"/>
          <w:sz w:val="21"/>
          <w:szCs w:val="21"/>
        </w:rPr>
      </w:pPr>
    </w:p>
    <w:p>
      <w:pPr>
        <w:pStyle w:val="19"/>
        <w:spacing w:line="360" w:lineRule="auto"/>
        <w:ind w:firstLine="0"/>
        <w:rPr>
          <w:rFonts w:hAnsi="宋体" w:cs="宋体"/>
          <w:sz w:val="21"/>
          <w:szCs w:val="21"/>
        </w:rPr>
      </w:pPr>
    </w:p>
    <w:p>
      <w:pPr>
        <w:pStyle w:val="19"/>
        <w:spacing w:line="360" w:lineRule="auto"/>
        <w:ind w:firstLine="0"/>
        <w:rPr>
          <w:rFonts w:hAnsi="宋体" w:cs="宋体"/>
          <w:sz w:val="21"/>
          <w:szCs w:val="21"/>
        </w:rPr>
      </w:pPr>
    </w:p>
    <w:p>
      <w:pPr>
        <w:pStyle w:val="19"/>
        <w:spacing w:line="360" w:lineRule="auto"/>
        <w:ind w:firstLine="0"/>
        <w:rPr>
          <w:rFonts w:hAnsi="宋体" w:cs="宋体"/>
          <w:sz w:val="21"/>
          <w:szCs w:val="21"/>
        </w:rPr>
      </w:pPr>
    </w:p>
    <w:p>
      <w:pPr>
        <w:pStyle w:val="19"/>
        <w:spacing w:line="360" w:lineRule="auto"/>
        <w:ind w:firstLine="0"/>
        <w:rPr>
          <w:rFonts w:hAnsi="宋体" w:cs="宋体"/>
          <w:sz w:val="21"/>
          <w:szCs w:val="21"/>
        </w:rPr>
      </w:pPr>
    </w:p>
    <w:p>
      <w:pPr>
        <w:pStyle w:val="19"/>
        <w:spacing w:line="360" w:lineRule="auto"/>
        <w:ind w:firstLine="0"/>
        <w:rPr>
          <w:rFonts w:hAnsi="宋体" w:cs="宋体"/>
          <w:sz w:val="21"/>
          <w:szCs w:val="21"/>
        </w:rPr>
      </w:pPr>
    </w:p>
    <w:p>
      <w:pPr>
        <w:pStyle w:val="19"/>
        <w:spacing w:line="360" w:lineRule="auto"/>
        <w:ind w:firstLine="0"/>
        <w:rPr>
          <w:rFonts w:hAnsi="宋体" w:cs="宋体"/>
          <w:sz w:val="21"/>
          <w:szCs w:val="21"/>
        </w:rPr>
      </w:pPr>
    </w:p>
    <w:p>
      <w:pPr>
        <w:pStyle w:val="19"/>
        <w:spacing w:line="360" w:lineRule="auto"/>
        <w:ind w:firstLine="0"/>
        <w:rPr>
          <w:rFonts w:hAnsi="宋体" w:cs="宋体"/>
          <w:sz w:val="21"/>
          <w:szCs w:val="21"/>
        </w:rPr>
      </w:pPr>
    </w:p>
    <w:p>
      <w:pPr>
        <w:pStyle w:val="19"/>
        <w:spacing w:line="360" w:lineRule="auto"/>
        <w:ind w:firstLine="0"/>
        <w:rPr>
          <w:rFonts w:hAnsi="宋体" w:cs="宋体"/>
          <w:sz w:val="21"/>
          <w:szCs w:val="21"/>
        </w:rPr>
      </w:pPr>
    </w:p>
    <w:p>
      <w:pPr>
        <w:pStyle w:val="19"/>
        <w:spacing w:line="360" w:lineRule="auto"/>
        <w:ind w:firstLine="0"/>
        <w:rPr>
          <w:rFonts w:hAnsi="宋体" w:cs="宋体"/>
          <w:sz w:val="21"/>
          <w:szCs w:val="21"/>
        </w:rPr>
      </w:pPr>
    </w:p>
    <w:p>
      <w:pPr>
        <w:pStyle w:val="19"/>
        <w:spacing w:line="360" w:lineRule="auto"/>
        <w:ind w:firstLine="0"/>
        <w:rPr>
          <w:rFonts w:hAnsi="宋体" w:cs="宋体"/>
          <w:b/>
          <w:bCs/>
          <w:sz w:val="28"/>
          <w:szCs w:val="28"/>
        </w:rPr>
      </w:pPr>
    </w:p>
    <w:p>
      <w:pPr>
        <w:pStyle w:val="4"/>
        <w:spacing w:before="0" w:after="0" w:line="240" w:lineRule="auto"/>
        <w:ind w:right="-567"/>
        <w:jc w:val="left"/>
        <w:rPr>
          <w:rFonts w:ascii="Times New Roman" w:hAnsi="Times New Roman" w:eastAsia="宋体"/>
          <w:b w:val="0"/>
          <w:sz w:val="18"/>
          <w:szCs w:val="18"/>
        </w:rPr>
      </w:pPr>
      <w:r>
        <w:rPr>
          <w:rFonts w:hint="eastAsia" w:ascii="Times New Roman" w:hAnsi="Times New Roman" w:eastAsia="宋体"/>
          <w:b w:val="0"/>
          <w:sz w:val="21"/>
          <w:szCs w:val="21"/>
        </w:rPr>
        <w:t>格式一  开标一览表</w:t>
      </w:r>
      <w:bookmarkEnd w:id="97"/>
    </w:p>
    <w:p/>
    <w:p>
      <w:pPr>
        <w:pStyle w:val="3"/>
        <w:spacing w:line="360" w:lineRule="exact"/>
        <w:rPr>
          <w:rFonts w:ascii="Times New Roman"/>
          <w:szCs w:val="28"/>
        </w:rPr>
      </w:pPr>
      <w:bookmarkStart w:id="110" w:name="_Toc263083272"/>
      <w:r>
        <w:rPr>
          <w:rFonts w:hint="eastAsia" w:ascii="Times New Roman"/>
          <w:szCs w:val="28"/>
        </w:rPr>
        <w:t>开标一览表</w:t>
      </w:r>
    </w:p>
    <w:p>
      <w:pPr>
        <w:snapToGrid w:val="0"/>
        <w:spacing w:beforeLines="50" w:after="50"/>
        <w:rPr>
          <w:rFonts w:ascii="宋体" w:hAnsi="宋体"/>
          <w:bCs/>
          <w:szCs w:val="21"/>
        </w:rPr>
      </w:pPr>
      <w:r>
        <w:rPr>
          <w:rFonts w:hint="eastAsia" w:ascii="宋体" w:hAnsi="宋体"/>
          <w:bCs/>
          <w:szCs w:val="21"/>
        </w:rPr>
        <w:t>招标编号：                                       项目名称：</w:t>
      </w:r>
    </w:p>
    <w:tbl>
      <w:tblPr>
        <w:tblStyle w:val="46"/>
        <w:tblW w:w="9780"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08"/>
        <w:gridCol w:w="898"/>
        <w:gridCol w:w="1332"/>
        <w:gridCol w:w="1212"/>
        <w:gridCol w:w="1786"/>
        <w:gridCol w:w="1424"/>
        <w:gridCol w:w="1563"/>
        <w:gridCol w:w="105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01" w:hRule="atLeast"/>
          <w:jc w:val="center"/>
        </w:trPr>
        <w:tc>
          <w:tcPr>
            <w:tcW w:w="508" w:type="dxa"/>
            <w:vMerge w:val="restart"/>
            <w:tcBorders>
              <w:top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序号</w:t>
            </w:r>
          </w:p>
        </w:tc>
        <w:tc>
          <w:tcPr>
            <w:tcW w:w="898" w:type="dxa"/>
            <w:vMerge w:val="restart"/>
            <w:tcBorders>
              <w:top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标段号</w:t>
            </w:r>
          </w:p>
        </w:tc>
        <w:tc>
          <w:tcPr>
            <w:tcW w:w="1332" w:type="dxa"/>
            <w:vMerge w:val="restart"/>
            <w:tcBorders>
              <w:top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综合单价</w:t>
            </w:r>
          </w:p>
          <w:p>
            <w:pPr>
              <w:snapToGrid w:val="0"/>
              <w:spacing w:beforeLines="50" w:after="50"/>
              <w:jc w:val="center"/>
              <w:rPr>
                <w:rFonts w:ascii="宋体" w:hAnsi="宋体"/>
                <w:bCs/>
                <w:szCs w:val="21"/>
              </w:rPr>
            </w:pPr>
            <w:r>
              <w:rPr>
                <w:rFonts w:hint="eastAsia" w:ascii="宋体" w:hAnsi="宋体"/>
                <w:bCs/>
                <w:szCs w:val="21"/>
              </w:rPr>
              <w:t>（元/年▪平方米）</w:t>
            </w:r>
          </w:p>
        </w:tc>
        <w:tc>
          <w:tcPr>
            <w:tcW w:w="1212" w:type="dxa"/>
            <w:vMerge w:val="restart"/>
            <w:tcBorders>
              <w:top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数量</w:t>
            </w:r>
          </w:p>
          <w:p>
            <w:pPr>
              <w:snapToGrid w:val="0"/>
              <w:spacing w:beforeLines="50" w:after="50"/>
              <w:jc w:val="center"/>
              <w:rPr>
                <w:rFonts w:ascii="宋体" w:hAnsi="宋体"/>
                <w:bCs/>
                <w:szCs w:val="21"/>
              </w:rPr>
            </w:pPr>
            <w:r>
              <w:rPr>
                <w:rFonts w:hint="eastAsia" w:ascii="宋体" w:hAnsi="宋体"/>
                <w:bCs/>
                <w:szCs w:val="21"/>
              </w:rPr>
              <w:t>(M2)</w:t>
            </w:r>
          </w:p>
        </w:tc>
        <w:tc>
          <w:tcPr>
            <w:tcW w:w="1786" w:type="dxa"/>
            <w:vMerge w:val="restart"/>
            <w:tcBorders>
              <w:top w:val="single" w:color="auto" w:sz="4" w:space="0"/>
              <w:right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鲜花、公园巡查、保洁人员等费用（元/年）</w:t>
            </w:r>
          </w:p>
        </w:tc>
        <w:tc>
          <w:tcPr>
            <w:tcW w:w="1424" w:type="dxa"/>
            <w:vMerge w:val="restart"/>
            <w:tcBorders>
              <w:top w:val="single" w:color="auto" w:sz="4" w:space="0"/>
              <w:left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一年合价</w:t>
            </w:r>
          </w:p>
          <w:p>
            <w:pPr>
              <w:snapToGrid w:val="0"/>
              <w:spacing w:beforeLines="50" w:after="50"/>
              <w:jc w:val="center"/>
              <w:rPr>
                <w:rFonts w:ascii="宋体" w:hAnsi="宋体"/>
                <w:bCs/>
                <w:szCs w:val="21"/>
              </w:rPr>
            </w:pPr>
            <w:r>
              <w:rPr>
                <w:rFonts w:hint="eastAsia" w:ascii="宋体" w:hAnsi="宋体"/>
                <w:bCs/>
                <w:szCs w:val="21"/>
              </w:rPr>
              <w:t>（人民币）（元/年）</w:t>
            </w:r>
          </w:p>
        </w:tc>
        <w:tc>
          <w:tcPr>
            <w:tcW w:w="1563" w:type="dxa"/>
            <w:vMerge w:val="restart"/>
            <w:tcBorders>
              <w:top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服务期限</w:t>
            </w:r>
          </w:p>
        </w:tc>
        <w:tc>
          <w:tcPr>
            <w:tcW w:w="1057" w:type="dxa"/>
            <w:vMerge w:val="restart"/>
            <w:tcBorders>
              <w:top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42" w:hRule="atLeast"/>
          <w:jc w:val="center"/>
        </w:trPr>
        <w:tc>
          <w:tcPr>
            <w:tcW w:w="508" w:type="dxa"/>
            <w:vMerge w:val="continue"/>
            <w:tcBorders>
              <w:bottom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898" w:type="dxa"/>
            <w:vMerge w:val="continue"/>
            <w:tcBorders>
              <w:bottom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332" w:type="dxa"/>
            <w:vMerge w:val="continue"/>
            <w:tcBorders>
              <w:bottom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212" w:type="dxa"/>
            <w:vMerge w:val="continue"/>
            <w:tcBorders>
              <w:bottom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786" w:type="dxa"/>
            <w:vMerge w:val="continue"/>
            <w:tcBorders>
              <w:righ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424" w:type="dxa"/>
            <w:vMerge w:val="continue"/>
            <w:tcBorders>
              <w:lef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563" w:type="dxa"/>
            <w:vMerge w:val="continue"/>
            <w:tcBorders>
              <w:bottom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057" w:type="dxa"/>
            <w:vMerge w:val="continue"/>
            <w:tcBorders>
              <w:bottom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10" w:hRule="atLeast"/>
          <w:jc w:val="center"/>
        </w:trPr>
        <w:tc>
          <w:tcPr>
            <w:tcW w:w="508" w:type="dxa"/>
            <w:tcBorders>
              <w:top w:val="single" w:color="auto" w:sz="4" w:space="0"/>
            </w:tcBorders>
            <w:tcMar>
              <w:left w:w="0" w:type="dxa"/>
              <w:right w:w="0" w:type="dxa"/>
            </w:tcMar>
            <w:vAlign w:val="center"/>
          </w:tcPr>
          <w:p>
            <w:pPr>
              <w:snapToGrid w:val="0"/>
              <w:spacing w:beforeLines="50" w:after="50"/>
              <w:ind w:firstLine="504" w:firstLineChars="240"/>
              <w:jc w:val="center"/>
              <w:rPr>
                <w:rFonts w:ascii="宋体" w:hAnsi="宋体"/>
                <w:bCs/>
                <w:szCs w:val="21"/>
              </w:rPr>
            </w:pPr>
            <w:r>
              <w:rPr>
                <w:rFonts w:hint="eastAsia" w:ascii="宋体" w:hAnsi="宋体"/>
                <w:bCs/>
                <w:szCs w:val="21"/>
              </w:rPr>
              <w:t>11</w:t>
            </w:r>
          </w:p>
        </w:tc>
        <w:tc>
          <w:tcPr>
            <w:tcW w:w="898" w:type="dxa"/>
            <w:tcBorders>
              <w:top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一</w:t>
            </w:r>
          </w:p>
        </w:tc>
        <w:tc>
          <w:tcPr>
            <w:tcW w:w="1332" w:type="dxa"/>
            <w:tcBorders>
              <w:top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212" w:type="dxa"/>
            <w:tcBorders>
              <w:top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200338</w:t>
            </w:r>
          </w:p>
        </w:tc>
        <w:tc>
          <w:tcPr>
            <w:tcW w:w="1786" w:type="dxa"/>
            <w:tcBorders>
              <w:righ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424" w:type="dxa"/>
            <w:tcBorders>
              <w:lef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563" w:type="dxa"/>
            <w:vMerge w:val="restart"/>
            <w:tcBorders>
              <w:top w:val="single" w:color="auto" w:sz="4" w:space="0"/>
            </w:tcBorders>
            <w:tcMar>
              <w:left w:w="0" w:type="dxa"/>
              <w:right w:w="0" w:type="dxa"/>
            </w:tcMar>
            <w:vAlign w:val="center"/>
          </w:tcPr>
          <w:p>
            <w:pPr>
              <w:snapToGrid w:val="0"/>
              <w:spacing w:beforeLines="50" w:after="50"/>
              <w:ind w:firstLine="504" w:firstLineChars="240"/>
              <w:rPr>
                <w:rFonts w:ascii="宋体" w:hAnsi="宋体"/>
                <w:bCs/>
                <w:color w:val="FF0000"/>
                <w:szCs w:val="21"/>
              </w:rPr>
            </w:pPr>
            <w:r>
              <w:rPr>
                <w:rFonts w:hint="eastAsia" w:ascii="宋体" w:hAnsi="宋体"/>
                <w:bCs/>
                <w:szCs w:val="21"/>
              </w:rPr>
              <w:t>三年</w:t>
            </w:r>
          </w:p>
        </w:tc>
        <w:tc>
          <w:tcPr>
            <w:tcW w:w="1057" w:type="dxa"/>
            <w:tcBorders>
              <w:top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05" w:hRule="atLeast"/>
          <w:jc w:val="center"/>
        </w:trPr>
        <w:tc>
          <w:tcPr>
            <w:tcW w:w="508" w:type="dxa"/>
            <w:tcMar>
              <w:left w:w="0" w:type="dxa"/>
              <w:right w:w="0" w:type="dxa"/>
            </w:tcMar>
            <w:vAlign w:val="center"/>
          </w:tcPr>
          <w:p>
            <w:pPr>
              <w:snapToGrid w:val="0"/>
              <w:spacing w:beforeLines="50" w:after="50"/>
              <w:ind w:firstLine="504" w:firstLineChars="240"/>
              <w:jc w:val="center"/>
              <w:rPr>
                <w:rFonts w:ascii="宋体" w:hAnsi="宋体"/>
                <w:bCs/>
                <w:szCs w:val="21"/>
              </w:rPr>
            </w:pPr>
            <w:r>
              <w:rPr>
                <w:rFonts w:hint="eastAsia" w:ascii="宋体" w:hAnsi="宋体"/>
                <w:bCs/>
                <w:szCs w:val="21"/>
              </w:rPr>
              <w:t>22</w:t>
            </w:r>
          </w:p>
        </w:tc>
        <w:tc>
          <w:tcPr>
            <w:tcW w:w="898" w:type="dxa"/>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二</w:t>
            </w:r>
          </w:p>
        </w:tc>
        <w:tc>
          <w:tcPr>
            <w:tcW w:w="1332" w:type="dxa"/>
            <w:tcMar>
              <w:left w:w="0" w:type="dxa"/>
              <w:right w:w="0" w:type="dxa"/>
            </w:tcMar>
            <w:vAlign w:val="center"/>
          </w:tcPr>
          <w:p>
            <w:pPr>
              <w:snapToGrid w:val="0"/>
              <w:spacing w:beforeLines="50" w:after="50"/>
              <w:ind w:firstLine="504" w:firstLineChars="240"/>
              <w:rPr>
                <w:rFonts w:ascii="宋体" w:hAnsi="宋体"/>
                <w:bCs/>
                <w:szCs w:val="21"/>
              </w:rPr>
            </w:pPr>
          </w:p>
        </w:tc>
        <w:tc>
          <w:tcPr>
            <w:tcW w:w="1212" w:type="dxa"/>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230058</w:t>
            </w:r>
          </w:p>
        </w:tc>
        <w:tc>
          <w:tcPr>
            <w:tcW w:w="1786" w:type="dxa"/>
            <w:tcBorders>
              <w:righ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424" w:type="dxa"/>
            <w:tcBorders>
              <w:lef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563" w:type="dxa"/>
            <w:vMerge w:val="continue"/>
            <w:tcMar>
              <w:left w:w="0" w:type="dxa"/>
              <w:right w:w="0" w:type="dxa"/>
            </w:tcMar>
            <w:vAlign w:val="center"/>
          </w:tcPr>
          <w:p>
            <w:pPr>
              <w:snapToGrid w:val="0"/>
              <w:spacing w:beforeLines="50" w:after="50"/>
              <w:ind w:firstLine="504" w:firstLineChars="240"/>
              <w:rPr>
                <w:rFonts w:ascii="宋体" w:hAnsi="宋体"/>
                <w:bCs/>
                <w:szCs w:val="21"/>
              </w:rPr>
            </w:pPr>
          </w:p>
        </w:tc>
        <w:tc>
          <w:tcPr>
            <w:tcW w:w="1057" w:type="dxa"/>
            <w:tcMar>
              <w:left w:w="0" w:type="dxa"/>
              <w:right w:w="0" w:type="dxa"/>
            </w:tcMar>
            <w:vAlign w:val="center"/>
          </w:tcPr>
          <w:p>
            <w:pPr>
              <w:snapToGrid w:val="0"/>
              <w:spacing w:beforeLines="50" w:after="50"/>
              <w:ind w:firstLine="504" w:firstLineChars="24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05" w:hRule="atLeast"/>
          <w:jc w:val="center"/>
        </w:trPr>
        <w:tc>
          <w:tcPr>
            <w:tcW w:w="508" w:type="dxa"/>
            <w:tcMar>
              <w:left w:w="0" w:type="dxa"/>
              <w:right w:w="0" w:type="dxa"/>
            </w:tcMar>
            <w:vAlign w:val="center"/>
          </w:tcPr>
          <w:p>
            <w:pPr>
              <w:snapToGrid w:val="0"/>
              <w:spacing w:beforeLines="50" w:after="50"/>
              <w:ind w:firstLine="504" w:firstLineChars="240"/>
              <w:jc w:val="center"/>
              <w:rPr>
                <w:rFonts w:ascii="宋体" w:hAnsi="宋体"/>
                <w:bCs/>
                <w:szCs w:val="21"/>
              </w:rPr>
            </w:pPr>
            <w:r>
              <w:rPr>
                <w:rFonts w:hint="eastAsia" w:ascii="宋体" w:hAnsi="宋体"/>
                <w:bCs/>
                <w:szCs w:val="21"/>
              </w:rPr>
              <w:t>33</w:t>
            </w:r>
          </w:p>
        </w:tc>
        <w:tc>
          <w:tcPr>
            <w:tcW w:w="898" w:type="dxa"/>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三</w:t>
            </w:r>
          </w:p>
        </w:tc>
        <w:tc>
          <w:tcPr>
            <w:tcW w:w="1332" w:type="dxa"/>
            <w:tcMar>
              <w:left w:w="0" w:type="dxa"/>
              <w:right w:w="0" w:type="dxa"/>
            </w:tcMar>
            <w:vAlign w:val="center"/>
          </w:tcPr>
          <w:p>
            <w:pPr>
              <w:snapToGrid w:val="0"/>
              <w:spacing w:beforeLines="50" w:after="50"/>
              <w:ind w:firstLine="504" w:firstLineChars="240"/>
              <w:rPr>
                <w:rFonts w:ascii="宋体" w:hAnsi="宋体"/>
                <w:bCs/>
                <w:szCs w:val="21"/>
              </w:rPr>
            </w:pPr>
          </w:p>
        </w:tc>
        <w:tc>
          <w:tcPr>
            <w:tcW w:w="1212" w:type="dxa"/>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217978</w:t>
            </w:r>
          </w:p>
        </w:tc>
        <w:tc>
          <w:tcPr>
            <w:tcW w:w="1786" w:type="dxa"/>
            <w:tcBorders>
              <w:righ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424" w:type="dxa"/>
            <w:tcBorders>
              <w:lef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563" w:type="dxa"/>
            <w:vMerge w:val="continue"/>
            <w:tcMar>
              <w:left w:w="0" w:type="dxa"/>
              <w:right w:w="0" w:type="dxa"/>
            </w:tcMar>
            <w:vAlign w:val="center"/>
          </w:tcPr>
          <w:p>
            <w:pPr>
              <w:snapToGrid w:val="0"/>
              <w:spacing w:beforeLines="50" w:after="50"/>
              <w:ind w:firstLine="504" w:firstLineChars="240"/>
              <w:rPr>
                <w:rFonts w:ascii="宋体" w:hAnsi="宋体"/>
                <w:bCs/>
                <w:szCs w:val="21"/>
              </w:rPr>
            </w:pPr>
          </w:p>
        </w:tc>
        <w:tc>
          <w:tcPr>
            <w:tcW w:w="1057" w:type="dxa"/>
            <w:tcMar>
              <w:left w:w="0" w:type="dxa"/>
              <w:right w:w="0" w:type="dxa"/>
            </w:tcMar>
            <w:vAlign w:val="center"/>
          </w:tcPr>
          <w:p>
            <w:pPr>
              <w:snapToGrid w:val="0"/>
              <w:spacing w:beforeLines="50" w:after="50"/>
              <w:ind w:firstLine="504" w:firstLineChars="24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05" w:hRule="atLeast"/>
          <w:jc w:val="center"/>
        </w:trPr>
        <w:tc>
          <w:tcPr>
            <w:tcW w:w="508" w:type="dxa"/>
            <w:tcMar>
              <w:left w:w="0" w:type="dxa"/>
              <w:right w:w="0" w:type="dxa"/>
            </w:tcMar>
            <w:vAlign w:val="center"/>
          </w:tcPr>
          <w:p>
            <w:pPr>
              <w:snapToGrid w:val="0"/>
              <w:spacing w:beforeLines="50" w:after="50"/>
              <w:ind w:firstLine="504" w:firstLineChars="240"/>
              <w:jc w:val="center"/>
              <w:rPr>
                <w:rFonts w:ascii="宋体" w:hAnsi="宋体"/>
                <w:bCs/>
                <w:szCs w:val="21"/>
              </w:rPr>
            </w:pPr>
            <w:r>
              <w:rPr>
                <w:rFonts w:hint="eastAsia" w:ascii="宋体" w:hAnsi="宋体"/>
                <w:bCs/>
                <w:szCs w:val="21"/>
              </w:rPr>
              <w:t>44</w:t>
            </w:r>
          </w:p>
        </w:tc>
        <w:tc>
          <w:tcPr>
            <w:tcW w:w="898" w:type="dxa"/>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四</w:t>
            </w:r>
          </w:p>
        </w:tc>
        <w:tc>
          <w:tcPr>
            <w:tcW w:w="1332" w:type="dxa"/>
            <w:tcMar>
              <w:left w:w="0" w:type="dxa"/>
              <w:right w:w="0" w:type="dxa"/>
            </w:tcMar>
            <w:vAlign w:val="center"/>
          </w:tcPr>
          <w:p>
            <w:pPr>
              <w:snapToGrid w:val="0"/>
              <w:spacing w:beforeLines="50" w:after="50"/>
              <w:ind w:firstLine="504" w:firstLineChars="240"/>
              <w:rPr>
                <w:rFonts w:ascii="宋体" w:hAnsi="宋体"/>
                <w:bCs/>
                <w:szCs w:val="21"/>
              </w:rPr>
            </w:pPr>
          </w:p>
        </w:tc>
        <w:tc>
          <w:tcPr>
            <w:tcW w:w="1212" w:type="dxa"/>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156891</w:t>
            </w:r>
          </w:p>
        </w:tc>
        <w:tc>
          <w:tcPr>
            <w:tcW w:w="1786" w:type="dxa"/>
            <w:tcBorders>
              <w:righ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424" w:type="dxa"/>
            <w:tcBorders>
              <w:lef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563" w:type="dxa"/>
            <w:vMerge w:val="continue"/>
            <w:tcMar>
              <w:left w:w="0" w:type="dxa"/>
              <w:right w:w="0" w:type="dxa"/>
            </w:tcMar>
            <w:vAlign w:val="center"/>
          </w:tcPr>
          <w:p>
            <w:pPr>
              <w:snapToGrid w:val="0"/>
              <w:spacing w:beforeLines="50" w:after="50"/>
              <w:ind w:firstLine="504" w:firstLineChars="240"/>
              <w:rPr>
                <w:rFonts w:ascii="宋体" w:hAnsi="宋体"/>
                <w:bCs/>
                <w:szCs w:val="21"/>
              </w:rPr>
            </w:pPr>
          </w:p>
        </w:tc>
        <w:tc>
          <w:tcPr>
            <w:tcW w:w="1057" w:type="dxa"/>
            <w:tcMar>
              <w:left w:w="0" w:type="dxa"/>
              <w:right w:w="0" w:type="dxa"/>
            </w:tcMar>
            <w:vAlign w:val="center"/>
          </w:tcPr>
          <w:p>
            <w:pPr>
              <w:snapToGrid w:val="0"/>
              <w:spacing w:beforeLines="50" w:after="50"/>
              <w:ind w:firstLine="504" w:firstLineChars="24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05" w:hRule="atLeast"/>
          <w:jc w:val="center"/>
        </w:trPr>
        <w:tc>
          <w:tcPr>
            <w:tcW w:w="508" w:type="dxa"/>
            <w:tcMar>
              <w:left w:w="0" w:type="dxa"/>
              <w:right w:w="0" w:type="dxa"/>
            </w:tcMar>
            <w:vAlign w:val="center"/>
          </w:tcPr>
          <w:p>
            <w:pPr>
              <w:snapToGrid w:val="0"/>
              <w:spacing w:beforeLines="50" w:after="50"/>
              <w:ind w:firstLine="504" w:firstLineChars="240"/>
              <w:jc w:val="center"/>
              <w:rPr>
                <w:rFonts w:ascii="宋体" w:hAnsi="宋体"/>
                <w:bCs/>
                <w:szCs w:val="21"/>
              </w:rPr>
            </w:pPr>
            <w:r>
              <w:rPr>
                <w:rFonts w:hint="eastAsia" w:ascii="宋体" w:hAnsi="宋体"/>
                <w:bCs/>
                <w:szCs w:val="21"/>
              </w:rPr>
              <w:t>55</w:t>
            </w:r>
          </w:p>
        </w:tc>
        <w:tc>
          <w:tcPr>
            <w:tcW w:w="898" w:type="dxa"/>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五</w:t>
            </w:r>
          </w:p>
        </w:tc>
        <w:tc>
          <w:tcPr>
            <w:tcW w:w="1332" w:type="dxa"/>
            <w:tcMar>
              <w:left w:w="0" w:type="dxa"/>
              <w:right w:w="0" w:type="dxa"/>
            </w:tcMar>
            <w:vAlign w:val="center"/>
          </w:tcPr>
          <w:p>
            <w:pPr>
              <w:snapToGrid w:val="0"/>
              <w:spacing w:beforeLines="50" w:after="50"/>
              <w:ind w:firstLine="504" w:firstLineChars="240"/>
              <w:rPr>
                <w:rFonts w:ascii="宋体" w:hAnsi="宋体"/>
                <w:bCs/>
                <w:szCs w:val="21"/>
              </w:rPr>
            </w:pPr>
          </w:p>
        </w:tc>
        <w:tc>
          <w:tcPr>
            <w:tcW w:w="1212" w:type="dxa"/>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217571</w:t>
            </w:r>
          </w:p>
        </w:tc>
        <w:tc>
          <w:tcPr>
            <w:tcW w:w="1786" w:type="dxa"/>
            <w:tcBorders>
              <w:righ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424" w:type="dxa"/>
            <w:tcBorders>
              <w:lef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563" w:type="dxa"/>
            <w:vMerge w:val="continue"/>
            <w:tcMar>
              <w:left w:w="0" w:type="dxa"/>
              <w:right w:w="0" w:type="dxa"/>
            </w:tcMar>
            <w:vAlign w:val="center"/>
          </w:tcPr>
          <w:p>
            <w:pPr>
              <w:snapToGrid w:val="0"/>
              <w:spacing w:beforeLines="50" w:after="50"/>
              <w:ind w:firstLine="504" w:firstLineChars="240"/>
              <w:rPr>
                <w:rFonts w:ascii="宋体" w:hAnsi="宋体"/>
                <w:bCs/>
                <w:szCs w:val="21"/>
              </w:rPr>
            </w:pPr>
          </w:p>
        </w:tc>
        <w:tc>
          <w:tcPr>
            <w:tcW w:w="1057" w:type="dxa"/>
            <w:tcMar>
              <w:left w:w="0" w:type="dxa"/>
              <w:right w:w="0" w:type="dxa"/>
            </w:tcMar>
            <w:vAlign w:val="center"/>
          </w:tcPr>
          <w:p>
            <w:pPr>
              <w:snapToGrid w:val="0"/>
              <w:spacing w:beforeLines="50" w:after="50"/>
              <w:ind w:firstLine="504" w:firstLineChars="24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05" w:hRule="atLeast"/>
          <w:jc w:val="center"/>
        </w:trPr>
        <w:tc>
          <w:tcPr>
            <w:tcW w:w="508" w:type="dxa"/>
            <w:tcMar>
              <w:left w:w="0" w:type="dxa"/>
              <w:right w:w="0" w:type="dxa"/>
            </w:tcMar>
            <w:vAlign w:val="center"/>
          </w:tcPr>
          <w:p>
            <w:pPr>
              <w:snapToGrid w:val="0"/>
              <w:spacing w:beforeLines="50" w:after="50"/>
              <w:ind w:firstLine="504" w:firstLineChars="240"/>
              <w:jc w:val="center"/>
              <w:rPr>
                <w:rFonts w:ascii="宋体" w:hAnsi="宋体"/>
                <w:bCs/>
                <w:szCs w:val="21"/>
              </w:rPr>
            </w:pPr>
            <w:r>
              <w:rPr>
                <w:rFonts w:hint="eastAsia" w:ascii="宋体" w:hAnsi="宋体"/>
                <w:bCs/>
                <w:szCs w:val="21"/>
              </w:rPr>
              <w:t>66</w:t>
            </w:r>
          </w:p>
        </w:tc>
        <w:tc>
          <w:tcPr>
            <w:tcW w:w="898" w:type="dxa"/>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六</w:t>
            </w:r>
          </w:p>
        </w:tc>
        <w:tc>
          <w:tcPr>
            <w:tcW w:w="1332" w:type="dxa"/>
            <w:tcMar>
              <w:left w:w="0" w:type="dxa"/>
              <w:right w:w="0" w:type="dxa"/>
            </w:tcMar>
            <w:vAlign w:val="center"/>
          </w:tcPr>
          <w:p>
            <w:pPr>
              <w:snapToGrid w:val="0"/>
              <w:spacing w:beforeLines="50" w:after="50"/>
              <w:ind w:firstLine="504" w:firstLineChars="240"/>
              <w:rPr>
                <w:rFonts w:ascii="宋体" w:hAnsi="宋体"/>
                <w:bCs/>
                <w:szCs w:val="21"/>
              </w:rPr>
            </w:pPr>
          </w:p>
        </w:tc>
        <w:tc>
          <w:tcPr>
            <w:tcW w:w="1212" w:type="dxa"/>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234215</w:t>
            </w:r>
          </w:p>
        </w:tc>
        <w:tc>
          <w:tcPr>
            <w:tcW w:w="1786" w:type="dxa"/>
            <w:tcBorders>
              <w:righ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424" w:type="dxa"/>
            <w:tcBorders>
              <w:lef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563" w:type="dxa"/>
            <w:vMerge w:val="continue"/>
            <w:tcMar>
              <w:left w:w="0" w:type="dxa"/>
              <w:right w:w="0" w:type="dxa"/>
            </w:tcMar>
            <w:vAlign w:val="center"/>
          </w:tcPr>
          <w:p>
            <w:pPr>
              <w:snapToGrid w:val="0"/>
              <w:spacing w:beforeLines="50" w:after="50"/>
              <w:ind w:firstLine="504" w:firstLineChars="240"/>
              <w:rPr>
                <w:rFonts w:ascii="宋体" w:hAnsi="宋体"/>
                <w:bCs/>
                <w:szCs w:val="21"/>
              </w:rPr>
            </w:pPr>
          </w:p>
        </w:tc>
        <w:tc>
          <w:tcPr>
            <w:tcW w:w="1057" w:type="dxa"/>
            <w:tcMar>
              <w:left w:w="0" w:type="dxa"/>
              <w:right w:w="0" w:type="dxa"/>
            </w:tcMar>
            <w:vAlign w:val="center"/>
          </w:tcPr>
          <w:p>
            <w:pPr>
              <w:snapToGrid w:val="0"/>
              <w:spacing w:beforeLines="50" w:after="50"/>
              <w:ind w:firstLine="504" w:firstLineChars="24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1005" w:hRule="atLeast"/>
          <w:jc w:val="center"/>
        </w:trPr>
        <w:tc>
          <w:tcPr>
            <w:tcW w:w="508" w:type="dxa"/>
            <w:tcBorders>
              <w:bottom w:val="single" w:color="auto" w:sz="4" w:space="0"/>
            </w:tcBorders>
            <w:tcMar>
              <w:left w:w="0" w:type="dxa"/>
              <w:right w:w="0" w:type="dxa"/>
            </w:tcMar>
            <w:vAlign w:val="center"/>
          </w:tcPr>
          <w:p>
            <w:pPr>
              <w:snapToGrid w:val="0"/>
              <w:spacing w:beforeLines="50" w:after="50"/>
              <w:ind w:firstLine="504" w:firstLineChars="240"/>
              <w:jc w:val="center"/>
              <w:rPr>
                <w:rFonts w:ascii="宋体" w:hAnsi="宋体"/>
                <w:bCs/>
                <w:szCs w:val="21"/>
              </w:rPr>
            </w:pPr>
            <w:r>
              <w:rPr>
                <w:rFonts w:hint="eastAsia" w:ascii="宋体" w:hAnsi="宋体"/>
                <w:bCs/>
                <w:szCs w:val="21"/>
              </w:rPr>
              <w:t>77</w:t>
            </w:r>
          </w:p>
        </w:tc>
        <w:tc>
          <w:tcPr>
            <w:tcW w:w="898" w:type="dxa"/>
            <w:tcBorders>
              <w:top w:val="single" w:color="auto" w:sz="2" w:space="0"/>
              <w:bottom w:val="single" w:color="auto" w:sz="4" w:space="0"/>
              <w:right w:val="single" w:color="auto" w:sz="2"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七</w:t>
            </w:r>
          </w:p>
        </w:tc>
        <w:tc>
          <w:tcPr>
            <w:tcW w:w="1332" w:type="dxa"/>
            <w:tcBorders>
              <w:top w:val="single" w:color="auto" w:sz="2" w:space="0"/>
              <w:left w:val="single" w:color="auto" w:sz="2" w:space="0"/>
              <w:bottom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212" w:type="dxa"/>
            <w:tcBorders>
              <w:bottom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188831</w:t>
            </w:r>
          </w:p>
        </w:tc>
        <w:tc>
          <w:tcPr>
            <w:tcW w:w="1786" w:type="dxa"/>
            <w:tcBorders>
              <w:bottom w:val="single" w:color="auto" w:sz="4" w:space="0"/>
              <w:right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424" w:type="dxa"/>
            <w:tcBorders>
              <w:left w:val="single" w:color="auto" w:sz="4" w:space="0"/>
              <w:bottom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563" w:type="dxa"/>
            <w:vMerge w:val="continue"/>
            <w:tcBorders>
              <w:bottom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c>
          <w:tcPr>
            <w:tcW w:w="1057" w:type="dxa"/>
            <w:tcBorders>
              <w:bottom w:val="single" w:color="auto" w:sz="4" w:space="0"/>
            </w:tcBorders>
            <w:tcMar>
              <w:left w:w="0" w:type="dxa"/>
              <w:right w:w="0" w:type="dxa"/>
            </w:tcMar>
            <w:vAlign w:val="center"/>
          </w:tcPr>
          <w:p>
            <w:pPr>
              <w:snapToGrid w:val="0"/>
              <w:spacing w:beforeLines="50" w:after="50"/>
              <w:ind w:firstLine="504" w:firstLineChars="24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2036" w:hRule="atLeast"/>
          <w:jc w:val="center"/>
        </w:trPr>
        <w:tc>
          <w:tcPr>
            <w:tcW w:w="1406" w:type="dxa"/>
            <w:gridSpan w:val="2"/>
            <w:tcBorders>
              <w:top w:val="single" w:color="auto" w:sz="4" w:space="0"/>
            </w:tcBorders>
            <w:tcMar>
              <w:left w:w="0" w:type="dxa"/>
              <w:right w:w="0" w:type="dxa"/>
            </w:tcMar>
            <w:vAlign w:val="center"/>
          </w:tcPr>
          <w:p>
            <w:pPr>
              <w:snapToGrid w:val="0"/>
              <w:spacing w:beforeLines="50" w:after="50"/>
              <w:jc w:val="center"/>
              <w:rPr>
                <w:rFonts w:ascii="宋体" w:hAnsi="宋体"/>
                <w:bCs/>
                <w:szCs w:val="21"/>
              </w:rPr>
            </w:pPr>
            <w:r>
              <w:rPr>
                <w:rFonts w:hint="eastAsia" w:ascii="宋体" w:hAnsi="宋体"/>
                <w:bCs/>
                <w:szCs w:val="21"/>
              </w:rPr>
              <w:t>报价声明</w:t>
            </w:r>
          </w:p>
        </w:tc>
        <w:tc>
          <w:tcPr>
            <w:tcW w:w="8374" w:type="dxa"/>
            <w:gridSpan w:val="6"/>
            <w:tcBorders>
              <w:top w:val="single" w:color="auto" w:sz="4" w:space="0"/>
            </w:tcBorders>
          </w:tcPr>
          <w:p>
            <w:pPr>
              <w:snapToGrid w:val="0"/>
              <w:spacing w:beforeLines="50" w:after="50"/>
              <w:ind w:firstLine="504" w:firstLineChars="240"/>
              <w:rPr>
                <w:rFonts w:ascii="宋体" w:hAnsi="宋体"/>
                <w:bCs/>
                <w:szCs w:val="21"/>
              </w:rPr>
            </w:pPr>
          </w:p>
        </w:tc>
      </w:tr>
    </w:tbl>
    <w:p>
      <w:pPr>
        <w:snapToGrid w:val="0"/>
        <w:spacing w:beforeLines="50" w:after="50"/>
        <w:jc w:val="left"/>
        <w:rPr>
          <w:rFonts w:ascii="宋体" w:hAnsi="宋体"/>
          <w:bCs/>
          <w:szCs w:val="21"/>
        </w:rPr>
      </w:pPr>
      <w:r>
        <w:rPr>
          <w:rFonts w:hint="eastAsia" w:ascii="宋体" w:hAnsi="宋体"/>
          <w:bCs/>
          <w:szCs w:val="21"/>
        </w:rPr>
        <w:t>注1：报价合价＝单价×数量×时间+鲜花、巡查、保洁人员等费用，时间为一年。</w:t>
      </w:r>
    </w:p>
    <w:p>
      <w:pPr>
        <w:snapToGrid w:val="0"/>
        <w:spacing w:beforeLines="50" w:after="50"/>
        <w:jc w:val="left"/>
        <w:rPr>
          <w:rFonts w:ascii="宋体" w:hAnsi="宋体"/>
          <w:bCs/>
          <w:szCs w:val="21"/>
        </w:rPr>
      </w:pPr>
      <w:r>
        <w:rPr>
          <w:rFonts w:hint="eastAsia" w:ascii="宋体" w:hAnsi="宋体"/>
          <w:bCs/>
          <w:szCs w:val="21"/>
        </w:rPr>
        <w:t>注2：有关报价价格优惠、招标文件允许的备选方案均应在报价声明中载明。</w:t>
      </w:r>
    </w:p>
    <w:p>
      <w:pPr>
        <w:snapToGrid w:val="0"/>
        <w:spacing w:beforeLines="50" w:after="50"/>
        <w:jc w:val="left"/>
        <w:rPr>
          <w:rFonts w:ascii="宋体" w:hAnsi="宋体"/>
          <w:bCs/>
          <w:szCs w:val="21"/>
        </w:rPr>
      </w:pPr>
      <w:r>
        <w:rPr>
          <w:rFonts w:hint="eastAsia" w:ascii="宋体" w:hAnsi="宋体"/>
          <w:bCs/>
          <w:szCs w:val="21"/>
        </w:rPr>
        <w:t>投标人单位（盖章）：</w:t>
      </w:r>
    </w:p>
    <w:p>
      <w:pPr>
        <w:snapToGrid w:val="0"/>
        <w:spacing w:beforeLines="50" w:after="50"/>
        <w:jc w:val="left"/>
        <w:rPr>
          <w:rFonts w:ascii="宋体" w:hAnsi="宋体"/>
          <w:bCs/>
          <w:szCs w:val="21"/>
        </w:rPr>
      </w:pPr>
      <w:r>
        <w:rPr>
          <w:rFonts w:hint="eastAsia" w:ascii="宋体" w:hAnsi="宋体"/>
          <w:bCs/>
          <w:szCs w:val="21"/>
        </w:rPr>
        <w:t>授权代表人（签字）：</w:t>
      </w:r>
    </w:p>
    <w:p>
      <w:pPr>
        <w:snapToGrid w:val="0"/>
        <w:spacing w:beforeLines="50" w:after="50"/>
        <w:jc w:val="left"/>
        <w:rPr>
          <w:rFonts w:ascii="宋体" w:hAnsi="宋体"/>
          <w:bCs/>
          <w:szCs w:val="21"/>
        </w:rPr>
      </w:pPr>
      <w:r>
        <w:rPr>
          <w:rFonts w:hint="eastAsia" w:ascii="宋体" w:hAnsi="宋体"/>
          <w:bCs/>
          <w:szCs w:val="21"/>
        </w:rPr>
        <w:t>日期：     年   月   日</w:t>
      </w:r>
    </w:p>
    <w:p>
      <w:pPr>
        <w:snapToGrid w:val="0"/>
        <w:spacing w:beforeLines="50" w:after="50"/>
        <w:jc w:val="left"/>
        <w:rPr>
          <w:rFonts w:ascii="宋体" w:hAnsi="宋体"/>
          <w:bCs/>
          <w:szCs w:val="21"/>
        </w:rPr>
      </w:pPr>
    </w:p>
    <w:p>
      <w:pPr>
        <w:pStyle w:val="19"/>
        <w:tabs>
          <w:tab w:val="left" w:pos="4841"/>
        </w:tabs>
        <w:ind w:firstLine="0"/>
        <w:rPr>
          <w:b/>
          <w:color w:val="000000"/>
          <w:sz w:val="28"/>
        </w:rPr>
      </w:pPr>
      <w:r>
        <w:rPr>
          <w:rFonts w:hint="eastAsia" w:eastAsia="宋体"/>
          <w:sz w:val="21"/>
          <w:szCs w:val="21"/>
        </w:rPr>
        <w:t>格式二  投标分项报价表</w:t>
      </w:r>
    </w:p>
    <w:p>
      <w:pPr>
        <w:pStyle w:val="3"/>
        <w:spacing w:line="360" w:lineRule="exact"/>
        <w:rPr>
          <w:rFonts w:ascii="Times New Roman"/>
          <w:szCs w:val="28"/>
        </w:rPr>
      </w:pPr>
      <w:r>
        <w:rPr>
          <w:rFonts w:hint="eastAsia" w:hAnsi="宋体"/>
          <w:szCs w:val="21"/>
        </w:rPr>
        <w:t>鲜花、公园巡查、保洁人员部分</w:t>
      </w:r>
      <w:r>
        <w:rPr>
          <w:rFonts w:hint="eastAsia" w:ascii="Times New Roman"/>
          <w:szCs w:val="28"/>
        </w:rPr>
        <w:t>投标分项报价表</w:t>
      </w:r>
    </w:p>
    <w:p>
      <w:pPr>
        <w:pStyle w:val="19"/>
        <w:spacing w:line="240" w:lineRule="auto"/>
        <w:ind w:firstLine="0"/>
        <w:jc w:val="left"/>
        <w:rPr>
          <w:rFonts w:eastAsia="宋体"/>
          <w:w w:val="80"/>
          <w:sz w:val="21"/>
          <w:szCs w:val="21"/>
        </w:rPr>
      </w:pPr>
    </w:p>
    <w:p>
      <w:pPr>
        <w:pStyle w:val="19"/>
        <w:spacing w:line="0" w:lineRule="atLeast"/>
        <w:ind w:firstLine="0"/>
        <w:jc w:val="center"/>
        <w:rPr>
          <w:rFonts w:eastAsia="仿宋_GB2312"/>
          <w:w w:val="80"/>
          <w:szCs w:val="24"/>
          <w:bdr w:val="single" w:color="auto" w:sz="4" w:space="0"/>
          <w:shd w:val="pct10" w:color="auto" w:fill="FFFFFF"/>
        </w:rPr>
      </w:pPr>
      <w:r>
        <w:rPr>
          <w:w w:val="80"/>
          <w:szCs w:val="21"/>
          <w:highlight w:val="yellow"/>
          <w:bdr w:val="single" w:color="auto" w:sz="4" w:space="0"/>
          <w:shd w:val="pct10" w:color="auto" w:fill="FFFFFF"/>
        </w:rPr>
        <w:t>投标分项报价表或服务费用报价明细表格格式可由投标人要求自行设计</w:t>
      </w:r>
    </w:p>
    <w:p>
      <w:pPr>
        <w:pStyle w:val="19"/>
        <w:tabs>
          <w:tab w:val="left" w:pos="4841"/>
        </w:tabs>
        <w:ind w:firstLine="0"/>
        <w:rPr>
          <w:rFonts w:eastAsia="宋体"/>
          <w:sz w:val="21"/>
          <w:szCs w:val="21"/>
        </w:rPr>
      </w:pPr>
      <w:r>
        <w:rPr>
          <w:rFonts w:hint="eastAsia" w:eastAsia="宋体"/>
          <w:sz w:val="21"/>
          <w:szCs w:val="21"/>
        </w:rPr>
        <w:t>招标编号：项目名称：</w:t>
      </w:r>
      <w:r>
        <w:rPr>
          <w:rFonts w:hint="eastAsia" w:eastAsia="宋体"/>
          <w:sz w:val="21"/>
          <w:szCs w:val="21"/>
        </w:rPr>
        <w:tab/>
      </w:r>
      <w:r>
        <w:rPr>
          <w:rFonts w:hint="eastAsia" w:eastAsia="宋体"/>
          <w:sz w:val="21"/>
          <w:szCs w:val="21"/>
        </w:rPr>
        <w:t>单位：人民币元</w:t>
      </w:r>
    </w:p>
    <w:p>
      <w:pPr>
        <w:pStyle w:val="19"/>
        <w:tabs>
          <w:tab w:val="left" w:pos="4841"/>
        </w:tabs>
        <w:ind w:firstLine="0"/>
        <w:rPr>
          <w:rFonts w:eastAsia="宋体"/>
          <w:sz w:val="21"/>
          <w:szCs w:val="21"/>
        </w:rPr>
      </w:pPr>
      <w:r>
        <w:rPr>
          <w:rFonts w:hint="eastAsia" w:eastAsia="宋体"/>
          <w:sz w:val="21"/>
          <w:szCs w:val="21"/>
        </w:rPr>
        <w:t>标段一：</w:t>
      </w:r>
    </w:p>
    <w:tbl>
      <w:tblPr>
        <w:tblStyle w:val="46"/>
        <w:tblW w:w="8955" w:type="dxa"/>
        <w:tblInd w:w="-100" w:type="dxa"/>
        <w:tblLayout w:type="fixed"/>
        <w:tblCellMar>
          <w:top w:w="0" w:type="dxa"/>
          <w:left w:w="0" w:type="dxa"/>
          <w:bottom w:w="0" w:type="dxa"/>
          <w:right w:w="0" w:type="dxa"/>
        </w:tblCellMar>
      </w:tblPr>
      <w:tblGrid>
        <w:gridCol w:w="600"/>
        <w:gridCol w:w="1807"/>
        <w:gridCol w:w="1037"/>
        <w:gridCol w:w="1491"/>
        <w:gridCol w:w="960"/>
        <w:gridCol w:w="3060"/>
      </w:tblGrid>
      <w:tr>
        <w:tblPrEx>
          <w:tblCellMar>
            <w:top w:w="0" w:type="dxa"/>
            <w:left w:w="0" w:type="dxa"/>
            <w:bottom w:w="0" w:type="dxa"/>
            <w:right w:w="0" w:type="dxa"/>
          </w:tblCellMar>
        </w:tblPrEx>
        <w:trPr>
          <w:trHeight w:val="611" w:hRule="atLeast"/>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0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4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43" w:hRule="atLeast"/>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鲜花种植</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206220株</w:t>
            </w: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30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43" w:hRule="atLeast"/>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鲜花摆放</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40500盆</w:t>
            </w: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51"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黑麦草套播</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40379㎡</w:t>
            </w: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30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0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公园巡查人员</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13人</w:t>
            </w: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徐霞客大道及西延线8人，飞凤山公园2人，跃龙山公园2人，烈士陵园1人；费用不下浮。</w:t>
            </w:r>
          </w:p>
        </w:tc>
      </w:tr>
      <w:tr>
        <w:tblPrEx>
          <w:tblCellMar>
            <w:top w:w="0" w:type="dxa"/>
            <w:left w:w="0" w:type="dxa"/>
            <w:bottom w:w="0" w:type="dxa"/>
            <w:right w:w="0" w:type="dxa"/>
          </w:tblCellMar>
        </w:tblPrEx>
        <w:trPr>
          <w:trHeight w:val="50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公园保洁人员</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14人</w:t>
            </w: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徐霞客大道4人，徐霞客大道西延线5人，飞凤山公园2人，跃龙山公园3人；费用不下浮。</w:t>
            </w:r>
          </w:p>
        </w:tc>
      </w:tr>
      <w:tr>
        <w:tblPrEx>
          <w:tblCellMar>
            <w:top w:w="0" w:type="dxa"/>
            <w:left w:w="0" w:type="dxa"/>
            <w:bottom w:w="0" w:type="dxa"/>
            <w:right w:w="0" w:type="dxa"/>
          </w:tblCellMar>
        </w:tblPrEx>
        <w:trPr>
          <w:trHeight w:val="46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0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4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pStyle w:val="19"/>
        <w:tabs>
          <w:tab w:val="left" w:pos="4841"/>
        </w:tabs>
        <w:ind w:firstLine="0"/>
        <w:rPr>
          <w:rFonts w:eastAsia="宋体"/>
          <w:sz w:val="21"/>
          <w:szCs w:val="21"/>
        </w:rPr>
      </w:pPr>
      <w:r>
        <w:rPr>
          <w:rFonts w:hint="eastAsia" w:eastAsia="宋体"/>
          <w:sz w:val="21"/>
          <w:szCs w:val="21"/>
        </w:rPr>
        <w:t>标段二：</w:t>
      </w:r>
    </w:p>
    <w:tbl>
      <w:tblPr>
        <w:tblStyle w:val="46"/>
        <w:tblW w:w="9000" w:type="dxa"/>
        <w:tblInd w:w="-115" w:type="dxa"/>
        <w:tblLayout w:type="fixed"/>
        <w:tblCellMar>
          <w:top w:w="0" w:type="dxa"/>
          <w:left w:w="0" w:type="dxa"/>
          <w:bottom w:w="0" w:type="dxa"/>
          <w:right w:w="0" w:type="dxa"/>
        </w:tblCellMar>
      </w:tblPr>
      <w:tblGrid>
        <w:gridCol w:w="600"/>
        <w:gridCol w:w="1820"/>
        <w:gridCol w:w="1041"/>
        <w:gridCol w:w="1489"/>
        <w:gridCol w:w="960"/>
        <w:gridCol w:w="3090"/>
      </w:tblGrid>
      <w:tr>
        <w:tblPrEx>
          <w:tblCellMar>
            <w:top w:w="0" w:type="dxa"/>
            <w:left w:w="0" w:type="dxa"/>
            <w:bottom w:w="0" w:type="dxa"/>
            <w:right w:w="0" w:type="dxa"/>
          </w:tblCellMar>
        </w:tblPrEx>
        <w:trPr>
          <w:trHeight w:val="474" w:hRule="atLeast"/>
        </w:trPr>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0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4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54" w:hRule="atLeast"/>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鲜花种植</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135120株</w:t>
            </w:r>
          </w:p>
        </w:tc>
        <w:tc>
          <w:tcPr>
            <w:tcW w:w="1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54" w:hRule="atLeast"/>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鲜花摆放</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30000盆</w:t>
            </w:r>
          </w:p>
        </w:tc>
        <w:tc>
          <w:tcPr>
            <w:tcW w:w="1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15"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黑麦草套播</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36631㎡</w:t>
            </w:r>
          </w:p>
        </w:tc>
        <w:tc>
          <w:tcPr>
            <w:tcW w:w="1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386"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红叶石楠柱修剪补助</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3次</w:t>
            </w:r>
          </w:p>
        </w:tc>
        <w:tc>
          <w:tcPr>
            <w:tcW w:w="1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红叶石楠柱260株，一年修剪三次</w:t>
            </w:r>
          </w:p>
        </w:tc>
      </w:tr>
      <w:tr>
        <w:tblPrEx>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公园巡查人员</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12人</w:t>
            </w:r>
          </w:p>
        </w:tc>
        <w:tc>
          <w:tcPr>
            <w:tcW w:w="1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一休公园2人，正学公园4人，华山公园4人，白峤岭生态公园1人，杜鹃山登山步道入口区1人；费用不下浮。</w:t>
            </w:r>
          </w:p>
        </w:tc>
      </w:tr>
      <w:tr>
        <w:tblPrEx>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公园保洁</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9人</w:t>
            </w:r>
          </w:p>
        </w:tc>
        <w:tc>
          <w:tcPr>
            <w:tcW w:w="1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正学公园2人，一休公园1人，华山公园5人，杜鹃山登山步道入口区1人；费用不下浮。</w:t>
            </w:r>
          </w:p>
        </w:tc>
      </w:tr>
      <w:tr>
        <w:tblPrEx>
          <w:tblCellMar>
            <w:top w:w="0" w:type="dxa"/>
            <w:left w:w="0" w:type="dxa"/>
            <w:bottom w:w="0" w:type="dxa"/>
            <w:right w:w="0" w:type="dxa"/>
          </w:tblCellMar>
        </w:tblPrEx>
        <w:trPr>
          <w:trHeight w:val="352" w:hRule="atLeast"/>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8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0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4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pStyle w:val="19"/>
        <w:tabs>
          <w:tab w:val="left" w:pos="4841"/>
        </w:tabs>
        <w:ind w:firstLine="0"/>
        <w:rPr>
          <w:rFonts w:eastAsia="宋体"/>
          <w:sz w:val="21"/>
          <w:szCs w:val="21"/>
        </w:rPr>
      </w:pPr>
      <w:r>
        <w:rPr>
          <w:rFonts w:hint="eastAsia" w:eastAsia="宋体"/>
          <w:sz w:val="21"/>
          <w:szCs w:val="21"/>
        </w:rPr>
        <w:t>标段三：</w:t>
      </w:r>
    </w:p>
    <w:tbl>
      <w:tblPr>
        <w:tblStyle w:val="46"/>
        <w:tblW w:w="8967" w:type="dxa"/>
        <w:tblInd w:w="-100" w:type="dxa"/>
        <w:tblLayout w:type="fixed"/>
        <w:tblCellMar>
          <w:top w:w="0" w:type="dxa"/>
          <w:left w:w="0" w:type="dxa"/>
          <w:bottom w:w="0" w:type="dxa"/>
          <w:right w:w="0" w:type="dxa"/>
        </w:tblCellMar>
      </w:tblPr>
      <w:tblGrid>
        <w:gridCol w:w="585"/>
        <w:gridCol w:w="1560"/>
        <w:gridCol w:w="1103"/>
        <w:gridCol w:w="1687"/>
        <w:gridCol w:w="960"/>
        <w:gridCol w:w="3072"/>
      </w:tblGrid>
      <w:tr>
        <w:tblPrEx>
          <w:tblCellMar>
            <w:top w:w="0" w:type="dxa"/>
            <w:left w:w="0" w:type="dxa"/>
            <w:bottom w:w="0" w:type="dxa"/>
            <w:right w:w="0" w:type="dxa"/>
          </w:tblCellMar>
        </w:tblPrEx>
        <w:trPr>
          <w:trHeight w:val="351" w:hRule="atLeast"/>
        </w:trPr>
        <w:tc>
          <w:tcPr>
            <w:tcW w:w="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6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18"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鲜花种植</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293820株</w:t>
            </w:r>
          </w:p>
        </w:tc>
        <w:tc>
          <w:tcPr>
            <w:tcW w:w="1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18"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黑麦草套播</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75474㎡</w:t>
            </w:r>
          </w:p>
        </w:tc>
        <w:tc>
          <w:tcPr>
            <w:tcW w:w="1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73"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樱花精细养护</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2626株</w:t>
            </w:r>
          </w:p>
        </w:tc>
        <w:tc>
          <w:tcPr>
            <w:tcW w:w="1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18"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公园巡查人员</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2人</w:t>
            </w:r>
          </w:p>
        </w:tc>
        <w:tc>
          <w:tcPr>
            <w:tcW w:w="1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眠牛山公园2人，费用不下浮</w:t>
            </w:r>
          </w:p>
        </w:tc>
      </w:tr>
      <w:tr>
        <w:tblPrEx>
          <w:tblCellMar>
            <w:top w:w="0" w:type="dxa"/>
            <w:left w:w="0" w:type="dxa"/>
            <w:bottom w:w="0" w:type="dxa"/>
            <w:right w:w="0" w:type="dxa"/>
          </w:tblCellMar>
        </w:tblPrEx>
        <w:trPr>
          <w:trHeight w:val="418"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公园保洁人员</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3人</w:t>
            </w:r>
          </w:p>
        </w:tc>
        <w:tc>
          <w:tcPr>
            <w:tcW w:w="1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眠牛山公园3人，费用不下浮</w:t>
            </w:r>
          </w:p>
        </w:tc>
      </w:tr>
      <w:tr>
        <w:tblPrEx>
          <w:tblCellMar>
            <w:top w:w="0" w:type="dxa"/>
            <w:left w:w="0" w:type="dxa"/>
            <w:bottom w:w="0" w:type="dxa"/>
            <w:right w:w="0" w:type="dxa"/>
          </w:tblCellMar>
        </w:tblPrEx>
        <w:trPr>
          <w:trHeight w:val="428" w:hRule="atLeast"/>
        </w:trPr>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5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pStyle w:val="19"/>
        <w:tabs>
          <w:tab w:val="left" w:pos="4841"/>
        </w:tabs>
        <w:ind w:firstLine="0"/>
        <w:rPr>
          <w:rFonts w:eastAsia="宋体"/>
          <w:sz w:val="21"/>
          <w:szCs w:val="21"/>
        </w:rPr>
      </w:pPr>
      <w:r>
        <w:rPr>
          <w:rFonts w:hint="eastAsia" w:eastAsia="宋体"/>
          <w:sz w:val="21"/>
          <w:szCs w:val="21"/>
        </w:rPr>
        <w:t>标段四：</w:t>
      </w:r>
    </w:p>
    <w:tbl>
      <w:tblPr>
        <w:tblStyle w:val="46"/>
        <w:tblW w:w="8970" w:type="dxa"/>
        <w:tblInd w:w="-100" w:type="dxa"/>
        <w:tblLayout w:type="fixed"/>
        <w:tblCellMar>
          <w:top w:w="0" w:type="dxa"/>
          <w:left w:w="0" w:type="dxa"/>
          <w:bottom w:w="0" w:type="dxa"/>
          <w:right w:w="0" w:type="dxa"/>
        </w:tblCellMar>
      </w:tblPr>
      <w:tblGrid>
        <w:gridCol w:w="575"/>
        <w:gridCol w:w="1542"/>
        <w:gridCol w:w="1213"/>
        <w:gridCol w:w="1605"/>
        <w:gridCol w:w="821"/>
        <w:gridCol w:w="3214"/>
      </w:tblGrid>
      <w:tr>
        <w:tblPrEx>
          <w:tblCellMar>
            <w:top w:w="0" w:type="dxa"/>
            <w:left w:w="0" w:type="dxa"/>
            <w:bottom w:w="0" w:type="dxa"/>
            <w:right w:w="0" w:type="dxa"/>
          </w:tblCellMar>
        </w:tblPrEx>
        <w:trPr>
          <w:trHeight w:val="528" w:hRule="atLeast"/>
        </w:trPr>
        <w:tc>
          <w:tcPr>
            <w:tcW w:w="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8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2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543" w:hRule="atLeast"/>
        </w:trPr>
        <w:tc>
          <w:tcPr>
            <w:tcW w:w="5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鲜花种植</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176700株</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821"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1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68" w:hRule="atLeast"/>
        </w:trPr>
        <w:tc>
          <w:tcPr>
            <w:tcW w:w="5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鲜花摆放</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29400盆</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821"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1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529" w:hRule="atLeast"/>
        </w:trPr>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黑麦草套播</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29960㎡</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65" w:hRule="atLeast"/>
        </w:trPr>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公园巡查人员</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11人</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徐霞客公园4人、西苑和银菊公园1人，潘天寿广场6人；费用不下浮</w:t>
            </w:r>
          </w:p>
        </w:tc>
      </w:tr>
      <w:tr>
        <w:tblPrEx>
          <w:tblCellMar>
            <w:top w:w="0" w:type="dxa"/>
            <w:left w:w="0" w:type="dxa"/>
            <w:bottom w:w="0" w:type="dxa"/>
            <w:right w:w="0" w:type="dxa"/>
          </w:tblCellMar>
        </w:tblPrEx>
        <w:trPr>
          <w:trHeight w:val="404" w:hRule="atLeast"/>
        </w:trPr>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公园保洁人员</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6人</w:t>
            </w: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潘天寿广场4人，徐霞客公园2人；费用不下浮</w:t>
            </w:r>
          </w:p>
        </w:tc>
      </w:tr>
      <w:tr>
        <w:tblPrEx>
          <w:tblCellMar>
            <w:top w:w="0" w:type="dxa"/>
            <w:left w:w="0" w:type="dxa"/>
            <w:bottom w:w="0" w:type="dxa"/>
            <w:right w:w="0" w:type="dxa"/>
          </w:tblCellMar>
        </w:tblPrEx>
        <w:trPr>
          <w:trHeight w:val="414" w:hRule="atLeast"/>
        </w:trPr>
        <w:tc>
          <w:tcPr>
            <w:tcW w:w="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5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2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8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pStyle w:val="19"/>
        <w:tabs>
          <w:tab w:val="left" w:pos="4841"/>
        </w:tabs>
        <w:ind w:firstLine="0"/>
        <w:rPr>
          <w:rFonts w:eastAsia="宋体"/>
          <w:sz w:val="21"/>
          <w:szCs w:val="21"/>
        </w:rPr>
      </w:pPr>
      <w:r>
        <w:rPr>
          <w:rFonts w:hint="eastAsia" w:eastAsia="宋体"/>
          <w:sz w:val="21"/>
          <w:szCs w:val="21"/>
        </w:rPr>
        <w:t>标段五：</w:t>
      </w:r>
    </w:p>
    <w:tbl>
      <w:tblPr>
        <w:tblStyle w:val="46"/>
        <w:tblW w:w="9000" w:type="dxa"/>
        <w:tblInd w:w="-115" w:type="dxa"/>
        <w:tblLayout w:type="fixed"/>
        <w:tblCellMar>
          <w:top w:w="0" w:type="dxa"/>
          <w:left w:w="0" w:type="dxa"/>
          <w:bottom w:w="0" w:type="dxa"/>
          <w:right w:w="0" w:type="dxa"/>
        </w:tblCellMar>
      </w:tblPr>
      <w:tblGrid>
        <w:gridCol w:w="615"/>
        <w:gridCol w:w="1545"/>
        <w:gridCol w:w="1282"/>
        <w:gridCol w:w="1366"/>
        <w:gridCol w:w="982"/>
        <w:gridCol w:w="3210"/>
      </w:tblGrid>
      <w:tr>
        <w:tblPrEx>
          <w:tblCellMar>
            <w:top w:w="0" w:type="dxa"/>
            <w:left w:w="0" w:type="dxa"/>
            <w:bottom w:w="0" w:type="dxa"/>
            <w:right w:w="0" w:type="dxa"/>
          </w:tblCellMar>
        </w:tblPrEx>
        <w:trPr>
          <w:trHeight w:val="702"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2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3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538"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5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鲜花种植</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302360株</w:t>
            </w:r>
          </w:p>
        </w:tc>
        <w:tc>
          <w:tcPr>
            <w:tcW w:w="1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4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545" w:type="dxa"/>
            <w:tcBorders>
              <w:top w:val="nil"/>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黑麦草套播</w:t>
            </w:r>
          </w:p>
        </w:tc>
        <w:tc>
          <w:tcPr>
            <w:tcW w:w="128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30952盆</w:t>
            </w:r>
          </w:p>
        </w:tc>
        <w:tc>
          <w:tcPr>
            <w:tcW w:w="136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8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32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43"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红叶石楠柱修剪 补助</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3次</w:t>
            </w:r>
          </w:p>
        </w:tc>
        <w:tc>
          <w:tcPr>
            <w:tcW w:w="1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红叶石楠柱337株，一年修剪三次</w:t>
            </w:r>
          </w:p>
        </w:tc>
      </w:tr>
      <w:tr>
        <w:tblPrEx>
          <w:tblCellMar>
            <w:top w:w="0" w:type="dxa"/>
            <w:left w:w="0" w:type="dxa"/>
            <w:bottom w:w="0" w:type="dxa"/>
            <w:right w:w="0" w:type="dxa"/>
          </w:tblCellMar>
        </w:tblPrEx>
        <w:trPr>
          <w:trHeight w:val="552"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2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3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pStyle w:val="19"/>
        <w:tabs>
          <w:tab w:val="left" w:pos="4841"/>
        </w:tabs>
        <w:ind w:firstLine="0"/>
        <w:rPr>
          <w:rFonts w:eastAsia="宋体"/>
          <w:sz w:val="21"/>
          <w:szCs w:val="21"/>
        </w:rPr>
      </w:pPr>
      <w:r>
        <w:rPr>
          <w:rFonts w:hint="eastAsia" w:eastAsia="宋体"/>
          <w:sz w:val="21"/>
          <w:szCs w:val="21"/>
        </w:rPr>
        <w:t>标段六：</w:t>
      </w:r>
    </w:p>
    <w:tbl>
      <w:tblPr>
        <w:tblStyle w:val="46"/>
        <w:tblW w:w="8955" w:type="dxa"/>
        <w:tblInd w:w="-85" w:type="dxa"/>
        <w:tblLayout w:type="fixed"/>
        <w:tblCellMar>
          <w:top w:w="0" w:type="dxa"/>
          <w:left w:w="0" w:type="dxa"/>
          <w:bottom w:w="0" w:type="dxa"/>
          <w:right w:w="0" w:type="dxa"/>
        </w:tblCellMar>
      </w:tblPr>
      <w:tblGrid>
        <w:gridCol w:w="525"/>
        <w:gridCol w:w="1575"/>
        <w:gridCol w:w="1305"/>
        <w:gridCol w:w="1373"/>
        <w:gridCol w:w="982"/>
        <w:gridCol w:w="3195"/>
      </w:tblGrid>
      <w:tr>
        <w:tblPrEx>
          <w:tblCellMar>
            <w:top w:w="0" w:type="dxa"/>
            <w:left w:w="0" w:type="dxa"/>
            <w:bottom w:w="0" w:type="dxa"/>
            <w:right w:w="0" w:type="dxa"/>
          </w:tblCellMar>
        </w:tblPrEx>
        <w:trPr>
          <w:trHeight w:val="653" w:hRule="atLeast"/>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9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537"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鲜花种植</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112380株</w:t>
            </w: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33"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黑麦草套播</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28131㎡</w:t>
            </w: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548"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红叶石楠柱修剪补助</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3次</w:t>
            </w: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红叶石楠柱399株，一年修剪3次</w:t>
            </w:r>
          </w:p>
        </w:tc>
      </w:tr>
      <w:tr>
        <w:tblPrEx>
          <w:tblCellMar>
            <w:top w:w="0" w:type="dxa"/>
            <w:left w:w="0" w:type="dxa"/>
            <w:bottom w:w="0" w:type="dxa"/>
            <w:right w:w="0" w:type="dxa"/>
          </w:tblCellMar>
        </w:tblPrEx>
        <w:trPr>
          <w:trHeight w:val="450"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公园巡查人员</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2人</w:t>
            </w: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9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天明湖公园2人；费用不下浮</w:t>
            </w:r>
          </w:p>
        </w:tc>
      </w:tr>
      <w:tr>
        <w:tblPrEx>
          <w:tblCellMar>
            <w:top w:w="0" w:type="dxa"/>
            <w:left w:w="0" w:type="dxa"/>
            <w:bottom w:w="0" w:type="dxa"/>
            <w:right w:w="0" w:type="dxa"/>
          </w:tblCellMar>
        </w:tblPrEx>
        <w:trPr>
          <w:trHeight w:val="597"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公园保洁人员</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2人</w:t>
            </w: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9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天明湖公园2人；费用不下浮</w:t>
            </w:r>
          </w:p>
        </w:tc>
      </w:tr>
      <w:tr>
        <w:tblPrEx>
          <w:tblCellMar>
            <w:top w:w="0" w:type="dxa"/>
            <w:left w:w="0" w:type="dxa"/>
            <w:bottom w:w="0" w:type="dxa"/>
            <w:right w:w="0" w:type="dxa"/>
          </w:tblCellMar>
        </w:tblPrEx>
        <w:trPr>
          <w:trHeight w:val="607" w:hRule="atLeast"/>
        </w:trPr>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3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1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pStyle w:val="19"/>
        <w:tabs>
          <w:tab w:val="left" w:pos="4841"/>
        </w:tabs>
        <w:ind w:firstLine="0"/>
        <w:rPr>
          <w:rFonts w:eastAsia="宋体"/>
          <w:sz w:val="21"/>
          <w:szCs w:val="21"/>
        </w:rPr>
      </w:pPr>
      <w:r>
        <w:rPr>
          <w:rFonts w:hint="eastAsia" w:eastAsia="宋体"/>
          <w:sz w:val="21"/>
          <w:szCs w:val="21"/>
        </w:rPr>
        <w:t>标段七：</w:t>
      </w:r>
    </w:p>
    <w:tbl>
      <w:tblPr>
        <w:tblStyle w:val="46"/>
        <w:tblW w:w="8985" w:type="dxa"/>
        <w:tblInd w:w="-115" w:type="dxa"/>
        <w:tblLayout w:type="fixed"/>
        <w:tblCellMar>
          <w:top w:w="0" w:type="dxa"/>
          <w:left w:w="0" w:type="dxa"/>
          <w:bottom w:w="0" w:type="dxa"/>
          <w:right w:w="0" w:type="dxa"/>
        </w:tblCellMar>
      </w:tblPr>
      <w:tblGrid>
        <w:gridCol w:w="625"/>
        <w:gridCol w:w="1433"/>
        <w:gridCol w:w="1232"/>
        <w:gridCol w:w="1518"/>
        <w:gridCol w:w="946"/>
        <w:gridCol w:w="3231"/>
      </w:tblGrid>
      <w:tr>
        <w:tblPrEx>
          <w:tblCellMar>
            <w:top w:w="0" w:type="dxa"/>
            <w:left w:w="0" w:type="dxa"/>
            <w:bottom w:w="0" w:type="dxa"/>
            <w:right w:w="0" w:type="dxa"/>
          </w:tblCellMar>
        </w:tblPrEx>
        <w:trPr>
          <w:trHeight w:val="531" w:hRule="atLeast"/>
        </w:trPr>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5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单价</w:t>
            </w:r>
          </w:p>
        </w:tc>
        <w:tc>
          <w:tcPr>
            <w:tcW w:w="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养护经费（元/年）</w:t>
            </w:r>
          </w:p>
        </w:tc>
        <w:tc>
          <w:tcPr>
            <w:tcW w:w="32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29" w:hRule="atLeast"/>
        </w:trPr>
        <w:tc>
          <w:tcPr>
            <w:tcW w:w="62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鲜花种植</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33456株</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4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3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29" w:hRule="atLeast"/>
        </w:trPr>
        <w:tc>
          <w:tcPr>
            <w:tcW w:w="62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鲜花摆放</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15000盆</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46"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3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r>
        <w:tblPrEx>
          <w:tblCellMar>
            <w:top w:w="0" w:type="dxa"/>
            <w:left w:w="0" w:type="dxa"/>
            <w:bottom w:w="0" w:type="dxa"/>
            <w:right w:w="0" w:type="dxa"/>
          </w:tblCellMar>
        </w:tblPrEx>
        <w:trPr>
          <w:trHeight w:val="429" w:hRule="atLeast"/>
        </w:trPr>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黑麦草套播</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17914㎡</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sz w:val="18"/>
                <w:szCs w:val="18"/>
              </w:rPr>
              <w:t>数量按实结算</w:t>
            </w:r>
          </w:p>
        </w:tc>
      </w:tr>
      <w:tr>
        <w:tblPrEx>
          <w:tblCellMar>
            <w:top w:w="0" w:type="dxa"/>
            <w:left w:w="0" w:type="dxa"/>
            <w:bottom w:w="0" w:type="dxa"/>
            <w:right w:w="0" w:type="dxa"/>
          </w:tblCellMar>
        </w:tblPrEx>
        <w:trPr>
          <w:trHeight w:val="429" w:hRule="atLeast"/>
        </w:trPr>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公园巡查人员</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8人</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45000元/人.年</w:t>
            </w: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柔石公园8人；费用不下浮</w:t>
            </w:r>
          </w:p>
        </w:tc>
      </w:tr>
      <w:tr>
        <w:tblPrEx>
          <w:tblCellMar>
            <w:top w:w="0" w:type="dxa"/>
            <w:left w:w="0" w:type="dxa"/>
            <w:bottom w:w="0" w:type="dxa"/>
            <w:right w:w="0" w:type="dxa"/>
          </w:tblCellMar>
        </w:tblPrEx>
        <w:trPr>
          <w:trHeight w:val="429" w:hRule="atLeast"/>
        </w:trPr>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公园保洁人员</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5人</w:t>
            </w: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43000元/人.年</w:t>
            </w: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柔石公园5人；费用不下浮</w:t>
            </w:r>
          </w:p>
        </w:tc>
      </w:tr>
      <w:tr>
        <w:tblPrEx>
          <w:tblCellMar>
            <w:top w:w="0" w:type="dxa"/>
            <w:left w:w="0" w:type="dxa"/>
            <w:bottom w:w="0" w:type="dxa"/>
            <w:right w:w="0" w:type="dxa"/>
          </w:tblCellMar>
        </w:tblPrEx>
        <w:trPr>
          <w:trHeight w:val="439" w:hRule="atLeast"/>
        </w:trPr>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2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5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9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32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18"/>
                <w:szCs w:val="18"/>
              </w:rPr>
            </w:pPr>
          </w:p>
        </w:tc>
      </w:tr>
    </w:tbl>
    <w:p>
      <w:pPr>
        <w:pStyle w:val="19"/>
        <w:tabs>
          <w:tab w:val="left" w:pos="4841"/>
        </w:tabs>
        <w:ind w:firstLine="0"/>
        <w:rPr>
          <w:rFonts w:eastAsia="宋体"/>
          <w:sz w:val="21"/>
          <w:szCs w:val="21"/>
        </w:rPr>
      </w:pPr>
      <w:r>
        <w:rPr>
          <w:rFonts w:hint="eastAsia" w:eastAsia="宋体"/>
          <w:sz w:val="21"/>
          <w:szCs w:val="21"/>
        </w:rPr>
        <w:t>备注：投标人应根据招标项目特征及理解分解，如实填报有关各分项有关报价的情况，并核实价格组成与总和。</w:t>
      </w:r>
    </w:p>
    <w:p>
      <w:pPr>
        <w:pStyle w:val="19"/>
        <w:tabs>
          <w:tab w:val="left" w:pos="4841"/>
        </w:tabs>
        <w:ind w:firstLine="0"/>
        <w:rPr>
          <w:rFonts w:eastAsia="宋体"/>
          <w:sz w:val="21"/>
          <w:szCs w:val="21"/>
        </w:rPr>
      </w:pPr>
    </w:p>
    <w:p>
      <w:pPr>
        <w:pStyle w:val="19"/>
        <w:spacing w:line="240" w:lineRule="auto"/>
        <w:ind w:firstLine="0"/>
        <w:jc w:val="left"/>
        <w:rPr>
          <w:rFonts w:eastAsia="仿宋_GB2312"/>
          <w:w w:val="80"/>
          <w:sz w:val="21"/>
          <w:szCs w:val="21"/>
        </w:rPr>
      </w:pPr>
    </w:p>
    <w:p>
      <w:pPr>
        <w:pStyle w:val="19"/>
        <w:spacing w:line="240" w:lineRule="auto"/>
        <w:ind w:firstLine="0"/>
        <w:jc w:val="left"/>
        <w:rPr>
          <w:rFonts w:eastAsia="仿宋_GB2312"/>
          <w:w w:val="80"/>
          <w:sz w:val="21"/>
          <w:szCs w:val="21"/>
        </w:rPr>
      </w:pPr>
    </w:p>
    <w:p>
      <w:pPr>
        <w:pStyle w:val="19"/>
        <w:tabs>
          <w:tab w:val="left" w:pos="4841"/>
        </w:tabs>
        <w:ind w:firstLine="0"/>
        <w:rPr>
          <w:rFonts w:eastAsia="宋体"/>
          <w:sz w:val="21"/>
          <w:szCs w:val="21"/>
        </w:rPr>
      </w:pPr>
      <w:r>
        <w:rPr>
          <w:rFonts w:hint="eastAsia" w:eastAsia="宋体"/>
          <w:sz w:val="21"/>
          <w:szCs w:val="21"/>
        </w:rPr>
        <w:t>投标人（盖章）：</w:t>
      </w:r>
    </w:p>
    <w:p>
      <w:pPr>
        <w:pStyle w:val="19"/>
        <w:tabs>
          <w:tab w:val="left" w:pos="4841"/>
        </w:tabs>
        <w:ind w:firstLine="0"/>
        <w:rPr>
          <w:rFonts w:eastAsia="宋体"/>
          <w:sz w:val="21"/>
          <w:szCs w:val="21"/>
        </w:rPr>
      </w:pPr>
      <w:r>
        <w:rPr>
          <w:rFonts w:hint="eastAsia" w:eastAsia="宋体"/>
          <w:sz w:val="21"/>
          <w:szCs w:val="21"/>
        </w:rPr>
        <w:t>授权代表人（签字）：</w:t>
      </w:r>
    </w:p>
    <w:p>
      <w:pPr>
        <w:pStyle w:val="19"/>
        <w:tabs>
          <w:tab w:val="left" w:pos="4841"/>
        </w:tabs>
        <w:ind w:firstLine="0"/>
        <w:rPr>
          <w:rFonts w:eastAsia="宋体"/>
          <w:sz w:val="21"/>
          <w:szCs w:val="21"/>
        </w:rPr>
      </w:pPr>
      <w:r>
        <w:rPr>
          <w:rFonts w:hint="eastAsia" w:eastAsia="宋体"/>
          <w:sz w:val="21"/>
          <w:szCs w:val="21"/>
        </w:rPr>
        <w:t>日期：</w:t>
      </w:r>
    </w:p>
    <w:p>
      <w:pPr>
        <w:pStyle w:val="19"/>
        <w:tabs>
          <w:tab w:val="left" w:pos="4841"/>
        </w:tabs>
        <w:ind w:firstLine="0"/>
        <w:rPr>
          <w:rFonts w:eastAsia="宋体"/>
          <w:sz w:val="21"/>
          <w:szCs w:val="21"/>
        </w:rPr>
      </w:pPr>
    </w:p>
    <w:p/>
    <w:p/>
    <w:p>
      <w:pPr>
        <w:pStyle w:val="19"/>
        <w:spacing w:line="360" w:lineRule="auto"/>
        <w:rPr>
          <w:rFonts w:ascii="宋体" w:hAnsi="宋体" w:eastAsia="宋体"/>
          <w:w w:val="80"/>
          <w:sz w:val="21"/>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格式三：小微企业声明函</w:t>
      </w:r>
    </w:p>
    <w:p>
      <w:pPr>
        <w:pStyle w:val="19"/>
        <w:jc w:val="center"/>
        <w:rPr>
          <w:rFonts w:hAnsi="宋体"/>
          <w:b/>
          <w:color w:val="000000"/>
          <w:sz w:val="28"/>
        </w:rPr>
      </w:pPr>
    </w:p>
    <w:p>
      <w:pPr>
        <w:pStyle w:val="19"/>
        <w:jc w:val="center"/>
        <w:rPr>
          <w:rFonts w:hAnsi="宋体"/>
          <w:b/>
          <w:color w:val="000000"/>
          <w:sz w:val="28"/>
        </w:rPr>
      </w:pPr>
      <w:r>
        <w:rPr>
          <w:rFonts w:hint="eastAsia" w:hAnsi="宋体"/>
          <w:b/>
          <w:color w:val="000000"/>
          <w:sz w:val="28"/>
        </w:rPr>
        <w:t>小微企业声明函（如有）</w:t>
      </w:r>
    </w:p>
    <w:p>
      <w:pPr>
        <w:snapToGrid w:val="0"/>
        <w:spacing w:line="360" w:lineRule="auto"/>
        <w:jc w:val="left"/>
        <w:rPr>
          <w:rFonts w:ascii="宋体" w:hAnsi="宋体" w:cs="宋体"/>
          <w:szCs w:val="21"/>
        </w:rPr>
      </w:pPr>
    </w:p>
    <w:p>
      <w:pPr>
        <w:snapToGrid w:val="0"/>
        <w:spacing w:line="360" w:lineRule="auto"/>
        <w:jc w:val="left"/>
        <w:rPr>
          <w:rFonts w:ascii="宋体" w:hAnsi="宋体" w:cs="宋体"/>
          <w:szCs w:val="21"/>
        </w:rPr>
      </w:pPr>
      <w:r>
        <w:rPr>
          <w:rFonts w:hint="eastAsia" w:ascii="宋体" w:hAnsi="宋体" w:cs="宋体"/>
          <w:szCs w:val="21"/>
        </w:rPr>
        <w:t xml:space="preserve">    本公司郑重声明，根据《政府采购促进中小企业发展暂行办法》(财库【2011】181号）的规定，本公司为 （请填写：中型、小型、微型）企业。即本公司同时满足以下条件：</w:t>
      </w:r>
    </w:p>
    <w:p>
      <w:pPr>
        <w:snapToGrid w:val="0"/>
        <w:spacing w:line="360" w:lineRule="auto"/>
        <w:jc w:val="left"/>
        <w:rPr>
          <w:rFonts w:ascii="宋体" w:hAnsi="宋体" w:cs="宋体"/>
          <w:szCs w:val="21"/>
        </w:rPr>
      </w:pPr>
    </w:p>
    <w:p>
      <w:pPr>
        <w:snapToGrid w:val="0"/>
        <w:spacing w:line="360" w:lineRule="auto"/>
        <w:jc w:val="left"/>
        <w:rPr>
          <w:rFonts w:ascii="宋体" w:hAnsi="宋体" w:cs="宋体"/>
          <w:szCs w:val="21"/>
        </w:rPr>
      </w:pPr>
      <w:r>
        <w:rPr>
          <w:rFonts w:hint="eastAsia" w:ascii="宋体" w:hAnsi="宋体" w:cs="宋体"/>
          <w:szCs w:val="21"/>
        </w:rPr>
        <w:t xml:space="preserve">   1. 根据《工业和信息化部、国家统计局、国家发展和改革委员会、财政部关于印发中小企业划行标准规定的通知》（工信部联企业【2011】300号）规定的划分标准，本公司为 （请填写：中型、小型、微型）企业。</w:t>
      </w:r>
    </w:p>
    <w:p>
      <w:pPr>
        <w:snapToGrid w:val="0"/>
        <w:spacing w:line="360" w:lineRule="auto"/>
        <w:jc w:val="left"/>
        <w:rPr>
          <w:rFonts w:ascii="宋体" w:hAnsi="宋体" w:cs="宋体"/>
          <w:szCs w:val="21"/>
        </w:rPr>
      </w:pPr>
    </w:p>
    <w:p>
      <w:pPr>
        <w:snapToGrid w:val="0"/>
        <w:spacing w:line="360" w:lineRule="auto"/>
        <w:jc w:val="left"/>
        <w:rPr>
          <w:rFonts w:ascii="宋体" w:hAnsi="宋体" w:cs="宋体"/>
          <w:szCs w:val="21"/>
        </w:rPr>
      </w:pPr>
      <w:r>
        <w:rPr>
          <w:rFonts w:hint="eastAsia" w:ascii="宋体" w:hAnsi="宋体" w:cs="宋体"/>
          <w:szCs w:val="21"/>
        </w:rPr>
        <w:t xml:space="preserve">   2.本公司参加单位的项目采购活动,由本企业承担工程、提供服务，或者提供其他</w:t>
      </w:r>
      <w:r>
        <w:rPr>
          <w:rFonts w:hint="eastAsia" w:ascii="宋体" w:hAnsi="宋体" w:cs="宋体"/>
          <w:szCs w:val="21"/>
          <w:u w:val="single"/>
        </w:rPr>
        <w:t xml:space="preserve">           （</w:t>
      </w:r>
      <w:r>
        <w:rPr>
          <w:rFonts w:hint="eastAsia" w:ascii="宋体" w:hAnsi="宋体" w:cs="宋体"/>
          <w:szCs w:val="21"/>
        </w:rPr>
        <w:t>请填写：中型、小型、微型）企业制造的货物。</w:t>
      </w:r>
    </w:p>
    <w:p>
      <w:pPr>
        <w:snapToGrid w:val="0"/>
        <w:spacing w:line="360" w:lineRule="auto"/>
        <w:jc w:val="left"/>
        <w:rPr>
          <w:rFonts w:ascii="宋体" w:hAnsi="宋体" w:cs="宋体"/>
          <w:szCs w:val="21"/>
        </w:rPr>
      </w:pPr>
      <w:r>
        <w:rPr>
          <w:rFonts w:hint="eastAsia" w:ascii="宋体" w:hAnsi="宋体" w:cs="宋体"/>
          <w:szCs w:val="21"/>
        </w:rPr>
        <w:t xml:space="preserve">   本公司对上述声明的真实性负责。如有虚假，将依法承担相应责任。</w:t>
      </w:r>
    </w:p>
    <w:p>
      <w:pPr>
        <w:snapToGrid w:val="0"/>
        <w:spacing w:line="360" w:lineRule="auto"/>
        <w:jc w:val="left"/>
        <w:rPr>
          <w:rFonts w:ascii="宋体" w:hAnsi="宋体" w:cs="宋体"/>
          <w:szCs w:val="21"/>
        </w:rPr>
      </w:pPr>
    </w:p>
    <w:p>
      <w:pPr>
        <w:snapToGrid w:val="0"/>
        <w:spacing w:line="360" w:lineRule="auto"/>
        <w:jc w:val="left"/>
        <w:rPr>
          <w:rFonts w:ascii="宋体" w:hAnsi="宋体" w:cs="宋体"/>
          <w:szCs w:val="21"/>
        </w:rPr>
      </w:pPr>
      <w:r>
        <w:rPr>
          <w:rFonts w:hint="eastAsia" w:ascii="宋体" w:hAnsi="宋体" w:cs="宋体"/>
          <w:szCs w:val="21"/>
        </w:rPr>
        <w:t xml:space="preserve">                                                 企业名称（盖章）：</w:t>
      </w:r>
    </w:p>
    <w:p>
      <w:pPr>
        <w:snapToGrid w:val="0"/>
        <w:spacing w:line="360" w:lineRule="auto"/>
        <w:jc w:val="left"/>
        <w:rPr>
          <w:rFonts w:ascii="宋体" w:hAnsi="宋体" w:cs="宋体"/>
          <w:szCs w:val="21"/>
        </w:rPr>
      </w:pPr>
      <w:r>
        <w:rPr>
          <w:rFonts w:hint="eastAsia" w:ascii="宋体" w:hAnsi="宋体" w:cs="宋体"/>
          <w:szCs w:val="21"/>
        </w:rPr>
        <w:t xml:space="preserve">                                                  日期：</w:t>
      </w:r>
    </w:p>
    <w:p>
      <w:pPr>
        <w:snapToGrid w:val="0"/>
        <w:spacing w:line="360" w:lineRule="auto"/>
        <w:jc w:val="left"/>
        <w:rPr>
          <w:rFonts w:ascii="宋体" w:hAnsi="宋体" w:cs="宋体"/>
          <w:szCs w:val="21"/>
          <w:u w:val="single"/>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rPr>
          <w:color w:val="000000"/>
          <w:szCs w:val="21"/>
        </w:rPr>
      </w:pPr>
    </w:p>
    <w:p>
      <w:pPr>
        <w:pStyle w:val="3"/>
        <w:rPr>
          <w:color w:val="000000"/>
          <w:szCs w:val="21"/>
        </w:rPr>
      </w:pPr>
    </w:p>
    <w:p>
      <w:pPr>
        <w:rPr>
          <w:color w:val="000000"/>
          <w:szCs w:val="21"/>
        </w:rPr>
      </w:pPr>
    </w:p>
    <w:p>
      <w:pPr>
        <w:pStyle w:val="3"/>
        <w:rPr>
          <w:color w:val="000000"/>
          <w:szCs w:val="21"/>
        </w:rPr>
      </w:pPr>
    </w:p>
    <w:p>
      <w:pPr>
        <w:rPr>
          <w:color w:val="000000"/>
          <w:szCs w:val="21"/>
        </w:rPr>
      </w:pPr>
    </w:p>
    <w:p>
      <w:pPr>
        <w:pStyle w:val="19"/>
        <w:spacing w:line="520" w:lineRule="exact"/>
        <w:ind w:firstLine="0"/>
        <w:rPr>
          <w:rFonts w:hAnsi="宋体" w:cs="宋体"/>
          <w:b/>
          <w:sz w:val="21"/>
        </w:rPr>
      </w:pPr>
      <w:r>
        <w:rPr>
          <w:rFonts w:hint="eastAsia" w:hAnsi="宋体" w:cs="宋体"/>
          <w:b/>
          <w:sz w:val="21"/>
        </w:rPr>
        <w:t>填写说明：</w:t>
      </w:r>
    </w:p>
    <w:p>
      <w:pPr>
        <w:pStyle w:val="19"/>
        <w:spacing w:line="520" w:lineRule="exact"/>
        <w:ind w:firstLine="0"/>
        <w:rPr>
          <w:rFonts w:hAnsi="宋体" w:cs="宋体"/>
          <w:sz w:val="21"/>
        </w:rPr>
      </w:pPr>
      <w:r>
        <w:rPr>
          <w:rFonts w:hint="eastAsia" w:hAnsi="宋体" w:cs="宋体"/>
          <w:sz w:val="21"/>
        </w:rPr>
        <w:t xml:space="preserve">   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19"/>
        <w:spacing w:line="520" w:lineRule="exact"/>
        <w:rPr>
          <w:rFonts w:hAnsi="宋体" w:cs="宋体"/>
          <w:sz w:val="21"/>
        </w:rPr>
      </w:pPr>
      <w:r>
        <w:rPr>
          <w:rFonts w:hint="eastAsia" w:hAnsi="宋体" w:cs="宋体"/>
          <w:sz w:val="21"/>
        </w:rPr>
        <w:t>2、第1条宁波政府采购网（www.nbzfcg.cn）注册的企业投标人须根据上年财务报表等，登录进入网上投标人平台中“投标人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投标人不划型。</w:t>
      </w:r>
    </w:p>
    <w:p>
      <w:pPr>
        <w:pStyle w:val="19"/>
        <w:spacing w:line="520" w:lineRule="exact"/>
        <w:rPr>
          <w:rFonts w:hAnsi="宋体" w:cs="宋体"/>
          <w:sz w:val="21"/>
        </w:rPr>
      </w:pPr>
      <w:r>
        <w:rPr>
          <w:rFonts w:hint="eastAsia" w:hAnsi="宋体" w:cs="宋体"/>
          <w:sz w:val="21"/>
        </w:rPr>
        <w:t>3、第2条有多个标包的，须按每个标包分别填写，无此分类货物金额的应填“零”。</w:t>
      </w:r>
    </w:p>
    <w:p>
      <w:pPr>
        <w:pStyle w:val="19"/>
        <w:spacing w:line="520" w:lineRule="exact"/>
        <w:rPr>
          <w:rFonts w:hAnsi="宋体" w:cs="宋体"/>
          <w:sz w:val="21"/>
        </w:rPr>
      </w:pPr>
      <w:r>
        <w:rPr>
          <w:rFonts w:hint="eastAsia" w:hAnsi="宋体" w:cs="宋体"/>
          <w:sz w:val="21"/>
        </w:rPr>
        <w:t>4、联合体投标的，由联合体主办方提供本表。</w:t>
      </w:r>
    </w:p>
    <w:p>
      <w:pPr>
        <w:pStyle w:val="19"/>
        <w:spacing w:line="520" w:lineRule="exact"/>
        <w:rPr>
          <w:rFonts w:hAnsi="宋体" w:cs="宋体"/>
          <w:sz w:val="21"/>
        </w:rPr>
      </w:pPr>
      <w:r>
        <w:rPr>
          <w:rFonts w:hint="eastAsia" w:hAnsi="宋体" w:cs="宋体"/>
          <w:sz w:val="21"/>
        </w:rPr>
        <w:t>5、资格入围式项目（一个标包由多家中标入围）：招标人公布项目预算的，第2条有关金额按市场预估总价、投标预估总价除以入围数量填写；未公布预算的或入围数量的，投标人无需填写。</w:t>
      </w:r>
    </w:p>
    <w:p>
      <w:pPr>
        <w:pStyle w:val="19"/>
        <w:spacing w:line="520" w:lineRule="exact"/>
        <w:rPr>
          <w:rFonts w:hAnsi="宋体" w:cs="宋体"/>
          <w:sz w:val="21"/>
        </w:rPr>
      </w:pPr>
      <w:r>
        <w:rPr>
          <w:rFonts w:hint="eastAsia" w:hAnsi="宋体" w:cs="宋体"/>
          <w:sz w:val="21"/>
        </w:rPr>
        <w:t>6、投标价格为费率的项目、中标价格按单价执行的项目：招标人公布项目预算的，第2条有关金额按市场预估总价、投标预估总价填写；未公布预算的，投标人无需填写。</w:t>
      </w:r>
    </w:p>
    <w:p>
      <w:pPr>
        <w:pStyle w:val="19"/>
        <w:spacing w:line="520" w:lineRule="exact"/>
        <w:rPr>
          <w:rFonts w:hAnsi="宋体" w:cs="宋体"/>
          <w:sz w:val="21"/>
        </w:rPr>
      </w:pPr>
      <w:r>
        <w:rPr>
          <w:rFonts w:hint="eastAsia" w:hAnsi="宋体" w:cs="宋体"/>
          <w:sz w:val="21"/>
        </w:rPr>
        <w:t>7、列入国家节能产品清单、环保产品清单的产品以中国政府采购网(www.ccgp.gov.cn)上财政部发布的文件为准。</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pStyle w:val="3"/>
        <w:rPr>
          <w:rFonts w:hAnsi="宋体" w:cs="宋体"/>
          <w:szCs w:val="21"/>
        </w:rPr>
      </w:pPr>
    </w:p>
    <w:p>
      <w:pPr>
        <w:rPr>
          <w:rFonts w:ascii="宋体" w:hAnsi="宋体" w:cs="宋体"/>
          <w:szCs w:val="21"/>
        </w:rPr>
      </w:pPr>
    </w:p>
    <w:p>
      <w:pPr>
        <w:pStyle w:val="3"/>
      </w:pPr>
    </w:p>
    <w:p>
      <w:pPr>
        <w:snapToGrid w:val="0"/>
        <w:spacing w:line="400" w:lineRule="exact"/>
        <w:rPr>
          <w:rFonts w:ascii="宋体" w:hAnsi="宋体" w:cs="宋体"/>
          <w:szCs w:val="21"/>
        </w:rPr>
      </w:pPr>
    </w:p>
    <w:p>
      <w:pPr>
        <w:spacing w:before="240" w:line="360" w:lineRule="auto"/>
        <w:rPr>
          <w:rFonts w:ascii="宋体" w:hAnsi="宋体" w:cs="宋体"/>
        </w:rPr>
      </w:pPr>
      <w:r>
        <w:rPr>
          <w:rFonts w:hint="eastAsia" w:ascii="宋体" w:hAnsi="宋体"/>
          <w:szCs w:val="21"/>
        </w:rPr>
        <w:t>格式四：残疾人福利性单位声明函</w:t>
      </w:r>
    </w:p>
    <w:p>
      <w:pPr>
        <w:pStyle w:val="19"/>
        <w:jc w:val="center"/>
        <w:rPr>
          <w:rFonts w:hAnsi="宋体"/>
          <w:b/>
          <w:color w:val="000000"/>
          <w:sz w:val="28"/>
        </w:rPr>
      </w:pPr>
    </w:p>
    <w:p>
      <w:pPr>
        <w:pStyle w:val="19"/>
        <w:jc w:val="center"/>
        <w:rPr>
          <w:rFonts w:hAnsi="宋体"/>
          <w:b/>
          <w:color w:val="000000"/>
          <w:sz w:val="28"/>
        </w:rPr>
      </w:pPr>
      <w:r>
        <w:rPr>
          <w:rFonts w:hint="eastAsia" w:hAnsi="宋体"/>
          <w:b/>
          <w:color w:val="000000"/>
          <w:sz w:val="28"/>
        </w:rPr>
        <w:t>残疾人福利性单位声明函</w:t>
      </w:r>
    </w:p>
    <w:p>
      <w:pPr>
        <w:spacing w:line="588" w:lineRule="exact"/>
        <w:rPr>
          <w:rFonts w:ascii="宋体" w:hAnsi="宋体" w:cs="宋体"/>
          <w:b/>
          <w:spacing w:val="6"/>
          <w:szCs w:val="21"/>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ascii="宋体" w:hAnsi="宋体" w:cs="宋体"/>
          <w:spacing w:val="6"/>
          <w:szCs w:val="21"/>
        </w:rPr>
      </w:pPr>
    </w:p>
    <w:p>
      <w:pPr>
        <w:spacing w:line="588" w:lineRule="exact"/>
        <w:ind w:firstLine="444" w:firstLineChars="200"/>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单位名称（盖章）：</w:t>
      </w: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 xml:space="preserve">       日  期：</w:t>
      </w:r>
    </w:p>
    <w:p>
      <w:pPr>
        <w:tabs>
          <w:tab w:val="left" w:pos="4860"/>
        </w:tabs>
        <w:spacing w:line="588" w:lineRule="exact"/>
        <w:ind w:right="1560" w:firstLine="444" w:firstLineChars="200"/>
        <w:jc w:val="center"/>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p>
    <w:p>
      <w:pPr>
        <w:pStyle w:val="3"/>
        <w:rPr>
          <w:rFonts w:hAnsi="宋体" w:cs="宋体"/>
          <w:spacing w:val="6"/>
          <w:szCs w:val="21"/>
        </w:rPr>
      </w:pPr>
    </w:p>
    <w:p>
      <w:pPr>
        <w:rPr>
          <w:rFonts w:ascii="宋体" w:hAnsi="宋体" w:cs="宋体"/>
          <w:spacing w:val="6"/>
          <w:szCs w:val="21"/>
        </w:rPr>
      </w:pPr>
    </w:p>
    <w:p>
      <w:pPr>
        <w:pStyle w:val="3"/>
      </w:pPr>
    </w:p>
    <w:p>
      <w:pPr>
        <w:tabs>
          <w:tab w:val="left" w:pos="4860"/>
        </w:tabs>
        <w:spacing w:line="588" w:lineRule="exact"/>
        <w:ind w:right="1560" w:firstLine="444" w:firstLineChars="200"/>
        <w:jc w:val="center"/>
        <w:rPr>
          <w:rFonts w:ascii="宋体" w:hAnsi="宋体" w:cs="宋体"/>
          <w:spacing w:val="6"/>
          <w:szCs w:val="21"/>
        </w:rPr>
      </w:pPr>
    </w:p>
    <w:p>
      <w:pPr>
        <w:tabs>
          <w:tab w:val="left" w:pos="4860"/>
        </w:tabs>
        <w:spacing w:line="588" w:lineRule="exact"/>
        <w:ind w:right="1560" w:firstLine="444" w:firstLineChars="200"/>
        <w:jc w:val="center"/>
        <w:rPr>
          <w:rFonts w:ascii="宋体" w:hAnsi="宋体" w:cs="宋体"/>
          <w:spacing w:val="6"/>
          <w:szCs w:val="21"/>
        </w:rPr>
      </w:pPr>
    </w:p>
    <w:p>
      <w:pPr>
        <w:rPr>
          <w:rFonts w:ascii="宋体" w:hAnsi="宋体" w:cs="宋体"/>
          <w:b/>
          <w:bCs/>
          <w:szCs w:val="21"/>
        </w:rPr>
      </w:pPr>
    </w:p>
    <w:p>
      <w:pPr>
        <w:rPr>
          <w:rFonts w:ascii="宋体"/>
          <w:b/>
          <w:szCs w:val="21"/>
        </w:rPr>
      </w:pPr>
      <w:r>
        <w:rPr>
          <w:rFonts w:hint="eastAsia" w:ascii="宋体" w:hAnsi="宋体" w:cs="宋体"/>
          <w:b/>
          <w:bCs/>
          <w:szCs w:val="21"/>
        </w:rPr>
        <w:t>格式五：投标人针对报价需要说明的其他文件和说明（格式自拟）</w:t>
      </w:r>
    </w:p>
    <w:p>
      <w:pPr>
        <w:pStyle w:val="4"/>
        <w:spacing w:before="0" w:after="0" w:line="240" w:lineRule="auto"/>
        <w:ind w:right="-567"/>
        <w:jc w:val="left"/>
        <w:rPr>
          <w:rFonts w:ascii="宋体" w:hAnsi="宋体" w:eastAsia="宋体"/>
          <w:b w:val="0"/>
          <w:bCs w:val="0"/>
          <w:w w:val="80"/>
          <w:sz w:val="21"/>
          <w:szCs w:val="21"/>
        </w:rPr>
      </w:pPr>
    </w:p>
    <w:bookmarkEnd w:id="110"/>
    <w:p>
      <w:pPr>
        <w:pStyle w:val="4"/>
        <w:spacing w:before="0" w:after="0" w:line="240" w:lineRule="auto"/>
        <w:ind w:right="-567"/>
        <w:jc w:val="left"/>
      </w:pPr>
    </w:p>
    <w:sectPr>
      <w:pgSz w:w="11907" w:h="16840"/>
      <w:pgMar w:top="1247" w:right="1531" w:bottom="1304" w:left="1531" w:header="426" w:footer="708"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MS Sans Serif">
    <w:altName w:val="Courier New"/>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微软雅黑 Light">
    <w:altName w:val="黑体"/>
    <w:panose1 w:val="00000000000000000000"/>
    <w:charset w:val="86"/>
    <w:family w:val="swiss"/>
    <w:pitch w:val="default"/>
    <w:sig w:usb0="00000000" w:usb1="00000000"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50602020203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黑体"/>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FangSong_GB2312,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831" w:wrap="around" w:vAnchor="text" w:hAnchor="page" w:x="10344" w:y="327"/>
      <w:jc w:val="center"/>
      <w:rPr>
        <w:rStyle w:val="50"/>
      </w:rPr>
    </w:pPr>
    <w:r>
      <w:rPr>
        <w:rStyle w:val="50"/>
        <w:rFonts w:hint="eastAsia"/>
      </w:rPr>
      <w:t xml:space="preserve">第 </w:t>
    </w:r>
    <w:r>
      <w:fldChar w:fldCharType="begin"/>
    </w:r>
    <w:r>
      <w:rPr>
        <w:rStyle w:val="50"/>
      </w:rPr>
      <w:instrText xml:space="preserve">PAGE  </w:instrText>
    </w:r>
    <w:r>
      <w:fldChar w:fldCharType="separate"/>
    </w:r>
    <w:r>
      <w:rPr>
        <w:rStyle w:val="50"/>
      </w:rPr>
      <w:t>1</w:t>
    </w:r>
    <w:r>
      <w:fldChar w:fldCharType="end"/>
    </w:r>
    <w:r>
      <w:rPr>
        <w:rStyle w:val="50"/>
        <w:rFonts w:hint="eastAsia"/>
      </w:rPr>
      <w:t xml:space="preserve"> 页</w:t>
    </w: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0"/>
      </w:rPr>
    </w:pPr>
    <w:r>
      <w:fldChar w:fldCharType="begin"/>
    </w:r>
    <w:r>
      <w:rPr>
        <w:rStyle w:val="50"/>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0"/>
      </w:rPr>
    </w:pPr>
    <w:r>
      <w:fldChar w:fldCharType="begin"/>
    </w:r>
    <w:r>
      <w:rPr>
        <w:rStyle w:val="50"/>
      </w:rPr>
      <w:instrText xml:space="preserve">PAGE  </w:instrText>
    </w:r>
    <w:r>
      <w:fldChar w:fldCharType="end"/>
    </w:r>
  </w:p>
  <w:p>
    <w:pPr>
      <w:pStyle w:val="2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_x0000_s4099" o:spid="_x0000_s4099" o:spt="202" type="#_x0000_t202" style="position:absolute;left:0pt;margin-top:0pt;height:10.35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9"/>
                </w:pPr>
                <w:r>
                  <w:fldChar w:fldCharType="begin"/>
                </w:r>
                <w:r>
                  <w:instrText xml:space="preserve"> PAGE  \* MERGEFORMAT </w:instrText>
                </w:r>
                <w:r>
                  <w:fldChar w:fldCharType="separate"/>
                </w:r>
                <w:r>
                  <w:t>35</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630"/>
      <w:rPr>
        <w:rStyle w:val="50"/>
      </w:rPr>
    </w:pPr>
    <w:r>
      <w:pict>
        <v:shape id="_x0000_s4098" o:spid="_x0000_s4098" o:spt="202" type="#_x0000_t202" style="position:absolute;left:0pt;margin-top:0pt;height:10.35pt;width:9.05pt;mso-position-horizontal:center;mso-position-horizontal-relative:margin;mso-wrap-style:none;z-index:251657216;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XccrATAgAAEwQAAA4AAABkcnMvZTJvRG9jLnhtbK1TTY7TMBTeI3EH y3uatIhRVTUdlRkVIVXMSAWxdh27sWT7WbbbpBwAbsCKDXvO1XPw7CQdBKwQG+eL3//3Pi9vO6PJ SfigwFZ0OikpEZZDreyhoh/eb17MKQmR2ZppsKKiZxHo7er5s2XrFmIGDehaeIJJbFi0rqJNjG5R FIE3wrAwAScsGiV4wyL++kNRe9ZidqOLWVneFC342nngIgS8ve+NdJXzSyl4fJAyiEh0RbG3mE+f z306i9WSLQ6euUbxoQ32D10YpiwWvaa6Z5GRo1d/pDKKewgg44SDKUBKxUWeAaeZlr9Ns2uYE3kW JCe4K03h/6Xl706Pnqi6ojNKLDO4osvXL5dvPy7fP5NZoqd1YYFeO4d+sXsNHa55vA94mabupDfp i/MQtCPR5yu5oouEp6D5bD4v0cTRNv5g/uIp3PkQ3wgwJIGKetxeJpWdtiH2rqNLqmZho7TOG9SW tBW9efmqzAFXCybXFmukIfpmE4rdvhsm20N9xsE89MoIjm8UFt+yEB+ZRylgwyjv+ICH1IBFYECU NOA//e0++eOG0EpJi9KqqEXtU6LfWtxcUuEI/Aj2I7BHcweo1Sk+G8czxAAf9QilB/MRNb9ONdDE LMdKFY0jvIu9vPHNcLFeZ6ej8+rQ9AGoO8fi1u4cT2USkcGtjxHJzBwngnpWBt5QeXlLwytJ0v71 P3s9veXVT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HwEAABbQ29udGVudF9UeXBlc10ueG1sUEsBAhQACgAAAAAAh07iQAAAAAAAAAAAAAAAAAYA AAAAAAAAAAAQAAAAXgMAAF9yZWxzL1BLAQIUABQAAAAIAIdO4kCKFGY80QAAAJQBAAALAAAAAAAA AAEAIAAAAIIDAABfcmVscy8ucmVsc1BLAQIUAAoAAAAAAIdO4kAAAAAAAAAAAAAAAAAEAAAAAAAA AAAAEAAAAAAAAABkcnMvUEsBAhQAFAAAAAgAh07iQLNJWO7QAAAABQEAAA8AAAAAAAAAAQAgAAAA IgAAAGRycy9kb3ducmV2LnhtbFBLAQIUABQAAAAIAIdO4kAF3HKwEwIAABMEAAAOAAAAAAAAAAEA IAAAAB8BAABkcnMvZTJvRG9jLnhtbFBLBQYAAAAABgAGAFkBAACkBQAAAAA= ">
          <v:path/>
          <v:fill on="f" focussize="0,0"/>
          <v:stroke on="f" weight="0.5pt" joinstyle="miter"/>
          <v:imagedata o:title=""/>
          <o:lock v:ext="edit"/>
          <v:textbox inset="0mm,0mm,0mm,0mm" style="mso-fit-shape-to-text:t;">
            <w:txbxContent>
              <w:p>
                <w:pPr>
                  <w:pStyle w:val="29"/>
                </w:pPr>
                <w:r>
                  <w:fldChar w:fldCharType="begin"/>
                </w:r>
                <w:r>
                  <w:instrText xml:space="preserve"> PAGE  \* MERGEFORMAT </w:instrText>
                </w:r>
                <w:r>
                  <w:fldChar w:fldCharType="separate"/>
                </w:r>
                <w:r>
                  <w:t>54</w:t>
                </w:r>
                <w:r>
                  <w:fldChar w:fldCharType="end"/>
                </w:r>
              </w:p>
            </w:txbxContent>
          </v:textbox>
        </v:shape>
      </w:pict>
    </w:r>
  </w:p>
  <w:p>
    <w:pPr>
      <w:pStyle w:val="29"/>
      <w:ind w:right="72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pict>
        <v:shape id="_x0000_s4097" o:spid="_x0000_s4097"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MDe54oUAgAAEwQAAA4AAABkcnMvZTJvRG9jLnhtbK1TTY7TMBTeI3EH y3uatBWjqmo6KjMqQqqYkQpi7Tp2Y8n2s2y3STkA3IAVG/acq+eYZ6fpIGCF2Dhf/P6/93lx2xlN jsIHBbai41FJibAcamX3Ff34Yf1qRkmIzNZMgxUVPYlAb5cvXyxaNxcTaEDXwhNMYsO8dRVtYnTz ogi8EYaFEThh0SjBGxbx1++L2rMWsxtdTMrypmjB184DFyHg7X1vpMucX0rB44OUQUSiK4q9xXz6 fO7SWSwXbL73zDWKX9pg/9CFYcpi0WuqexYZOXj1RyqjuIcAMo44mAKkVFzkGXCacfnbNNuGOZFn QXKCu9IU/l9a/v746ImqKzqlxDKDKzp/+3r+/vP84wuZJnpaF+botXXoF7s30OGah/uAl2nqTnqT vjgPQTsSfbqSK7pIeAqaTWazEk0cbcMP5i+ew50P8a0AQxKoqMftZVLZcRNi7zq4pGoW1krrvEFt SVvRm+nrMgdcLZhcW6yRhuibTSh2u+4y2Q7qEw7moVdGcHytsPiGhfjIPEoBG0Z5xwc8pAYsAhdE SQP+89/ukz9uCK2UtCitilrUPiX6ncXNJRUOwA9gNwB7MHeAWh3js3E8QwzwUQ9QejCfUPOrVANN zHKsVNE4wLvYyxvfDBerVXY6OK/2TR+AunMsbuzW8VQmERnc6hCRzMxxIqhn5cIbKi9v6fJKkrR/ /c9ez295+QRQSwMECgAAAAAAh07iQAAAAAAAAAAAAAAAAAYAAABfcmVscy9QSwMEFAAAAAgAh07i QIoUZjzRAAAAlAEAAAsAAABfcmVscy8ucmVsc6WQwWrDMAyG74O9g9F9cZrDGKNOL6PQa+kewNiK YxpbRjLZ+vbzDoNl9LajfqHvE//+8JkWtSJLpGxg1/WgMDvyMQcD75fj0wsoqTZ7u1BGAzcUOIyP D/szLra2I5ljEdUoWQzMtZZXrcXNmKx0VDC3zUScbG0jB12su9qAeuj7Z82/GTBumOrkDfDJD6Au t9LMf9gpOiahqXaOkqZpiu4eVQe2ZY7uyDbhG7lGsxywGvAsGgdqWdd+BH1fv/un3tNHPuO61X6H jOuPV2+6HL8AUEsDBBQAAAAIAIdO4kB+5uUg9wAAAOEBAAATAAAAW0NvbnRlbnRfVHlwZXNdLnht bJWRQU7DMBBF90jcwfIWJU67QAgl6YK0S0CoHGBkTxKLZGx5TGhvj5O2G0SRWNoz/78nu9wcxkFM GNg6quQqL6RA0s5Y6ir5vt9lD1JwBDIwOMJKHpHlpr69KfdHjyxSmriSfYz+USnWPY7AufNIadK6 MEJMx9ApD/oDOlTrorhX2lFEilmcO2RdNtjC5xDF9pCuTyYBB5bi6bQ4syoJ3g9WQ0ymaiLzg5Kd CXlKLjvcW893SUOqXwnz5DrgnHtJTxOsQfEKIT7DmDSUCayM+6KAU/53yWw5cuba1mrMm8BNir3h dLG61o5r1zj93/Ltkrp0q+WD6m9QSwECFAAUAAAACACHTuJAfublIPcAAADhAQAAEwAAAAAAAAAB ACAAAAB9BAAAW0NvbnRlbnRfVHlwZXNdLnhtbFBLAQIUAAoAAAAAAIdO4kAAAAAAAAAAAAAAAAAG AAAAAAAAAAAAEAAAAF8DAABfcmVscy9QSwECFAAUAAAACACHTuJAihRmPNEAAACUAQAACwAAAAAA AAABACAAAACDAwAAX3JlbHMvLnJlbHNQSwECFAAKAAAAAACHTuJAAAAAAAAAAAAAAAAABAAAAAAA AAAAABAAAAAAAAAAZHJzL1BLAQIUABQAAAAIAIdO4kCzSVju0AAAAAUBAAAPAAAAAAAAAAEAIAAA ACIAAABkcnMvZG93bnJldi54bWxQSwECFAAUAAAACACHTuJAwN7nihQCAAATBAAADgAAAAAAAAAB ACAAAAAfAQAAZHJzL2Uyb0RvYy54bWxQSwUGAAAAAAYABgBZAQAApQUAAAAA ">
          <v:path/>
          <v:fill on="f" focussize="0,0"/>
          <v:stroke on="f" weight="0.5pt" joinstyle="miter"/>
          <v:imagedata o:title=""/>
          <o:lock v:ext="edit"/>
          <v:textbox inset="0mm,0mm,0mm,0mm" style="mso-fit-shape-to-text:t;">
            <w:txbxContent>
              <w:p>
                <w:pPr>
                  <w:pStyle w:val="29"/>
                </w:pPr>
                <w:r>
                  <w:fldChar w:fldCharType="begin"/>
                </w:r>
                <w:r>
                  <w:instrText xml:space="preserve"> PAGE  \* MERGEFORMAT </w:instrText>
                </w:r>
                <w:r>
                  <w:fldChar w:fldCharType="separate"/>
                </w:r>
                <w:r>
                  <w:t>53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tabs>
        <w:tab w:val="right" w:pos="9813"/>
        <w:tab w:val="clear" w:pos="4153"/>
        <w:tab w:val="clear" w:pos="8306"/>
      </w:tabs>
      <w:ind w:left="-966" w:right="-968"/>
      <w:rPr>
        <w:rFonts w:ascii="宋体" w:hAnsi="宋体"/>
        <w:w w:val="80"/>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rPr>
        <w:szCs w:val="15"/>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spacing w:line="360" w:lineRule="auto"/>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spacing w:line="36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DAA993"/>
    <w:multiLevelType w:val="singleLevel"/>
    <w:tmpl w:val="B0DAA993"/>
    <w:lvl w:ilvl="0" w:tentative="0">
      <w:start w:val="3"/>
      <w:numFmt w:val="chineseCounting"/>
      <w:suff w:val="nothing"/>
      <w:lvlText w:val="%1、"/>
      <w:lvlJc w:val="left"/>
      <w:rPr>
        <w:rFonts w:hint="eastAsia"/>
      </w:rPr>
    </w:lvl>
  </w:abstractNum>
  <w:abstractNum w:abstractNumId="1">
    <w:nsid w:val="CBFA4539"/>
    <w:multiLevelType w:val="singleLevel"/>
    <w:tmpl w:val="CBFA4539"/>
    <w:lvl w:ilvl="0" w:tentative="0">
      <w:start w:val="1"/>
      <w:numFmt w:val="decimal"/>
      <w:suff w:val="nothing"/>
      <w:lvlText w:val="（%1）"/>
      <w:lvlJc w:val="left"/>
    </w:lvl>
  </w:abstractNum>
  <w:abstractNum w:abstractNumId="2">
    <w:nsid w:val="DFFD9F84"/>
    <w:multiLevelType w:val="singleLevel"/>
    <w:tmpl w:val="DFFD9F84"/>
    <w:lvl w:ilvl="0" w:tentative="0">
      <w:start w:val="1"/>
      <w:numFmt w:val="decimal"/>
      <w:suff w:val="nothing"/>
      <w:lvlText w:val="%1、"/>
      <w:lvlJc w:val="left"/>
    </w:lvl>
  </w:abstractNum>
  <w:abstractNum w:abstractNumId="3">
    <w:nsid w:val="036F67AA"/>
    <w:multiLevelType w:val="multilevel"/>
    <w:tmpl w:val="036F67AA"/>
    <w:lvl w:ilvl="0" w:tentative="0">
      <w:start w:val="3"/>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5A9FF00"/>
    <w:multiLevelType w:val="singleLevel"/>
    <w:tmpl w:val="35A9FF00"/>
    <w:lvl w:ilvl="0" w:tentative="0">
      <w:start w:val="1"/>
      <w:numFmt w:val="decimal"/>
      <w:suff w:val="nothing"/>
      <w:lvlText w:val="（%1）"/>
      <w:lvlJc w:val="left"/>
    </w:lvl>
  </w:abstractNum>
  <w:abstractNum w:abstractNumId="5">
    <w:nsid w:val="4470AD06"/>
    <w:multiLevelType w:val="singleLevel"/>
    <w:tmpl w:val="4470AD06"/>
    <w:lvl w:ilvl="0" w:tentative="0">
      <w:start w:val="3"/>
      <w:numFmt w:val="chineseCounting"/>
      <w:suff w:val="nothing"/>
      <w:lvlText w:val="（%1）"/>
      <w:lvlJc w:val="left"/>
      <w:rPr>
        <w:rFonts w:hint="eastAsia"/>
      </w:rPr>
    </w:lvl>
  </w:abstractNum>
  <w:abstractNum w:abstractNumId="6">
    <w:nsid w:val="57FB28A3"/>
    <w:multiLevelType w:val="singleLevel"/>
    <w:tmpl w:val="57FB28A3"/>
    <w:lvl w:ilvl="0" w:tentative="0">
      <w:start w:val="1"/>
      <w:numFmt w:val="decimal"/>
      <w:suff w:val="nothing"/>
      <w:lvlText w:val="（%1）"/>
      <w:lvlJc w:val="left"/>
    </w:lvl>
  </w:abstractNum>
  <w:abstractNum w:abstractNumId="7">
    <w:nsid w:val="57FB29CB"/>
    <w:multiLevelType w:val="singleLevel"/>
    <w:tmpl w:val="57FB29CB"/>
    <w:lvl w:ilvl="0" w:tentative="0">
      <w:start w:val="1"/>
      <w:numFmt w:val="decimal"/>
      <w:suff w:val="nothing"/>
      <w:lvlText w:val="（%1）"/>
      <w:lvlJc w:val="left"/>
    </w:lvl>
  </w:abstractNum>
  <w:abstractNum w:abstractNumId="8">
    <w:nsid w:val="59E701E1"/>
    <w:multiLevelType w:val="singleLevel"/>
    <w:tmpl w:val="59E701E1"/>
    <w:lvl w:ilvl="0" w:tentative="0">
      <w:start w:val="1"/>
      <w:numFmt w:val="decimal"/>
      <w:suff w:val="nothing"/>
      <w:lvlText w:val="（%1）"/>
      <w:lvlJc w:val="left"/>
    </w:lvl>
  </w:abstractNum>
  <w:num w:numId="1">
    <w:abstractNumId w:val="6"/>
  </w:num>
  <w:num w:numId="2">
    <w:abstractNumId w:val="7"/>
  </w:num>
  <w:num w:numId="3">
    <w:abstractNumId w:val="4"/>
  </w:num>
  <w:num w:numId="4">
    <w:abstractNumId w:val="5"/>
  </w:num>
  <w:num w:numId="5">
    <w:abstractNumId w:val="8"/>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43"/>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A4D"/>
    <w:rsid w:val="00006110"/>
    <w:rsid w:val="00006631"/>
    <w:rsid w:val="00007C24"/>
    <w:rsid w:val="000131FD"/>
    <w:rsid w:val="000144AB"/>
    <w:rsid w:val="000207C1"/>
    <w:rsid w:val="0002452C"/>
    <w:rsid w:val="000245D2"/>
    <w:rsid w:val="00030925"/>
    <w:rsid w:val="00031280"/>
    <w:rsid w:val="00031AE6"/>
    <w:rsid w:val="000321FC"/>
    <w:rsid w:val="00032A6E"/>
    <w:rsid w:val="00032E1D"/>
    <w:rsid w:val="00033897"/>
    <w:rsid w:val="00037265"/>
    <w:rsid w:val="000376F5"/>
    <w:rsid w:val="00037BCE"/>
    <w:rsid w:val="000437B1"/>
    <w:rsid w:val="0004470E"/>
    <w:rsid w:val="000449C8"/>
    <w:rsid w:val="0004655D"/>
    <w:rsid w:val="00046C10"/>
    <w:rsid w:val="00047DEA"/>
    <w:rsid w:val="00050B6F"/>
    <w:rsid w:val="00057A9F"/>
    <w:rsid w:val="000602C6"/>
    <w:rsid w:val="00061417"/>
    <w:rsid w:val="00066BA8"/>
    <w:rsid w:val="0007113F"/>
    <w:rsid w:val="00073396"/>
    <w:rsid w:val="0008087A"/>
    <w:rsid w:val="00083647"/>
    <w:rsid w:val="00086B68"/>
    <w:rsid w:val="00090B46"/>
    <w:rsid w:val="00090DB7"/>
    <w:rsid w:val="00093D06"/>
    <w:rsid w:val="0009486D"/>
    <w:rsid w:val="00097160"/>
    <w:rsid w:val="000A2B60"/>
    <w:rsid w:val="000A7F75"/>
    <w:rsid w:val="000B0CB5"/>
    <w:rsid w:val="000B2F25"/>
    <w:rsid w:val="000B36B8"/>
    <w:rsid w:val="000B51DC"/>
    <w:rsid w:val="000B5E89"/>
    <w:rsid w:val="000B75AD"/>
    <w:rsid w:val="000B7B47"/>
    <w:rsid w:val="000C1531"/>
    <w:rsid w:val="000C2556"/>
    <w:rsid w:val="000C585A"/>
    <w:rsid w:val="000D10B0"/>
    <w:rsid w:val="000D123F"/>
    <w:rsid w:val="000D2677"/>
    <w:rsid w:val="000D608E"/>
    <w:rsid w:val="000D7C64"/>
    <w:rsid w:val="000E0739"/>
    <w:rsid w:val="000E0A0A"/>
    <w:rsid w:val="000E0B2F"/>
    <w:rsid w:val="000E137C"/>
    <w:rsid w:val="000E538C"/>
    <w:rsid w:val="000F0578"/>
    <w:rsid w:val="000F2B24"/>
    <w:rsid w:val="000F3120"/>
    <w:rsid w:val="000F32D1"/>
    <w:rsid w:val="000F3656"/>
    <w:rsid w:val="000F3DF6"/>
    <w:rsid w:val="00100250"/>
    <w:rsid w:val="00100E07"/>
    <w:rsid w:val="001024B6"/>
    <w:rsid w:val="0010392C"/>
    <w:rsid w:val="001053E7"/>
    <w:rsid w:val="001141FE"/>
    <w:rsid w:val="001165A2"/>
    <w:rsid w:val="00121799"/>
    <w:rsid w:val="001235EA"/>
    <w:rsid w:val="001239AC"/>
    <w:rsid w:val="00125CED"/>
    <w:rsid w:val="001262B8"/>
    <w:rsid w:val="001304AB"/>
    <w:rsid w:val="00131C01"/>
    <w:rsid w:val="00135231"/>
    <w:rsid w:val="001416DF"/>
    <w:rsid w:val="001423BB"/>
    <w:rsid w:val="00142CCD"/>
    <w:rsid w:val="00142F6E"/>
    <w:rsid w:val="0014482F"/>
    <w:rsid w:val="00154806"/>
    <w:rsid w:val="00157D70"/>
    <w:rsid w:val="00163239"/>
    <w:rsid w:val="00163623"/>
    <w:rsid w:val="0017050C"/>
    <w:rsid w:val="00170BE2"/>
    <w:rsid w:val="00172A27"/>
    <w:rsid w:val="00173EFD"/>
    <w:rsid w:val="00177C09"/>
    <w:rsid w:val="00180090"/>
    <w:rsid w:val="001824BA"/>
    <w:rsid w:val="001837B9"/>
    <w:rsid w:val="00183B4A"/>
    <w:rsid w:val="00192F9B"/>
    <w:rsid w:val="001941C1"/>
    <w:rsid w:val="001949D2"/>
    <w:rsid w:val="001A1ED3"/>
    <w:rsid w:val="001A7531"/>
    <w:rsid w:val="001B2885"/>
    <w:rsid w:val="001B33F4"/>
    <w:rsid w:val="001B360C"/>
    <w:rsid w:val="001B4016"/>
    <w:rsid w:val="001B43DC"/>
    <w:rsid w:val="001B5818"/>
    <w:rsid w:val="001C1BD5"/>
    <w:rsid w:val="001C4BFA"/>
    <w:rsid w:val="001C4D3E"/>
    <w:rsid w:val="001C506C"/>
    <w:rsid w:val="001D1DD5"/>
    <w:rsid w:val="001D49CD"/>
    <w:rsid w:val="001D7A46"/>
    <w:rsid w:val="001E674D"/>
    <w:rsid w:val="001F347C"/>
    <w:rsid w:val="001F3C5D"/>
    <w:rsid w:val="001F454A"/>
    <w:rsid w:val="001F4724"/>
    <w:rsid w:val="001F4E2C"/>
    <w:rsid w:val="001F607C"/>
    <w:rsid w:val="001F6917"/>
    <w:rsid w:val="001F6989"/>
    <w:rsid w:val="001F69C8"/>
    <w:rsid w:val="001F78C2"/>
    <w:rsid w:val="00206868"/>
    <w:rsid w:val="002114E4"/>
    <w:rsid w:val="00212D9C"/>
    <w:rsid w:val="00212F22"/>
    <w:rsid w:val="00214D95"/>
    <w:rsid w:val="0021625C"/>
    <w:rsid w:val="0022179C"/>
    <w:rsid w:val="00222AE1"/>
    <w:rsid w:val="002261C1"/>
    <w:rsid w:val="00227C9B"/>
    <w:rsid w:val="00230FBC"/>
    <w:rsid w:val="00232D5C"/>
    <w:rsid w:val="0023720A"/>
    <w:rsid w:val="00240A44"/>
    <w:rsid w:val="002428D8"/>
    <w:rsid w:val="00245382"/>
    <w:rsid w:val="00251CE5"/>
    <w:rsid w:val="002557D1"/>
    <w:rsid w:val="002579F1"/>
    <w:rsid w:val="002621DA"/>
    <w:rsid w:val="00262C29"/>
    <w:rsid w:val="00265A13"/>
    <w:rsid w:val="002701AD"/>
    <w:rsid w:val="00271EDF"/>
    <w:rsid w:val="00274EC2"/>
    <w:rsid w:val="002757D3"/>
    <w:rsid w:val="00275929"/>
    <w:rsid w:val="002760BB"/>
    <w:rsid w:val="00276B12"/>
    <w:rsid w:val="002772A8"/>
    <w:rsid w:val="00282C85"/>
    <w:rsid w:val="00287CA4"/>
    <w:rsid w:val="00292B7D"/>
    <w:rsid w:val="00295E65"/>
    <w:rsid w:val="002A01B7"/>
    <w:rsid w:val="002A4D22"/>
    <w:rsid w:val="002A5B35"/>
    <w:rsid w:val="002A6DF2"/>
    <w:rsid w:val="002B0951"/>
    <w:rsid w:val="002B2665"/>
    <w:rsid w:val="002B66B5"/>
    <w:rsid w:val="002C197A"/>
    <w:rsid w:val="002C2D47"/>
    <w:rsid w:val="002C5B02"/>
    <w:rsid w:val="002C6141"/>
    <w:rsid w:val="002D3919"/>
    <w:rsid w:val="002D6A9A"/>
    <w:rsid w:val="002D6F4B"/>
    <w:rsid w:val="002E1F9E"/>
    <w:rsid w:val="002E4631"/>
    <w:rsid w:val="002F46C6"/>
    <w:rsid w:val="00305590"/>
    <w:rsid w:val="0031123A"/>
    <w:rsid w:val="0031373F"/>
    <w:rsid w:val="00320109"/>
    <w:rsid w:val="00320B9B"/>
    <w:rsid w:val="00321366"/>
    <w:rsid w:val="003222EA"/>
    <w:rsid w:val="00322CA9"/>
    <w:rsid w:val="0032314D"/>
    <w:rsid w:val="0033036A"/>
    <w:rsid w:val="003315FC"/>
    <w:rsid w:val="00331689"/>
    <w:rsid w:val="00333E55"/>
    <w:rsid w:val="003373F5"/>
    <w:rsid w:val="00340658"/>
    <w:rsid w:val="00343F26"/>
    <w:rsid w:val="00353477"/>
    <w:rsid w:val="003554F7"/>
    <w:rsid w:val="00364352"/>
    <w:rsid w:val="0037018C"/>
    <w:rsid w:val="0037067D"/>
    <w:rsid w:val="00371028"/>
    <w:rsid w:val="00375CF2"/>
    <w:rsid w:val="00382200"/>
    <w:rsid w:val="00384964"/>
    <w:rsid w:val="00385C45"/>
    <w:rsid w:val="00386F74"/>
    <w:rsid w:val="00387C50"/>
    <w:rsid w:val="00392876"/>
    <w:rsid w:val="003957CF"/>
    <w:rsid w:val="00397B74"/>
    <w:rsid w:val="003A73C7"/>
    <w:rsid w:val="003C1713"/>
    <w:rsid w:val="003C52C7"/>
    <w:rsid w:val="003C6677"/>
    <w:rsid w:val="003D0F1B"/>
    <w:rsid w:val="003D1260"/>
    <w:rsid w:val="003D6027"/>
    <w:rsid w:val="003E2FDC"/>
    <w:rsid w:val="003F34C5"/>
    <w:rsid w:val="003F4804"/>
    <w:rsid w:val="00400725"/>
    <w:rsid w:val="00400ADE"/>
    <w:rsid w:val="00402F34"/>
    <w:rsid w:val="00403C7E"/>
    <w:rsid w:val="004048DD"/>
    <w:rsid w:val="0040575A"/>
    <w:rsid w:val="00407583"/>
    <w:rsid w:val="00412752"/>
    <w:rsid w:val="00414242"/>
    <w:rsid w:val="00414618"/>
    <w:rsid w:val="00422928"/>
    <w:rsid w:val="00423134"/>
    <w:rsid w:val="00425C7A"/>
    <w:rsid w:val="004265E9"/>
    <w:rsid w:val="00433033"/>
    <w:rsid w:val="00434BA0"/>
    <w:rsid w:val="004424CF"/>
    <w:rsid w:val="00445414"/>
    <w:rsid w:val="00450EAE"/>
    <w:rsid w:val="0045460F"/>
    <w:rsid w:val="004626B8"/>
    <w:rsid w:val="00462FBA"/>
    <w:rsid w:val="004631FE"/>
    <w:rsid w:val="0046593C"/>
    <w:rsid w:val="00470AA8"/>
    <w:rsid w:val="0047368F"/>
    <w:rsid w:val="00473970"/>
    <w:rsid w:val="00476250"/>
    <w:rsid w:val="00476D8B"/>
    <w:rsid w:val="00492264"/>
    <w:rsid w:val="00493510"/>
    <w:rsid w:val="00497048"/>
    <w:rsid w:val="004A6EDA"/>
    <w:rsid w:val="004B1F30"/>
    <w:rsid w:val="004C3E6D"/>
    <w:rsid w:val="004C51A7"/>
    <w:rsid w:val="004C7EE9"/>
    <w:rsid w:val="004D3AE0"/>
    <w:rsid w:val="004E1F22"/>
    <w:rsid w:val="004E3B92"/>
    <w:rsid w:val="004E52E7"/>
    <w:rsid w:val="004E6754"/>
    <w:rsid w:val="004F0F88"/>
    <w:rsid w:val="004F13B4"/>
    <w:rsid w:val="004F1FB4"/>
    <w:rsid w:val="004F477F"/>
    <w:rsid w:val="004F4B02"/>
    <w:rsid w:val="004F55C4"/>
    <w:rsid w:val="004F640A"/>
    <w:rsid w:val="004F6F74"/>
    <w:rsid w:val="004F7EEA"/>
    <w:rsid w:val="00500F40"/>
    <w:rsid w:val="00502CFA"/>
    <w:rsid w:val="00507130"/>
    <w:rsid w:val="005111E4"/>
    <w:rsid w:val="0053155F"/>
    <w:rsid w:val="005474FF"/>
    <w:rsid w:val="00547895"/>
    <w:rsid w:val="005550E5"/>
    <w:rsid w:val="00557C86"/>
    <w:rsid w:val="00561B35"/>
    <w:rsid w:val="00563B27"/>
    <w:rsid w:val="00565C52"/>
    <w:rsid w:val="00571D0D"/>
    <w:rsid w:val="00575F8A"/>
    <w:rsid w:val="00583320"/>
    <w:rsid w:val="005859E9"/>
    <w:rsid w:val="00593059"/>
    <w:rsid w:val="00595A50"/>
    <w:rsid w:val="005A1057"/>
    <w:rsid w:val="005A2289"/>
    <w:rsid w:val="005A6DC0"/>
    <w:rsid w:val="005B4AFF"/>
    <w:rsid w:val="005B67DD"/>
    <w:rsid w:val="005B6AF0"/>
    <w:rsid w:val="005B7047"/>
    <w:rsid w:val="005B7920"/>
    <w:rsid w:val="005C02AC"/>
    <w:rsid w:val="005C2587"/>
    <w:rsid w:val="005C4E10"/>
    <w:rsid w:val="005C555A"/>
    <w:rsid w:val="005D2FEE"/>
    <w:rsid w:val="005D5A3A"/>
    <w:rsid w:val="005E0AE7"/>
    <w:rsid w:val="005F3EE9"/>
    <w:rsid w:val="005F53DE"/>
    <w:rsid w:val="005F5D67"/>
    <w:rsid w:val="005F6FFE"/>
    <w:rsid w:val="005F71E2"/>
    <w:rsid w:val="0061014C"/>
    <w:rsid w:val="006113DA"/>
    <w:rsid w:val="00612D0B"/>
    <w:rsid w:val="00616AB0"/>
    <w:rsid w:val="00627507"/>
    <w:rsid w:val="00627F82"/>
    <w:rsid w:val="006305F8"/>
    <w:rsid w:val="0063695A"/>
    <w:rsid w:val="00637C16"/>
    <w:rsid w:val="00645EEC"/>
    <w:rsid w:val="0064629B"/>
    <w:rsid w:val="00646933"/>
    <w:rsid w:val="0065023B"/>
    <w:rsid w:val="0065460A"/>
    <w:rsid w:val="00657876"/>
    <w:rsid w:val="006612D7"/>
    <w:rsid w:val="006614E9"/>
    <w:rsid w:val="00663044"/>
    <w:rsid w:val="0066330D"/>
    <w:rsid w:val="00665607"/>
    <w:rsid w:val="006666AB"/>
    <w:rsid w:val="00666CE3"/>
    <w:rsid w:val="006702FD"/>
    <w:rsid w:val="0067071C"/>
    <w:rsid w:val="0067085F"/>
    <w:rsid w:val="00671378"/>
    <w:rsid w:val="0067469E"/>
    <w:rsid w:val="0067489E"/>
    <w:rsid w:val="00676263"/>
    <w:rsid w:val="00683FCA"/>
    <w:rsid w:val="00686125"/>
    <w:rsid w:val="00687C4E"/>
    <w:rsid w:val="006913B0"/>
    <w:rsid w:val="00693F0C"/>
    <w:rsid w:val="00695963"/>
    <w:rsid w:val="006973CE"/>
    <w:rsid w:val="006A1602"/>
    <w:rsid w:val="006A2617"/>
    <w:rsid w:val="006A2BD9"/>
    <w:rsid w:val="006A405B"/>
    <w:rsid w:val="006A46B0"/>
    <w:rsid w:val="006A685D"/>
    <w:rsid w:val="006B080B"/>
    <w:rsid w:val="006B2C50"/>
    <w:rsid w:val="006C59F4"/>
    <w:rsid w:val="006C5E03"/>
    <w:rsid w:val="006D093C"/>
    <w:rsid w:val="006D26E6"/>
    <w:rsid w:val="006D7058"/>
    <w:rsid w:val="006D770F"/>
    <w:rsid w:val="006D7CDB"/>
    <w:rsid w:val="006E4605"/>
    <w:rsid w:val="006E5EE1"/>
    <w:rsid w:val="006F4A39"/>
    <w:rsid w:val="006F4F23"/>
    <w:rsid w:val="007005AE"/>
    <w:rsid w:val="007006BA"/>
    <w:rsid w:val="00701CBC"/>
    <w:rsid w:val="007066FB"/>
    <w:rsid w:val="00706E8A"/>
    <w:rsid w:val="00714DC0"/>
    <w:rsid w:val="00715EC6"/>
    <w:rsid w:val="0072475B"/>
    <w:rsid w:val="00725F60"/>
    <w:rsid w:val="00727263"/>
    <w:rsid w:val="00734621"/>
    <w:rsid w:val="007407A1"/>
    <w:rsid w:val="00741592"/>
    <w:rsid w:val="00744302"/>
    <w:rsid w:val="00745281"/>
    <w:rsid w:val="00752219"/>
    <w:rsid w:val="0075398E"/>
    <w:rsid w:val="00753E93"/>
    <w:rsid w:val="00754C53"/>
    <w:rsid w:val="00755276"/>
    <w:rsid w:val="007576F7"/>
    <w:rsid w:val="00760CCD"/>
    <w:rsid w:val="00761BA9"/>
    <w:rsid w:val="0076362E"/>
    <w:rsid w:val="0076461E"/>
    <w:rsid w:val="0076591B"/>
    <w:rsid w:val="00773BF3"/>
    <w:rsid w:val="007744C8"/>
    <w:rsid w:val="0077795A"/>
    <w:rsid w:val="00780088"/>
    <w:rsid w:val="0078132F"/>
    <w:rsid w:val="007814E4"/>
    <w:rsid w:val="0078360F"/>
    <w:rsid w:val="0078367F"/>
    <w:rsid w:val="00783F86"/>
    <w:rsid w:val="00792C4B"/>
    <w:rsid w:val="0079335B"/>
    <w:rsid w:val="007963E8"/>
    <w:rsid w:val="00797496"/>
    <w:rsid w:val="00797C64"/>
    <w:rsid w:val="007A0265"/>
    <w:rsid w:val="007A32CE"/>
    <w:rsid w:val="007A66B2"/>
    <w:rsid w:val="007A779E"/>
    <w:rsid w:val="007B2197"/>
    <w:rsid w:val="007B33B2"/>
    <w:rsid w:val="007B37CE"/>
    <w:rsid w:val="007B39DD"/>
    <w:rsid w:val="007B4388"/>
    <w:rsid w:val="007B7A03"/>
    <w:rsid w:val="007C281D"/>
    <w:rsid w:val="007C2A80"/>
    <w:rsid w:val="007C331B"/>
    <w:rsid w:val="007C7096"/>
    <w:rsid w:val="007D0F60"/>
    <w:rsid w:val="007D10C3"/>
    <w:rsid w:val="007D3125"/>
    <w:rsid w:val="007E096F"/>
    <w:rsid w:val="007E25D1"/>
    <w:rsid w:val="007E3658"/>
    <w:rsid w:val="007E4F6E"/>
    <w:rsid w:val="007E54C2"/>
    <w:rsid w:val="007F18FB"/>
    <w:rsid w:val="007F268E"/>
    <w:rsid w:val="007F359E"/>
    <w:rsid w:val="007F3EDD"/>
    <w:rsid w:val="007F480C"/>
    <w:rsid w:val="007F7E7F"/>
    <w:rsid w:val="00800563"/>
    <w:rsid w:val="00805A16"/>
    <w:rsid w:val="00806D58"/>
    <w:rsid w:val="0081228C"/>
    <w:rsid w:val="00816E62"/>
    <w:rsid w:val="008171D6"/>
    <w:rsid w:val="0082602F"/>
    <w:rsid w:val="00831E44"/>
    <w:rsid w:val="00832956"/>
    <w:rsid w:val="00841E3D"/>
    <w:rsid w:val="00842C55"/>
    <w:rsid w:val="008433E2"/>
    <w:rsid w:val="00843A7C"/>
    <w:rsid w:val="00847C95"/>
    <w:rsid w:val="00850C37"/>
    <w:rsid w:val="00857C2D"/>
    <w:rsid w:val="008609A6"/>
    <w:rsid w:val="00863934"/>
    <w:rsid w:val="0086413F"/>
    <w:rsid w:val="0086478A"/>
    <w:rsid w:val="00864DBD"/>
    <w:rsid w:val="00867F8E"/>
    <w:rsid w:val="00893BC0"/>
    <w:rsid w:val="00894EEA"/>
    <w:rsid w:val="0089729B"/>
    <w:rsid w:val="008975BD"/>
    <w:rsid w:val="00897ADC"/>
    <w:rsid w:val="008A10FF"/>
    <w:rsid w:val="008A13F9"/>
    <w:rsid w:val="008A6D7D"/>
    <w:rsid w:val="008B0895"/>
    <w:rsid w:val="008B0B15"/>
    <w:rsid w:val="008B2BBF"/>
    <w:rsid w:val="008B350E"/>
    <w:rsid w:val="008B415F"/>
    <w:rsid w:val="008B6A4F"/>
    <w:rsid w:val="008C1B27"/>
    <w:rsid w:val="008C67A2"/>
    <w:rsid w:val="008C724E"/>
    <w:rsid w:val="008D126A"/>
    <w:rsid w:val="008D138B"/>
    <w:rsid w:val="008D31AE"/>
    <w:rsid w:val="008D4E63"/>
    <w:rsid w:val="008E007C"/>
    <w:rsid w:val="008E0BA1"/>
    <w:rsid w:val="008E0CFE"/>
    <w:rsid w:val="008E3691"/>
    <w:rsid w:val="008E53D4"/>
    <w:rsid w:val="008F2987"/>
    <w:rsid w:val="008F30BC"/>
    <w:rsid w:val="008F366F"/>
    <w:rsid w:val="008F393C"/>
    <w:rsid w:val="008F7C99"/>
    <w:rsid w:val="00900B06"/>
    <w:rsid w:val="009052D6"/>
    <w:rsid w:val="00912FE2"/>
    <w:rsid w:val="00913021"/>
    <w:rsid w:val="00915340"/>
    <w:rsid w:val="00916FA2"/>
    <w:rsid w:val="009179DC"/>
    <w:rsid w:val="00917B10"/>
    <w:rsid w:val="00923AEF"/>
    <w:rsid w:val="00924774"/>
    <w:rsid w:val="00924E3F"/>
    <w:rsid w:val="00925B65"/>
    <w:rsid w:val="009308DC"/>
    <w:rsid w:val="00933D05"/>
    <w:rsid w:val="009417AE"/>
    <w:rsid w:val="009436FA"/>
    <w:rsid w:val="00943ED1"/>
    <w:rsid w:val="00945DA5"/>
    <w:rsid w:val="0096180C"/>
    <w:rsid w:val="00962B0D"/>
    <w:rsid w:val="009637B8"/>
    <w:rsid w:val="009648A4"/>
    <w:rsid w:val="00964EAF"/>
    <w:rsid w:val="009651BA"/>
    <w:rsid w:val="009655A7"/>
    <w:rsid w:val="00966AEE"/>
    <w:rsid w:val="00967112"/>
    <w:rsid w:val="009706C7"/>
    <w:rsid w:val="00972D0D"/>
    <w:rsid w:val="009739BC"/>
    <w:rsid w:val="00974918"/>
    <w:rsid w:val="00983608"/>
    <w:rsid w:val="00985BA1"/>
    <w:rsid w:val="00986872"/>
    <w:rsid w:val="00986F7E"/>
    <w:rsid w:val="009908C1"/>
    <w:rsid w:val="00996172"/>
    <w:rsid w:val="00996B55"/>
    <w:rsid w:val="009A2E46"/>
    <w:rsid w:val="009A3C1A"/>
    <w:rsid w:val="009A40F7"/>
    <w:rsid w:val="009A6C33"/>
    <w:rsid w:val="009B15EE"/>
    <w:rsid w:val="009B2B3D"/>
    <w:rsid w:val="009B3F58"/>
    <w:rsid w:val="009B615D"/>
    <w:rsid w:val="009C4CAF"/>
    <w:rsid w:val="009C4E73"/>
    <w:rsid w:val="009D02F3"/>
    <w:rsid w:val="009D47D5"/>
    <w:rsid w:val="009D6176"/>
    <w:rsid w:val="009E2588"/>
    <w:rsid w:val="009E2B18"/>
    <w:rsid w:val="009E2C81"/>
    <w:rsid w:val="009E7704"/>
    <w:rsid w:val="009F4234"/>
    <w:rsid w:val="00A05E50"/>
    <w:rsid w:val="00A113F7"/>
    <w:rsid w:val="00A120A7"/>
    <w:rsid w:val="00A12639"/>
    <w:rsid w:val="00A1320B"/>
    <w:rsid w:val="00A13D88"/>
    <w:rsid w:val="00A13E88"/>
    <w:rsid w:val="00A173ED"/>
    <w:rsid w:val="00A208AB"/>
    <w:rsid w:val="00A21631"/>
    <w:rsid w:val="00A2322C"/>
    <w:rsid w:val="00A26C12"/>
    <w:rsid w:val="00A33663"/>
    <w:rsid w:val="00A34164"/>
    <w:rsid w:val="00A3490B"/>
    <w:rsid w:val="00A378A1"/>
    <w:rsid w:val="00A37C08"/>
    <w:rsid w:val="00A46349"/>
    <w:rsid w:val="00A526AB"/>
    <w:rsid w:val="00A62B6D"/>
    <w:rsid w:val="00A63F93"/>
    <w:rsid w:val="00A64995"/>
    <w:rsid w:val="00A66F46"/>
    <w:rsid w:val="00A7578E"/>
    <w:rsid w:val="00A75C08"/>
    <w:rsid w:val="00A76DDC"/>
    <w:rsid w:val="00A8127A"/>
    <w:rsid w:val="00A836EE"/>
    <w:rsid w:val="00A861C1"/>
    <w:rsid w:val="00A87927"/>
    <w:rsid w:val="00A90A42"/>
    <w:rsid w:val="00A93C3D"/>
    <w:rsid w:val="00A93CD7"/>
    <w:rsid w:val="00A9520F"/>
    <w:rsid w:val="00A972B8"/>
    <w:rsid w:val="00A97B94"/>
    <w:rsid w:val="00AA0F0C"/>
    <w:rsid w:val="00AA0F22"/>
    <w:rsid w:val="00AA294E"/>
    <w:rsid w:val="00AA7E18"/>
    <w:rsid w:val="00AB1D69"/>
    <w:rsid w:val="00AB40F0"/>
    <w:rsid w:val="00AB6F4F"/>
    <w:rsid w:val="00AC143D"/>
    <w:rsid w:val="00AC1F7A"/>
    <w:rsid w:val="00AD0F0B"/>
    <w:rsid w:val="00AD2893"/>
    <w:rsid w:val="00AD3EE0"/>
    <w:rsid w:val="00AD4260"/>
    <w:rsid w:val="00AD6680"/>
    <w:rsid w:val="00AD7D6A"/>
    <w:rsid w:val="00AE16A5"/>
    <w:rsid w:val="00AE17E3"/>
    <w:rsid w:val="00AF097F"/>
    <w:rsid w:val="00AF1BF2"/>
    <w:rsid w:val="00B03FCE"/>
    <w:rsid w:val="00B04BBA"/>
    <w:rsid w:val="00B07579"/>
    <w:rsid w:val="00B1060B"/>
    <w:rsid w:val="00B17F97"/>
    <w:rsid w:val="00B20355"/>
    <w:rsid w:val="00B20AB9"/>
    <w:rsid w:val="00B23D74"/>
    <w:rsid w:val="00B24C45"/>
    <w:rsid w:val="00B27232"/>
    <w:rsid w:val="00B27E7E"/>
    <w:rsid w:val="00B31661"/>
    <w:rsid w:val="00B32E6F"/>
    <w:rsid w:val="00B3320B"/>
    <w:rsid w:val="00B3557A"/>
    <w:rsid w:val="00B357FC"/>
    <w:rsid w:val="00B56293"/>
    <w:rsid w:val="00B602A2"/>
    <w:rsid w:val="00B62959"/>
    <w:rsid w:val="00B63F55"/>
    <w:rsid w:val="00B6426C"/>
    <w:rsid w:val="00B65E34"/>
    <w:rsid w:val="00B71A11"/>
    <w:rsid w:val="00B71C67"/>
    <w:rsid w:val="00B72920"/>
    <w:rsid w:val="00B73752"/>
    <w:rsid w:val="00B73B03"/>
    <w:rsid w:val="00B7425E"/>
    <w:rsid w:val="00B75F0E"/>
    <w:rsid w:val="00B763B6"/>
    <w:rsid w:val="00B80F17"/>
    <w:rsid w:val="00B8238A"/>
    <w:rsid w:val="00B853BF"/>
    <w:rsid w:val="00B93173"/>
    <w:rsid w:val="00B93CA2"/>
    <w:rsid w:val="00B9435C"/>
    <w:rsid w:val="00B968ED"/>
    <w:rsid w:val="00BA36E0"/>
    <w:rsid w:val="00BA5559"/>
    <w:rsid w:val="00BA6887"/>
    <w:rsid w:val="00BA6905"/>
    <w:rsid w:val="00BB5048"/>
    <w:rsid w:val="00BB69EF"/>
    <w:rsid w:val="00BC2ED2"/>
    <w:rsid w:val="00BC5195"/>
    <w:rsid w:val="00BC51CE"/>
    <w:rsid w:val="00BC6484"/>
    <w:rsid w:val="00BC757E"/>
    <w:rsid w:val="00BD5369"/>
    <w:rsid w:val="00BE0876"/>
    <w:rsid w:val="00BE0D9C"/>
    <w:rsid w:val="00BE30C4"/>
    <w:rsid w:val="00BE3C6A"/>
    <w:rsid w:val="00BE5782"/>
    <w:rsid w:val="00BE5E06"/>
    <w:rsid w:val="00BE696A"/>
    <w:rsid w:val="00BE76CB"/>
    <w:rsid w:val="00BF2E2C"/>
    <w:rsid w:val="00BF5D31"/>
    <w:rsid w:val="00C00AD5"/>
    <w:rsid w:val="00C025AB"/>
    <w:rsid w:val="00C027DA"/>
    <w:rsid w:val="00C047F0"/>
    <w:rsid w:val="00C15157"/>
    <w:rsid w:val="00C20A7A"/>
    <w:rsid w:val="00C20CF1"/>
    <w:rsid w:val="00C22882"/>
    <w:rsid w:val="00C22D66"/>
    <w:rsid w:val="00C23B0A"/>
    <w:rsid w:val="00C241BE"/>
    <w:rsid w:val="00C245E9"/>
    <w:rsid w:val="00C24DF9"/>
    <w:rsid w:val="00C25BA1"/>
    <w:rsid w:val="00C31956"/>
    <w:rsid w:val="00C330FB"/>
    <w:rsid w:val="00C33907"/>
    <w:rsid w:val="00C36F5B"/>
    <w:rsid w:val="00C42EE1"/>
    <w:rsid w:val="00C44AA7"/>
    <w:rsid w:val="00C44E65"/>
    <w:rsid w:val="00C478A7"/>
    <w:rsid w:val="00C540B2"/>
    <w:rsid w:val="00C545F2"/>
    <w:rsid w:val="00C55E06"/>
    <w:rsid w:val="00C601A0"/>
    <w:rsid w:val="00C64CAF"/>
    <w:rsid w:val="00C70DD7"/>
    <w:rsid w:val="00C71348"/>
    <w:rsid w:val="00C77F3D"/>
    <w:rsid w:val="00C81CC7"/>
    <w:rsid w:val="00C86D4D"/>
    <w:rsid w:val="00C93C9D"/>
    <w:rsid w:val="00CA335E"/>
    <w:rsid w:val="00CA3B37"/>
    <w:rsid w:val="00CA72A8"/>
    <w:rsid w:val="00CA7B0B"/>
    <w:rsid w:val="00CB0F22"/>
    <w:rsid w:val="00CB1CA6"/>
    <w:rsid w:val="00CB654D"/>
    <w:rsid w:val="00CC24E4"/>
    <w:rsid w:val="00CC357B"/>
    <w:rsid w:val="00CC3A6C"/>
    <w:rsid w:val="00CC3B75"/>
    <w:rsid w:val="00CC4DA2"/>
    <w:rsid w:val="00CE0AF5"/>
    <w:rsid w:val="00CF0C16"/>
    <w:rsid w:val="00CF1D21"/>
    <w:rsid w:val="00CF3C68"/>
    <w:rsid w:val="00CF7BDB"/>
    <w:rsid w:val="00D0027B"/>
    <w:rsid w:val="00D004D1"/>
    <w:rsid w:val="00D0233D"/>
    <w:rsid w:val="00D05A8D"/>
    <w:rsid w:val="00D10426"/>
    <w:rsid w:val="00D1284A"/>
    <w:rsid w:val="00D17CEF"/>
    <w:rsid w:val="00D21C56"/>
    <w:rsid w:val="00D2312E"/>
    <w:rsid w:val="00D307D9"/>
    <w:rsid w:val="00D31F34"/>
    <w:rsid w:val="00D34DF7"/>
    <w:rsid w:val="00D360D2"/>
    <w:rsid w:val="00D40899"/>
    <w:rsid w:val="00D41EF1"/>
    <w:rsid w:val="00D432F0"/>
    <w:rsid w:val="00D54750"/>
    <w:rsid w:val="00D55F63"/>
    <w:rsid w:val="00D61D45"/>
    <w:rsid w:val="00D621AB"/>
    <w:rsid w:val="00D65511"/>
    <w:rsid w:val="00D74CB7"/>
    <w:rsid w:val="00D7568F"/>
    <w:rsid w:val="00D76346"/>
    <w:rsid w:val="00D82B10"/>
    <w:rsid w:val="00D85F67"/>
    <w:rsid w:val="00D860FD"/>
    <w:rsid w:val="00D930DE"/>
    <w:rsid w:val="00D94718"/>
    <w:rsid w:val="00D9487E"/>
    <w:rsid w:val="00D94985"/>
    <w:rsid w:val="00D9582A"/>
    <w:rsid w:val="00D976F2"/>
    <w:rsid w:val="00DA16E1"/>
    <w:rsid w:val="00DA270A"/>
    <w:rsid w:val="00DA27C6"/>
    <w:rsid w:val="00DA3590"/>
    <w:rsid w:val="00DA5417"/>
    <w:rsid w:val="00DA5585"/>
    <w:rsid w:val="00DA5853"/>
    <w:rsid w:val="00DB0195"/>
    <w:rsid w:val="00DC1579"/>
    <w:rsid w:val="00DC6573"/>
    <w:rsid w:val="00DD03C4"/>
    <w:rsid w:val="00DD0F11"/>
    <w:rsid w:val="00DD1C51"/>
    <w:rsid w:val="00DD2C95"/>
    <w:rsid w:val="00DD45D6"/>
    <w:rsid w:val="00DE7EB2"/>
    <w:rsid w:val="00DF0C91"/>
    <w:rsid w:val="00DF36F2"/>
    <w:rsid w:val="00DF3847"/>
    <w:rsid w:val="00DF6BDB"/>
    <w:rsid w:val="00E02A4B"/>
    <w:rsid w:val="00E02E27"/>
    <w:rsid w:val="00E133F5"/>
    <w:rsid w:val="00E13B50"/>
    <w:rsid w:val="00E145AD"/>
    <w:rsid w:val="00E14FBE"/>
    <w:rsid w:val="00E1602C"/>
    <w:rsid w:val="00E204F2"/>
    <w:rsid w:val="00E224E5"/>
    <w:rsid w:val="00E2360C"/>
    <w:rsid w:val="00E24094"/>
    <w:rsid w:val="00E24D28"/>
    <w:rsid w:val="00E27EA3"/>
    <w:rsid w:val="00E30475"/>
    <w:rsid w:val="00E31646"/>
    <w:rsid w:val="00E36B5B"/>
    <w:rsid w:val="00E40681"/>
    <w:rsid w:val="00E40927"/>
    <w:rsid w:val="00E44198"/>
    <w:rsid w:val="00E50A86"/>
    <w:rsid w:val="00E51FEE"/>
    <w:rsid w:val="00E53D89"/>
    <w:rsid w:val="00E567FF"/>
    <w:rsid w:val="00E56DD4"/>
    <w:rsid w:val="00E61AB0"/>
    <w:rsid w:val="00E61C1C"/>
    <w:rsid w:val="00E62422"/>
    <w:rsid w:val="00E634B9"/>
    <w:rsid w:val="00E64B05"/>
    <w:rsid w:val="00E65826"/>
    <w:rsid w:val="00E765E6"/>
    <w:rsid w:val="00E82FFB"/>
    <w:rsid w:val="00E8769F"/>
    <w:rsid w:val="00E929CB"/>
    <w:rsid w:val="00E92EAB"/>
    <w:rsid w:val="00E93A7D"/>
    <w:rsid w:val="00EA0192"/>
    <w:rsid w:val="00EA182F"/>
    <w:rsid w:val="00EB0ECB"/>
    <w:rsid w:val="00EB2CA6"/>
    <w:rsid w:val="00EB4E51"/>
    <w:rsid w:val="00EB50CD"/>
    <w:rsid w:val="00EC2943"/>
    <w:rsid w:val="00EC67E4"/>
    <w:rsid w:val="00EC7470"/>
    <w:rsid w:val="00ED0C0A"/>
    <w:rsid w:val="00ED2196"/>
    <w:rsid w:val="00ED3AC0"/>
    <w:rsid w:val="00EE55D0"/>
    <w:rsid w:val="00EE7E87"/>
    <w:rsid w:val="00EF0F8C"/>
    <w:rsid w:val="00EF164C"/>
    <w:rsid w:val="00EF21DE"/>
    <w:rsid w:val="00EF29C2"/>
    <w:rsid w:val="00EF2A74"/>
    <w:rsid w:val="00EF4097"/>
    <w:rsid w:val="00EF4E5A"/>
    <w:rsid w:val="00EF7C25"/>
    <w:rsid w:val="00F00B04"/>
    <w:rsid w:val="00F00BF9"/>
    <w:rsid w:val="00F010FD"/>
    <w:rsid w:val="00F0531B"/>
    <w:rsid w:val="00F07B74"/>
    <w:rsid w:val="00F1262F"/>
    <w:rsid w:val="00F256C1"/>
    <w:rsid w:val="00F26384"/>
    <w:rsid w:val="00F27080"/>
    <w:rsid w:val="00F30918"/>
    <w:rsid w:val="00F30B48"/>
    <w:rsid w:val="00F321EB"/>
    <w:rsid w:val="00F33731"/>
    <w:rsid w:val="00F3454C"/>
    <w:rsid w:val="00F346A1"/>
    <w:rsid w:val="00F357DD"/>
    <w:rsid w:val="00F367A9"/>
    <w:rsid w:val="00F36A49"/>
    <w:rsid w:val="00F42DDA"/>
    <w:rsid w:val="00F44268"/>
    <w:rsid w:val="00F445B6"/>
    <w:rsid w:val="00F55918"/>
    <w:rsid w:val="00F559F0"/>
    <w:rsid w:val="00F5600E"/>
    <w:rsid w:val="00F62392"/>
    <w:rsid w:val="00F62E1E"/>
    <w:rsid w:val="00F66677"/>
    <w:rsid w:val="00F6712E"/>
    <w:rsid w:val="00F67562"/>
    <w:rsid w:val="00F675D1"/>
    <w:rsid w:val="00F73131"/>
    <w:rsid w:val="00F73C28"/>
    <w:rsid w:val="00F750C0"/>
    <w:rsid w:val="00F7795B"/>
    <w:rsid w:val="00F83334"/>
    <w:rsid w:val="00F833F1"/>
    <w:rsid w:val="00F94F91"/>
    <w:rsid w:val="00F95231"/>
    <w:rsid w:val="00F95C4F"/>
    <w:rsid w:val="00FA3025"/>
    <w:rsid w:val="00FA3448"/>
    <w:rsid w:val="00FA4172"/>
    <w:rsid w:val="00FA6264"/>
    <w:rsid w:val="00FA6E6E"/>
    <w:rsid w:val="00FB4251"/>
    <w:rsid w:val="00FB594F"/>
    <w:rsid w:val="00FB6458"/>
    <w:rsid w:val="00FB6981"/>
    <w:rsid w:val="00FB76F6"/>
    <w:rsid w:val="00FC0C5E"/>
    <w:rsid w:val="00FC10B3"/>
    <w:rsid w:val="00FC3E94"/>
    <w:rsid w:val="00FC5EF1"/>
    <w:rsid w:val="00FD0728"/>
    <w:rsid w:val="00FD138E"/>
    <w:rsid w:val="00FD3137"/>
    <w:rsid w:val="00FD5303"/>
    <w:rsid w:val="00FD7881"/>
    <w:rsid w:val="00FD7F62"/>
    <w:rsid w:val="00FE1B0E"/>
    <w:rsid w:val="00FE49F7"/>
    <w:rsid w:val="00FE6D15"/>
    <w:rsid w:val="00FF0A89"/>
    <w:rsid w:val="00FF0DBE"/>
    <w:rsid w:val="00FF38DC"/>
    <w:rsid w:val="00FF3E6F"/>
    <w:rsid w:val="00FF4650"/>
    <w:rsid w:val="01593FC2"/>
    <w:rsid w:val="01896CE6"/>
    <w:rsid w:val="019D7391"/>
    <w:rsid w:val="02E5039E"/>
    <w:rsid w:val="04133F08"/>
    <w:rsid w:val="05376CBD"/>
    <w:rsid w:val="055C002B"/>
    <w:rsid w:val="06184F87"/>
    <w:rsid w:val="06266C9D"/>
    <w:rsid w:val="068866FF"/>
    <w:rsid w:val="06B61D02"/>
    <w:rsid w:val="07EE7EE0"/>
    <w:rsid w:val="09DB2276"/>
    <w:rsid w:val="0AAD06ED"/>
    <w:rsid w:val="0B02350F"/>
    <w:rsid w:val="0CA454EA"/>
    <w:rsid w:val="0CC32242"/>
    <w:rsid w:val="0D30517B"/>
    <w:rsid w:val="0F0D70FB"/>
    <w:rsid w:val="0F1F06C6"/>
    <w:rsid w:val="0F24198E"/>
    <w:rsid w:val="0FAA6A98"/>
    <w:rsid w:val="0FF2549E"/>
    <w:rsid w:val="10075CAC"/>
    <w:rsid w:val="105A6F84"/>
    <w:rsid w:val="10B22B88"/>
    <w:rsid w:val="10BB2D1B"/>
    <w:rsid w:val="11390CFE"/>
    <w:rsid w:val="1146772B"/>
    <w:rsid w:val="116552BE"/>
    <w:rsid w:val="11E14508"/>
    <w:rsid w:val="12F078AF"/>
    <w:rsid w:val="135812BF"/>
    <w:rsid w:val="144604BE"/>
    <w:rsid w:val="145D2218"/>
    <w:rsid w:val="14667A70"/>
    <w:rsid w:val="1484677B"/>
    <w:rsid w:val="14B93CA1"/>
    <w:rsid w:val="14DC30B0"/>
    <w:rsid w:val="150D6D1B"/>
    <w:rsid w:val="15490E5E"/>
    <w:rsid w:val="16895568"/>
    <w:rsid w:val="168A4E58"/>
    <w:rsid w:val="1716768C"/>
    <w:rsid w:val="171D4D43"/>
    <w:rsid w:val="17AC19E5"/>
    <w:rsid w:val="17D717EE"/>
    <w:rsid w:val="18C15F5C"/>
    <w:rsid w:val="19027D19"/>
    <w:rsid w:val="1943360A"/>
    <w:rsid w:val="19457D58"/>
    <w:rsid w:val="19704B90"/>
    <w:rsid w:val="1B814EB4"/>
    <w:rsid w:val="1C2C67F4"/>
    <w:rsid w:val="1CD44534"/>
    <w:rsid w:val="1DB66BAD"/>
    <w:rsid w:val="1DBB091E"/>
    <w:rsid w:val="1DDB2B84"/>
    <w:rsid w:val="1E9F401C"/>
    <w:rsid w:val="1EFC5994"/>
    <w:rsid w:val="1F310B72"/>
    <w:rsid w:val="1FC25624"/>
    <w:rsid w:val="20C52BD3"/>
    <w:rsid w:val="221848FB"/>
    <w:rsid w:val="221B4C0D"/>
    <w:rsid w:val="223A3586"/>
    <w:rsid w:val="22697C6E"/>
    <w:rsid w:val="23584690"/>
    <w:rsid w:val="246D17A0"/>
    <w:rsid w:val="24E33014"/>
    <w:rsid w:val="24E80DA0"/>
    <w:rsid w:val="252D429E"/>
    <w:rsid w:val="25E929BC"/>
    <w:rsid w:val="26581317"/>
    <w:rsid w:val="265D2D17"/>
    <w:rsid w:val="266D59AB"/>
    <w:rsid w:val="26982D77"/>
    <w:rsid w:val="26B47479"/>
    <w:rsid w:val="27610217"/>
    <w:rsid w:val="27AB7D7F"/>
    <w:rsid w:val="295A0AEC"/>
    <w:rsid w:val="2A644DD9"/>
    <w:rsid w:val="2AE11816"/>
    <w:rsid w:val="2B6222F1"/>
    <w:rsid w:val="2BA56506"/>
    <w:rsid w:val="2C595D9C"/>
    <w:rsid w:val="2CE279A8"/>
    <w:rsid w:val="2D0F794C"/>
    <w:rsid w:val="2E9D6EAE"/>
    <w:rsid w:val="2FB64C53"/>
    <w:rsid w:val="30A550A2"/>
    <w:rsid w:val="30BA6461"/>
    <w:rsid w:val="31BE0430"/>
    <w:rsid w:val="3210025D"/>
    <w:rsid w:val="322A0E08"/>
    <w:rsid w:val="327D006C"/>
    <w:rsid w:val="32C239AF"/>
    <w:rsid w:val="32EC5788"/>
    <w:rsid w:val="33904A27"/>
    <w:rsid w:val="33DB4F71"/>
    <w:rsid w:val="34065935"/>
    <w:rsid w:val="34D5393B"/>
    <w:rsid w:val="352D1FDE"/>
    <w:rsid w:val="35AC716A"/>
    <w:rsid w:val="36EC39AA"/>
    <w:rsid w:val="376D5B7E"/>
    <w:rsid w:val="38C910DC"/>
    <w:rsid w:val="38F1770A"/>
    <w:rsid w:val="391D4158"/>
    <w:rsid w:val="3A500365"/>
    <w:rsid w:val="3A6E74F3"/>
    <w:rsid w:val="3AB127F9"/>
    <w:rsid w:val="3CA760F7"/>
    <w:rsid w:val="3CF54C57"/>
    <w:rsid w:val="3D5D0254"/>
    <w:rsid w:val="3D6D2398"/>
    <w:rsid w:val="3DB26E96"/>
    <w:rsid w:val="3DBB6F50"/>
    <w:rsid w:val="3DD61268"/>
    <w:rsid w:val="3E1A36A4"/>
    <w:rsid w:val="3E5A7946"/>
    <w:rsid w:val="3FA15054"/>
    <w:rsid w:val="3FC35B9F"/>
    <w:rsid w:val="42691947"/>
    <w:rsid w:val="42CF1EBF"/>
    <w:rsid w:val="4353262D"/>
    <w:rsid w:val="43670C8D"/>
    <w:rsid w:val="437C7CA7"/>
    <w:rsid w:val="43B5122E"/>
    <w:rsid w:val="43DE0677"/>
    <w:rsid w:val="44117986"/>
    <w:rsid w:val="4541559D"/>
    <w:rsid w:val="456A4193"/>
    <w:rsid w:val="45834535"/>
    <w:rsid w:val="45F07D89"/>
    <w:rsid w:val="46814045"/>
    <w:rsid w:val="46AA3EAE"/>
    <w:rsid w:val="46DE2235"/>
    <w:rsid w:val="46F26D1D"/>
    <w:rsid w:val="471B59FF"/>
    <w:rsid w:val="475E0B22"/>
    <w:rsid w:val="48025122"/>
    <w:rsid w:val="48E92738"/>
    <w:rsid w:val="4A1B10FE"/>
    <w:rsid w:val="4A404F64"/>
    <w:rsid w:val="4A4D60E5"/>
    <w:rsid w:val="4AB3523F"/>
    <w:rsid w:val="4AFB43EE"/>
    <w:rsid w:val="4C7D12E8"/>
    <w:rsid w:val="4E00636C"/>
    <w:rsid w:val="4E4D7DBA"/>
    <w:rsid w:val="4EC26624"/>
    <w:rsid w:val="4F243AA9"/>
    <w:rsid w:val="4F681339"/>
    <w:rsid w:val="4F6E0494"/>
    <w:rsid w:val="4FBB2DF4"/>
    <w:rsid w:val="4FC55F11"/>
    <w:rsid w:val="4FD41955"/>
    <w:rsid w:val="519B1B61"/>
    <w:rsid w:val="51DF0AD8"/>
    <w:rsid w:val="521C2603"/>
    <w:rsid w:val="526304D0"/>
    <w:rsid w:val="545A5473"/>
    <w:rsid w:val="54C43C99"/>
    <w:rsid w:val="551241B0"/>
    <w:rsid w:val="5546642A"/>
    <w:rsid w:val="554A791A"/>
    <w:rsid w:val="569E445C"/>
    <w:rsid w:val="570E1232"/>
    <w:rsid w:val="5716575C"/>
    <w:rsid w:val="57C9340A"/>
    <w:rsid w:val="57DB6433"/>
    <w:rsid w:val="589339AB"/>
    <w:rsid w:val="594535B8"/>
    <w:rsid w:val="59AF1BED"/>
    <w:rsid w:val="5A0E4540"/>
    <w:rsid w:val="5A37664E"/>
    <w:rsid w:val="5AA976DF"/>
    <w:rsid w:val="5AB03940"/>
    <w:rsid w:val="5B621128"/>
    <w:rsid w:val="5C63562C"/>
    <w:rsid w:val="5C793FD9"/>
    <w:rsid w:val="5CB05BCB"/>
    <w:rsid w:val="5CC42AD6"/>
    <w:rsid w:val="5D1E060F"/>
    <w:rsid w:val="5EB34B1C"/>
    <w:rsid w:val="5F856180"/>
    <w:rsid w:val="6009184F"/>
    <w:rsid w:val="60983B5C"/>
    <w:rsid w:val="612834F7"/>
    <w:rsid w:val="62CE717F"/>
    <w:rsid w:val="63702C51"/>
    <w:rsid w:val="63AA21D6"/>
    <w:rsid w:val="63BA798F"/>
    <w:rsid w:val="63D00FC1"/>
    <w:rsid w:val="642473BB"/>
    <w:rsid w:val="64410F9E"/>
    <w:rsid w:val="645400FD"/>
    <w:rsid w:val="65051A26"/>
    <w:rsid w:val="655E5E27"/>
    <w:rsid w:val="660D66F5"/>
    <w:rsid w:val="67696423"/>
    <w:rsid w:val="67C840D7"/>
    <w:rsid w:val="67F22423"/>
    <w:rsid w:val="68435C75"/>
    <w:rsid w:val="688020F0"/>
    <w:rsid w:val="69A2268B"/>
    <w:rsid w:val="6A173B1D"/>
    <w:rsid w:val="6A351FBC"/>
    <w:rsid w:val="6A4C17BC"/>
    <w:rsid w:val="6AAA6CCE"/>
    <w:rsid w:val="6B0B24CA"/>
    <w:rsid w:val="6B7B2FAB"/>
    <w:rsid w:val="6B7F630B"/>
    <w:rsid w:val="6B95754A"/>
    <w:rsid w:val="6CA35CBB"/>
    <w:rsid w:val="6D165220"/>
    <w:rsid w:val="6D2048B4"/>
    <w:rsid w:val="6D922E31"/>
    <w:rsid w:val="6E410046"/>
    <w:rsid w:val="6F196776"/>
    <w:rsid w:val="6F4557C1"/>
    <w:rsid w:val="6F864C68"/>
    <w:rsid w:val="70EF459E"/>
    <w:rsid w:val="70F07DA8"/>
    <w:rsid w:val="7134093A"/>
    <w:rsid w:val="716901E0"/>
    <w:rsid w:val="72E50692"/>
    <w:rsid w:val="72FA61D8"/>
    <w:rsid w:val="732F1F07"/>
    <w:rsid w:val="754306CD"/>
    <w:rsid w:val="760048BB"/>
    <w:rsid w:val="76721E08"/>
    <w:rsid w:val="76BB7E6A"/>
    <w:rsid w:val="76DF1C9E"/>
    <w:rsid w:val="77A92A62"/>
    <w:rsid w:val="77ED33E3"/>
    <w:rsid w:val="78133BCB"/>
    <w:rsid w:val="783B3E20"/>
    <w:rsid w:val="785766FF"/>
    <w:rsid w:val="787C5FE4"/>
    <w:rsid w:val="78995294"/>
    <w:rsid w:val="78BB3C38"/>
    <w:rsid w:val="793156DD"/>
    <w:rsid w:val="79512A65"/>
    <w:rsid w:val="796433BF"/>
    <w:rsid w:val="7A6C663E"/>
    <w:rsid w:val="7A6F0470"/>
    <w:rsid w:val="7A815DFC"/>
    <w:rsid w:val="7AB039AD"/>
    <w:rsid w:val="7AD3791C"/>
    <w:rsid w:val="7B942F02"/>
    <w:rsid w:val="7D206466"/>
    <w:rsid w:val="7DBC5AC0"/>
    <w:rsid w:val="7E076A0D"/>
    <w:rsid w:val="7E965E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93"/>
    <w:qFormat/>
    <w:uiPriority w:val="0"/>
    <w:pPr>
      <w:keepNext/>
      <w:spacing w:line="380" w:lineRule="exact"/>
      <w:jc w:val="center"/>
      <w:outlineLvl w:val="0"/>
    </w:pPr>
    <w:rPr>
      <w:rFonts w:ascii="宋体"/>
      <w:b/>
      <w:bCs/>
      <w:sz w:val="28"/>
    </w:rPr>
  </w:style>
  <w:style w:type="paragraph" w:styleId="4">
    <w:name w:val="heading 2"/>
    <w:basedOn w:val="1"/>
    <w:next w:val="1"/>
    <w:link w:val="5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4"/>
    <w:qFormat/>
    <w:uiPriority w:val="0"/>
    <w:pPr>
      <w:keepNext/>
      <w:keepLines/>
      <w:spacing w:before="260" w:after="260" w:line="416" w:lineRule="auto"/>
      <w:outlineLvl w:val="2"/>
    </w:pPr>
    <w:rPr>
      <w:b/>
      <w:bCs/>
      <w:sz w:val="32"/>
      <w:szCs w:val="32"/>
    </w:rPr>
  </w:style>
  <w:style w:type="paragraph" w:styleId="6">
    <w:name w:val="heading 4"/>
    <w:basedOn w:val="1"/>
    <w:next w:val="1"/>
    <w:link w:val="75"/>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60"/>
    <w:qFormat/>
    <w:uiPriority w:val="0"/>
    <w:pPr>
      <w:widowControl/>
      <w:spacing w:before="240" w:after="60"/>
      <w:jc w:val="left"/>
      <w:outlineLvl w:val="4"/>
    </w:pPr>
    <w:rPr>
      <w:rFonts w:ascii="MS Sans Serif" w:hAnsi="Arial" w:eastAsia="MS Sans Serif"/>
      <w:kern w:val="0"/>
      <w:sz w:val="24"/>
    </w:rPr>
  </w:style>
  <w:style w:type="paragraph" w:styleId="8">
    <w:name w:val="heading 6"/>
    <w:basedOn w:val="1"/>
    <w:next w:val="9"/>
    <w:link w:val="123"/>
    <w:qFormat/>
    <w:uiPriority w:val="0"/>
    <w:pPr>
      <w:keepNext/>
      <w:keepLines/>
      <w:spacing w:before="240" w:after="64" w:line="320" w:lineRule="auto"/>
      <w:outlineLvl w:val="5"/>
    </w:pPr>
    <w:rPr>
      <w:rFonts w:ascii="黑体" w:hAnsi="黑体" w:eastAsia="楷体"/>
      <w:b/>
      <w:sz w:val="24"/>
    </w:rPr>
  </w:style>
  <w:style w:type="paragraph" w:styleId="10">
    <w:name w:val="heading 7"/>
    <w:basedOn w:val="1"/>
    <w:next w:val="9"/>
    <w:link w:val="79"/>
    <w:qFormat/>
    <w:uiPriority w:val="0"/>
    <w:pPr>
      <w:keepNext/>
      <w:keepLines/>
      <w:spacing w:before="240" w:after="64" w:line="320" w:lineRule="auto"/>
      <w:outlineLvl w:val="6"/>
    </w:pPr>
    <w:rPr>
      <w:rFonts w:ascii="Arial" w:hAnsi="Arial"/>
      <w:b/>
      <w:sz w:val="24"/>
    </w:rPr>
  </w:style>
  <w:style w:type="paragraph" w:styleId="11">
    <w:name w:val="heading 8"/>
    <w:basedOn w:val="1"/>
    <w:next w:val="9"/>
    <w:link w:val="80"/>
    <w:qFormat/>
    <w:uiPriority w:val="0"/>
    <w:pPr>
      <w:keepNext/>
      <w:keepLines/>
      <w:spacing w:before="240" w:after="64" w:line="320" w:lineRule="auto"/>
      <w:outlineLvl w:val="7"/>
    </w:pPr>
    <w:rPr>
      <w:rFonts w:ascii="黑体" w:hAnsi="黑体" w:eastAsia="楷体"/>
      <w:sz w:val="24"/>
    </w:rPr>
  </w:style>
  <w:style w:type="paragraph" w:styleId="12">
    <w:name w:val="heading 9"/>
    <w:basedOn w:val="1"/>
    <w:next w:val="9"/>
    <w:link w:val="105"/>
    <w:qFormat/>
    <w:uiPriority w:val="0"/>
    <w:pPr>
      <w:keepNext/>
      <w:keepLines/>
      <w:spacing w:before="240" w:after="64" w:line="320" w:lineRule="auto"/>
      <w:outlineLvl w:val="8"/>
    </w:pPr>
    <w:rPr>
      <w:rFonts w:ascii="黑体" w:hAnsi="黑体" w:eastAsia="楷体"/>
    </w:rPr>
  </w:style>
  <w:style w:type="character" w:default="1" w:styleId="48">
    <w:name w:val="Default Paragraph Font"/>
    <w:semiHidden/>
    <w:unhideWhenUsed/>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无间距1"/>
    <w:qFormat/>
    <w:uiPriority w:val="1"/>
    <w:pPr>
      <w:widowControl w:val="0"/>
      <w:jc w:val="both"/>
    </w:pPr>
    <w:rPr>
      <w:rFonts w:ascii="Calibri" w:hAnsi="Calibri" w:eastAsia="微软雅黑 Light" w:cs="Times New Roman"/>
      <w:kern w:val="2"/>
      <w:sz w:val="24"/>
      <w:szCs w:val="22"/>
      <w:lang w:val="en-US" w:eastAsia="zh-CN" w:bidi="ar-SA"/>
    </w:rPr>
  </w:style>
  <w:style w:type="paragraph" w:styleId="9">
    <w:name w:val="Normal Indent"/>
    <w:basedOn w:val="1"/>
    <w:link w:val="62"/>
    <w:qFormat/>
    <w:uiPriority w:val="0"/>
    <w:pPr>
      <w:adjustRightInd w:val="0"/>
      <w:spacing w:line="315" w:lineRule="atLeast"/>
      <w:ind w:firstLine="420"/>
      <w:jc w:val="left"/>
      <w:textAlignment w:val="baseline"/>
    </w:pPr>
    <w:rPr>
      <w:rFonts w:ascii="宋体"/>
      <w:kern w:val="0"/>
    </w:rPr>
  </w:style>
  <w:style w:type="paragraph" w:styleId="13">
    <w:name w:val="toc 7"/>
    <w:basedOn w:val="1"/>
    <w:next w:val="1"/>
    <w:qFormat/>
    <w:uiPriority w:val="0"/>
    <w:pPr>
      <w:ind w:left="2520" w:leftChars="1200"/>
    </w:pPr>
    <w:rPr>
      <w:szCs w:val="24"/>
    </w:rPr>
  </w:style>
  <w:style w:type="paragraph" w:styleId="14">
    <w:name w:val="List Number"/>
    <w:basedOn w:val="1"/>
    <w:qFormat/>
    <w:uiPriority w:val="0"/>
    <w:pPr>
      <w:widowControl/>
      <w:tabs>
        <w:tab w:val="left" w:pos="420"/>
        <w:tab w:val="left" w:pos="454"/>
      </w:tabs>
      <w:spacing w:afterLines="50"/>
      <w:ind w:left="454" w:hanging="284"/>
      <w:jc w:val="left"/>
    </w:pPr>
    <w:rPr>
      <w:rFonts w:ascii="Arial" w:hAnsi="Arial" w:cs="Arial"/>
      <w:kern w:val="0"/>
      <w:sz w:val="24"/>
    </w:rPr>
  </w:style>
  <w:style w:type="paragraph" w:styleId="15">
    <w:name w:val="caption"/>
    <w:basedOn w:val="1"/>
    <w:next w:val="1"/>
    <w:qFormat/>
    <w:uiPriority w:val="0"/>
    <w:rPr>
      <w:rFonts w:ascii="黑体" w:hAnsi="黑体" w:eastAsia="楷体" w:cs="黑体"/>
      <w:sz w:val="20"/>
    </w:rPr>
  </w:style>
  <w:style w:type="paragraph" w:styleId="16">
    <w:name w:val="Document Map"/>
    <w:basedOn w:val="1"/>
    <w:link w:val="126"/>
    <w:qFormat/>
    <w:uiPriority w:val="0"/>
    <w:pPr>
      <w:shd w:val="clear" w:color="auto" w:fill="000080"/>
    </w:pPr>
  </w:style>
  <w:style w:type="paragraph" w:styleId="17">
    <w:name w:val="annotation text"/>
    <w:basedOn w:val="1"/>
    <w:link w:val="58"/>
    <w:qFormat/>
    <w:uiPriority w:val="0"/>
    <w:pPr>
      <w:jc w:val="left"/>
    </w:pPr>
  </w:style>
  <w:style w:type="paragraph" w:styleId="18">
    <w:name w:val="Body Text"/>
    <w:basedOn w:val="1"/>
    <w:link w:val="81"/>
    <w:qFormat/>
    <w:uiPriority w:val="0"/>
    <w:pPr>
      <w:spacing w:after="120"/>
    </w:pPr>
  </w:style>
  <w:style w:type="paragraph" w:styleId="19">
    <w:name w:val="Body Text Indent"/>
    <w:basedOn w:val="1"/>
    <w:link w:val="86"/>
    <w:qFormat/>
    <w:uiPriority w:val="0"/>
    <w:pPr>
      <w:spacing w:line="380" w:lineRule="exact"/>
      <w:ind w:firstLine="480"/>
    </w:pPr>
    <w:rPr>
      <w:rFonts w:eastAsia="方正书宋简体"/>
      <w:sz w:val="24"/>
    </w:rPr>
  </w:style>
  <w:style w:type="paragraph" w:styleId="20">
    <w:name w:val="List Number 3"/>
    <w:basedOn w:val="1"/>
    <w:qFormat/>
    <w:uiPriority w:val="0"/>
    <w:pPr>
      <w:widowControl/>
      <w:tabs>
        <w:tab w:val="left" w:pos="482"/>
        <w:tab w:val="left" w:pos="1157"/>
      </w:tabs>
      <w:spacing w:afterLines="50"/>
      <w:ind w:left="482" w:hanging="340"/>
      <w:jc w:val="left"/>
    </w:pPr>
    <w:rPr>
      <w:rFonts w:ascii="Arial" w:hAnsi="Arial" w:cs="Arial"/>
      <w:kern w:val="0"/>
      <w:sz w:val="24"/>
    </w:rPr>
  </w:style>
  <w:style w:type="paragraph" w:styleId="21">
    <w:name w:val="Block Text"/>
    <w:basedOn w:val="1"/>
    <w:qFormat/>
    <w:uiPriority w:val="0"/>
    <w:pPr>
      <w:adjustRightInd w:val="0"/>
      <w:snapToGrid w:val="0"/>
      <w:spacing w:line="300" w:lineRule="auto"/>
      <w:ind w:left="958" w:right="-120" w:rightChars="-120"/>
      <w:jc w:val="left"/>
    </w:pPr>
    <w:rPr>
      <w:rFonts w:hint="eastAsia" w:ascii="Century Gothic" w:hAnsi="Century Gothic" w:cs="Arial"/>
      <w:sz w:val="28"/>
    </w:rPr>
  </w:style>
  <w:style w:type="paragraph" w:styleId="22">
    <w:name w:val="toc 5"/>
    <w:basedOn w:val="1"/>
    <w:next w:val="1"/>
    <w:qFormat/>
    <w:uiPriority w:val="0"/>
    <w:pPr>
      <w:ind w:left="1680" w:leftChars="800"/>
    </w:pPr>
    <w:rPr>
      <w:szCs w:val="24"/>
    </w:rPr>
  </w:style>
  <w:style w:type="paragraph" w:styleId="23">
    <w:name w:val="toc 3"/>
    <w:basedOn w:val="1"/>
    <w:next w:val="1"/>
    <w:qFormat/>
    <w:uiPriority w:val="0"/>
    <w:pPr>
      <w:tabs>
        <w:tab w:val="left" w:pos="1236"/>
        <w:tab w:val="right" w:leader="dot" w:pos="8789"/>
      </w:tabs>
      <w:ind w:left="840" w:leftChars="400"/>
    </w:pPr>
  </w:style>
  <w:style w:type="paragraph" w:styleId="24">
    <w:name w:val="Plain Text"/>
    <w:basedOn w:val="1"/>
    <w:link w:val="91"/>
    <w:qFormat/>
    <w:uiPriority w:val="0"/>
    <w:pPr>
      <w:widowControl/>
      <w:overflowPunct w:val="0"/>
      <w:autoSpaceDE w:val="0"/>
      <w:autoSpaceDN w:val="0"/>
      <w:adjustRightInd w:val="0"/>
      <w:jc w:val="left"/>
      <w:textAlignment w:val="baseline"/>
    </w:pPr>
    <w:rPr>
      <w:rFonts w:ascii="宋体" w:hAnsi="Courier New"/>
      <w:kern w:val="0"/>
      <w:sz w:val="20"/>
    </w:rPr>
  </w:style>
  <w:style w:type="paragraph" w:styleId="25">
    <w:name w:val="toc 8"/>
    <w:basedOn w:val="1"/>
    <w:next w:val="1"/>
    <w:qFormat/>
    <w:uiPriority w:val="0"/>
    <w:pPr>
      <w:ind w:left="2940" w:leftChars="1400"/>
    </w:pPr>
    <w:rPr>
      <w:szCs w:val="24"/>
    </w:rPr>
  </w:style>
  <w:style w:type="paragraph" w:styleId="26">
    <w:name w:val="Date"/>
    <w:basedOn w:val="1"/>
    <w:next w:val="1"/>
    <w:link w:val="98"/>
    <w:qFormat/>
    <w:uiPriority w:val="0"/>
    <w:pPr>
      <w:adjustRightInd w:val="0"/>
      <w:spacing w:line="312" w:lineRule="atLeast"/>
      <w:jc w:val="right"/>
      <w:textAlignment w:val="baseline"/>
    </w:pPr>
    <w:rPr>
      <w:rFonts w:ascii="宋体"/>
      <w:sz w:val="24"/>
    </w:rPr>
  </w:style>
  <w:style w:type="paragraph" w:styleId="27">
    <w:name w:val="Body Text Indent 2"/>
    <w:basedOn w:val="1"/>
    <w:link w:val="102"/>
    <w:qFormat/>
    <w:uiPriority w:val="0"/>
    <w:pPr>
      <w:spacing w:line="380" w:lineRule="exact"/>
      <w:ind w:left="840" w:hanging="45"/>
    </w:pPr>
    <w:rPr>
      <w:rFonts w:ascii="宋体"/>
      <w:sz w:val="24"/>
    </w:rPr>
  </w:style>
  <w:style w:type="paragraph" w:styleId="28">
    <w:name w:val="Balloon Text"/>
    <w:basedOn w:val="1"/>
    <w:link w:val="63"/>
    <w:qFormat/>
    <w:uiPriority w:val="0"/>
    <w:rPr>
      <w:sz w:val="18"/>
      <w:szCs w:val="18"/>
    </w:rPr>
  </w:style>
  <w:style w:type="paragraph" w:styleId="29">
    <w:name w:val="footer"/>
    <w:basedOn w:val="1"/>
    <w:link w:val="92"/>
    <w:qFormat/>
    <w:uiPriority w:val="0"/>
    <w:pPr>
      <w:tabs>
        <w:tab w:val="center" w:pos="4153"/>
        <w:tab w:val="right" w:pos="8306"/>
      </w:tabs>
      <w:snapToGrid w:val="0"/>
      <w:jc w:val="left"/>
    </w:pPr>
    <w:rPr>
      <w:sz w:val="18"/>
      <w:szCs w:val="18"/>
    </w:rPr>
  </w:style>
  <w:style w:type="paragraph" w:styleId="30">
    <w:name w:val="header"/>
    <w:basedOn w:val="1"/>
    <w:link w:val="10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tabs>
        <w:tab w:val="right" w:leader="middleDot" w:pos="8789"/>
      </w:tabs>
      <w:spacing w:line="360" w:lineRule="auto"/>
    </w:pPr>
    <w:rPr>
      <w:sz w:val="24"/>
    </w:rPr>
  </w:style>
  <w:style w:type="paragraph" w:styleId="32">
    <w:name w:val="toc 4"/>
    <w:basedOn w:val="1"/>
    <w:next w:val="1"/>
    <w:qFormat/>
    <w:uiPriority w:val="0"/>
    <w:pPr>
      <w:ind w:left="1260" w:leftChars="600"/>
    </w:pPr>
    <w:rPr>
      <w:szCs w:val="24"/>
    </w:rPr>
  </w:style>
  <w:style w:type="paragraph" w:styleId="33">
    <w:name w:val="List"/>
    <w:basedOn w:val="1"/>
    <w:qFormat/>
    <w:uiPriority w:val="0"/>
    <w:pPr>
      <w:ind w:left="200" w:hanging="200" w:hangingChars="200"/>
    </w:pPr>
  </w:style>
  <w:style w:type="paragraph" w:styleId="34">
    <w:name w:val="toc 6"/>
    <w:basedOn w:val="1"/>
    <w:next w:val="1"/>
    <w:qFormat/>
    <w:uiPriority w:val="0"/>
    <w:pPr>
      <w:ind w:left="2100" w:leftChars="1000"/>
    </w:pPr>
    <w:rPr>
      <w:szCs w:val="24"/>
    </w:rPr>
  </w:style>
  <w:style w:type="paragraph" w:styleId="35">
    <w:name w:val="List 5"/>
    <w:basedOn w:val="1"/>
    <w:qFormat/>
    <w:uiPriority w:val="0"/>
    <w:pPr>
      <w:ind w:left="100" w:leftChars="800" w:hanging="200" w:hangingChars="200"/>
    </w:pPr>
    <w:rPr>
      <w:rFonts w:ascii="Arial" w:hAnsi="Arial" w:cs="Arial"/>
    </w:rPr>
  </w:style>
  <w:style w:type="paragraph" w:styleId="36">
    <w:name w:val="Body Text Indent 3"/>
    <w:basedOn w:val="1"/>
    <w:link w:val="67"/>
    <w:qFormat/>
    <w:uiPriority w:val="0"/>
    <w:pPr>
      <w:spacing w:line="380" w:lineRule="exact"/>
      <w:ind w:left="525"/>
    </w:pPr>
    <w:rPr>
      <w:rFonts w:ascii="宋体"/>
      <w:sz w:val="24"/>
    </w:rPr>
  </w:style>
  <w:style w:type="paragraph" w:styleId="37">
    <w:name w:val="toc 2"/>
    <w:basedOn w:val="1"/>
    <w:next w:val="1"/>
    <w:qFormat/>
    <w:uiPriority w:val="39"/>
    <w:pPr>
      <w:tabs>
        <w:tab w:val="right" w:leader="middleDot" w:pos="8789"/>
      </w:tabs>
      <w:spacing w:after="60"/>
      <w:ind w:left="420" w:leftChars="200"/>
    </w:pPr>
  </w:style>
  <w:style w:type="paragraph" w:styleId="38">
    <w:name w:val="toc 9"/>
    <w:basedOn w:val="1"/>
    <w:next w:val="1"/>
    <w:qFormat/>
    <w:uiPriority w:val="0"/>
    <w:pPr>
      <w:ind w:left="3360" w:leftChars="1600"/>
    </w:pPr>
    <w:rPr>
      <w:szCs w:val="24"/>
    </w:rPr>
  </w:style>
  <w:style w:type="paragraph" w:styleId="39">
    <w:name w:val="Body Text 2"/>
    <w:basedOn w:val="1"/>
    <w:link w:val="89"/>
    <w:qFormat/>
    <w:uiPriority w:val="0"/>
    <w:rPr>
      <w:rFonts w:ascii="Arial" w:hAnsi="Arial"/>
      <w:kern w:val="0"/>
      <w:sz w:val="24"/>
      <w:szCs w:val="24"/>
    </w:rPr>
  </w:style>
  <w:style w:type="paragraph" w:styleId="40">
    <w:name w:val="HTML Preformatted"/>
    <w:basedOn w:val="1"/>
    <w:link w:val="131"/>
    <w:qFormat/>
    <w:uiPriority w:val="0"/>
    <w:rPr>
      <w:rFonts w:ascii="Courier New" w:hAnsi="Courier New" w:cs="Courier New"/>
      <w:sz w:val="20"/>
    </w:rPr>
  </w:style>
  <w:style w:type="paragraph" w:styleId="41">
    <w:name w:val="Normal (Web)"/>
    <w:basedOn w:val="1"/>
    <w:qFormat/>
    <w:uiPriority w:val="99"/>
    <w:pPr>
      <w:widowControl/>
      <w:shd w:val="clear" w:color="auto" w:fill="FFFFFF"/>
      <w:spacing w:before="100" w:beforeAutospacing="1" w:after="100" w:afterAutospacing="1"/>
      <w:jc w:val="left"/>
    </w:pPr>
    <w:rPr>
      <w:rFonts w:ascii="Century Gothic" w:hAnsi="Century Gothic" w:cs="Arial"/>
      <w:kern w:val="0"/>
      <w:sz w:val="18"/>
      <w:szCs w:val="18"/>
    </w:rPr>
  </w:style>
  <w:style w:type="paragraph" w:styleId="42">
    <w:name w:val="Title"/>
    <w:basedOn w:val="1"/>
    <w:next w:val="1"/>
    <w:link w:val="64"/>
    <w:qFormat/>
    <w:uiPriority w:val="0"/>
    <w:pPr>
      <w:spacing w:before="240" w:after="60"/>
      <w:jc w:val="center"/>
      <w:outlineLvl w:val="0"/>
    </w:pPr>
    <w:rPr>
      <w:rFonts w:ascii="Cambria" w:hAnsi="Cambria"/>
      <w:b/>
      <w:bCs/>
      <w:sz w:val="32"/>
      <w:szCs w:val="32"/>
    </w:rPr>
  </w:style>
  <w:style w:type="paragraph" w:styleId="43">
    <w:name w:val="annotation subject"/>
    <w:basedOn w:val="17"/>
    <w:next w:val="17"/>
    <w:link w:val="57"/>
    <w:qFormat/>
    <w:uiPriority w:val="0"/>
    <w:rPr>
      <w:b/>
      <w:bCs/>
    </w:rPr>
  </w:style>
  <w:style w:type="paragraph" w:styleId="44">
    <w:name w:val="Body Text First Indent"/>
    <w:basedOn w:val="18"/>
    <w:link w:val="96"/>
    <w:qFormat/>
    <w:uiPriority w:val="0"/>
    <w:pPr>
      <w:ind w:firstLine="420" w:firstLineChars="100"/>
    </w:pPr>
    <w:rPr>
      <w:szCs w:val="24"/>
    </w:rPr>
  </w:style>
  <w:style w:type="paragraph" w:styleId="45">
    <w:name w:val="Body Text First Indent 2"/>
    <w:basedOn w:val="19"/>
    <w:qFormat/>
    <w:uiPriority w:val="0"/>
    <w:pPr>
      <w:spacing w:after="120" w:line="240" w:lineRule="auto"/>
      <w:ind w:left="420" w:leftChars="200" w:firstLine="420" w:firstLineChars="200"/>
    </w:pPr>
    <w:rPr>
      <w:sz w:val="21"/>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22"/>
    <w:rPr>
      <w:b/>
      <w:bCs/>
    </w:rPr>
  </w:style>
  <w:style w:type="character" w:styleId="50">
    <w:name w:val="page number"/>
    <w:basedOn w:val="48"/>
    <w:qFormat/>
    <w:uiPriority w:val="0"/>
  </w:style>
  <w:style w:type="character" w:styleId="51">
    <w:name w:val="FollowedHyperlink"/>
    <w:basedOn w:val="48"/>
    <w:qFormat/>
    <w:uiPriority w:val="0"/>
    <w:rPr>
      <w:color w:val="800080"/>
      <w:u w:val="single"/>
    </w:rPr>
  </w:style>
  <w:style w:type="character" w:styleId="52">
    <w:name w:val="Hyperlink"/>
    <w:basedOn w:val="48"/>
    <w:qFormat/>
    <w:uiPriority w:val="99"/>
    <w:rPr>
      <w:color w:val="0000FF"/>
      <w:u w:val="single"/>
    </w:rPr>
  </w:style>
  <w:style w:type="character" w:styleId="53">
    <w:name w:val="annotation reference"/>
    <w:basedOn w:val="48"/>
    <w:qFormat/>
    <w:uiPriority w:val="0"/>
    <w:rPr>
      <w:sz w:val="21"/>
      <w:szCs w:val="21"/>
    </w:rPr>
  </w:style>
  <w:style w:type="paragraph" w:customStyle="1" w:styleId="54">
    <w:name w:val="正文1"/>
    <w:basedOn w:val="1"/>
    <w:qFormat/>
    <w:uiPriority w:val="0"/>
    <w:pPr>
      <w:tabs>
        <w:tab w:val="left" w:pos="306"/>
      </w:tabs>
      <w:spacing w:line="360" w:lineRule="auto"/>
      <w:ind w:left="306" w:hanging="360"/>
      <w:jc w:val="left"/>
    </w:pPr>
    <w:rPr>
      <w:rFonts w:ascii="宋体" w:hAnsi="宋体"/>
      <w:spacing w:val="4"/>
      <w:sz w:val="18"/>
    </w:rPr>
  </w:style>
  <w:style w:type="character" w:customStyle="1" w:styleId="55">
    <w:name w:val="Char Char18"/>
    <w:qFormat/>
    <w:uiPriority w:val="0"/>
    <w:rPr>
      <w:rFonts w:ascii="Arial" w:hAnsi="Arial" w:eastAsia="Century Gothic" w:cs="Times New Roman"/>
      <w:b/>
      <w:bCs/>
      <w:kern w:val="44"/>
      <w:sz w:val="44"/>
      <w:szCs w:val="44"/>
    </w:rPr>
  </w:style>
  <w:style w:type="character" w:customStyle="1" w:styleId="56">
    <w:name w:val="font11"/>
    <w:basedOn w:val="48"/>
    <w:qFormat/>
    <w:uiPriority w:val="0"/>
    <w:rPr>
      <w:rFonts w:hint="eastAsia" w:ascii="宋体" w:hAnsi="宋体" w:eastAsia="宋体" w:cs="宋体"/>
      <w:color w:val="000000"/>
      <w:sz w:val="20"/>
      <w:szCs w:val="20"/>
      <w:u w:val="none"/>
    </w:rPr>
  </w:style>
  <w:style w:type="character" w:customStyle="1" w:styleId="57">
    <w:name w:val="批注主题 Char"/>
    <w:basedOn w:val="58"/>
    <w:link w:val="43"/>
    <w:qFormat/>
    <w:uiPriority w:val="0"/>
    <w:rPr>
      <w:b/>
      <w:bCs/>
    </w:rPr>
  </w:style>
  <w:style w:type="character" w:customStyle="1" w:styleId="58">
    <w:name w:val="批注文字 Char"/>
    <w:basedOn w:val="48"/>
    <w:link w:val="17"/>
    <w:qFormat/>
    <w:uiPriority w:val="0"/>
    <w:rPr>
      <w:rFonts w:eastAsia="宋体"/>
      <w:kern w:val="2"/>
      <w:sz w:val="21"/>
      <w:lang w:val="en-US" w:eastAsia="zh-CN" w:bidi="ar-SA"/>
    </w:rPr>
  </w:style>
  <w:style w:type="character" w:customStyle="1" w:styleId="59">
    <w:name w:val="标题 2 Char"/>
    <w:basedOn w:val="48"/>
    <w:link w:val="4"/>
    <w:qFormat/>
    <w:uiPriority w:val="0"/>
    <w:rPr>
      <w:rFonts w:ascii="Arial" w:hAnsi="Arial" w:eastAsia="黑体"/>
      <w:b/>
      <w:bCs/>
      <w:kern w:val="2"/>
      <w:sz w:val="32"/>
      <w:szCs w:val="32"/>
      <w:lang w:val="en-US" w:eastAsia="zh-CN" w:bidi="ar-SA"/>
    </w:rPr>
  </w:style>
  <w:style w:type="character" w:customStyle="1" w:styleId="60">
    <w:name w:val="标题 5 Char"/>
    <w:basedOn w:val="48"/>
    <w:link w:val="7"/>
    <w:qFormat/>
    <w:uiPriority w:val="0"/>
    <w:rPr>
      <w:rFonts w:ascii="MS Sans Serif" w:hAnsi="Arial" w:eastAsia="MS Sans Serif"/>
      <w:sz w:val="24"/>
    </w:rPr>
  </w:style>
  <w:style w:type="character" w:customStyle="1" w:styleId="61">
    <w:name w:val="段 Char"/>
    <w:basedOn w:val="48"/>
    <w:qFormat/>
    <w:uiPriority w:val="0"/>
    <w:rPr>
      <w:rFonts w:ascii="宋体" w:eastAsia="宋体"/>
      <w:sz w:val="21"/>
      <w:lang w:val="en-US" w:eastAsia="zh-CN" w:bidi="ar-SA"/>
    </w:rPr>
  </w:style>
  <w:style w:type="character" w:customStyle="1" w:styleId="62">
    <w:name w:val="正文缩进 Char"/>
    <w:link w:val="9"/>
    <w:qFormat/>
    <w:uiPriority w:val="0"/>
    <w:rPr>
      <w:rFonts w:ascii="宋体"/>
      <w:sz w:val="21"/>
    </w:rPr>
  </w:style>
  <w:style w:type="character" w:customStyle="1" w:styleId="63">
    <w:name w:val="批注框文本 Char"/>
    <w:basedOn w:val="48"/>
    <w:link w:val="28"/>
    <w:qFormat/>
    <w:uiPriority w:val="0"/>
    <w:rPr>
      <w:rFonts w:eastAsia="宋体"/>
      <w:kern w:val="2"/>
      <w:sz w:val="18"/>
      <w:szCs w:val="18"/>
      <w:lang w:val="en-US" w:eastAsia="zh-CN" w:bidi="ar-SA"/>
    </w:rPr>
  </w:style>
  <w:style w:type="character" w:customStyle="1" w:styleId="64">
    <w:name w:val="标题 Char"/>
    <w:basedOn w:val="48"/>
    <w:link w:val="42"/>
    <w:qFormat/>
    <w:uiPriority w:val="0"/>
    <w:rPr>
      <w:rFonts w:ascii="Cambria" w:hAnsi="Cambria" w:cs="Times New Roman"/>
      <w:b/>
      <w:bCs/>
      <w:kern w:val="2"/>
      <w:sz w:val="32"/>
      <w:szCs w:val="32"/>
    </w:rPr>
  </w:style>
  <w:style w:type="character" w:customStyle="1" w:styleId="65">
    <w:name w:val="Char Char21"/>
    <w:qFormat/>
    <w:uiPriority w:val="0"/>
    <w:rPr>
      <w:rFonts w:eastAsia="Century Gothic"/>
      <w:b/>
      <w:bCs/>
      <w:kern w:val="44"/>
      <w:sz w:val="32"/>
      <w:szCs w:val="44"/>
      <w:lang w:val="en-US" w:eastAsia="zh-CN" w:bidi="ar-SA"/>
    </w:rPr>
  </w:style>
  <w:style w:type="character" w:customStyle="1" w:styleId="66">
    <w:name w:val="font21"/>
    <w:basedOn w:val="48"/>
    <w:qFormat/>
    <w:uiPriority w:val="0"/>
    <w:rPr>
      <w:rFonts w:hint="eastAsia" w:ascii="宋体" w:hAnsi="宋体" w:eastAsia="宋体" w:cs="宋体"/>
      <w:color w:val="000000"/>
      <w:sz w:val="20"/>
      <w:szCs w:val="20"/>
      <w:u w:val="none"/>
      <w:vertAlign w:val="superscript"/>
    </w:rPr>
  </w:style>
  <w:style w:type="character" w:customStyle="1" w:styleId="67">
    <w:name w:val="正文文本缩进 3 Char"/>
    <w:basedOn w:val="48"/>
    <w:link w:val="36"/>
    <w:qFormat/>
    <w:uiPriority w:val="0"/>
    <w:rPr>
      <w:rFonts w:ascii="宋体" w:eastAsia="宋体"/>
      <w:kern w:val="2"/>
      <w:sz w:val="24"/>
      <w:lang w:val="en-US" w:eastAsia="zh-CN" w:bidi="ar-SA"/>
    </w:rPr>
  </w:style>
  <w:style w:type="character" w:customStyle="1" w:styleId="68">
    <w:name w:val="tpc_content1"/>
    <w:qFormat/>
    <w:uiPriority w:val="0"/>
    <w:rPr>
      <w:sz w:val="20"/>
      <w:szCs w:val="20"/>
    </w:rPr>
  </w:style>
  <w:style w:type="character" w:customStyle="1" w:styleId="69">
    <w:name w:val="标题 1 Char Char"/>
    <w:qFormat/>
    <w:uiPriority w:val="0"/>
    <w:rPr>
      <w:rFonts w:eastAsia="宋体"/>
      <w:b/>
      <w:spacing w:val="-2"/>
      <w:sz w:val="24"/>
      <w:lang w:val="en-US" w:eastAsia="zh-CN" w:bidi="ar-SA"/>
    </w:rPr>
  </w:style>
  <w:style w:type="character" w:customStyle="1" w:styleId="70">
    <w:name w:val="zbggmain style9"/>
    <w:qFormat/>
    <w:uiPriority w:val="0"/>
    <w:rPr>
      <w:rFonts w:ascii="Courier New" w:eastAsia="Courier New"/>
      <w:b/>
      <w:kern w:val="2"/>
      <w:sz w:val="32"/>
      <w:szCs w:val="32"/>
      <w:lang w:val="en-US" w:eastAsia="zh-CN" w:bidi="ar-SA"/>
    </w:rPr>
  </w:style>
  <w:style w:type="character" w:customStyle="1" w:styleId="71">
    <w:name w:val="正文标准 Char Char"/>
    <w:link w:val="72"/>
    <w:qFormat/>
    <w:uiPriority w:val="0"/>
    <w:rPr>
      <w:rFonts w:ascii="Arial" w:hAnsi="Arial"/>
      <w:sz w:val="24"/>
      <w:szCs w:val="21"/>
    </w:rPr>
  </w:style>
  <w:style w:type="paragraph" w:customStyle="1" w:styleId="72">
    <w:name w:val="正文标准"/>
    <w:basedOn w:val="1"/>
    <w:link w:val="71"/>
    <w:qFormat/>
    <w:uiPriority w:val="0"/>
    <w:pPr>
      <w:spacing w:beforeLines="50"/>
      <w:ind w:firstLine="200" w:firstLineChars="200"/>
    </w:pPr>
    <w:rPr>
      <w:rFonts w:ascii="Arial" w:hAnsi="Arial"/>
      <w:kern w:val="0"/>
      <w:sz w:val="24"/>
      <w:szCs w:val="21"/>
    </w:rPr>
  </w:style>
  <w:style w:type="character" w:customStyle="1" w:styleId="73">
    <w:name w:val="BOD 0 Char"/>
    <w:qFormat/>
    <w:uiPriority w:val="0"/>
    <w:rPr>
      <w:rFonts w:ascii="Calibri" w:hAnsi="Calibri" w:eastAsia="宋体" w:cs="Times New Roman"/>
      <w:b/>
      <w:bCs/>
      <w:sz w:val="32"/>
      <w:szCs w:val="32"/>
    </w:rPr>
  </w:style>
  <w:style w:type="character" w:customStyle="1" w:styleId="74">
    <w:name w:val="标题 3 Char"/>
    <w:basedOn w:val="48"/>
    <w:link w:val="5"/>
    <w:qFormat/>
    <w:uiPriority w:val="0"/>
    <w:rPr>
      <w:rFonts w:eastAsia="宋体"/>
      <w:b/>
      <w:bCs/>
      <w:kern w:val="2"/>
      <w:sz w:val="32"/>
      <w:szCs w:val="32"/>
      <w:lang w:val="en-US" w:eastAsia="zh-CN" w:bidi="ar-SA"/>
    </w:rPr>
  </w:style>
  <w:style w:type="character" w:customStyle="1" w:styleId="75">
    <w:name w:val="标题 4 Char"/>
    <w:basedOn w:val="48"/>
    <w:link w:val="6"/>
    <w:qFormat/>
    <w:uiPriority w:val="0"/>
    <w:rPr>
      <w:rFonts w:ascii="Cambria" w:hAnsi="Cambria" w:eastAsia="宋体"/>
      <w:b/>
      <w:bCs/>
      <w:kern w:val="2"/>
      <w:sz w:val="28"/>
      <w:szCs w:val="28"/>
      <w:lang w:val="en-US" w:eastAsia="zh-CN" w:bidi="ar-SA"/>
    </w:rPr>
  </w:style>
  <w:style w:type="character" w:customStyle="1" w:styleId="76">
    <w:name w:val="页脚 Char Char"/>
    <w:qFormat/>
    <w:uiPriority w:val="0"/>
    <w:rPr>
      <w:rFonts w:ascii="Calibri" w:hAnsi="Calibri" w:eastAsia="宋体" w:cs="Times New Roman"/>
      <w:sz w:val="18"/>
      <w:szCs w:val="18"/>
    </w:rPr>
  </w:style>
  <w:style w:type="character" w:customStyle="1" w:styleId="77">
    <w:name w:val="style1"/>
    <w:basedOn w:val="48"/>
    <w:qFormat/>
    <w:uiPriority w:val="0"/>
  </w:style>
  <w:style w:type="character" w:customStyle="1" w:styleId="78">
    <w:name w:val="正文文本缩进 2 Char Char"/>
    <w:basedOn w:val="48"/>
    <w:qFormat/>
    <w:uiPriority w:val="0"/>
    <w:rPr>
      <w:rFonts w:ascii="宋体" w:eastAsia="宋体"/>
      <w:kern w:val="2"/>
      <w:sz w:val="24"/>
      <w:lang w:val="en-US" w:eastAsia="zh-CN" w:bidi="ar-SA"/>
    </w:rPr>
  </w:style>
  <w:style w:type="character" w:customStyle="1" w:styleId="79">
    <w:name w:val="标题 7 Char"/>
    <w:basedOn w:val="48"/>
    <w:link w:val="10"/>
    <w:qFormat/>
    <w:uiPriority w:val="0"/>
    <w:rPr>
      <w:rFonts w:ascii="Arial" w:hAnsi="Arial"/>
      <w:b/>
      <w:kern w:val="2"/>
      <w:sz w:val="24"/>
    </w:rPr>
  </w:style>
  <w:style w:type="character" w:customStyle="1" w:styleId="80">
    <w:name w:val="标题 8 Char"/>
    <w:basedOn w:val="48"/>
    <w:link w:val="11"/>
    <w:qFormat/>
    <w:uiPriority w:val="0"/>
    <w:rPr>
      <w:rFonts w:ascii="黑体" w:hAnsi="黑体" w:eastAsia="楷体"/>
      <w:kern w:val="2"/>
      <w:sz w:val="24"/>
    </w:rPr>
  </w:style>
  <w:style w:type="character" w:customStyle="1" w:styleId="81">
    <w:name w:val="正文文本 Char"/>
    <w:basedOn w:val="48"/>
    <w:link w:val="18"/>
    <w:uiPriority w:val="0"/>
    <w:rPr>
      <w:kern w:val="2"/>
      <w:sz w:val="21"/>
    </w:rPr>
  </w:style>
  <w:style w:type="character" w:customStyle="1" w:styleId="82">
    <w:name w:val="font41"/>
    <w:basedOn w:val="48"/>
    <w:qFormat/>
    <w:uiPriority w:val="0"/>
    <w:rPr>
      <w:rFonts w:hint="eastAsia" w:ascii="宋体" w:hAnsi="宋体" w:eastAsia="宋体" w:cs="宋体"/>
      <w:color w:val="000000"/>
      <w:sz w:val="20"/>
      <w:szCs w:val="20"/>
      <w:u w:val="none"/>
      <w:vertAlign w:val="superscript"/>
    </w:rPr>
  </w:style>
  <w:style w:type="character" w:customStyle="1" w:styleId="83">
    <w:name w:val="标题 4 Char Char"/>
    <w:qFormat/>
    <w:uiPriority w:val="0"/>
    <w:rPr>
      <w:rFonts w:ascii="Times New Roman" w:hAnsi="Times New Roman" w:eastAsia="宋体" w:cs="Times New Roman"/>
      <w:sz w:val="24"/>
      <w:szCs w:val="20"/>
    </w:rPr>
  </w:style>
  <w:style w:type="character" w:customStyle="1" w:styleId="84">
    <w:name w:val="BOD 0 Char1"/>
    <w:qFormat/>
    <w:uiPriority w:val="0"/>
    <w:rPr>
      <w:rFonts w:ascii="Arial" w:hAnsi="Arial" w:eastAsia="宋体" w:cs="Times New Roman"/>
      <w:b/>
      <w:bCs/>
      <w:sz w:val="32"/>
      <w:szCs w:val="32"/>
    </w:rPr>
  </w:style>
  <w:style w:type="character" w:customStyle="1" w:styleId="85">
    <w:name w:val="正文文本 Char Char"/>
    <w:qFormat/>
    <w:uiPriority w:val="0"/>
    <w:rPr>
      <w:rFonts w:ascii="Calibri" w:hAnsi="Calibri" w:eastAsia="宋体" w:cs="Times New Roman"/>
    </w:rPr>
  </w:style>
  <w:style w:type="character" w:customStyle="1" w:styleId="86">
    <w:name w:val="正文文本缩进 Char"/>
    <w:basedOn w:val="48"/>
    <w:link w:val="19"/>
    <w:qFormat/>
    <w:uiPriority w:val="0"/>
    <w:rPr>
      <w:rFonts w:eastAsia="方正书宋简体"/>
      <w:kern w:val="2"/>
      <w:sz w:val="24"/>
      <w:lang w:val="en-US" w:eastAsia="zh-CN" w:bidi="ar-SA"/>
    </w:rPr>
  </w:style>
  <w:style w:type="character" w:customStyle="1" w:styleId="87">
    <w:name w:val="zbggtop11 style5"/>
    <w:basedOn w:val="48"/>
    <w:qFormat/>
    <w:uiPriority w:val="0"/>
  </w:style>
  <w:style w:type="character" w:customStyle="1" w:styleId="88">
    <w:name w:val="Char Char12"/>
    <w:qFormat/>
    <w:uiPriority w:val="0"/>
    <w:rPr>
      <w:rFonts w:ascii="Century Gothic" w:hAnsi="楷体_GB2312" w:eastAsia="Century Gothic" w:cs="楷体_GB2312"/>
      <w:kern w:val="2"/>
      <w:sz w:val="21"/>
      <w:szCs w:val="21"/>
      <w:lang w:val="en-US" w:eastAsia="zh-CN" w:bidi="ar-SA"/>
    </w:rPr>
  </w:style>
  <w:style w:type="character" w:customStyle="1" w:styleId="89">
    <w:name w:val="正文文本 2 Char"/>
    <w:basedOn w:val="48"/>
    <w:link w:val="39"/>
    <w:qFormat/>
    <w:uiPriority w:val="0"/>
    <w:rPr>
      <w:rFonts w:ascii="Arial" w:hAnsi="Arial"/>
      <w:sz w:val="24"/>
      <w:szCs w:val="24"/>
    </w:rPr>
  </w:style>
  <w:style w:type="character" w:customStyle="1" w:styleId="90">
    <w:name w:val="Char Char Char"/>
    <w:qFormat/>
    <w:uiPriority w:val="0"/>
    <w:rPr>
      <w:rFonts w:ascii="Courier New" w:eastAsia="Courier New"/>
      <w:color w:val="FF0000"/>
      <w:kern w:val="2"/>
      <w:sz w:val="24"/>
      <w:szCs w:val="24"/>
      <w:u w:val="single"/>
      <w:lang w:val="en-US" w:eastAsia="zh-CN" w:bidi="ar-SA"/>
    </w:rPr>
  </w:style>
  <w:style w:type="character" w:customStyle="1" w:styleId="91">
    <w:name w:val="纯文本 Char"/>
    <w:basedOn w:val="48"/>
    <w:link w:val="24"/>
    <w:qFormat/>
    <w:uiPriority w:val="0"/>
    <w:rPr>
      <w:rFonts w:ascii="宋体" w:hAnsi="Courier New"/>
    </w:rPr>
  </w:style>
  <w:style w:type="character" w:customStyle="1" w:styleId="92">
    <w:name w:val="页脚 Char"/>
    <w:basedOn w:val="48"/>
    <w:link w:val="29"/>
    <w:qFormat/>
    <w:uiPriority w:val="0"/>
    <w:rPr>
      <w:rFonts w:eastAsia="宋体"/>
      <w:kern w:val="2"/>
      <w:sz w:val="18"/>
      <w:szCs w:val="18"/>
      <w:lang w:val="en-US" w:eastAsia="zh-CN" w:bidi="ar-SA"/>
    </w:rPr>
  </w:style>
  <w:style w:type="character" w:customStyle="1" w:styleId="93">
    <w:name w:val="标题 1 Char"/>
    <w:basedOn w:val="48"/>
    <w:link w:val="3"/>
    <w:qFormat/>
    <w:uiPriority w:val="0"/>
    <w:rPr>
      <w:rFonts w:ascii="宋体" w:eastAsia="宋体"/>
      <w:b/>
      <w:bCs/>
      <w:kern w:val="2"/>
      <w:sz w:val="28"/>
      <w:lang w:val="en-US" w:eastAsia="zh-CN" w:bidi="ar-SA"/>
    </w:rPr>
  </w:style>
  <w:style w:type="character" w:customStyle="1" w:styleId="94">
    <w:name w:val="正文文本缩进 Char Char"/>
    <w:qFormat/>
    <w:uiPriority w:val="0"/>
    <w:rPr>
      <w:kern w:val="2"/>
      <w:sz w:val="21"/>
      <w:szCs w:val="24"/>
    </w:rPr>
  </w:style>
  <w:style w:type="character" w:customStyle="1" w:styleId="95">
    <w:name w:val="标题 Char Char"/>
    <w:qFormat/>
    <w:uiPriority w:val="0"/>
    <w:rPr>
      <w:rFonts w:ascii="Cambria" w:hAnsi="Cambria" w:eastAsia="宋体" w:cs="Times New Roman"/>
      <w:b/>
      <w:bCs/>
      <w:sz w:val="32"/>
      <w:szCs w:val="32"/>
    </w:rPr>
  </w:style>
  <w:style w:type="character" w:customStyle="1" w:styleId="96">
    <w:name w:val="正文首行缩进 Char"/>
    <w:basedOn w:val="81"/>
    <w:link w:val="44"/>
    <w:qFormat/>
    <w:uiPriority w:val="0"/>
    <w:rPr>
      <w:szCs w:val="24"/>
    </w:rPr>
  </w:style>
  <w:style w:type="character" w:customStyle="1" w:styleId="97">
    <w:name w:val="普通文字 Char Char1"/>
    <w:qFormat/>
    <w:uiPriority w:val="0"/>
    <w:rPr>
      <w:rFonts w:ascii="Century Gothic" w:hAnsi="楷体_GB2312" w:eastAsia="Century Gothic" w:cs="楷体_GB2312"/>
      <w:kern w:val="2"/>
      <w:sz w:val="21"/>
      <w:szCs w:val="21"/>
      <w:lang w:val="en-US" w:eastAsia="zh-CN" w:bidi="ar-SA"/>
    </w:rPr>
  </w:style>
  <w:style w:type="character" w:customStyle="1" w:styleId="98">
    <w:name w:val="日期 Char"/>
    <w:basedOn w:val="48"/>
    <w:link w:val="26"/>
    <w:qFormat/>
    <w:uiPriority w:val="0"/>
    <w:rPr>
      <w:rFonts w:ascii="宋体" w:eastAsia="宋体"/>
      <w:sz w:val="24"/>
      <w:lang w:val="en-US" w:eastAsia="zh-CN" w:bidi="ar-SA"/>
    </w:rPr>
  </w:style>
  <w:style w:type="character" w:customStyle="1" w:styleId="99">
    <w:name w:val="font31"/>
    <w:basedOn w:val="48"/>
    <w:qFormat/>
    <w:uiPriority w:val="0"/>
    <w:rPr>
      <w:rFonts w:hint="eastAsia" w:ascii="宋体" w:hAnsi="宋体" w:eastAsia="宋体" w:cs="宋体"/>
      <w:color w:val="000000"/>
      <w:sz w:val="20"/>
      <w:szCs w:val="20"/>
      <w:u w:val="none"/>
      <w:vertAlign w:val="superscript"/>
    </w:rPr>
  </w:style>
  <w:style w:type="character" w:customStyle="1" w:styleId="100">
    <w:name w:val="H4 Char"/>
    <w:qFormat/>
    <w:uiPriority w:val="0"/>
    <w:rPr>
      <w:rFonts w:ascii="Arial" w:hAnsi="Arial" w:eastAsia="黑体" w:cs="Times New Roman"/>
      <w:b/>
      <w:bCs/>
      <w:sz w:val="28"/>
      <w:szCs w:val="28"/>
    </w:rPr>
  </w:style>
  <w:style w:type="character" w:customStyle="1" w:styleId="101">
    <w:name w:val="页眉 Char"/>
    <w:basedOn w:val="48"/>
    <w:link w:val="30"/>
    <w:qFormat/>
    <w:uiPriority w:val="0"/>
    <w:rPr>
      <w:rFonts w:eastAsia="宋体"/>
      <w:kern w:val="2"/>
      <w:sz w:val="18"/>
      <w:szCs w:val="18"/>
      <w:lang w:val="en-US" w:eastAsia="zh-CN" w:bidi="ar-SA"/>
    </w:rPr>
  </w:style>
  <w:style w:type="character" w:customStyle="1" w:styleId="102">
    <w:name w:val="正文文本缩进 2 Char"/>
    <w:basedOn w:val="48"/>
    <w:link w:val="27"/>
    <w:qFormat/>
    <w:uiPriority w:val="0"/>
    <w:rPr>
      <w:rFonts w:ascii="宋体" w:eastAsia="宋体"/>
      <w:kern w:val="2"/>
      <w:sz w:val="24"/>
      <w:lang w:val="en-US" w:eastAsia="zh-CN" w:bidi="ar-SA"/>
    </w:rPr>
  </w:style>
  <w:style w:type="character" w:customStyle="1" w:styleId="103">
    <w:name w:val="bulletintext1"/>
    <w:qFormat/>
    <w:uiPriority w:val="0"/>
    <w:rPr>
      <w:color w:val="000000"/>
      <w:sz w:val="18"/>
    </w:rPr>
  </w:style>
  <w:style w:type="character" w:customStyle="1" w:styleId="104">
    <w:name w:val="font01"/>
    <w:basedOn w:val="48"/>
    <w:qFormat/>
    <w:uiPriority w:val="0"/>
    <w:rPr>
      <w:rFonts w:hint="eastAsia" w:ascii="宋体" w:hAnsi="宋体" w:eastAsia="宋体" w:cs="宋体"/>
      <w:color w:val="000000"/>
      <w:sz w:val="24"/>
      <w:szCs w:val="24"/>
      <w:u w:val="none"/>
    </w:rPr>
  </w:style>
  <w:style w:type="character" w:customStyle="1" w:styleId="105">
    <w:name w:val="标题 9 Char"/>
    <w:basedOn w:val="48"/>
    <w:link w:val="12"/>
    <w:qFormat/>
    <w:uiPriority w:val="0"/>
    <w:rPr>
      <w:rFonts w:ascii="黑体" w:hAnsi="黑体" w:eastAsia="楷体"/>
      <w:kern w:val="2"/>
      <w:sz w:val="21"/>
    </w:rPr>
  </w:style>
  <w:style w:type="character" w:customStyle="1" w:styleId="106">
    <w:name w:val="批注引用1"/>
    <w:qFormat/>
    <w:uiPriority w:val="0"/>
    <w:rPr>
      <w:sz w:val="21"/>
      <w:szCs w:val="21"/>
    </w:rPr>
  </w:style>
  <w:style w:type="character" w:customStyle="1" w:styleId="107">
    <w:name w:val="表格抬头 Char Char"/>
    <w:link w:val="108"/>
    <w:qFormat/>
    <w:uiPriority w:val="0"/>
    <w:rPr>
      <w:rFonts w:ascii="黑体" w:eastAsia="黑体"/>
      <w:b/>
    </w:rPr>
  </w:style>
  <w:style w:type="paragraph" w:customStyle="1" w:styleId="108">
    <w:name w:val="表格抬头"/>
    <w:basedOn w:val="1"/>
    <w:link w:val="107"/>
    <w:qFormat/>
    <w:uiPriority w:val="0"/>
    <w:pPr>
      <w:jc w:val="center"/>
    </w:pPr>
    <w:rPr>
      <w:rFonts w:ascii="黑体" w:eastAsia="黑体"/>
      <w:b/>
      <w:kern w:val="0"/>
      <w:sz w:val="20"/>
    </w:rPr>
  </w:style>
  <w:style w:type="character" w:customStyle="1" w:styleId="109">
    <w:name w:val="批注框文本 Char Char"/>
    <w:qFormat/>
    <w:uiPriority w:val="0"/>
    <w:rPr>
      <w:rFonts w:ascii="Calibri" w:hAnsi="Calibri" w:eastAsia="宋体" w:cs="Times New Roman"/>
      <w:sz w:val="16"/>
      <w:szCs w:val="16"/>
    </w:rPr>
  </w:style>
  <w:style w:type="character" w:customStyle="1" w:styleId="110">
    <w:name w:val="标准文本 Char Char"/>
    <w:link w:val="111"/>
    <w:qFormat/>
    <w:uiPriority w:val="0"/>
    <w:rPr>
      <w:rFonts w:ascii="Arial" w:hAnsi="Arial"/>
      <w:sz w:val="24"/>
    </w:rPr>
  </w:style>
  <w:style w:type="paragraph" w:customStyle="1" w:styleId="111">
    <w:name w:val="标准文本"/>
    <w:basedOn w:val="1"/>
    <w:link w:val="110"/>
    <w:qFormat/>
    <w:uiPriority w:val="0"/>
    <w:pPr>
      <w:spacing w:line="360" w:lineRule="auto"/>
      <w:ind w:firstLine="480" w:firstLineChars="200"/>
    </w:pPr>
    <w:rPr>
      <w:rFonts w:ascii="Arial" w:hAnsi="Arial"/>
      <w:kern w:val="0"/>
      <w:sz w:val="24"/>
    </w:rPr>
  </w:style>
  <w:style w:type="character" w:customStyle="1" w:styleId="112">
    <w:name w:val="font81"/>
    <w:basedOn w:val="48"/>
    <w:qFormat/>
    <w:uiPriority w:val="0"/>
    <w:rPr>
      <w:rFonts w:hint="eastAsia" w:ascii="宋体" w:hAnsi="宋体" w:eastAsia="宋体" w:cs="宋体"/>
      <w:color w:val="000000"/>
      <w:sz w:val="16"/>
      <w:szCs w:val="16"/>
      <w:u w:val="none"/>
    </w:rPr>
  </w:style>
  <w:style w:type="character" w:customStyle="1" w:styleId="113">
    <w:name w:val="页眉 Char Char"/>
    <w:qFormat/>
    <w:uiPriority w:val="0"/>
    <w:rPr>
      <w:rFonts w:ascii="Calibri" w:hAnsi="Calibri" w:eastAsia="宋体" w:cs="Times New Roman"/>
      <w:sz w:val="18"/>
      <w:szCs w:val="18"/>
    </w:rPr>
  </w:style>
  <w:style w:type="character" w:customStyle="1" w:styleId="114">
    <w:name w:val="font61"/>
    <w:basedOn w:val="48"/>
    <w:qFormat/>
    <w:uiPriority w:val="0"/>
    <w:rPr>
      <w:rFonts w:hint="default" w:ascii="Times New Roman" w:hAnsi="Times New Roman" w:cs="Times New Roman"/>
      <w:color w:val="000000"/>
      <w:sz w:val="20"/>
      <w:szCs w:val="20"/>
      <w:u w:val="none"/>
    </w:rPr>
  </w:style>
  <w:style w:type="character" w:customStyle="1" w:styleId="115">
    <w:name w:val="font71"/>
    <w:basedOn w:val="48"/>
    <w:qFormat/>
    <w:uiPriority w:val="0"/>
    <w:rPr>
      <w:rFonts w:hint="default" w:ascii="Times New Roman" w:hAnsi="Times New Roman" w:cs="Times New Roman"/>
      <w:color w:val="000000"/>
      <w:sz w:val="20"/>
      <w:szCs w:val="20"/>
      <w:u w:val="none"/>
    </w:rPr>
  </w:style>
  <w:style w:type="character" w:customStyle="1" w:styleId="116">
    <w:name w:val="font51"/>
    <w:basedOn w:val="48"/>
    <w:qFormat/>
    <w:uiPriority w:val="0"/>
    <w:rPr>
      <w:rFonts w:hint="eastAsia" w:ascii="宋体" w:hAnsi="宋体" w:eastAsia="宋体" w:cs="宋体"/>
      <w:color w:val="000000"/>
      <w:sz w:val="20"/>
      <w:szCs w:val="20"/>
      <w:u w:val="none"/>
    </w:rPr>
  </w:style>
  <w:style w:type="character" w:customStyle="1" w:styleId="117">
    <w:name w:val="标题 3 Char Char"/>
    <w:qFormat/>
    <w:uiPriority w:val="0"/>
    <w:rPr>
      <w:rFonts w:ascii="Times New Roman" w:hAnsi="Times New Roman" w:eastAsia="宋体" w:cs="Times New Roman"/>
      <w:kern w:val="0"/>
      <w:sz w:val="24"/>
      <w:szCs w:val="20"/>
    </w:rPr>
  </w:style>
  <w:style w:type="character" w:customStyle="1" w:styleId="118">
    <w:name w:val="段 Char Char"/>
    <w:basedOn w:val="48"/>
    <w:link w:val="119"/>
    <w:qFormat/>
    <w:uiPriority w:val="0"/>
    <w:rPr>
      <w:rFonts w:ascii="宋体"/>
      <w:sz w:val="21"/>
      <w:lang w:val="en-US" w:eastAsia="zh-CN" w:bidi="ar-SA"/>
    </w:rPr>
  </w:style>
  <w:style w:type="paragraph" w:customStyle="1" w:styleId="119">
    <w:name w:val="段"/>
    <w:link w:val="1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20">
    <w:name w:val="纯文本 Char Char"/>
    <w:qFormat/>
    <w:uiPriority w:val="0"/>
    <w:rPr>
      <w:rFonts w:ascii="宋体" w:hAnsi="Courier New" w:cs="Courier New"/>
      <w:kern w:val="2"/>
      <w:sz w:val="21"/>
      <w:szCs w:val="21"/>
    </w:rPr>
  </w:style>
  <w:style w:type="character" w:customStyle="1" w:styleId="121">
    <w:name w:val="H4 Char1"/>
    <w:qFormat/>
    <w:uiPriority w:val="0"/>
    <w:rPr>
      <w:rFonts w:ascii="MS Sans Serif" w:hAnsi="仿宋_GB2312" w:eastAsia="MS Sans Serif" w:cs="Times New Roman"/>
      <w:snapToGrid w:val="0"/>
      <w:kern w:val="0"/>
      <w:sz w:val="24"/>
      <w:szCs w:val="20"/>
    </w:rPr>
  </w:style>
  <w:style w:type="character" w:customStyle="1" w:styleId="122">
    <w:name w:val="Char Char121"/>
    <w:qFormat/>
    <w:uiPriority w:val="0"/>
    <w:rPr>
      <w:rFonts w:ascii="Century Gothic" w:hAnsi="Century Gothic" w:eastAsia="Century Gothic" w:cs="Arial"/>
      <w:sz w:val="24"/>
    </w:rPr>
  </w:style>
  <w:style w:type="character" w:customStyle="1" w:styleId="123">
    <w:name w:val="标题 6 Char"/>
    <w:basedOn w:val="48"/>
    <w:link w:val="8"/>
    <w:qFormat/>
    <w:uiPriority w:val="0"/>
    <w:rPr>
      <w:rFonts w:ascii="黑体" w:hAnsi="黑体" w:eastAsia="楷体"/>
      <w:b/>
      <w:kern w:val="2"/>
      <w:sz w:val="24"/>
    </w:rPr>
  </w:style>
  <w:style w:type="character" w:customStyle="1" w:styleId="124">
    <w:name w:val="Char Char Char Char Char Char"/>
    <w:qFormat/>
    <w:uiPriority w:val="0"/>
    <w:rPr>
      <w:rFonts w:ascii="宋体" w:hAnsi="Courier New"/>
      <w:kern w:val="2"/>
      <w:sz w:val="24"/>
      <w:szCs w:val="24"/>
    </w:rPr>
  </w:style>
  <w:style w:type="character" w:customStyle="1" w:styleId="125">
    <w:name w:val="批注文字 Char Char"/>
    <w:qFormat/>
    <w:uiPriority w:val="0"/>
    <w:rPr>
      <w:rFonts w:ascii="Calibri" w:hAnsi="Calibri" w:eastAsia="宋体" w:cs="Times New Roman"/>
    </w:rPr>
  </w:style>
  <w:style w:type="character" w:customStyle="1" w:styleId="126">
    <w:name w:val="文档结构图 Char"/>
    <w:link w:val="16"/>
    <w:qFormat/>
    <w:uiPriority w:val="0"/>
    <w:rPr>
      <w:kern w:val="2"/>
      <w:sz w:val="21"/>
      <w:shd w:val="clear" w:color="auto" w:fill="000080"/>
    </w:rPr>
  </w:style>
  <w:style w:type="character" w:customStyle="1" w:styleId="127">
    <w:name w:val="批注主题 Char Char"/>
    <w:link w:val="128"/>
    <w:qFormat/>
    <w:uiPriority w:val="0"/>
    <w:rPr>
      <w:rFonts w:ascii="Calibri" w:hAnsi="Calibri"/>
      <w:b/>
      <w:bCs/>
    </w:rPr>
  </w:style>
  <w:style w:type="paragraph" w:customStyle="1" w:styleId="128">
    <w:name w:val="批注主题1"/>
    <w:basedOn w:val="17"/>
    <w:next w:val="17"/>
    <w:link w:val="127"/>
    <w:qFormat/>
    <w:uiPriority w:val="0"/>
    <w:rPr>
      <w:rFonts w:ascii="Calibri" w:hAnsi="Calibri"/>
      <w:b/>
      <w:bCs/>
      <w:kern w:val="0"/>
      <w:sz w:val="20"/>
    </w:rPr>
  </w:style>
  <w:style w:type="character" w:customStyle="1" w:styleId="129">
    <w:name w:val="pagename"/>
    <w:basedOn w:val="48"/>
    <w:qFormat/>
    <w:uiPriority w:val="0"/>
  </w:style>
  <w:style w:type="character" w:customStyle="1" w:styleId="130">
    <w:name w:val="font101"/>
    <w:basedOn w:val="48"/>
    <w:qFormat/>
    <w:uiPriority w:val="0"/>
    <w:rPr>
      <w:rFonts w:hint="default" w:ascii="Times New Roman" w:hAnsi="Times New Roman" w:cs="Times New Roman"/>
      <w:color w:val="000000"/>
      <w:sz w:val="20"/>
      <w:szCs w:val="20"/>
      <w:u w:val="none"/>
    </w:rPr>
  </w:style>
  <w:style w:type="character" w:customStyle="1" w:styleId="131">
    <w:name w:val="HTML 预设格式 Char"/>
    <w:basedOn w:val="48"/>
    <w:link w:val="40"/>
    <w:qFormat/>
    <w:uiPriority w:val="0"/>
    <w:rPr>
      <w:rFonts w:ascii="Courier New" w:hAnsi="Courier New" w:cs="Courier New"/>
      <w:kern w:val="2"/>
    </w:rPr>
  </w:style>
  <w:style w:type="character" w:customStyle="1" w:styleId="132">
    <w:name w:val="文档结构图 Char Char"/>
    <w:link w:val="133"/>
    <w:qFormat/>
    <w:uiPriority w:val="0"/>
    <w:rPr>
      <w:rFonts w:ascii="Tahoma" w:hAnsi="Tahoma"/>
      <w:sz w:val="16"/>
      <w:szCs w:val="16"/>
    </w:rPr>
  </w:style>
  <w:style w:type="paragraph" w:customStyle="1" w:styleId="133">
    <w:name w:val="文档结构图1"/>
    <w:basedOn w:val="1"/>
    <w:link w:val="132"/>
    <w:qFormat/>
    <w:uiPriority w:val="0"/>
    <w:rPr>
      <w:rFonts w:ascii="Tahoma" w:hAnsi="Tahoma"/>
      <w:kern w:val="0"/>
      <w:sz w:val="16"/>
      <w:szCs w:val="16"/>
    </w:rPr>
  </w:style>
  <w:style w:type="paragraph" w:customStyle="1" w:styleId="134">
    <w:name w:val="正文文字格式"/>
    <w:basedOn w:val="1"/>
    <w:qFormat/>
    <w:uiPriority w:val="0"/>
    <w:pPr>
      <w:spacing w:line="460" w:lineRule="exact"/>
      <w:ind w:firstLine="505"/>
      <w:jc w:val="left"/>
    </w:pPr>
    <w:rPr>
      <w:rFonts w:ascii="Century Gothic" w:hAnsi="Arial" w:cs="Arial"/>
      <w:kern w:val="24"/>
      <w:sz w:val="24"/>
    </w:rPr>
  </w:style>
  <w:style w:type="paragraph" w:customStyle="1" w:styleId="135">
    <w:name w:val="四级条标题"/>
    <w:basedOn w:val="136"/>
    <w:next w:val="119"/>
    <w:qFormat/>
    <w:uiPriority w:val="0"/>
    <w:pPr>
      <w:outlineLvl w:val="5"/>
    </w:pPr>
  </w:style>
  <w:style w:type="paragraph" w:customStyle="1" w:styleId="136">
    <w:name w:val="三级条标题"/>
    <w:basedOn w:val="137"/>
    <w:next w:val="119"/>
    <w:qFormat/>
    <w:uiPriority w:val="0"/>
    <w:pPr>
      <w:outlineLvl w:val="4"/>
    </w:pPr>
  </w:style>
  <w:style w:type="paragraph" w:customStyle="1" w:styleId="137">
    <w:name w:val="二级条标题"/>
    <w:basedOn w:val="138"/>
    <w:next w:val="119"/>
    <w:qFormat/>
    <w:uiPriority w:val="0"/>
    <w:pPr>
      <w:spacing w:beforeLines="0" w:afterLines="0"/>
      <w:outlineLvl w:val="3"/>
    </w:pPr>
  </w:style>
  <w:style w:type="paragraph" w:customStyle="1" w:styleId="138">
    <w:name w:val="一级条标题"/>
    <w:next w:val="119"/>
    <w:qFormat/>
    <w:uiPriority w:val="0"/>
    <w:pPr>
      <w:spacing w:beforeLines="50" w:afterLines="50"/>
      <w:ind w:left="824"/>
      <w:outlineLvl w:val="2"/>
    </w:pPr>
    <w:rPr>
      <w:rFonts w:ascii="黑体" w:hAnsi="Times New Roman" w:eastAsia="黑体" w:cs="Times New Roman"/>
      <w:sz w:val="21"/>
      <w:szCs w:val="21"/>
      <w:lang w:val="en-US" w:eastAsia="zh-CN" w:bidi="ar-SA"/>
    </w:rPr>
  </w:style>
  <w:style w:type="paragraph" w:customStyle="1" w:styleId="139">
    <w:name w:val="标书标题3"/>
    <w:basedOn w:val="5"/>
    <w:qFormat/>
    <w:uiPriority w:val="0"/>
    <w:pPr>
      <w:keepLines w:val="0"/>
      <w:widowControl/>
      <w:adjustRightInd w:val="0"/>
      <w:snapToGrid w:val="0"/>
      <w:spacing w:before="120" w:after="60" w:line="300" w:lineRule="auto"/>
      <w:jc w:val="left"/>
    </w:pPr>
    <w:rPr>
      <w:rFonts w:ascii="Arial" w:hAnsi="Arial" w:eastAsia="Courier New"/>
      <w:b w:val="0"/>
      <w:bCs w:val="0"/>
      <w:color w:val="000000"/>
      <w:kern w:val="0"/>
      <w:sz w:val="28"/>
    </w:rPr>
  </w:style>
  <w:style w:type="paragraph" w:customStyle="1" w:styleId="140">
    <w:name w:val="标书标题2"/>
    <w:basedOn w:val="4"/>
    <w:qFormat/>
    <w:uiPriority w:val="0"/>
    <w:pPr>
      <w:keepLines w:val="0"/>
      <w:widowControl/>
      <w:tabs>
        <w:tab w:val="left" w:pos="1320"/>
      </w:tabs>
      <w:adjustRightInd w:val="0"/>
      <w:snapToGrid w:val="0"/>
      <w:spacing w:beforeLines="50" w:after="60" w:line="300" w:lineRule="auto"/>
      <w:ind w:left="1320" w:hanging="420"/>
    </w:pPr>
    <w:rPr>
      <w:rFonts w:ascii="黑体" w:hAnsi="黑体" w:eastAsia="Courier New" w:cs="Arial"/>
      <w:color w:val="000000"/>
      <w:kern w:val="0"/>
      <w:sz w:val="28"/>
      <w:szCs w:val="20"/>
    </w:rPr>
  </w:style>
  <w:style w:type="paragraph" w:customStyle="1" w:styleId="141">
    <w:name w:val="Char1"/>
    <w:basedOn w:val="1"/>
    <w:qFormat/>
    <w:uiPriority w:val="0"/>
    <w:pPr>
      <w:ind w:firstLine="200" w:firstLineChars="200"/>
    </w:pPr>
  </w:style>
  <w:style w:type="paragraph" w:customStyle="1" w:styleId="14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43">
    <w:name w:val="五级条标题"/>
    <w:basedOn w:val="135"/>
    <w:next w:val="119"/>
    <w:qFormat/>
    <w:uiPriority w:val="0"/>
    <w:pPr>
      <w:outlineLvl w:val="6"/>
    </w:pPr>
  </w:style>
  <w:style w:type="paragraph" w:customStyle="1" w:styleId="144">
    <w:name w:val="正文首行缩进1"/>
    <w:basedOn w:val="1"/>
    <w:qFormat/>
    <w:uiPriority w:val="0"/>
    <w:pPr>
      <w:autoSpaceDE w:val="0"/>
      <w:autoSpaceDN w:val="0"/>
      <w:adjustRightInd w:val="0"/>
      <w:snapToGrid w:val="0"/>
      <w:spacing w:line="360" w:lineRule="auto"/>
      <w:ind w:firstLine="425"/>
    </w:pPr>
    <w:rPr>
      <w:rFonts w:ascii="Calibri" w:hAnsi="Calibri"/>
      <w:kern w:val="0"/>
      <w:sz w:val="20"/>
    </w:rPr>
  </w:style>
  <w:style w:type="paragraph" w:customStyle="1" w:styleId="145">
    <w:name w:val="Char Char9 Char Char"/>
    <w:basedOn w:val="1"/>
    <w:qFormat/>
    <w:uiPriority w:val="0"/>
    <w:pPr>
      <w:ind w:firstLine="200" w:firstLineChars="200"/>
    </w:pPr>
  </w:style>
  <w:style w:type="paragraph" w:customStyle="1" w:styleId="146">
    <w:name w:val="_Style 61"/>
    <w:basedOn w:val="1"/>
    <w:qFormat/>
    <w:uiPriority w:val="0"/>
    <w:pPr>
      <w:widowControl/>
      <w:spacing w:after="160" w:line="240" w:lineRule="exact"/>
      <w:jc w:val="left"/>
    </w:pPr>
    <w:rPr>
      <w:szCs w:val="24"/>
    </w:rPr>
  </w:style>
  <w:style w:type="paragraph" w:customStyle="1" w:styleId="147">
    <w:name w:val="p15"/>
    <w:basedOn w:val="1"/>
    <w:qFormat/>
    <w:uiPriority w:val="0"/>
    <w:pPr>
      <w:widowControl/>
      <w:snapToGrid w:val="0"/>
      <w:spacing w:line="360" w:lineRule="auto"/>
      <w:ind w:firstLine="420"/>
      <w:jc w:val="left"/>
    </w:pPr>
    <w:rPr>
      <w:rFonts w:ascii="Arial" w:hAnsi="Arial" w:cs="Arial"/>
      <w:kern w:val="0"/>
      <w:sz w:val="24"/>
      <w:szCs w:val="24"/>
    </w:rPr>
  </w:style>
  <w:style w:type="paragraph" w:customStyle="1" w:styleId="148">
    <w:name w:val="Char Char Char Char Char Char Char"/>
    <w:basedOn w:val="1"/>
    <w:qFormat/>
    <w:uiPriority w:val="0"/>
    <w:pPr>
      <w:tabs>
        <w:tab w:val="left" w:pos="432"/>
      </w:tabs>
      <w:ind w:left="432" w:hanging="432"/>
    </w:pPr>
    <w:rPr>
      <w:rFonts w:ascii="Tahoma" w:hAnsi="Tahoma"/>
      <w:sz w:val="24"/>
    </w:rPr>
  </w:style>
  <w:style w:type="paragraph" w:customStyle="1" w:styleId="14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4"/>
      <w:szCs w:val="24"/>
    </w:rPr>
  </w:style>
  <w:style w:type="paragraph" w:customStyle="1" w:styleId="150">
    <w:name w:val="二级无"/>
    <w:basedOn w:val="137"/>
    <w:qFormat/>
    <w:uiPriority w:val="0"/>
    <w:pPr>
      <w:ind w:left="1236"/>
    </w:pPr>
    <w:rPr>
      <w:rFonts w:ascii="宋体" w:eastAsia="宋体"/>
    </w:rPr>
  </w:style>
  <w:style w:type="paragraph" w:customStyle="1" w:styleId="151">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52">
    <w:name w:val="p19"/>
    <w:basedOn w:val="1"/>
    <w:qFormat/>
    <w:uiPriority w:val="0"/>
    <w:pPr>
      <w:widowControl/>
      <w:pBdr>
        <w:bottom w:val="single" w:color="000000" w:sz="6" w:space="1"/>
      </w:pBdr>
      <w:jc w:val="center"/>
    </w:pPr>
    <w:rPr>
      <w:rFonts w:ascii="Calibri" w:hAnsi="Calibri" w:cs="宋体"/>
      <w:kern w:val="0"/>
      <w:sz w:val="18"/>
      <w:szCs w:val="18"/>
    </w:rPr>
  </w:style>
  <w:style w:type="paragraph" w:customStyle="1" w:styleId="15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54">
    <w:name w:val="Blockquote"/>
    <w:basedOn w:val="1"/>
    <w:qFormat/>
    <w:uiPriority w:val="0"/>
    <w:pPr>
      <w:autoSpaceDE w:val="0"/>
      <w:autoSpaceDN w:val="0"/>
      <w:adjustRightInd w:val="0"/>
      <w:spacing w:before="100" w:after="100"/>
      <w:ind w:left="360" w:right="360"/>
      <w:jc w:val="left"/>
    </w:pPr>
    <w:rPr>
      <w:rFonts w:ascii="Arial" w:hAnsi="Arial" w:cs="Arial"/>
      <w:kern w:val="0"/>
      <w:sz w:val="24"/>
    </w:rPr>
  </w:style>
  <w:style w:type="paragraph" w:customStyle="1" w:styleId="155">
    <w:name w:val="标书标题4"/>
    <w:basedOn w:val="6"/>
    <w:qFormat/>
    <w:uiPriority w:val="0"/>
    <w:pPr>
      <w:keepLines w:val="0"/>
      <w:adjustRightInd w:val="0"/>
      <w:snapToGrid w:val="0"/>
      <w:spacing w:before="0" w:after="0" w:line="300" w:lineRule="auto"/>
    </w:pPr>
    <w:rPr>
      <w:rFonts w:ascii="MS Sans Serif" w:hAnsi="仿宋_GB2312" w:eastAsia="Courier New"/>
      <w:bCs w:val="0"/>
      <w:color w:val="000000"/>
      <w:kern w:val="0"/>
      <w:szCs w:val="32"/>
    </w:rPr>
  </w:style>
  <w:style w:type="paragraph" w:customStyle="1" w:styleId="1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Arial"/>
      <w:kern w:val="0"/>
      <w:sz w:val="20"/>
    </w:rPr>
  </w:style>
  <w:style w:type="paragraph" w:customStyle="1" w:styleId="157">
    <w:name w:val="Char"/>
    <w:basedOn w:val="1"/>
    <w:qFormat/>
    <w:uiPriority w:val="0"/>
    <w:rPr>
      <w:rFonts w:ascii="Arial" w:hAnsi="Arial" w:cs="Arial"/>
      <w:szCs w:val="24"/>
    </w:rPr>
  </w:style>
  <w:style w:type="paragraph" w:customStyle="1" w:styleId="158">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59">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60">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61">
    <w:name w:val="_Style 27"/>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63">
    <w:name w:val="p16"/>
    <w:basedOn w:val="1"/>
    <w:qFormat/>
    <w:uiPriority w:val="0"/>
    <w:pPr>
      <w:widowControl/>
      <w:ind w:firstLine="420"/>
    </w:pPr>
    <w:rPr>
      <w:rFonts w:ascii="Calibri" w:hAnsi="Calibri" w:cs="宋体"/>
      <w:kern w:val="0"/>
      <w:szCs w:val="21"/>
    </w:rPr>
  </w:style>
  <w:style w:type="paragraph" w:customStyle="1" w:styleId="164">
    <w:name w:val="List Paragraph1"/>
    <w:basedOn w:val="1"/>
    <w:qFormat/>
    <w:uiPriority w:val="0"/>
    <w:pPr>
      <w:ind w:firstLine="420" w:firstLineChars="200"/>
    </w:pPr>
    <w:rPr>
      <w:rFonts w:ascii="Calibri" w:hAnsi="Calibri"/>
      <w:szCs w:val="22"/>
    </w:rPr>
  </w:style>
  <w:style w:type="paragraph" w:customStyle="1" w:styleId="165">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166">
    <w:name w:val="1."/>
    <w:basedOn w:val="1"/>
    <w:qFormat/>
    <w:uiPriority w:val="0"/>
    <w:pPr>
      <w:spacing w:line="360" w:lineRule="auto"/>
      <w:ind w:firstLine="480" w:firstLineChars="200"/>
    </w:pPr>
    <w:rPr>
      <w:rFonts w:ascii="宋体" w:hAnsi="宋体"/>
      <w:sz w:val="24"/>
      <w:szCs w:val="24"/>
    </w:rPr>
  </w:style>
  <w:style w:type="paragraph" w:customStyle="1" w:styleId="167">
    <w:name w:val="小节"/>
    <w:basedOn w:val="5"/>
    <w:qFormat/>
    <w:uiPriority w:val="0"/>
    <w:pPr>
      <w:spacing w:before="200" w:after="200" w:line="560" w:lineRule="exact"/>
      <w:jc w:val="left"/>
    </w:pPr>
    <w:rPr>
      <w:rFonts w:ascii="Century Gothic" w:hAnsi="Century Gothic"/>
      <w:bCs w:val="0"/>
      <w:color w:val="000000"/>
      <w:spacing w:val="10"/>
      <w:kern w:val="24"/>
      <w:sz w:val="28"/>
    </w:rPr>
  </w:style>
  <w:style w:type="paragraph" w:customStyle="1" w:styleId="16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169">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70">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styleId="171">
    <w:name w:val="List Paragraph"/>
    <w:basedOn w:val="1"/>
    <w:qFormat/>
    <w:uiPriority w:val="99"/>
    <w:pPr>
      <w:ind w:firstLine="420" w:firstLineChars="200"/>
    </w:pPr>
    <w:rPr>
      <w:rFonts w:ascii="Calibri" w:hAnsi="Calibri"/>
      <w:szCs w:val="22"/>
    </w:rPr>
  </w:style>
  <w:style w:type="paragraph" w:customStyle="1" w:styleId="172">
    <w:name w:val="章标题"/>
    <w:next w:val="119"/>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173">
    <w:name w:val="Char11"/>
    <w:basedOn w:val="1"/>
    <w:qFormat/>
    <w:uiPriority w:val="0"/>
    <w:rPr>
      <w:szCs w:val="24"/>
    </w:rPr>
  </w:style>
  <w:style w:type="paragraph" w:customStyle="1" w:styleId="174">
    <w:name w:val="Char Char Char Char"/>
    <w:basedOn w:val="1"/>
    <w:qFormat/>
    <w:uiPriority w:val="0"/>
    <w:rPr>
      <w:rFonts w:ascii="Arial" w:hAnsi="Arial"/>
    </w:rPr>
  </w:style>
  <w:style w:type="paragraph" w:customStyle="1" w:styleId="175">
    <w:name w:val="p20"/>
    <w:basedOn w:val="1"/>
    <w:qFormat/>
    <w:uiPriority w:val="0"/>
    <w:pPr>
      <w:widowControl/>
      <w:ind w:firstLine="420"/>
    </w:pPr>
    <w:rPr>
      <w:rFonts w:ascii="Calibri" w:hAnsi="Calibri" w:cs="宋体"/>
      <w:kern w:val="0"/>
      <w:szCs w:val="21"/>
    </w:rPr>
  </w:style>
  <w:style w:type="paragraph" w:customStyle="1" w:styleId="17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77">
    <w:name w:val="xl27"/>
    <w:basedOn w:val="1"/>
    <w:qFormat/>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178">
    <w:name w:val="正文表标题"/>
    <w:next w:val="119"/>
    <w:qFormat/>
    <w:uiPriority w:val="0"/>
    <w:pPr>
      <w:tabs>
        <w:tab w:val="left" w:pos="360"/>
        <w:tab w:val="left" w:pos="846"/>
      </w:tabs>
      <w:spacing w:beforeLines="50" w:afterLines="50"/>
      <w:ind w:left="846" w:hanging="420"/>
      <w:jc w:val="center"/>
    </w:pPr>
    <w:rPr>
      <w:rFonts w:ascii="黑体" w:hAnsi="Times New Roman" w:eastAsia="黑体" w:cs="Times New Roman"/>
      <w:sz w:val="21"/>
      <w:lang w:val="en-US" w:eastAsia="zh-CN" w:bidi="ar-SA"/>
    </w:rPr>
  </w:style>
  <w:style w:type="paragraph" w:customStyle="1" w:styleId="179">
    <w:name w:val="Default"/>
    <w:qFormat/>
    <w:uiPriority w:val="0"/>
    <w:pPr>
      <w:widowControl w:val="0"/>
      <w:autoSpaceDE w:val="0"/>
      <w:autoSpaceDN w:val="0"/>
      <w:adjustRightInd w:val="0"/>
    </w:pPr>
    <w:rPr>
      <w:rFonts w:ascii="楷体" w:hAnsi="Arial" w:eastAsia="楷体" w:cs="Arial"/>
      <w:color w:val="000000"/>
      <w:sz w:val="24"/>
      <w:szCs w:val="24"/>
      <w:lang w:val="en-US" w:eastAsia="zh-CN" w:bidi="ar-SA"/>
    </w:rPr>
  </w:style>
  <w:style w:type="paragraph" w:customStyle="1" w:styleId="180">
    <w:name w:val="Char2"/>
    <w:basedOn w:val="1"/>
    <w:qFormat/>
    <w:uiPriority w:val="0"/>
    <w:rPr>
      <w:rFonts w:ascii="Courier New" w:hAnsi="Arial" w:eastAsia="Courier New" w:cs="Arial"/>
      <w:b/>
      <w:sz w:val="32"/>
      <w:szCs w:val="32"/>
    </w:rPr>
  </w:style>
  <w:style w:type="paragraph" w:customStyle="1" w:styleId="181">
    <w:name w:val="样式5"/>
    <w:basedOn w:val="6"/>
    <w:qFormat/>
    <w:uiPriority w:val="0"/>
    <w:pPr>
      <w:jc w:val="center"/>
    </w:pPr>
    <w:rPr>
      <w:rFonts w:ascii="Century Gothic" w:hAnsi="Century Gothic" w:eastAsia="Century Gothic"/>
      <w:sz w:val="32"/>
      <w:szCs w:val="32"/>
    </w:rPr>
  </w:style>
  <w:style w:type="paragraph" w:customStyle="1" w:styleId="182">
    <w:name w:val="Char Char Char Char Char Char Char Char"/>
    <w:basedOn w:val="1"/>
    <w:qFormat/>
    <w:uiPriority w:val="0"/>
    <w:pPr>
      <w:tabs>
        <w:tab w:val="left" w:pos="360"/>
      </w:tabs>
    </w:pPr>
    <w:rPr>
      <w:rFonts w:ascii="Calibri" w:hAnsi="Calibri"/>
    </w:rPr>
  </w:style>
  <w:style w:type="paragraph" w:customStyle="1" w:styleId="183">
    <w:name w:val="p21"/>
    <w:basedOn w:val="1"/>
    <w:qFormat/>
    <w:uiPriority w:val="0"/>
    <w:pPr>
      <w:widowControl/>
      <w:jc w:val="left"/>
    </w:pPr>
    <w:rPr>
      <w:rFonts w:ascii="Calibri" w:hAnsi="Calibri" w:cs="宋体"/>
      <w:kern w:val="0"/>
      <w:sz w:val="18"/>
      <w:szCs w:val="18"/>
    </w:rPr>
  </w:style>
  <w:style w:type="paragraph" w:customStyle="1" w:styleId="184">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85">
    <w:name w:val="font1"/>
    <w:basedOn w:val="1"/>
    <w:qFormat/>
    <w:uiPriority w:val="0"/>
    <w:pPr>
      <w:widowControl/>
      <w:spacing w:before="100" w:beforeAutospacing="1" w:after="100" w:afterAutospacing="1"/>
      <w:jc w:val="left"/>
    </w:pPr>
    <w:rPr>
      <w:rFonts w:ascii="Century Gothic" w:hAnsi="Century Gothic" w:cs="Arial"/>
      <w:kern w:val="0"/>
      <w:sz w:val="24"/>
    </w:rPr>
  </w:style>
  <w:style w:type="paragraph" w:customStyle="1" w:styleId="186">
    <w:name w:val="修订1"/>
    <w:semiHidden/>
    <w:qFormat/>
    <w:uiPriority w:val="99"/>
    <w:rPr>
      <w:rFonts w:ascii="Times New Roman" w:hAnsi="Times New Roman" w:eastAsia="宋体" w:cs="Times New Roman"/>
      <w:kern w:val="2"/>
      <w:sz w:val="21"/>
      <w:lang w:val="en-US" w:eastAsia="zh-CN" w:bidi="ar-SA"/>
    </w:rPr>
  </w:style>
  <w:style w:type="paragraph" w:customStyle="1" w:styleId="187">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88">
    <w:name w:val="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189">
    <w:name w:val="p17"/>
    <w:basedOn w:val="1"/>
    <w:qFormat/>
    <w:uiPriority w:val="0"/>
    <w:pPr>
      <w:widowControl/>
      <w:ind w:firstLine="420"/>
    </w:pPr>
    <w:rPr>
      <w:rFonts w:ascii="Calibri" w:hAnsi="Calibri" w:cs="宋体"/>
      <w:kern w:val="0"/>
      <w:szCs w:val="21"/>
    </w:rPr>
  </w:style>
  <w:style w:type="paragraph" w:customStyle="1" w:styleId="190">
    <w:name w:val="正文文本 21"/>
    <w:basedOn w:val="1"/>
    <w:qFormat/>
    <w:uiPriority w:val="0"/>
    <w:pPr>
      <w:adjustRightInd w:val="0"/>
      <w:spacing w:line="300" w:lineRule="auto"/>
      <w:jc w:val="center"/>
    </w:pPr>
    <w:rPr>
      <w:rFonts w:hint="eastAsia" w:ascii="Century Gothic" w:hAnsi="Century Gothic"/>
      <w:sz w:val="24"/>
    </w:rPr>
  </w:style>
  <w:style w:type="paragraph" w:customStyle="1" w:styleId="191">
    <w:name w:val="Char Char Char Char Char Char1"/>
    <w:basedOn w:val="1"/>
    <w:qFormat/>
    <w:uiPriority w:val="0"/>
    <w:pPr>
      <w:widowControl/>
      <w:ind w:firstLine="200" w:firstLineChars="200"/>
      <w:jc w:val="left"/>
    </w:pPr>
    <w:rPr>
      <w:rFonts w:ascii="Tahoma" w:hAnsi="Tahoma" w:cs="宋体"/>
      <w:kern w:val="0"/>
      <w:sz w:val="24"/>
    </w:rPr>
  </w:style>
  <w:style w:type="paragraph" w:customStyle="1" w:styleId="192">
    <w:name w:val="p0"/>
    <w:basedOn w:val="1"/>
    <w:qFormat/>
    <w:uiPriority w:val="0"/>
    <w:pPr>
      <w:widowControl/>
    </w:pPr>
    <w:rPr>
      <w:rFonts w:ascii="Calibri" w:hAnsi="Calibri" w:cs="宋体"/>
      <w:kern w:val="0"/>
      <w:szCs w:val="21"/>
    </w:rPr>
  </w:style>
  <w:style w:type="paragraph" w:customStyle="1" w:styleId="193">
    <w:name w:val="四级无"/>
    <w:basedOn w:val="1"/>
    <w:qFormat/>
    <w:uiPriority w:val="0"/>
    <w:pPr>
      <w:widowControl/>
      <w:tabs>
        <w:tab w:val="left" w:pos="2551"/>
      </w:tabs>
      <w:ind w:left="2551" w:hanging="850"/>
      <w:jc w:val="left"/>
      <w:outlineLvl w:val="5"/>
    </w:pPr>
    <w:rPr>
      <w:rFonts w:ascii="宋体"/>
      <w:kern w:val="0"/>
      <w:szCs w:val="21"/>
    </w:rPr>
  </w:style>
  <w:style w:type="paragraph" w:customStyle="1" w:styleId="194">
    <w:name w:val="一级无"/>
    <w:basedOn w:val="138"/>
    <w:qFormat/>
    <w:uiPriority w:val="0"/>
    <w:pPr>
      <w:spacing w:beforeLines="0" w:afterLines="0"/>
    </w:pPr>
    <w:rPr>
      <w:rFonts w:ascii="宋体" w:eastAsia="宋体"/>
    </w:rPr>
  </w:style>
  <w:style w:type="paragraph" w:customStyle="1" w:styleId="195">
    <w:name w:val="正文缩进1"/>
    <w:basedOn w:val="1"/>
    <w:qFormat/>
    <w:uiPriority w:val="0"/>
    <w:pPr>
      <w:ind w:firstLine="420" w:firstLineChars="200"/>
    </w:pPr>
    <w:rPr>
      <w:rFonts w:ascii="Calibri" w:hAnsi="Calibri"/>
      <w:szCs w:val="22"/>
    </w:rPr>
  </w:style>
  <w:style w:type="paragraph" w:customStyle="1" w:styleId="196">
    <w:name w:val="font5"/>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97">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98">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szCs w:val="24"/>
    </w:rPr>
  </w:style>
  <w:style w:type="paragraph" w:customStyle="1" w:styleId="199">
    <w:name w:val="Char3 Char Char Char"/>
    <w:basedOn w:val="1"/>
    <w:qFormat/>
    <w:uiPriority w:val="0"/>
    <w:pPr>
      <w:widowControl/>
      <w:spacing w:after="160" w:line="240" w:lineRule="exact"/>
      <w:jc w:val="left"/>
    </w:pPr>
    <w:rPr>
      <w:rFonts w:ascii="Arial" w:hAnsi="Arial" w:cs="Arial"/>
    </w:rPr>
  </w:style>
  <w:style w:type="paragraph" w:customStyle="1" w:styleId="200">
    <w:name w:val="其他发布日期"/>
    <w:basedOn w:val="1"/>
    <w:qFormat/>
    <w:uiPriority w:val="0"/>
    <w:pPr>
      <w:widowControl/>
      <w:jc w:val="left"/>
    </w:pPr>
    <w:rPr>
      <w:rFonts w:eastAsia="黑体"/>
      <w:kern w:val="0"/>
      <w:sz w:val="28"/>
    </w:rPr>
  </w:style>
  <w:style w:type="paragraph" w:customStyle="1" w:styleId="201">
    <w:name w:val="Char Char43"/>
    <w:basedOn w:val="1"/>
    <w:qFormat/>
    <w:uiPriority w:val="0"/>
    <w:pPr>
      <w:widowControl/>
      <w:spacing w:after="160" w:line="240" w:lineRule="exact"/>
      <w:jc w:val="left"/>
    </w:pPr>
    <w:rPr>
      <w:szCs w:val="24"/>
    </w:rPr>
  </w:style>
  <w:style w:type="paragraph" w:customStyle="1" w:styleId="202">
    <w:name w:val="Char3"/>
    <w:basedOn w:val="1"/>
    <w:qFormat/>
    <w:uiPriority w:val="0"/>
    <w:rPr>
      <w:rFonts w:ascii="仿宋_GB2312" w:eastAsia="仿宋_GB2312"/>
      <w:b/>
      <w:sz w:val="32"/>
      <w:szCs w:val="32"/>
    </w:rPr>
  </w:style>
  <w:style w:type="paragraph" w:customStyle="1" w:styleId="203">
    <w:name w:val="font6"/>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204">
    <w:name w:val="样式 表格正文 + 两端对齐"/>
    <w:basedOn w:val="1"/>
    <w:qFormat/>
    <w:uiPriority w:val="0"/>
    <w:pPr>
      <w:spacing w:line="300" w:lineRule="auto"/>
    </w:pPr>
    <w:rPr>
      <w:sz w:val="24"/>
    </w:rPr>
  </w:style>
  <w:style w:type="paragraph" w:customStyle="1" w:styleId="205">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kern w:val="0"/>
      <w:sz w:val="24"/>
    </w:rPr>
  </w:style>
  <w:style w:type="paragraph" w:customStyle="1" w:styleId="206">
    <w:name w:val="正文段"/>
    <w:basedOn w:val="1"/>
    <w:qFormat/>
    <w:uiPriority w:val="0"/>
    <w:pPr>
      <w:widowControl/>
      <w:snapToGrid w:val="0"/>
      <w:spacing w:afterLines="50"/>
      <w:ind w:firstLine="200" w:firstLineChars="200"/>
    </w:pPr>
    <w:rPr>
      <w:rFonts w:ascii="Arial" w:hAnsi="Arial" w:cs="Arial"/>
      <w:kern w:val="0"/>
      <w:sz w:val="24"/>
    </w:rPr>
  </w:style>
  <w:style w:type="paragraph" w:customStyle="1" w:styleId="207">
    <w:name w:val="默认段落字体 Para Char Char Char Char"/>
    <w:basedOn w:val="1"/>
    <w:qFormat/>
    <w:uiPriority w:val="0"/>
    <w:pPr>
      <w:adjustRightInd w:val="0"/>
      <w:spacing w:line="360" w:lineRule="auto"/>
    </w:pPr>
    <w:rPr>
      <w:szCs w:val="24"/>
    </w:rPr>
  </w:style>
  <w:style w:type="paragraph" w:customStyle="1" w:styleId="208">
    <w:name w:val="列出段落1"/>
    <w:basedOn w:val="1"/>
    <w:qFormat/>
    <w:uiPriority w:val="0"/>
    <w:pPr>
      <w:ind w:firstLine="420" w:firstLineChars="200"/>
    </w:pPr>
    <w:rPr>
      <w:rFonts w:ascii="Calibri" w:hAnsi="Calibri"/>
      <w:szCs w:val="22"/>
    </w:rPr>
  </w:style>
  <w:style w:type="paragraph" w:customStyle="1" w:styleId="209">
    <w:name w:val="Char1 Char Char Char"/>
    <w:basedOn w:val="1"/>
    <w:qFormat/>
    <w:uiPriority w:val="0"/>
    <w:rPr>
      <w:rFonts w:ascii="仿宋_GB2312" w:eastAsia="仿宋_GB2312" w:cs="仿宋_GB2312"/>
      <w:b/>
      <w:bCs/>
      <w:sz w:val="32"/>
      <w:szCs w:val="32"/>
    </w:rPr>
  </w:style>
  <w:style w:type="paragraph" w:customStyle="1" w:styleId="210">
    <w:name w:val="Body Text 21"/>
    <w:basedOn w:val="1"/>
    <w:qFormat/>
    <w:uiPriority w:val="0"/>
    <w:pPr>
      <w:adjustRightInd w:val="0"/>
      <w:spacing w:line="300" w:lineRule="auto"/>
      <w:jc w:val="center"/>
    </w:pPr>
    <w:rPr>
      <w:rFonts w:hint="eastAsia" w:ascii="Century Gothic" w:hAnsi="Century Gothic" w:cs="Arial"/>
      <w:sz w:val="24"/>
    </w:rPr>
  </w:style>
  <w:style w:type="paragraph" w:customStyle="1" w:styleId="211">
    <w:name w:val="正文图标题"/>
    <w:next w:val="119"/>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12">
    <w:name w:val="p18"/>
    <w:basedOn w:val="1"/>
    <w:qFormat/>
    <w:uiPriority w:val="0"/>
    <w:pPr>
      <w:widowControl/>
      <w:ind w:firstLine="420"/>
    </w:pPr>
    <w:rPr>
      <w:rFonts w:ascii="Calibri" w:hAnsi="Calibri" w:cs="宋体"/>
      <w:kern w:val="0"/>
      <w:szCs w:val="21"/>
    </w:rPr>
  </w:style>
  <w:style w:type="paragraph" w:customStyle="1" w:styleId="213">
    <w:name w:val="目次、标准名称标题"/>
    <w:basedOn w:val="1"/>
    <w:next w:val="119"/>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header6.xml" Type="http://schemas.openxmlformats.org/officeDocument/2006/relationships/header"/><Relationship Id="rId12" Target="footer4.xml" Type="http://schemas.openxmlformats.org/officeDocument/2006/relationships/footer"/><Relationship Id="rId13" Target="footer5.xml" Type="http://schemas.openxmlformats.org/officeDocument/2006/relationships/footer"/><Relationship Id="rId14" Target="footer6.xml" Type="http://schemas.openxmlformats.org/officeDocument/2006/relationships/footer"/><Relationship Id="rId15" Target="header7.xml" Type="http://schemas.openxmlformats.org/officeDocument/2006/relationships/header"/><Relationship Id="rId16" Target="footer7.xml" Type="http://schemas.openxmlformats.org/officeDocument/2006/relationships/footer"/><Relationship Id="rId17" Target="header8.xml" Type="http://schemas.openxmlformats.org/officeDocument/2006/relationships/header"/><Relationship Id="rId18" Target="header9.xml" Type="http://schemas.openxmlformats.org/officeDocument/2006/relationships/header"/><Relationship Id="rId19" Target="footer8.xml" Type="http://schemas.openxmlformats.org/officeDocument/2006/relationships/footer"/><Relationship Id="rId2" Target="settings.xml" Type="http://schemas.openxmlformats.org/officeDocument/2006/relationships/settings"/><Relationship Id="rId20" Target="footer9.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numbering.xml" Type="http://schemas.openxmlformats.org/officeDocument/2006/relationships/numbering"/><Relationship Id="rId24" Target="../customXml/item2.xml" Type="http://schemas.openxmlformats.org/officeDocument/2006/relationships/customXml"/><Relationship Id="rId25"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9"/>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EC0E4D-E11D-4010-8B47-F2EBADEF7227}">
  <ds:schemaRefs/>
</ds:datastoreItem>
</file>

<file path=docProps/app.xml><?xml version="1.0" encoding="utf-8"?>
<Properties xmlns="http://schemas.openxmlformats.org/officeDocument/2006/extended-properties" xmlns:vt="http://schemas.openxmlformats.org/officeDocument/2006/docPropsVTypes">
  <Template>Normal.dotm</Template>
  <Company>宁波圣钧商务咨询有限公司</Company>
  <Pages>92</Pages>
  <Words>10540</Words>
  <Characters>60084</Characters>
  <Lines>500</Lines>
  <Paragraphs>140</Paragraphs>
  <TotalTime>1</TotalTime>
  <ScaleCrop>false</ScaleCrop>
  <LinksUpToDate>false</LinksUpToDate>
  <CharactersWithSpaces>70484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2015-10-19T07:08:00Z</dcterms:created>
  <dc:creator>郭晓敏</dc:creator>
  <cp:lastModifiedBy>一</cp:lastModifiedBy>
  <cp:lastPrinted>2019-11-29T08:26:00Z</cp:lastPrinted>
  <dcterms:modified xsi:type="dcterms:W3CDTF">2019-12-02T01:50:20Z</dcterms:modified>
  <cp:revision>34</cp:revision>
  <dc:title>服务类文件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