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72"/>
          <w:szCs w:val="72"/>
        </w:rPr>
      </w:pPr>
    </w:p>
    <w:p>
      <w:pPr>
        <w:spacing w:after="120"/>
        <w:jc w:val="center"/>
        <w:rPr>
          <w:rFonts w:hint="eastAsia" w:ascii="宋体" w:hAnsi="宋体"/>
          <w:b/>
          <w:sz w:val="72"/>
        </w:rPr>
      </w:pPr>
    </w:p>
    <w:p>
      <w:pPr>
        <w:spacing w:after="120"/>
        <w:jc w:val="center"/>
        <w:rPr>
          <w:rFonts w:ascii="宋体" w:hAnsi="宋体"/>
          <w:b/>
          <w:sz w:val="72"/>
        </w:rPr>
      </w:pPr>
      <w:r>
        <w:rPr>
          <w:rFonts w:hint="eastAsia" w:ascii="宋体" w:hAnsi="宋体"/>
          <w:b/>
          <w:sz w:val="72"/>
        </w:rPr>
        <w:t>国内公开招标文件</w:t>
      </w:r>
    </w:p>
    <w:p>
      <w:pPr>
        <w:jc w:val="center"/>
        <w:rPr>
          <w:rFonts w:hint="eastAsia" w:ascii="宋体" w:hAnsi="宋体" w:cs="宋体"/>
          <w:b/>
          <w:bCs/>
          <w:sz w:val="100"/>
        </w:rPr>
      </w:pPr>
    </w:p>
    <w:p>
      <w:pPr>
        <w:pStyle w:val="24"/>
        <w:rPr>
          <w:rFonts w:hint="eastAsia"/>
        </w:rPr>
      </w:pPr>
    </w:p>
    <w:p>
      <w:pPr>
        <w:pStyle w:val="24"/>
        <w:rPr>
          <w:rFonts w:hint="default" w:eastAsia="宋体"/>
          <w:lang w:val="en-US" w:eastAsia="zh-CN"/>
        </w:rPr>
      </w:pPr>
    </w:p>
    <w:p>
      <w:pPr>
        <w:pStyle w:val="79"/>
        <w:rPr>
          <w:rFonts w:hint="eastAsia"/>
        </w:rPr>
      </w:pPr>
    </w:p>
    <w:tbl>
      <w:tblPr>
        <w:tblStyle w:val="25"/>
        <w:tblpPr w:leftFromText="180" w:rightFromText="180" w:vertAnchor="text" w:horzAnchor="page" w:tblpXSpec="center" w:tblpY="89"/>
        <w:tblOverlap w:val="never"/>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6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874" w:type="dxa"/>
            <w:noWrap w:val="0"/>
            <w:vAlign w:val="center"/>
          </w:tcPr>
          <w:p>
            <w:pPr>
              <w:jc w:val="center"/>
              <w:rPr>
                <w:rFonts w:hint="eastAsia" w:ascii="宋体" w:hAnsi="宋体" w:cs="宋体"/>
                <w:b/>
                <w:bCs/>
                <w:sz w:val="30"/>
                <w:szCs w:val="30"/>
              </w:rPr>
            </w:pPr>
            <w:r>
              <w:rPr>
                <w:rFonts w:hint="eastAsia" w:ascii="宋体" w:hAnsi="宋体" w:cs="宋体"/>
                <w:b/>
                <w:bCs/>
                <w:sz w:val="30"/>
                <w:szCs w:val="30"/>
              </w:rPr>
              <w:t>采购项目：</w:t>
            </w:r>
          </w:p>
        </w:tc>
        <w:tc>
          <w:tcPr>
            <w:tcW w:w="6897" w:type="dxa"/>
            <w:noWrap w:val="0"/>
            <w:vAlign w:val="center"/>
          </w:tcPr>
          <w:p>
            <w:pPr>
              <w:jc w:val="center"/>
              <w:rPr>
                <w:rFonts w:hint="eastAsia" w:ascii="宋体" w:hAnsi="宋体" w:eastAsia="Calibri" w:cs="宋体"/>
                <w:b/>
                <w:bCs/>
                <w:sz w:val="30"/>
                <w:szCs w:val="30"/>
                <w:lang w:eastAsia="zh-CN"/>
              </w:rPr>
            </w:pPr>
            <w:r>
              <w:rPr>
                <w:rFonts w:hint="eastAsia" w:ascii="宋体" w:hAnsi="宋体" w:eastAsia="Calibri" w:cs="宋体"/>
                <w:b/>
                <w:bCs/>
                <w:sz w:val="30"/>
                <w:szCs w:val="30"/>
                <w:lang w:eastAsia="zh-CN"/>
              </w:rPr>
              <w:t>宁海传媒集团高清交互型数字电视机顶盒采购项目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874" w:type="dxa"/>
            <w:noWrap w:val="0"/>
            <w:vAlign w:val="center"/>
          </w:tcPr>
          <w:p>
            <w:pPr>
              <w:jc w:val="center"/>
              <w:rPr>
                <w:rFonts w:hint="eastAsia" w:ascii="宋体" w:hAnsi="宋体" w:cs="宋体"/>
                <w:b/>
                <w:bCs/>
                <w:sz w:val="30"/>
                <w:szCs w:val="30"/>
              </w:rPr>
            </w:pPr>
            <w:r>
              <w:rPr>
                <w:rFonts w:hint="eastAsia" w:ascii="宋体" w:hAnsi="宋体" w:cs="宋体"/>
                <w:b/>
                <w:bCs/>
                <w:sz w:val="30"/>
                <w:szCs w:val="30"/>
              </w:rPr>
              <w:t>项目编号：</w:t>
            </w:r>
          </w:p>
        </w:tc>
        <w:tc>
          <w:tcPr>
            <w:tcW w:w="6897" w:type="dxa"/>
            <w:noWrap w:val="0"/>
            <w:vAlign w:val="center"/>
          </w:tcPr>
          <w:p>
            <w:pPr>
              <w:jc w:val="center"/>
              <w:rPr>
                <w:rFonts w:hint="default" w:ascii="宋体" w:hAnsi="宋体" w:eastAsia="Calibri" w:cs="宋体"/>
                <w:b/>
                <w:bCs/>
                <w:sz w:val="30"/>
                <w:szCs w:val="30"/>
                <w:lang w:val="en-US" w:eastAsia="zh-CN"/>
              </w:rPr>
            </w:pPr>
            <w:r>
              <w:rPr>
                <w:rFonts w:hint="eastAsia" w:ascii="宋体" w:hAnsi="宋体" w:cs="宋体"/>
                <w:b/>
                <w:bCs/>
                <w:sz w:val="30"/>
                <w:szCs w:val="30"/>
              </w:rPr>
              <w:t>NH-TS</w:t>
            </w:r>
            <w:r>
              <w:rPr>
                <w:rFonts w:hint="eastAsia" w:ascii="宋体" w:hAnsi="宋体" w:cs="宋体"/>
                <w:b/>
                <w:bCs/>
                <w:sz w:val="30"/>
                <w:szCs w:val="30"/>
                <w:lang w:eastAsia="zh-CN"/>
              </w:rPr>
              <w:t>2021-</w:t>
            </w:r>
            <w:r>
              <w:rPr>
                <w:rFonts w:hint="eastAsia" w:ascii="宋体" w:hAnsi="宋体" w:cs="宋体"/>
                <w:b/>
                <w:bCs/>
                <w:sz w:val="30"/>
                <w:szCs w:val="30"/>
                <w:lang w:val="en-US" w:eastAsia="zh-CN"/>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74" w:type="dxa"/>
            <w:noWrap w:val="0"/>
            <w:vAlign w:val="center"/>
          </w:tcPr>
          <w:p>
            <w:pPr>
              <w:jc w:val="center"/>
              <w:rPr>
                <w:rFonts w:hint="eastAsia" w:ascii="宋体" w:hAnsi="宋体" w:cs="宋体"/>
                <w:b/>
                <w:bCs/>
                <w:sz w:val="30"/>
                <w:szCs w:val="30"/>
              </w:rPr>
            </w:pPr>
            <w:r>
              <w:rPr>
                <w:rFonts w:hint="eastAsia" w:ascii="宋体" w:hAnsi="宋体" w:cs="宋体"/>
                <w:b/>
                <w:bCs/>
                <w:sz w:val="30"/>
                <w:szCs w:val="30"/>
              </w:rPr>
              <w:t>采购人：</w:t>
            </w:r>
          </w:p>
        </w:tc>
        <w:tc>
          <w:tcPr>
            <w:tcW w:w="6897" w:type="dxa"/>
            <w:noWrap w:val="0"/>
            <w:vAlign w:val="center"/>
          </w:tcPr>
          <w:p>
            <w:pPr>
              <w:jc w:val="center"/>
              <w:rPr>
                <w:rFonts w:hint="eastAsia" w:ascii="宋体" w:hAnsi="宋体" w:eastAsia="Calibri" w:cs="宋体"/>
                <w:b/>
                <w:bCs/>
                <w:sz w:val="30"/>
                <w:szCs w:val="30"/>
                <w:lang w:eastAsia="zh-CN"/>
              </w:rPr>
            </w:pPr>
            <w:r>
              <w:rPr>
                <w:rFonts w:hint="eastAsia" w:ascii="宋体" w:hAnsi="宋体" w:eastAsia="Calibri" w:cs="宋体"/>
                <w:b/>
                <w:bCs/>
                <w:sz w:val="30"/>
                <w:szCs w:val="30"/>
                <w:lang w:eastAsia="zh-CN"/>
              </w:rPr>
              <w:t>宁海传媒集团</w:t>
            </w:r>
          </w:p>
        </w:tc>
      </w:tr>
    </w:tbl>
    <w:p>
      <w:pPr>
        <w:jc w:val="both"/>
        <w:rPr>
          <w:rFonts w:hint="eastAsia" w:ascii="宋体" w:hAnsi="宋体" w:cs="宋体"/>
          <w:b/>
          <w:bCs/>
          <w:sz w:val="100"/>
        </w:rPr>
      </w:pPr>
    </w:p>
    <w:p>
      <w:pPr>
        <w:pStyle w:val="2"/>
        <w:rPr>
          <w:rFonts w:hint="eastAsia"/>
        </w:rPr>
      </w:pPr>
    </w:p>
    <w:p>
      <w:pPr>
        <w:jc w:val="center"/>
        <w:rPr>
          <w:rFonts w:hint="eastAsia" w:ascii="宋体" w:hAnsi="宋体" w:cs="宋体"/>
          <w:b/>
          <w:bCs/>
          <w:sz w:val="44"/>
          <w:szCs w:val="44"/>
        </w:rPr>
      </w:pPr>
      <w:r>
        <w:rPr>
          <w:rFonts w:hint="eastAsia" w:ascii="宋体" w:hAnsi="宋体" w:cs="宋体"/>
          <w:b/>
          <w:bCs/>
          <w:sz w:val="44"/>
          <w:szCs w:val="44"/>
        </w:rPr>
        <w:t>宁海童氏工程管理咨询有限公司</w:t>
      </w:r>
    </w:p>
    <w:p>
      <w:pPr>
        <w:jc w:val="center"/>
        <w:rPr>
          <w:rFonts w:hint="eastAsia" w:ascii="宋体" w:hAnsi="宋体" w:cs="宋体"/>
          <w:b/>
          <w:bCs/>
          <w:sz w:val="44"/>
          <w:szCs w:val="44"/>
        </w:rPr>
      </w:pPr>
    </w:p>
    <w:p>
      <w:pPr>
        <w:jc w:val="center"/>
        <w:rPr>
          <w:rFonts w:hint="eastAsia" w:ascii="宋体" w:hAnsi="宋体" w:cs="宋体"/>
          <w:b/>
          <w:bCs/>
          <w:sz w:val="44"/>
          <w:szCs w:val="44"/>
        </w:rPr>
      </w:pPr>
    </w:p>
    <w:p>
      <w:pPr>
        <w:jc w:val="center"/>
        <w:rPr>
          <w:rFonts w:hint="eastAsia" w:ascii="宋体" w:hAnsi="宋体" w:cs="宋体"/>
          <w:b/>
          <w:bCs/>
          <w:sz w:val="44"/>
          <w:szCs w:val="44"/>
        </w:rPr>
      </w:pPr>
      <w:r>
        <w:rPr>
          <w:rFonts w:hint="eastAsia" w:ascii="宋体" w:hAnsi="宋体" w:cs="宋体"/>
          <w:b/>
          <w:bCs/>
          <w:sz w:val="44"/>
          <w:szCs w:val="44"/>
        </w:rPr>
        <w:t>二〇二</w:t>
      </w:r>
      <w:r>
        <w:rPr>
          <w:rFonts w:hint="eastAsia" w:ascii="宋体" w:hAnsi="宋体" w:eastAsia="宋体" w:cs="宋体"/>
          <w:b/>
          <w:bCs/>
          <w:sz w:val="44"/>
          <w:szCs w:val="44"/>
          <w:lang w:eastAsia="zh-CN"/>
        </w:rPr>
        <w:t>一</w:t>
      </w:r>
      <w:r>
        <w:rPr>
          <w:rFonts w:hint="eastAsia" w:ascii="宋体" w:hAnsi="宋体" w:cs="宋体"/>
          <w:b/>
          <w:bCs/>
          <w:sz w:val="44"/>
          <w:szCs w:val="44"/>
        </w:rPr>
        <w:t>年</w:t>
      </w:r>
      <w:r>
        <w:rPr>
          <w:rFonts w:hint="eastAsia" w:ascii="宋体" w:hAnsi="宋体" w:cs="宋体"/>
          <w:b/>
          <w:bCs/>
          <w:sz w:val="44"/>
          <w:szCs w:val="44"/>
          <w:lang w:val="en-US" w:eastAsia="zh-CN"/>
        </w:rPr>
        <w:t xml:space="preserve">  十</w:t>
      </w:r>
      <w:r>
        <w:rPr>
          <w:rFonts w:hint="eastAsia" w:ascii="宋体" w:hAnsi="宋体" w:cs="宋体"/>
          <w:b/>
          <w:bCs/>
          <w:sz w:val="44"/>
          <w:szCs w:val="44"/>
        </w:rPr>
        <w:t>月</w:t>
      </w:r>
    </w:p>
    <w:p>
      <w:pPr>
        <w:pStyle w:val="12"/>
        <w:spacing w:beforeLines="0" w:afterLines="0" w:line="360" w:lineRule="auto"/>
        <w:jc w:val="center"/>
        <w:rPr>
          <w:rFonts w:hAnsi="宋体"/>
        </w:rPr>
      </w:pPr>
      <w:r>
        <w:rPr>
          <w:rFonts w:hint="eastAsia" w:ascii="宋体" w:hAnsi="宋体" w:cs="宋体"/>
          <w:b/>
          <w:bCs/>
          <w:sz w:val="44"/>
          <w:szCs w:val="44"/>
        </w:rPr>
        <w:br w:type="page"/>
      </w:r>
    </w:p>
    <w:p>
      <w:pPr>
        <w:pStyle w:val="12"/>
        <w:spacing w:beforeLines="0" w:afterLines="0" w:line="360" w:lineRule="auto"/>
        <w:jc w:val="center"/>
        <w:rPr>
          <w:rFonts w:hAnsi="宋体"/>
        </w:rPr>
      </w:pPr>
    </w:p>
    <w:p>
      <w:pPr>
        <w:pStyle w:val="12"/>
        <w:spacing w:beforeLines="0" w:afterLines="0" w:line="360" w:lineRule="auto"/>
        <w:jc w:val="center"/>
        <w:rPr>
          <w:rFonts w:hint="eastAsia" w:hAnsi="宋体"/>
          <w:sz w:val="44"/>
          <w:szCs w:val="44"/>
        </w:rPr>
      </w:pPr>
    </w:p>
    <w:p>
      <w:pPr>
        <w:pStyle w:val="12"/>
        <w:spacing w:beforeLines="0" w:afterLines="0" w:line="360" w:lineRule="auto"/>
        <w:jc w:val="center"/>
        <w:rPr>
          <w:rFonts w:hAnsi="宋体"/>
          <w:sz w:val="44"/>
          <w:szCs w:val="44"/>
        </w:rPr>
      </w:pPr>
      <w:r>
        <w:rPr>
          <w:rFonts w:hint="eastAsia" w:hAnsi="宋体"/>
          <w:sz w:val="44"/>
          <w:szCs w:val="44"/>
        </w:rPr>
        <w:t>目    录</w:t>
      </w:r>
    </w:p>
    <w:p>
      <w:pPr>
        <w:rPr>
          <w:rFonts w:ascii="宋体" w:hAnsi="宋体"/>
          <w:b/>
          <w:sz w:val="28"/>
          <w:szCs w:val="28"/>
        </w:rPr>
      </w:pPr>
    </w:p>
    <w:p>
      <w:pPr>
        <w:spacing w:line="800" w:lineRule="exact"/>
        <w:ind w:left="561"/>
        <w:rPr>
          <w:rFonts w:ascii="宋体" w:hAnsi="宋体"/>
          <w:sz w:val="28"/>
          <w:szCs w:val="28"/>
        </w:rPr>
      </w:pPr>
      <w:r>
        <w:rPr>
          <w:rFonts w:hint="eastAsia" w:ascii="宋体" w:hAnsi="宋体"/>
          <w:sz w:val="28"/>
          <w:szCs w:val="28"/>
        </w:rPr>
        <w:t>第一章  招标公告</w:t>
      </w:r>
    </w:p>
    <w:p>
      <w:pPr>
        <w:spacing w:line="800" w:lineRule="exact"/>
        <w:ind w:left="561"/>
        <w:rPr>
          <w:rFonts w:ascii="宋体" w:hAnsi="宋体"/>
          <w:sz w:val="28"/>
          <w:szCs w:val="28"/>
        </w:rPr>
      </w:pPr>
      <w:r>
        <w:rPr>
          <w:rFonts w:hint="eastAsia" w:ascii="宋体" w:hAnsi="宋体"/>
          <w:sz w:val="28"/>
          <w:szCs w:val="28"/>
        </w:rPr>
        <w:t>第二章  采购需求</w:t>
      </w:r>
    </w:p>
    <w:p>
      <w:pPr>
        <w:spacing w:line="800" w:lineRule="exact"/>
        <w:ind w:left="561"/>
        <w:rPr>
          <w:rFonts w:ascii="宋体" w:hAnsi="宋体"/>
          <w:sz w:val="28"/>
          <w:szCs w:val="28"/>
        </w:rPr>
      </w:pPr>
      <w:r>
        <w:rPr>
          <w:rFonts w:hint="eastAsia" w:ascii="宋体" w:hAnsi="宋体"/>
          <w:sz w:val="28"/>
          <w:szCs w:val="28"/>
        </w:rPr>
        <w:t>第三章  投标人须知</w:t>
      </w:r>
    </w:p>
    <w:p>
      <w:pPr>
        <w:spacing w:line="800" w:lineRule="exact"/>
        <w:ind w:left="561"/>
        <w:rPr>
          <w:rFonts w:ascii="宋体" w:hAnsi="宋体"/>
          <w:sz w:val="28"/>
          <w:szCs w:val="28"/>
        </w:rPr>
      </w:pPr>
      <w:r>
        <w:rPr>
          <w:rFonts w:hint="eastAsia" w:ascii="宋体" w:hAnsi="宋体"/>
          <w:sz w:val="28"/>
          <w:szCs w:val="28"/>
        </w:rPr>
        <w:t>第四章  评标办法及评标标准</w:t>
      </w:r>
    </w:p>
    <w:p>
      <w:pPr>
        <w:spacing w:line="800" w:lineRule="exact"/>
        <w:ind w:left="561"/>
        <w:rPr>
          <w:rFonts w:ascii="宋体" w:hAnsi="宋体"/>
          <w:sz w:val="28"/>
          <w:szCs w:val="28"/>
        </w:rPr>
      </w:pPr>
      <w:r>
        <w:rPr>
          <w:rFonts w:hint="eastAsia" w:ascii="宋体" w:hAnsi="宋体"/>
          <w:sz w:val="28"/>
          <w:szCs w:val="28"/>
        </w:rPr>
        <w:t>第五章  政府采购合同主要条款</w:t>
      </w:r>
    </w:p>
    <w:p>
      <w:pPr>
        <w:spacing w:line="800" w:lineRule="exact"/>
        <w:ind w:left="561"/>
        <w:rPr>
          <w:rFonts w:ascii="宋体" w:hAnsi="宋体"/>
          <w:sz w:val="28"/>
          <w:szCs w:val="28"/>
        </w:rPr>
      </w:pPr>
      <w:r>
        <w:rPr>
          <w:rFonts w:hint="eastAsia" w:ascii="宋体" w:hAnsi="宋体"/>
          <w:sz w:val="28"/>
          <w:szCs w:val="28"/>
        </w:rPr>
        <w:t>第六章  投标文件格式</w:t>
      </w:r>
    </w:p>
    <w:p>
      <w:pPr>
        <w:spacing w:line="600" w:lineRule="exact"/>
        <w:rPr>
          <w:rFonts w:ascii="宋体" w:hAnsi="宋体"/>
          <w:sz w:val="32"/>
          <w:szCs w:val="32"/>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jc w:val="center"/>
        <w:outlineLvl w:val="0"/>
        <w:rPr>
          <w:rFonts w:hint="eastAsia" w:ascii="黑体" w:hAnsi="宋体" w:eastAsia="黑体"/>
          <w:b/>
          <w:bCs/>
          <w:sz w:val="28"/>
          <w:szCs w:val="28"/>
        </w:rPr>
        <w:sectPr>
          <w:headerReference r:id="rId3" w:type="default"/>
          <w:pgSz w:w="11907" w:h="16840"/>
          <w:pgMar w:top="854" w:right="1607" w:bottom="1138" w:left="1545" w:header="284" w:footer="989" w:gutter="0"/>
          <w:cols w:space="720" w:num="1"/>
          <w:docGrid w:linePitch="285" w:charSpace="0"/>
        </w:sectPr>
      </w:pPr>
    </w:p>
    <w:p>
      <w:pPr>
        <w:pStyle w:val="12"/>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t>第一章  招标公告</w:t>
      </w:r>
    </w:p>
    <w:p>
      <w:pPr>
        <w:widowControl/>
        <w:spacing w:line="380" w:lineRule="exact"/>
        <w:ind w:firstLine="420" w:firstLineChars="200"/>
        <w:rPr>
          <w:rFonts w:cs="宋体" w:asciiTheme="minorEastAsia" w:hAnsiTheme="minorEastAsia" w:eastAsiaTheme="minorEastAsia"/>
          <w:kern w:val="0"/>
          <w:szCs w:val="21"/>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noWrap w:val="0"/>
            <w:vAlign w:val="top"/>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项目概况：</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eastAsia="zh-CN"/>
              </w:rPr>
              <w:t>宁海传媒集团高清交互型数字电视机顶盒采购项目</w:t>
            </w:r>
            <w:r>
              <w:rPr>
                <w:rFonts w:hint="eastAsia" w:ascii="宋体" w:hAnsi="宋体" w:cs="宋体"/>
                <w:color w:val="auto"/>
                <w:szCs w:val="21"/>
                <w:highlight w:val="none"/>
                <w:u w:val="single"/>
              </w:rPr>
              <w:t>)</w:t>
            </w:r>
            <w:r>
              <w:rPr>
                <w:rFonts w:hint="eastAsia" w:ascii="宋体" w:hAnsi="宋体" w:cs="宋体"/>
                <w:color w:val="auto"/>
                <w:szCs w:val="21"/>
                <w:highlight w:val="none"/>
              </w:rPr>
              <w:t>招标项目的潜在投标人应在</w:t>
            </w:r>
            <w:r>
              <w:rPr>
                <w:rFonts w:hint="eastAsia" w:ascii="宋体" w:hAnsi="宋体" w:cs="宋体"/>
                <w:color w:val="auto"/>
                <w:szCs w:val="21"/>
                <w:highlight w:val="none"/>
                <w:u w:val="single"/>
              </w:rPr>
              <w:t>（浙江政府采购云平台（http://www.zcy.gov.cn/））</w:t>
            </w:r>
            <w:r>
              <w:rPr>
                <w:rFonts w:hint="eastAsia" w:ascii="宋体" w:hAnsi="宋体" w:cs="宋体"/>
                <w:color w:val="auto"/>
                <w:szCs w:val="21"/>
                <w:highlight w:val="none"/>
              </w:rPr>
              <w:t>获取（下载）招标文件，并于</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1</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11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12</w:t>
            </w:r>
            <w:r>
              <w:rPr>
                <w:rFonts w:hint="eastAsia" w:ascii="宋体" w:hAnsi="宋体" w:cs="宋体"/>
                <w:bCs/>
                <w:color w:val="auto"/>
                <w:szCs w:val="21"/>
                <w:highlight w:val="none"/>
                <w:u w:val="single"/>
              </w:rPr>
              <w:t>日</w:t>
            </w:r>
            <w:r>
              <w:rPr>
                <w:rFonts w:hint="eastAsia" w:ascii="宋体" w:hAnsi="宋体" w:cs="宋体"/>
                <w:bCs/>
                <w:color w:val="auto"/>
                <w:szCs w:val="21"/>
                <w:highlight w:val="none"/>
                <w:u w:val="single"/>
                <w:lang w:val="en-US" w:eastAsia="zh-CN"/>
              </w:rPr>
              <w:t>14</w:t>
            </w:r>
            <w:r>
              <w:rPr>
                <w:rFonts w:hint="eastAsia" w:ascii="宋体" w:hAnsi="宋体" w:cs="宋体"/>
                <w:bCs/>
                <w:color w:val="auto"/>
                <w:szCs w:val="21"/>
                <w:highlight w:val="none"/>
                <w:u w:val="single"/>
              </w:rPr>
              <w:t>点</w:t>
            </w:r>
            <w:r>
              <w:rPr>
                <w:rFonts w:hint="eastAsia" w:ascii="宋体" w:hAnsi="宋体" w:cs="宋体"/>
                <w:bCs/>
                <w:color w:val="auto"/>
                <w:szCs w:val="21"/>
                <w:highlight w:val="none"/>
                <w:u w:val="single"/>
                <w:lang w:val="en-US" w:eastAsia="zh-CN"/>
              </w:rPr>
              <w:t>00</w:t>
            </w:r>
            <w:r>
              <w:rPr>
                <w:rFonts w:hint="eastAsia" w:ascii="宋体" w:hAnsi="宋体" w:cs="宋体"/>
                <w:bCs/>
                <w:color w:val="auto"/>
                <w:szCs w:val="21"/>
                <w:highlight w:val="none"/>
                <w:u w:val="single"/>
              </w:rPr>
              <w:t>分</w:t>
            </w:r>
            <w:r>
              <w:rPr>
                <w:rFonts w:hint="eastAsia" w:ascii="宋体" w:hAnsi="宋体" w:cs="宋体"/>
                <w:bCs/>
                <w:color w:val="auto"/>
                <w:szCs w:val="21"/>
                <w:highlight w:val="none"/>
                <w:u w:val="none"/>
              </w:rPr>
              <w:t>（</w:t>
            </w:r>
            <w:r>
              <w:rPr>
                <w:rFonts w:hint="eastAsia" w:ascii="宋体" w:hAnsi="宋体" w:cs="宋体"/>
                <w:bCs/>
                <w:color w:val="auto"/>
                <w:szCs w:val="21"/>
                <w:highlight w:val="none"/>
              </w:rPr>
              <w:t>北京时间）前递交（上传）投标文件</w:t>
            </w:r>
            <w:r>
              <w:rPr>
                <w:rFonts w:hint="eastAsia" w:ascii="宋体" w:hAnsi="宋体" w:cs="宋体"/>
                <w:color w:val="auto"/>
                <w:szCs w:val="21"/>
                <w:highlight w:val="none"/>
              </w:rPr>
              <w:t>。</w:t>
            </w:r>
          </w:p>
        </w:tc>
      </w:tr>
    </w:tbl>
    <w:p>
      <w:pPr>
        <w:pStyle w:val="5"/>
        <w:spacing w:before="0" w:after="0" w:line="360" w:lineRule="auto"/>
        <w:rPr>
          <w:rFonts w:hint="eastAsia" w:ascii="宋体" w:hAnsi="宋体" w:eastAsia="宋体" w:cs="宋体"/>
          <w:bCs w:val="0"/>
          <w:color w:val="auto"/>
          <w:sz w:val="21"/>
          <w:szCs w:val="21"/>
          <w:highlight w:val="none"/>
        </w:rPr>
      </w:pPr>
      <w:bookmarkStart w:id="0" w:name="_Toc28359002"/>
      <w:bookmarkStart w:id="1" w:name="_Toc28359079"/>
      <w:bookmarkStart w:id="2" w:name="_Toc35393621"/>
      <w:bookmarkStart w:id="3" w:name="_Toc35393790"/>
      <w:bookmarkStart w:id="4" w:name="_Hlk24379207"/>
      <w:r>
        <w:rPr>
          <w:rFonts w:hint="eastAsia" w:ascii="宋体" w:hAnsi="宋体" w:eastAsia="宋体" w:cs="宋体"/>
          <w:bCs w:val="0"/>
          <w:color w:val="auto"/>
          <w:sz w:val="21"/>
          <w:szCs w:val="21"/>
          <w:highlight w:val="none"/>
        </w:rPr>
        <w:t>一、项目基本情况</w:t>
      </w:r>
      <w:bookmarkEnd w:id="0"/>
      <w:bookmarkEnd w:id="1"/>
      <w:bookmarkEnd w:id="2"/>
      <w:bookmarkEnd w:id="3"/>
    </w:p>
    <w:p>
      <w:pPr>
        <w:spacing w:line="360" w:lineRule="auto"/>
        <w:ind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1.项目编号：</w:t>
      </w:r>
      <w:r>
        <w:rPr>
          <w:rFonts w:hint="eastAsia" w:ascii="宋体" w:hAnsi="宋体" w:cs="宋体"/>
          <w:color w:val="auto"/>
          <w:szCs w:val="21"/>
          <w:highlight w:val="none"/>
          <w:lang w:eastAsia="zh-CN"/>
        </w:rPr>
        <w:t>NH-TS2021-0</w:t>
      </w:r>
      <w:r>
        <w:rPr>
          <w:rFonts w:hint="eastAsia" w:ascii="宋体" w:hAnsi="宋体" w:cs="宋体"/>
          <w:color w:val="auto"/>
          <w:szCs w:val="21"/>
          <w:highlight w:val="none"/>
          <w:lang w:val="en-US" w:eastAsia="zh-CN"/>
        </w:rPr>
        <w:t>67</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2.项目名称：</w:t>
      </w:r>
      <w:bookmarkEnd w:id="4"/>
      <w:r>
        <w:rPr>
          <w:rFonts w:hint="eastAsia" w:ascii="宋体" w:hAnsi="宋体" w:cs="宋体"/>
          <w:color w:val="auto"/>
          <w:szCs w:val="21"/>
          <w:highlight w:val="none"/>
          <w:lang w:eastAsia="zh-CN"/>
        </w:rPr>
        <w:t>宁海传媒集团高清交互型数字电视机顶盒采购项目</w:t>
      </w:r>
    </w:p>
    <w:p>
      <w:pPr>
        <w:spacing w:line="360" w:lineRule="auto"/>
        <w:ind w:firstLine="420" w:firstLineChars="200"/>
        <w:rPr>
          <w:rFonts w:hint="default" w:ascii="宋体" w:hAnsi="宋体" w:cs="宋体"/>
          <w:color w:val="auto"/>
          <w:szCs w:val="21"/>
          <w:highlight w:val="none"/>
          <w:lang w:val="en-US" w:eastAsia="zh-CN"/>
        </w:rPr>
      </w:pPr>
      <w:r>
        <w:rPr>
          <w:rFonts w:hint="eastAsia" w:ascii="宋体" w:hAnsi="宋体" w:cs="宋体"/>
          <w:color w:val="auto"/>
          <w:szCs w:val="21"/>
          <w:highlight w:val="none"/>
        </w:rPr>
        <w:t>3.预算金额（元）：</w:t>
      </w:r>
      <w:r>
        <w:rPr>
          <w:rFonts w:hint="eastAsia" w:ascii="宋体" w:hAnsi="宋体" w:cs="宋体"/>
          <w:color w:val="auto"/>
          <w:szCs w:val="21"/>
          <w:highlight w:val="none"/>
          <w:lang w:val="en-US" w:eastAsia="zh-CN"/>
        </w:rPr>
        <w:t>1750000</w:t>
      </w:r>
    </w:p>
    <w:p>
      <w:pPr>
        <w:spacing w:line="360" w:lineRule="auto"/>
        <w:ind w:firstLine="420" w:firstLineChars="200"/>
        <w:rPr>
          <w:rFonts w:hint="default" w:ascii="宋体" w:hAnsi="宋体" w:cs="宋体"/>
          <w:color w:val="auto"/>
          <w:szCs w:val="21"/>
          <w:highlight w:val="none"/>
          <w:lang w:val="en-US"/>
        </w:rPr>
      </w:pPr>
      <w:r>
        <w:rPr>
          <w:rFonts w:hint="eastAsia" w:ascii="宋体" w:hAnsi="宋体" w:cs="宋体"/>
          <w:color w:val="auto"/>
          <w:szCs w:val="21"/>
          <w:highlight w:val="none"/>
        </w:rPr>
        <w:t>4.最高限价（元）：</w:t>
      </w:r>
      <w:r>
        <w:rPr>
          <w:rFonts w:hint="eastAsia" w:ascii="宋体" w:hAnsi="宋体" w:cs="宋体"/>
          <w:color w:val="auto"/>
          <w:szCs w:val="21"/>
          <w:highlight w:val="none"/>
          <w:lang w:val="en-US" w:eastAsia="zh-CN"/>
        </w:rPr>
        <w:t>1750000</w:t>
      </w:r>
    </w:p>
    <w:p>
      <w:pPr>
        <w:pStyle w:val="22"/>
        <w:spacing w:before="0" w:beforeAutospacing="0" w:after="0" w:afterAutospacing="0"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rPr>
        <w:t>5.</w:t>
      </w:r>
      <w:r>
        <w:rPr>
          <w:rFonts w:hint="eastAsia" w:ascii="宋体" w:hAnsi="宋体" w:eastAsia="宋体" w:cs="宋体"/>
          <w:color w:val="auto"/>
          <w:kern w:val="2"/>
          <w:sz w:val="21"/>
          <w:szCs w:val="21"/>
          <w:highlight w:val="none"/>
          <w:lang w:val="en-US" w:eastAsia="zh-CN" w:bidi="ar-SA"/>
        </w:rPr>
        <w:t>采购内容及数量：</w:t>
      </w:r>
    </w:p>
    <w:p>
      <w:pPr>
        <w:pStyle w:val="7"/>
        <w:spacing w:line="360" w:lineRule="auto"/>
        <w:ind w:left="181" w:leftChars="86" w:firstLine="210" w:firstLineChars="1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5.1、采购内容：高清交互型数字电视机顶盒（具体详见招标需求）</w:t>
      </w:r>
    </w:p>
    <w:p>
      <w:pPr>
        <w:pStyle w:val="7"/>
        <w:spacing w:line="360" w:lineRule="auto"/>
        <w:ind w:left="181" w:leftChars="86" w:firstLine="210" w:firstLineChars="100"/>
        <w:rPr>
          <w:rFonts w:hint="default" w:eastAsia="宋体"/>
          <w:lang w:val="en-US" w:eastAsia="zh-CN"/>
        </w:rPr>
      </w:pPr>
      <w:r>
        <w:rPr>
          <w:rFonts w:hint="eastAsia" w:ascii="宋体" w:hAnsi="宋体" w:eastAsia="宋体" w:cs="宋体"/>
          <w:color w:val="auto"/>
          <w:kern w:val="2"/>
          <w:sz w:val="21"/>
          <w:szCs w:val="21"/>
          <w:highlight w:val="none"/>
          <w:lang w:val="en-US" w:eastAsia="zh-CN" w:bidi="ar-SA"/>
        </w:rPr>
        <w:t>5.2、数量：</w:t>
      </w:r>
      <w:r>
        <w:rPr>
          <w:rFonts w:hint="eastAsia" w:ascii="宋体" w:hAnsi="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eastAsia="zh-CN" w:bidi="ar-SA"/>
        </w:rPr>
        <w:t>万台</w:t>
      </w:r>
      <w:r>
        <w:rPr>
          <w:rFonts w:hint="eastAsia" w:ascii="宋体" w:hAnsi="宋体" w:cs="宋体"/>
          <w:color w:val="auto"/>
          <w:kern w:val="2"/>
          <w:sz w:val="21"/>
          <w:szCs w:val="21"/>
          <w:highlight w:val="none"/>
          <w:lang w:val="en-US" w:eastAsia="zh-CN" w:bidi="ar-SA"/>
        </w:rPr>
        <w:t xml:space="preserve">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6.本项目（否）联合体投标。</w:t>
      </w:r>
    </w:p>
    <w:p>
      <w:pPr>
        <w:pStyle w:val="5"/>
        <w:spacing w:before="0" w:after="0" w:line="360" w:lineRule="auto"/>
        <w:rPr>
          <w:rFonts w:hint="eastAsia" w:ascii="宋体" w:hAnsi="宋体" w:eastAsia="宋体" w:cs="宋体"/>
          <w:bCs w:val="0"/>
          <w:color w:val="auto"/>
          <w:sz w:val="21"/>
          <w:szCs w:val="21"/>
          <w:highlight w:val="none"/>
        </w:rPr>
      </w:pPr>
      <w:bookmarkStart w:id="5" w:name="_Toc35393622"/>
      <w:bookmarkStart w:id="6" w:name="_Toc28359080"/>
      <w:bookmarkStart w:id="7" w:name="_Toc35393791"/>
      <w:bookmarkStart w:id="8" w:name="_Toc28359003"/>
      <w:r>
        <w:rPr>
          <w:rFonts w:hint="eastAsia" w:ascii="宋体" w:hAnsi="宋体" w:eastAsia="宋体" w:cs="宋体"/>
          <w:bCs w:val="0"/>
          <w:color w:val="auto"/>
          <w:sz w:val="21"/>
          <w:szCs w:val="21"/>
          <w:highlight w:val="none"/>
        </w:rPr>
        <w:t>二、申请人的资格要求：</w:t>
      </w:r>
      <w:bookmarkEnd w:id="5"/>
      <w:bookmarkEnd w:id="6"/>
      <w:bookmarkEnd w:id="7"/>
      <w:bookmarkEnd w:id="8"/>
    </w:p>
    <w:p>
      <w:pPr>
        <w:spacing w:line="336" w:lineRule="auto"/>
        <w:ind w:firstLine="420" w:firstLineChars="200"/>
        <w:rPr>
          <w:rFonts w:hint="eastAsia" w:ascii="宋体" w:hAnsi="宋体" w:cs="宋体"/>
          <w:color w:val="auto"/>
          <w:szCs w:val="21"/>
          <w:highlight w:val="none"/>
        </w:rPr>
      </w:pPr>
      <w:bookmarkStart w:id="9" w:name="_Toc28359081"/>
      <w:bookmarkStart w:id="10" w:name="_Toc28359004"/>
      <w:r>
        <w:rPr>
          <w:rFonts w:hint="eastAsia" w:ascii="宋体" w:hAnsi="宋体" w:cs="宋体"/>
          <w:color w:val="auto"/>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36" w:lineRule="auto"/>
        <w:ind w:firstLine="420" w:firstLineChars="20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2.落实政府采购政策需满足的资格要求：</w:t>
      </w:r>
      <w:r>
        <w:rPr>
          <w:rFonts w:hint="eastAsia" w:ascii="宋体" w:hAnsi="宋体" w:cs="宋体"/>
          <w:color w:val="auto"/>
          <w:szCs w:val="21"/>
          <w:highlight w:val="none"/>
          <w:lang w:eastAsia="zh-CN"/>
        </w:rPr>
        <w:t>无</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本项目的特定资格要求：3.1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3.2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单位将依法取消其中标资格）。</w:t>
      </w:r>
    </w:p>
    <w:p>
      <w:pPr>
        <w:spacing w:line="360" w:lineRule="auto"/>
        <w:ind w:firstLine="420" w:firstLineChars="200"/>
        <w:rPr>
          <w:rFonts w:hint="eastAsia" w:ascii="宋体" w:hAnsi="宋体" w:cs="宋体"/>
          <w:color w:val="auto"/>
          <w:szCs w:val="21"/>
          <w:highlight w:val="none"/>
        </w:rPr>
      </w:pPr>
      <w:r>
        <w:rPr>
          <w:rFonts w:hint="eastAsia" w:hAnsi="宋体" w:cs="宋体"/>
          <w:color w:val="auto"/>
          <w:szCs w:val="21"/>
          <w:highlight w:val="none"/>
        </w:rPr>
        <w:t>4</w:t>
      </w:r>
      <w:r>
        <w:rPr>
          <w:rFonts w:hint="eastAsia" w:ascii="宋体" w:hAnsi="宋体" w:cs="宋体"/>
          <w:color w:val="auto"/>
          <w:szCs w:val="21"/>
          <w:highlight w:val="none"/>
        </w:rPr>
        <w:t>.本项目（否）接受联合体投标。</w:t>
      </w:r>
    </w:p>
    <w:p>
      <w:pPr>
        <w:pStyle w:val="5"/>
        <w:spacing w:before="0" w:after="0" w:line="360" w:lineRule="auto"/>
        <w:rPr>
          <w:rFonts w:hint="eastAsia" w:ascii="宋体" w:hAnsi="宋体" w:eastAsia="宋体" w:cs="宋体"/>
          <w:bCs w:val="0"/>
          <w:color w:val="auto"/>
          <w:sz w:val="21"/>
          <w:szCs w:val="21"/>
          <w:highlight w:val="none"/>
        </w:rPr>
      </w:pPr>
      <w:bookmarkStart w:id="11" w:name="_Toc35393623"/>
      <w:bookmarkStart w:id="12" w:name="_Toc35393792"/>
      <w:r>
        <w:rPr>
          <w:rFonts w:hint="eastAsia" w:ascii="宋体" w:hAnsi="宋体" w:eastAsia="宋体" w:cs="宋体"/>
          <w:bCs w:val="0"/>
          <w:color w:val="auto"/>
          <w:sz w:val="21"/>
          <w:szCs w:val="21"/>
          <w:highlight w:val="none"/>
        </w:rPr>
        <w:t>三、获取招标文件</w:t>
      </w:r>
      <w:bookmarkEnd w:id="9"/>
      <w:bookmarkEnd w:id="10"/>
      <w:bookmarkEnd w:id="11"/>
      <w:bookmarkEnd w:id="12"/>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1.时间：</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1</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10</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22</w:t>
      </w:r>
      <w:r>
        <w:rPr>
          <w:rFonts w:hint="eastAsia" w:ascii="宋体" w:hAnsi="宋体" w:cs="宋体"/>
          <w:bCs/>
          <w:color w:val="auto"/>
          <w:szCs w:val="21"/>
          <w:highlight w:val="none"/>
          <w:u w:val="single"/>
        </w:rPr>
        <w:t>日</w:t>
      </w:r>
      <w:r>
        <w:rPr>
          <w:rFonts w:hint="eastAsia" w:ascii="宋体" w:hAnsi="宋体" w:cs="宋体"/>
          <w:color w:val="auto"/>
          <w:szCs w:val="21"/>
          <w:highlight w:val="none"/>
        </w:rPr>
        <w:t>至</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1</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11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08</w:t>
      </w:r>
      <w:r>
        <w:rPr>
          <w:rFonts w:hint="eastAsia" w:ascii="宋体" w:hAnsi="宋体" w:cs="宋体"/>
          <w:bCs/>
          <w:color w:val="auto"/>
          <w:szCs w:val="21"/>
          <w:highlight w:val="none"/>
          <w:u w:val="single"/>
        </w:rPr>
        <w:t>日</w:t>
      </w:r>
      <w:r>
        <w:rPr>
          <w:rFonts w:hint="eastAsia" w:ascii="宋体" w:hAnsi="宋体" w:cs="宋体"/>
          <w:color w:val="auto"/>
          <w:szCs w:val="21"/>
          <w:highlight w:val="none"/>
        </w:rPr>
        <w:t>，每天上午</w:t>
      </w:r>
      <w:r>
        <w:rPr>
          <w:rFonts w:hint="eastAsia" w:ascii="宋体" w:hAnsi="宋体" w:cs="宋体"/>
          <w:color w:val="auto"/>
          <w:szCs w:val="21"/>
          <w:highlight w:val="none"/>
          <w:u w:val="single"/>
        </w:rPr>
        <w:t>00:00</w:t>
      </w:r>
      <w:r>
        <w:rPr>
          <w:rFonts w:hint="eastAsia" w:ascii="宋体" w:hAnsi="宋体" w:cs="宋体"/>
          <w:color w:val="auto"/>
          <w:szCs w:val="21"/>
          <w:highlight w:val="none"/>
        </w:rPr>
        <w:t>至</w:t>
      </w:r>
      <w:r>
        <w:rPr>
          <w:rFonts w:hint="eastAsia" w:ascii="宋体" w:hAnsi="宋体" w:cs="宋体"/>
          <w:color w:val="auto"/>
          <w:szCs w:val="21"/>
          <w:highlight w:val="none"/>
          <w:u w:val="single"/>
        </w:rPr>
        <w:t>12:00</w:t>
      </w:r>
      <w:r>
        <w:rPr>
          <w:rFonts w:hint="eastAsia" w:ascii="宋体" w:hAnsi="宋体" w:cs="宋体"/>
          <w:color w:val="auto"/>
          <w:szCs w:val="21"/>
          <w:highlight w:val="none"/>
        </w:rPr>
        <w:t>，下午</w:t>
      </w:r>
      <w:r>
        <w:rPr>
          <w:rFonts w:hint="eastAsia" w:ascii="宋体" w:hAnsi="宋体" w:cs="宋体"/>
          <w:color w:val="auto"/>
          <w:szCs w:val="21"/>
          <w:highlight w:val="none"/>
          <w:u w:val="single"/>
        </w:rPr>
        <w:t>12:00</w:t>
      </w:r>
      <w:r>
        <w:rPr>
          <w:rFonts w:hint="eastAsia" w:ascii="宋体" w:hAnsi="宋体" w:cs="宋体"/>
          <w:color w:val="auto"/>
          <w:szCs w:val="21"/>
          <w:highlight w:val="none"/>
        </w:rPr>
        <w:t>至</w:t>
      </w:r>
      <w:r>
        <w:rPr>
          <w:rFonts w:hint="eastAsia" w:ascii="宋体" w:hAnsi="宋体" w:cs="宋体"/>
          <w:color w:val="auto"/>
          <w:szCs w:val="21"/>
          <w:highlight w:val="none"/>
          <w:u w:val="single"/>
        </w:rPr>
        <w:t>23:59</w:t>
      </w:r>
      <w:r>
        <w:rPr>
          <w:rFonts w:hint="eastAsia" w:ascii="宋体" w:hAnsi="宋体" w:cs="宋体"/>
          <w:color w:val="auto"/>
          <w:szCs w:val="21"/>
          <w:highlight w:val="none"/>
        </w:rPr>
        <w:t>（北京时间，线上获取法定节假日均可，线下获取文件法定节假日除外）。</w:t>
      </w:r>
    </w:p>
    <w:p>
      <w:pP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2.地点：浙江政府采购云平台（http://www.zcy.gov.cn/）。</w:t>
      </w:r>
    </w:p>
    <w:p>
      <w:pP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3.方式：供应商注册后直接登陆“浙江政府采购云平台”（http://www.zcy.gov.cn/）下载电子招标文件。供应商未在规定时间内或未按上述方式获取招标文件的，其投标无效。</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4.售价（元）：0</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5.本招标公告附件中的招标文件仅供阅览使用，供应商应在规定的获取招标文件时间内在政采云平台登录供应商注册的账号后获取招标文件，未按上述方式获取招标文件的，不得对招标文件提起质疑投诉。</w:t>
      </w:r>
    </w:p>
    <w:p>
      <w:pPr>
        <w:pStyle w:val="5"/>
        <w:spacing w:before="0" w:after="0" w:line="360" w:lineRule="auto"/>
        <w:rPr>
          <w:rFonts w:hint="eastAsia" w:ascii="宋体" w:hAnsi="宋体" w:eastAsia="宋体" w:cs="宋体"/>
          <w:bCs w:val="0"/>
          <w:color w:val="auto"/>
          <w:sz w:val="21"/>
          <w:szCs w:val="21"/>
          <w:highlight w:val="none"/>
        </w:rPr>
      </w:pPr>
      <w:bookmarkStart w:id="13" w:name="_Toc28359005"/>
      <w:bookmarkStart w:id="14" w:name="_Toc28359082"/>
      <w:bookmarkStart w:id="15" w:name="_Toc35393624"/>
      <w:bookmarkStart w:id="16" w:name="_Toc35393793"/>
      <w:r>
        <w:rPr>
          <w:rFonts w:hint="eastAsia" w:ascii="宋体" w:hAnsi="宋体" w:eastAsia="宋体" w:cs="宋体"/>
          <w:bCs w:val="0"/>
          <w:color w:val="auto"/>
          <w:sz w:val="21"/>
          <w:szCs w:val="21"/>
          <w:highlight w:val="none"/>
        </w:rPr>
        <w:t>四、提交投标文件</w:t>
      </w:r>
      <w:bookmarkEnd w:id="13"/>
      <w:bookmarkEnd w:id="14"/>
      <w:r>
        <w:rPr>
          <w:rFonts w:hint="eastAsia" w:ascii="宋体" w:hAnsi="宋体" w:eastAsia="宋体" w:cs="宋体"/>
          <w:bCs w:val="0"/>
          <w:color w:val="auto"/>
          <w:sz w:val="21"/>
          <w:szCs w:val="21"/>
          <w:highlight w:val="none"/>
        </w:rPr>
        <w:t>截止时间、开标时间和地点</w:t>
      </w:r>
      <w:bookmarkEnd w:id="15"/>
      <w:bookmarkEnd w:id="16"/>
    </w:p>
    <w:p>
      <w:pPr>
        <w:spacing w:line="336" w:lineRule="auto"/>
        <w:ind w:firstLine="420" w:firstLineChars="200"/>
        <w:rPr>
          <w:rFonts w:hint="eastAsia" w:ascii="宋体" w:hAnsi="宋体" w:cs="宋体"/>
          <w:color w:val="auto"/>
          <w:szCs w:val="21"/>
          <w:highlight w:val="none"/>
        </w:rPr>
      </w:pPr>
      <w:bookmarkStart w:id="17" w:name="_Toc35393794"/>
      <w:bookmarkStart w:id="18" w:name="_Toc28359084"/>
      <w:bookmarkStart w:id="19" w:name="_Toc28359007"/>
      <w:bookmarkStart w:id="20" w:name="_Toc35393625"/>
      <w:r>
        <w:rPr>
          <w:rFonts w:hint="eastAsia" w:ascii="宋体" w:hAnsi="宋体" w:cs="宋体"/>
          <w:color w:val="auto"/>
          <w:szCs w:val="21"/>
          <w:highlight w:val="none"/>
        </w:rPr>
        <w:t>1.提交投标文件截止时间：202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14</w:t>
      </w:r>
      <w:r>
        <w:rPr>
          <w:rFonts w:hint="eastAsia" w:ascii="宋体" w:hAnsi="宋体" w:cs="宋体"/>
          <w:color w:val="auto"/>
          <w:szCs w:val="21"/>
          <w:highlight w:val="none"/>
        </w:rPr>
        <w:t>点</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分（北京时间）。</w:t>
      </w:r>
    </w:p>
    <w:p>
      <w:pPr>
        <w:spacing w:line="33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2.投标地点（网址）：</w:t>
      </w:r>
      <w:r>
        <w:rPr>
          <w:rFonts w:hint="eastAsia" w:ascii="宋体" w:hAnsi="宋体" w:cs="宋体"/>
          <w:color w:val="auto"/>
          <w:szCs w:val="21"/>
          <w:highlight w:val="none"/>
          <w:u w:val="single"/>
        </w:rPr>
        <w:t>供应商应于202</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11</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u w:val="single"/>
        </w:rPr>
        <w:t>点</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分（北京时间）前将电子投标文件上传到政府采购云平台</w:t>
      </w:r>
      <w:bookmarkStart w:id="21" w:name="_Hlt21454969"/>
      <w:bookmarkEnd w:id="21"/>
      <w:bookmarkStart w:id="22" w:name="_Hlt21454952"/>
      <w:bookmarkEnd w:id="22"/>
      <w:bookmarkStart w:id="23" w:name="_Hlt21454953"/>
      <w:bookmarkEnd w:id="23"/>
      <w:bookmarkStart w:id="24" w:name="_Hlt21454954"/>
      <w:bookmarkEnd w:id="24"/>
      <w:r>
        <w:rPr>
          <w:rFonts w:hint="eastAsia" w:ascii="宋体" w:hAnsi="宋体" w:cs="宋体"/>
          <w:color w:val="auto"/>
          <w:szCs w:val="21"/>
          <w:highlight w:val="none"/>
          <w:u w:val="single"/>
        </w:rPr>
        <w:fldChar w:fldCharType="begin"/>
      </w:r>
      <w:r>
        <w:rPr>
          <w:rFonts w:hint="eastAsia" w:ascii="宋体" w:hAnsi="宋体" w:cs="宋体"/>
          <w:color w:val="auto"/>
          <w:szCs w:val="21"/>
          <w:highlight w:val="none"/>
          <w:u w:val="single"/>
        </w:rPr>
        <w:instrText xml:space="preserve"> HYPERLINK "http://www.zcygov.cn" </w:instrText>
      </w:r>
      <w:r>
        <w:rPr>
          <w:rFonts w:hint="eastAsia" w:ascii="宋体" w:hAnsi="宋体" w:cs="宋体"/>
          <w:color w:val="auto"/>
          <w:szCs w:val="21"/>
          <w:highlight w:val="none"/>
          <w:u w:val="single"/>
        </w:rPr>
        <w:fldChar w:fldCharType="separate"/>
      </w:r>
      <w:r>
        <w:rPr>
          <w:rFonts w:hint="eastAsia" w:ascii="宋体" w:hAnsi="宋体" w:cs="宋体"/>
          <w:color w:val="auto"/>
          <w:szCs w:val="21"/>
          <w:highlight w:val="none"/>
          <w:u w:val="single"/>
        </w:rPr>
        <w:t>www.zcygov.cn</w:t>
      </w:r>
      <w:r>
        <w:rPr>
          <w:rFonts w:hint="eastAsia" w:ascii="宋体" w:hAnsi="宋体" w:cs="宋体"/>
          <w:color w:val="auto"/>
          <w:szCs w:val="21"/>
          <w:highlight w:val="none"/>
          <w:u w:val="single"/>
        </w:rPr>
        <w:fldChar w:fldCharType="end"/>
      </w:r>
      <w:r>
        <w:rPr>
          <w:rFonts w:hint="eastAsia" w:ascii="宋体" w:hAnsi="宋体" w:cs="宋体"/>
          <w:color w:val="auto"/>
          <w:szCs w:val="21"/>
          <w:highlight w:val="none"/>
          <w:u w:val="single"/>
        </w:rPr>
        <w:t>，未上传电子投标文件，视为供应商放弃投标。</w:t>
      </w:r>
    </w:p>
    <w:p>
      <w:pPr>
        <w:spacing w:line="33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3.开标时间：202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14</w:t>
      </w:r>
      <w:r>
        <w:rPr>
          <w:rFonts w:hint="eastAsia" w:ascii="宋体" w:hAnsi="宋体" w:cs="宋体"/>
          <w:color w:val="auto"/>
          <w:szCs w:val="21"/>
          <w:highlight w:val="none"/>
        </w:rPr>
        <w:t>点</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 xml:space="preserve">分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4.开标地点（网址）：</w:t>
      </w:r>
      <w:r>
        <w:rPr>
          <w:rFonts w:hint="eastAsia" w:ascii="宋体" w:hAnsi="宋体" w:cs="宋体"/>
          <w:color w:val="auto"/>
          <w:szCs w:val="21"/>
          <w:highlight w:val="none"/>
          <w:u w:val="single"/>
        </w:rPr>
        <w:t>宁海县公共资源交易中心（宁海县桃源街道金水东路5号五楼）。采购代理机构将在采购文件规定的时间通过政府采购云平台组织开标、开启投标文件，所有供应商均应准时在线参加。开标时间后30分钟内（202</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11</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u w:val="single"/>
        </w:rPr>
        <w:t>点</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u w:val="single"/>
        </w:rPr>
        <w:t>分前）供应商可以登录政府采购云平台</w:t>
      </w:r>
      <w:r>
        <w:rPr>
          <w:rFonts w:hint="eastAsia" w:ascii="宋体" w:hAnsi="宋体" w:cs="宋体"/>
          <w:color w:val="auto"/>
          <w:szCs w:val="21"/>
          <w:highlight w:val="none"/>
          <w:u w:val="single"/>
        </w:rPr>
        <w:fldChar w:fldCharType="begin"/>
      </w:r>
      <w:r>
        <w:rPr>
          <w:rFonts w:hint="eastAsia" w:ascii="宋体" w:hAnsi="宋体" w:cs="宋体"/>
          <w:color w:val="auto"/>
          <w:szCs w:val="21"/>
          <w:highlight w:val="none"/>
          <w:u w:val="single"/>
        </w:rPr>
        <w:instrText xml:space="preserve"> HYPERLINK "http://www.zcygov.cn" </w:instrText>
      </w:r>
      <w:r>
        <w:rPr>
          <w:rFonts w:hint="eastAsia" w:ascii="宋体" w:hAnsi="宋体" w:cs="宋体"/>
          <w:color w:val="auto"/>
          <w:szCs w:val="21"/>
          <w:highlight w:val="none"/>
          <w:u w:val="single"/>
        </w:rPr>
        <w:fldChar w:fldCharType="separate"/>
      </w:r>
      <w:r>
        <w:rPr>
          <w:rFonts w:hint="eastAsia" w:ascii="宋体" w:hAnsi="宋体" w:cs="宋体"/>
          <w:color w:val="auto"/>
          <w:szCs w:val="21"/>
          <w:highlight w:val="none"/>
          <w:u w:val="single"/>
        </w:rPr>
        <w:t>www.zcygov.cn</w:t>
      </w:r>
      <w:r>
        <w:rPr>
          <w:rFonts w:hint="eastAsia" w:ascii="宋体" w:hAnsi="宋体" w:cs="宋体"/>
          <w:color w:val="auto"/>
          <w:szCs w:val="21"/>
          <w:highlight w:val="none"/>
          <w:u w:val="single"/>
        </w:rPr>
        <w:fldChar w:fldCharType="end"/>
      </w:r>
      <w:r>
        <w:rPr>
          <w:rFonts w:hint="eastAsia" w:ascii="宋体" w:hAnsi="宋体" w:cs="宋体"/>
          <w:color w:val="auto"/>
          <w:szCs w:val="21"/>
          <w:highlight w:val="none"/>
          <w:u w:val="single"/>
        </w:rPr>
        <w:t>，用“项目采购-开标评标”功能进行解密投标文件。若供应商在规定时间内均无法解密或解密失败，可使用备份电子投标文件进行或使用纸质投标文件进行线下评标。</w:t>
      </w:r>
    </w:p>
    <w:p>
      <w:pPr>
        <w:pStyle w:val="5"/>
        <w:spacing w:before="0" w:after="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五、公告期限</w:t>
      </w:r>
      <w:bookmarkEnd w:id="17"/>
      <w:bookmarkEnd w:id="18"/>
      <w:bookmarkEnd w:id="19"/>
      <w:bookmarkEnd w:id="20"/>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pStyle w:val="5"/>
        <w:spacing w:before="0" w:after="0" w:line="360" w:lineRule="auto"/>
        <w:rPr>
          <w:rFonts w:hint="eastAsia" w:ascii="宋体" w:hAnsi="宋体" w:eastAsia="宋体" w:cs="宋体"/>
          <w:bCs w:val="0"/>
          <w:color w:val="auto"/>
          <w:sz w:val="21"/>
          <w:szCs w:val="21"/>
          <w:highlight w:val="none"/>
          <w:lang w:eastAsia="zh-CN"/>
        </w:rPr>
      </w:pPr>
      <w:bookmarkStart w:id="25" w:name="_Toc35393795"/>
      <w:bookmarkStart w:id="26" w:name="_Toc35393626"/>
      <w:r>
        <w:rPr>
          <w:rFonts w:hint="eastAsia" w:ascii="宋体" w:hAnsi="宋体" w:eastAsia="宋体" w:cs="宋体"/>
          <w:bCs w:val="0"/>
          <w:color w:val="auto"/>
          <w:sz w:val="21"/>
          <w:szCs w:val="21"/>
          <w:highlight w:val="none"/>
        </w:rPr>
        <w:t>六、其他补充事宜</w:t>
      </w:r>
      <w:bookmarkEnd w:id="25"/>
      <w:bookmarkEnd w:id="26"/>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2.其他事项：</w:t>
      </w:r>
    </w:p>
    <w:p>
      <w:pPr>
        <w:widowControl/>
        <w:spacing w:line="336" w:lineRule="auto"/>
        <w:ind w:firstLine="420"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2.1落实的政策：</w:t>
      </w:r>
      <w:r>
        <w:rPr>
          <w:rFonts w:hint="eastAsia" w:ascii="宋体" w:hAnsi="宋体" w:eastAsia="宋体" w:cs="宋体"/>
          <w:bCs/>
          <w:color w:val="auto"/>
          <w:kern w:val="0"/>
          <w:szCs w:val="21"/>
          <w:highlight w:val="none"/>
        </w:rPr>
        <w:t>《政府采购促进中小企业发展管理办法》（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w:t>
      </w:r>
      <w:r>
        <w:rPr>
          <w:rFonts w:hint="eastAsia" w:ascii="宋体" w:hAnsi="宋体" w:eastAsia="宋体" w:cs="宋体"/>
          <w:color w:val="auto"/>
          <w:kern w:val="0"/>
          <w:szCs w:val="21"/>
          <w:highlight w:val="none"/>
        </w:rPr>
        <w:t>境标志产品政府采购执行机制的通知》（财库〔2019〕9号文）、财库〔2019〕18号和财库〔2019〕19号</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《关于促进自主创新进一步改进政府招标采购工作的意见》甬资交管办〔2019〕1号</w:t>
      </w:r>
      <w:r>
        <w:rPr>
          <w:rFonts w:hint="eastAsia" w:ascii="宋体" w:hAnsi="宋体" w:eastAsia="宋体" w:cs="宋体"/>
          <w:color w:val="auto"/>
          <w:kern w:val="0"/>
          <w:szCs w:val="21"/>
          <w:highlight w:val="none"/>
          <w:lang w:eastAsia="zh-CN"/>
        </w:rPr>
        <w:t>。</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eastAsia="宋体" w:cs="宋体"/>
          <w:color w:val="auto"/>
          <w:kern w:val="0"/>
          <w:szCs w:val="21"/>
          <w:highlight w:val="none"/>
        </w:rPr>
        <w:t>2.2供应商需按照《浙江省政府采购供应商注册及诚信管理暂行办法》的规定在“浙江政府采购网”政采云平台注册登记的，成为浙江省政府采购注册供应商。如未注册的供应商，请注意注册所需时间。</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2.3投标与开标注意事项</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2.3.1本项目实行网上投标，采用电子投标文件。若供应商参与投标，自行承担投标一切费用。</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2.3.2标前准备：各供应商应在开标前确保成为浙江政府采购网正式注册入库供应商，并完成CA数字证书办理。因未注册入库、未办理CA数字证书等原因造成无法投标或投标失败等后果由供应商自行承担。</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2.3.3投标文件制作：</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2.3.3.1应按照本项目招标文件和政府采购云平台的要求编制、加密并递交投标文件。供应商在使用系统进行投标的过程中遇到涉及平台使用的任何问题，可致电政府采购云平台技术支持热线咨询，联系方式：400-8817190。</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2.3.3.2供应商通过政府采购云平台电子投标工具制作投标文件，电子投标工具请供应商自行前往浙江政府采购网下载并安装，投标文件制作具体流程详见政府采购云平台。</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2.3.3.3以U盘存储的电子备份投标文件1份，按政府采购云平台要求制作的电子备份文件，以用于异常情况处理。</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2.3.3.4本项目供应商仍应准备纸质投标文件。当电子开评标无法正常进行时，即转为线下评标。若在此种情况下，由于供应商未提交纸质投标文件而导致该供应商放弃投标，由供应商自行承担。</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2.4本招标公告附件中的招标文件仅供阅览使用，供应商应在规定的招标文件获取期限内在政采云平台登录供应商注册的账号后获取招标文件，未按上述方式获取招标文件的，不得对招标文件提起质疑投诉。</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2.5供应商应于投标截止时间前将电子投标文件上传到政府采购云平台www.zcygov.cn，未上传电子投标文件，视为供应商放弃投标。</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2.6供应商如提供备份投标文件的，应于提交投标文件截止时间前，将以U盘存储的电子备份投标文件和纸质备份投标文件分别密封，递交至宁海县公共资源交易中心（宁海县桃源街道金水东路5号五楼），逾期送达或未密封将予以拒收。供应商仅提供备份投标文件（包括以U盘存储的电子备份投标文件或纸质备份投标文件）的，投标无效。</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2.7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若供应商在开标时间后30分钟内无法解密或解密失败，可使用备份电子投标文件进行或使用纸质投标文件进行线下评标。</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2.8供应商采用现场方式递交备份投标文件。</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所有供应商安排“甬行码”为绿色的相关人员（原则上不超过一名）在投标截止时间前将备份投标文件送至：宁海县公共资源交易中心（宁海县桃源街道金水东路5号五楼）。投标文件递交时需同时递交供应商的法定代表人（或其委托代理人）联系方式，并保证开标期间联系方式的畅通。</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2.9开标过程全程视频监控记录。</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2.10如本项目改为线下评标，供应商须在纸质备份投标文件（资格文件）中提供：指定作出澄清、说明或补正的电子邮箱。评审过程中有关澄清、说明或者补正，采购代理机构将通过以下电子邮箱进行收发。</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电子邮箱：</w:t>
      </w:r>
      <w:r>
        <w:rPr>
          <w:rFonts w:hint="eastAsia" w:ascii="宋体" w:hAnsi="宋体" w:cs="宋体"/>
          <w:color w:val="auto"/>
          <w:kern w:val="0"/>
          <w:szCs w:val="21"/>
          <w:highlight w:val="none"/>
          <w:lang w:val="en-US" w:eastAsia="zh-CN"/>
        </w:rPr>
        <w:t>2416897304</w:t>
      </w:r>
      <w:r>
        <w:rPr>
          <w:rFonts w:hint="eastAsia" w:ascii="宋体" w:hAnsi="宋体" w:cs="宋体"/>
          <w:color w:val="auto"/>
          <w:kern w:val="0"/>
          <w:szCs w:val="21"/>
          <w:highlight w:val="none"/>
        </w:rPr>
        <w:t>@qq.com</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2.11投标人员须做好佩戴口罩、手套等防护措施，自觉接受体温检测、接受防疫询问，并如实报告相关情况。</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2.12投标人员还需配合做好疫情防控“五个一律”：一律全面消毒、一律体温检测、一律承诺登记、一律按序办事、一律服从管理。</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2.13如投标截止时间前疫情解除，上述第2.8-2.12条内容废止。</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2.14肺炎防疫期间，请各供应商遵守宁波市宁海县公共资源交易中心各项防疫措施规定。</w:t>
      </w:r>
    </w:p>
    <w:p>
      <w:pPr>
        <w:pStyle w:val="2"/>
        <w:rPr>
          <w:rFonts w:hint="eastAsia"/>
        </w:rPr>
      </w:pPr>
    </w:p>
    <w:p>
      <w:pPr>
        <w:spacing w:line="380" w:lineRule="exact"/>
        <w:rPr>
          <w:rFonts w:asciiTheme="minorEastAsia" w:hAnsiTheme="minorEastAsia" w:eastAsiaTheme="minorEastAsia"/>
          <w:szCs w:val="21"/>
        </w:rPr>
      </w:pPr>
      <w:r>
        <w:rPr>
          <w:rFonts w:asciiTheme="minorEastAsia" w:hAnsiTheme="minorEastAsia" w:eastAsiaTheme="minorEastAsia"/>
          <w:szCs w:val="21"/>
        </w:rPr>
        <w:t>七、对本次</w:t>
      </w:r>
      <w:r>
        <w:rPr>
          <w:rFonts w:hint="eastAsia" w:asciiTheme="minorEastAsia" w:hAnsiTheme="minorEastAsia" w:eastAsiaTheme="minorEastAsia"/>
          <w:szCs w:val="21"/>
        </w:rPr>
        <w:t>采购</w:t>
      </w:r>
      <w:r>
        <w:rPr>
          <w:rFonts w:asciiTheme="minorEastAsia" w:hAnsiTheme="minorEastAsia" w:eastAsiaTheme="minorEastAsia"/>
          <w:szCs w:val="21"/>
        </w:rPr>
        <w:t>提出询问、质疑、投诉，请按以下方式联系。　　　　　　　　　　　　</w:t>
      </w:r>
    </w:p>
    <w:p>
      <w:pPr>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1.采购人信息</w:t>
      </w:r>
    </w:p>
    <w:p>
      <w:pPr>
        <w:pStyle w:val="2"/>
        <w:ind w:firstLine="420" w:firstLineChars="200"/>
      </w:pPr>
      <w:r>
        <w:t>名称：</w:t>
      </w:r>
      <w:r>
        <w:rPr>
          <w:rFonts w:hint="eastAsia"/>
          <w:lang w:eastAsia="zh-CN"/>
        </w:rPr>
        <w:t>宁海传媒集团</w:t>
      </w:r>
      <w:r>
        <w:t>　　　　　　　　　　　</w:t>
      </w:r>
    </w:p>
    <w:p>
      <w:pPr>
        <w:pStyle w:val="2"/>
        <w:ind w:firstLine="420" w:firstLineChars="200"/>
        <w:rPr>
          <w:rFonts w:hint="eastAsia"/>
          <w:lang w:val="en-US" w:eastAsia="zh-CN"/>
        </w:rPr>
      </w:pPr>
      <w:r>
        <w:rPr>
          <w:rFonts w:hint="eastAsia"/>
          <w:lang w:val="en-US" w:eastAsia="zh-CN"/>
        </w:rPr>
        <w:t xml:space="preserve">地址：宁海县跃龙街道桃源中路228号 </w:t>
      </w:r>
    </w:p>
    <w:p>
      <w:pPr>
        <w:pStyle w:val="2"/>
        <w:ind w:firstLine="420" w:firstLineChars="200"/>
        <w:rPr>
          <w:rFonts w:hint="eastAsia"/>
          <w:lang w:val="en-US" w:eastAsia="zh-CN"/>
        </w:rPr>
      </w:pPr>
      <w:r>
        <w:rPr>
          <w:rFonts w:hint="eastAsia"/>
          <w:lang w:val="en-US" w:eastAsia="zh-CN"/>
        </w:rPr>
        <w:t>联系人：</w:t>
      </w:r>
      <w:r>
        <w:rPr>
          <w:rFonts w:hint="eastAsia" w:ascii="宋体" w:hAnsi="宋体"/>
          <w:szCs w:val="21"/>
        </w:rPr>
        <w:t>陈键海</w:t>
      </w:r>
    </w:p>
    <w:p>
      <w:pPr>
        <w:spacing w:line="400" w:lineRule="exact"/>
        <w:ind w:firstLine="420" w:firstLineChars="200"/>
      </w:pPr>
      <w:r>
        <w:rPr>
          <w:rFonts w:hint="eastAsia"/>
          <w:lang w:val="en-US" w:eastAsia="zh-CN"/>
        </w:rPr>
        <w:t>联系电话：</w:t>
      </w:r>
      <w:r>
        <w:rPr>
          <w:rFonts w:hint="eastAsia" w:ascii="宋体" w:hAnsi="宋体"/>
          <w:szCs w:val="21"/>
        </w:rPr>
        <w:t>13777299818</w:t>
      </w:r>
    </w:p>
    <w:p>
      <w:pPr>
        <w:pStyle w:val="2"/>
      </w:pPr>
    </w:p>
    <w:p>
      <w:pPr>
        <w:spacing w:line="38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2.采购代理机构信息</w:t>
      </w:r>
    </w:p>
    <w:p>
      <w:pPr>
        <w:spacing w:line="38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名称：宁海童氏工程管理咨询有限公司</w:t>
      </w:r>
    </w:p>
    <w:p>
      <w:pPr>
        <w:spacing w:line="38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地址：宁海县时代大道178号四楼</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传真：0574-82533300</w:t>
      </w:r>
    </w:p>
    <w:p>
      <w:pPr>
        <w:spacing w:line="38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项目联系人（询问）：胡云燕</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项目联系方式（询问）：0574-82533300</w:t>
      </w:r>
    </w:p>
    <w:p>
      <w:pPr>
        <w:spacing w:line="380" w:lineRule="exact"/>
        <w:ind w:firstLine="420" w:firstLineChars="200"/>
        <w:rPr>
          <w:rFonts w:asciiTheme="minorEastAsia" w:hAnsiTheme="minorEastAsia" w:eastAsiaTheme="minorEastAsia"/>
          <w:szCs w:val="21"/>
        </w:rPr>
      </w:pPr>
    </w:p>
    <w:p>
      <w:pPr>
        <w:pStyle w:val="22"/>
        <w:spacing w:before="0" w:beforeAutospacing="0" w:after="0" w:afterAutospacing="0" w:line="360" w:lineRule="auto"/>
        <w:ind w:firstLine="420" w:firstLineChars="200"/>
        <w:rPr>
          <w:rFonts w:hint="eastAsia" w:cs="宋体"/>
          <w:sz w:val="21"/>
          <w:szCs w:val="21"/>
        </w:rPr>
      </w:pPr>
      <w:r>
        <w:rPr>
          <w:rFonts w:hint="eastAsia" w:cs="宋体"/>
          <w:sz w:val="21"/>
          <w:szCs w:val="21"/>
        </w:rPr>
        <w:t>3.同级政府采购监督管理部门</w:t>
      </w:r>
    </w:p>
    <w:p>
      <w:pPr>
        <w:pStyle w:val="22"/>
        <w:spacing w:before="0" w:beforeAutospacing="0" w:after="0" w:afterAutospacing="0" w:line="360" w:lineRule="auto"/>
        <w:ind w:firstLine="420" w:firstLineChars="200"/>
        <w:rPr>
          <w:rFonts w:hint="eastAsia" w:cs="宋体"/>
          <w:sz w:val="21"/>
          <w:szCs w:val="21"/>
        </w:rPr>
      </w:pPr>
      <w:r>
        <w:rPr>
          <w:rFonts w:hint="eastAsia" w:cs="宋体"/>
          <w:sz w:val="21"/>
          <w:szCs w:val="21"/>
        </w:rPr>
        <w:t>名称：宁海县政府采购管理办公室</w:t>
      </w:r>
    </w:p>
    <w:p>
      <w:pPr>
        <w:pStyle w:val="22"/>
        <w:spacing w:before="0" w:beforeAutospacing="0" w:after="0" w:afterAutospacing="0" w:line="360" w:lineRule="auto"/>
        <w:ind w:firstLine="420" w:firstLineChars="200"/>
        <w:rPr>
          <w:rFonts w:hint="eastAsia" w:cs="宋体"/>
          <w:sz w:val="21"/>
          <w:szCs w:val="21"/>
        </w:rPr>
      </w:pPr>
      <w:r>
        <w:rPr>
          <w:rFonts w:hint="eastAsia" w:cs="宋体"/>
          <w:sz w:val="21"/>
          <w:szCs w:val="21"/>
        </w:rPr>
        <w:t xml:space="preserve">地址：宁海县跃龙街道桃源中路218号 </w:t>
      </w:r>
    </w:p>
    <w:p>
      <w:pPr>
        <w:pStyle w:val="22"/>
        <w:spacing w:before="0" w:beforeAutospacing="0" w:after="0" w:afterAutospacing="0" w:line="360" w:lineRule="auto"/>
        <w:ind w:firstLine="420" w:firstLineChars="200"/>
        <w:rPr>
          <w:rFonts w:hint="eastAsia" w:cs="宋体"/>
          <w:sz w:val="21"/>
          <w:szCs w:val="21"/>
        </w:rPr>
      </w:pPr>
      <w:r>
        <w:rPr>
          <w:rFonts w:hint="eastAsia" w:cs="宋体"/>
          <w:sz w:val="21"/>
          <w:szCs w:val="21"/>
        </w:rPr>
        <w:t>传真：0574-65265612</w:t>
      </w:r>
    </w:p>
    <w:p>
      <w:pPr>
        <w:pStyle w:val="22"/>
        <w:spacing w:before="0" w:beforeAutospacing="0" w:after="0" w:afterAutospacing="0" w:line="360" w:lineRule="auto"/>
        <w:ind w:firstLine="420" w:firstLineChars="200"/>
        <w:rPr>
          <w:rFonts w:hint="eastAsia" w:cs="宋体"/>
          <w:sz w:val="21"/>
          <w:szCs w:val="21"/>
        </w:rPr>
      </w:pPr>
      <w:r>
        <w:rPr>
          <w:rFonts w:hint="eastAsia" w:cs="宋体"/>
          <w:sz w:val="21"/>
          <w:szCs w:val="21"/>
        </w:rPr>
        <w:t>联系人：王老师</w:t>
      </w:r>
    </w:p>
    <w:p>
      <w:pPr>
        <w:pStyle w:val="22"/>
        <w:spacing w:before="0" w:beforeAutospacing="0" w:after="0" w:afterAutospacing="0" w:line="360" w:lineRule="auto"/>
        <w:ind w:firstLine="420" w:firstLineChars="200"/>
        <w:rPr>
          <w:rFonts w:hint="eastAsia" w:cs="宋体"/>
          <w:sz w:val="21"/>
          <w:szCs w:val="21"/>
        </w:rPr>
      </w:pPr>
      <w:r>
        <w:rPr>
          <w:rFonts w:hint="eastAsia" w:cs="宋体"/>
          <w:sz w:val="21"/>
          <w:szCs w:val="21"/>
        </w:rPr>
        <w:t>监督投诉电话：0574-65265668</w:t>
      </w: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widowControl/>
        <w:spacing w:line="360" w:lineRule="auto"/>
        <w:ind w:firstLine="420" w:firstLineChars="200"/>
        <w:jc w:val="left"/>
        <w:rPr>
          <w:rFonts w:hint="eastAsia" w:ascii="宋体" w:hAnsi="宋体" w:cs="宋体"/>
          <w:szCs w:val="21"/>
        </w:rPr>
      </w:pPr>
      <w:r>
        <w:rPr>
          <w:rFonts w:hint="eastAsia" w:ascii="宋体" w:hAnsi="宋体" w:cs="宋体"/>
          <w:kern w:val="0"/>
          <w:szCs w:val="21"/>
          <w:lang w:bidi="ar"/>
        </w:rPr>
        <w:t>若对项目采购电子交易系统操作有疑问，可登录政采云（https://www.zcygov.cn/），点击右侧咨询小采，获取采小蜜智能服务管家帮助，或拨打政采云服务热线400-881-7190获取热线服务帮助。</w:t>
      </w:r>
    </w:p>
    <w:p>
      <w:pPr>
        <w:widowControl/>
        <w:spacing w:line="360" w:lineRule="auto"/>
        <w:ind w:firstLine="420" w:firstLineChars="200"/>
        <w:jc w:val="left"/>
        <w:rPr>
          <w:rFonts w:hint="eastAsia" w:ascii="黑体" w:hAnsi="宋体" w:eastAsia="黑体"/>
          <w:b/>
          <w:bCs/>
          <w:sz w:val="28"/>
          <w:szCs w:val="28"/>
        </w:rPr>
      </w:pPr>
      <w:r>
        <w:rPr>
          <w:rFonts w:hint="eastAsia" w:ascii="宋体" w:hAnsi="宋体" w:cs="宋体"/>
          <w:kern w:val="0"/>
          <w:szCs w:val="21"/>
          <w:lang w:bidi="ar"/>
        </w:rPr>
        <w:t>CA问题联系电话（人工）：汇信CA 400-888-4636；天谷CA 400-087-8198。</w:t>
      </w: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line="480" w:lineRule="auto"/>
        <w:jc w:val="center"/>
        <w:outlineLvl w:val="0"/>
        <w:rPr>
          <w:rFonts w:ascii="黑体" w:hAnsi="宋体" w:eastAsia="黑体"/>
          <w:b/>
          <w:bCs/>
          <w:sz w:val="28"/>
          <w:szCs w:val="28"/>
        </w:rPr>
      </w:pPr>
      <w:r>
        <w:rPr>
          <w:rFonts w:hint="eastAsia" w:ascii="黑体" w:hAnsi="宋体" w:eastAsia="黑体"/>
          <w:b/>
          <w:bCs/>
          <w:sz w:val="28"/>
          <w:szCs w:val="28"/>
        </w:rPr>
        <w:t>第二章  采购需求</w:t>
      </w:r>
    </w:p>
    <w:p>
      <w:pPr>
        <w:spacing w:line="400" w:lineRule="exact"/>
        <w:ind w:firstLine="422" w:firstLineChars="200"/>
        <w:jc w:val="center"/>
        <w:rPr>
          <w:rFonts w:asciiTheme="minorEastAsia" w:hAnsiTheme="minorEastAsia" w:eastAsiaTheme="minorEastAsia"/>
          <w:b/>
          <w:szCs w:val="21"/>
        </w:rPr>
      </w:pPr>
    </w:p>
    <w:p>
      <w:pPr>
        <w:pStyle w:val="7"/>
        <w:spacing w:line="360" w:lineRule="auto"/>
        <w:ind w:left="181" w:leftChars="86" w:firstLine="241" w:firstLineChars="100"/>
        <w:rPr>
          <w:rFonts w:hAnsi="宋体"/>
        </w:rPr>
      </w:pPr>
      <w:r>
        <w:rPr>
          <w:rFonts w:hint="eastAsia" w:hAnsi="宋体"/>
          <w:b/>
          <w:bCs/>
          <w:sz w:val="24"/>
        </w:rPr>
        <w:t>1．采购范围</w:t>
      </w:r>
    </w:p>
    <w:p>
      <w:pPr>
        <w:pStyle w:val="7"/>
        <w:spacing w:line="360" w:lineRule="auto"/>
        <w:ind w:firstLineChars="200"/>
      </w:pPr>
      <w:r>
        <w:rPr>
          <w:rFonts w:hint="eastAsia"/>
        </w:rPr>
        <w:t>设备的采购、运输、装卸、通过验收、技术培训、</w:t>
      </w:r>
      <w:r>
        <w:rPr>
          <w:rFonts w:hint="eastAsia"/>
          <w:szCs w:val="24"/>
        </w:rPr>
        <w:t>质保期</w:t>
      </w:r>
      <w:r>
        <w:rPr>
          <w:rFonts w:hint="eastAsia"/>
        </w:rPr>
        <w:t>内的售后服务等。以上所有工作内容的费用均包含在报价中。</w:t>
      </w:r>
    </w:p>
    <w:p>
      <w:pPr>
        <w:pStyle w:val="5"/>
        <w:spacing w:before="0" w:after="0" w:line="340" w:lineRule="exact"/>
        <w:jc w:val="center"/>
      </w:pPr>
      <w:r>
        <w:rPr>
          <w:rFonts w:hint="eastAsia"/>
        </w:rPr>
        <w:t>二、技术要求</w:t>
      </w:r>
    </w:p>
    <w:p>
      <w:pPr>
        <w:pStyle w:val="7"/>
        <w:spacing w:line="340" w:lineRule="exact"/>
        <w:ind w:firstLine="0"/>
        <w:rPr>
          <w:rFonts w:hAnsi="宋体"/>
          <w:b/>
          <w:bCs/>
          <w:sz w:val="24"/>
        </w:rPr>
      </w:pPr>
      <w:r>
        <w:rPr>
          <w:b/>
          <w:bCs/>
          <w:sz w:val="28"/>
        </w:rPr>
        <w:t>1</w:t>
      </w:r>
      <w:r>
        <w:rPr>
          <w:rFonts w:hint="eastAsia"/>
          <w:b/>
          <w:bCs/>
          <w:sz w:val="28"/>
        </w:rPr>
        <w:t>．</w:t>
      </w:r>
      <w:r>
        <w:rPr>
          <w:rFonts w:hint="eastAsia" w:hAnsi="宋体"/>
          <w:b/>
          <w:bCs/>
          <w:sz w:val="24"/>
        </w:rPr>
        <w:t>说明</w:t>
      </w:r>
    </w:p>
    <w:p>
      <w:pPr>
        <w:pStyle w:val="7"/>
        <w:spacing w:line="340" w:lineRule="exact"/>
        <w:ind w:firstLineChars="200"/>
      </w:pPr>
      <w:r>
        <w:t>1.1</w:t>
      </w:r>
      <w:r>
        <w:rPr>
          <w:rFonts w:hint="eastAsia"/>
        </w:rPr>
        <w:t>本投标文件所提出的设备技术标准是基本的技术标准和使用功能，并未规定所有的技术要求和适用标准，供应商应提供一套满足所列标准要求的高质量的产品及相应服务。</w:t>
      </w:r>
    </w:p>
    <w:p>
      <w:pPr>
        <w:pStyle w:val="7"/>
        <w:spacing w:line="340" w:lineRule="exact"/>
        <w:ind w:firstLineChars="200"/>
      </w:pPr>
      <w:r>
        <w:t>1.2</w:t>
      </w:r>
      <w:r>
        <w:rPr>
          <w:rFonts w:hint="eastAsia"/>
        </w:rPr>
        <w:t>本采购设备应按国际标准、国标、部标或专业标准制造；非标准货物按采购人提供的要求制造；质量标准按照国家有关规定及合同约定进行验收。</w:t>
      </w:r>
    </w:p>
    <w:p>
      <w:pPr>
        <w:pStyle w:val="7"/>
        <w:spacing w:line="340" w:lineRule="exact"/>
        <w:ind w:firstLineChars="200"/>
      </w:pPr>
      <w:r>
        <w:t>1.3</w:t>
      </w:r>
      <w:r>
        <w:rPr>
          <w:rFonts w:hint="eastAsia"/>
        </w:rPr>
        <w:t>所有设备、零部件均由具有生产制造资格的企业提供，并由供应商负总责任。</w:t>
      </w:r>
    </w:p>
    <w:p>
      <w:pPr>
        <w:pStyle w:val="7"/>
        <w:spacing w:line="340" w:lineRule="exact"/>
        <w:ind w:firstLineChars="200"/>
      </w:pPr>
      <w:r>
        <w:t>1.4</w:t>
      </w:r>
      <w:r>
        <w:rPr>
          <w:rFonts w:hint="eastAsia"/>
        </w:rPr>
        <w:t>本技术要求使用的标准如与供应商所执行标准发生矛盾时，按较高标准执行。</w:t>
      </w:r>
    </w:p>
    <w:p>
      <w:pPr>
        <w:pStyle w:val="7"/>
        <w:spacing w:line="340" w:lineRule="exact"/>
        <w:ind w:firstLine="0"/>
        <w:rPr>
          <w:rFonts w:ascii="宋体"/>
          <w:b/>
          <w:bCs/>
          <w:sz w:val="24"/>
        </w:rPr>
      </w:pPr>
      <w:r>
        <w:rPr>
          <w:b/>
          <w:bCs/>
          <w:sz w:val="28"/>
        </w:rPr>
        <w:t>2</w:t>
      </w:r>
      <w:r>
        <w:rPr>
          <w:rFonts w:hint="eastAsia"/>
          <w:b/>
          <w:bCs/>
          <w:sz w:val="28"/>
        </w:rPr>
        <w:t>．</w:t>
      </w:r>
      <w:r>
        <w:rPr>
          <w:rFonts w:hint="eastAsia" w:hAnsi="宋体"/>
          <w:b/>
          <w:bCs/>
          <w:sz w:val="24"/>
        </w:rPr>
        <w:t>项目情况</w:t>
      </w:r>
    </w:p>
    <w:p>
      <w:pPr>
        <w:spacing w:line="340" w:lineRule="exact"/>
      </w:pPr>
      <w:r>
        <w:t xml:space="preserve">2.1 </w:t>
      </w:r>
      <w:r>
        <w:rPr>
          <w:rFonts w:hint="eastAsia"/>
        </w:rPr>
        <w:t>项目内容：</w:t>
      </w:r>
      <w:r>
        <w:rPr>
          <w:rFonts w:hint="eastAsia"/>
          <w:szCs w:val="21"/>
        </w:rPr>
        <w:t>高清交互型数字电视机顶盒</w:t>
      </w:r>
      <w:r>
        <w:rPr>
          <w:rFonts w:hint="eastAsia"/>
        </w:rPr>
        <w:t>。欢迎能满足本项目技术需求的产品参加。</w:t>
      </w:r>
    </w:p>
    <w:p>
      <w:pPr>
        <w:snapToGrid w:val="0"/>
        <w:spacing w:line="340" w:lineRule="exact"/>
        <w:ind w:firstLine="422" w:firstLineChars="200"/>
        <w:rPr>
          <w:rFonts w:hint="default" w:ascii="宋体" w:hAnsi="宋体" w:eastAsia="宋体"/>
          <w:b/>
          <w:bCs/>
          <w:lang w:val="en-US" w:eastAsia="zh-CN"/>
        </w:rPr>
      </w:pPr>
      <w:r>
        <w:rPr>
          <w:rFonts w:hint="eastAsia" w:ascii="宋体" w:hAnsi="宋体"/>
          <w:b/>
          <w:bCs/>
        </w:rPr>
        <w:t>★</w:t>
      </w:r>
      <w:r>
        <w:rPr>
          <w:rFonts w:hint="eastAsia" w:ascii="宋体" w:hAnsi="宋体"/>
          <w:b/>
          <w:bCs/>
          <w:szCs w:val="21"/>
          <w:lang w:val="en-US" w:eastAsia="zh-CN"/>
        </w:rPr>
        <w:t>本次采购数量一万台，合同签订后供货方能保证15天内一次性到货，具体供货时间由招标方确定。</w:t>
      </w:r>
    </w:p>
    <w:p>
      <w:pPr>
        <w:snapToGrid w:val="0"/>
        <w:spacing w:line="340" w:lineRule="exact"/>
        <w:ind w:firstLine="422" w:firstLineChars="200"/>
        <w:rPr>
          <w:rFonts w:ascii="宋体"/>
        </w:rPr>
      </w:pPr>
      <w:r>
        <w:rPr>
          <w:rFonts w:hint="eastAsia" w:ascii="宋体" w:hAnsi="宋体"/>
          <w:b/>
          <w:bCs/>
        </w:rPr>
        <w:t>★</w:t>
      </w:r>
      <w:r>
        <w:rPr>
          <w:rFonts w:hint="eastAsia" w:ascii="宋体" w:hAnsi="宋体"/>
        </w:rPr>
        <w:t>为保证机顶盒正常销售，必须提供质量检测报告、安全认证等。对于目前尚无可参照的国家标准，供货方要加以特别说明，并在国家标准正式出台后免费进行产品升级以符合标准。</w:t>
      </w:r>
    </w:p>
    <w:p>
      <w:pPr>
        <w:snapToGrid w:val="0"/>
        <w:spacing w:line="340" w:lineRule="exact"/>
        <w:ind w:firstLine="422" w:firstLineChars="200"/>
        <w:rPr>
          <w:rFonts w:hAnsi="宋体"/>
        </w:rPr>
      </w:pPr>
      <w:r>
        <w:rPr>
          <w:rFonts w:hint="eastAsia" w:ascii="宋体" w:hAnsi="宋体"/>
          <w:b/>
          <w:bCs/>
        </w:rPr>
        <w:t>★</w:t>
      </w:r>
      <w:r>
        <w:rPr>
          <w:rFonts w:hint="eastAsia" w:hAnsi="宋体"/>
        </w:rPr>
        <w:t>参加本次招标的机顶盒，首先必须满足国家对家用电器的强制性标准要求，提供中国质量认证中心颁发的</w:t>
      </w:r>
      <w:r>
        <w:rPr>
          <w:rFonts w:hAnsi="宋体"/>
        </w:rPr>
        <w:t>3C</w:t>
      </w:r>
      <w:r>
        <w:rPr>
          <w:rFonts w:hint="eastAsia" w:hAnsi="宋体"/>
        </w:rPr>
        <w:t>认证（</w:t>
      </w:r>
      <w:r>
        <w:rPr>
          <w:rFonts w:hAnsi="宋体"/>
        </w:rPr>
        <w:t>强制性产品认证）和中国标准化研究院颁发的一级能效标志</w:t>
      </w:r>
      <w:r>
        <w:rPr>
          <w:rFonts w:hint="eastAsia" w:hAnsi="宋体"/>
        </w:rPr>
        <w:t>；其次，符合国家广电总局有线电视广播信道编码和调制规范（</w:t>
      </w:r>
      <w:r>
        <w:rPr>
          <w:rFonts w:hAnsi="宋体"/>
        </w:rPr>
        <w:t>GY/T170-2001</w:t>
      </w:r>
      <w:r>
        <w:rPr>
          <w:rFonts w:hint="eastAsia" w:hAnsi="宋体"/>
        </w:rPr>
        <w:t>）标准；再次，获得国家广电总局入网认定，</w:t>
      </w:r>
      <w:r>
        <w:rPr>
          <w:rFonts w:hint="eastAsia" w:hAnsi="宋体"/>
          <w:b/>
        </w:rPr>
        <w:t>机顶盒移植的第三方软件应取得软件提供商的测试认证证书，</w:t>
      </w:r>
      <w:r>
        <w:rPr>
          <w:rFonts w:hint="eastAsia" w:hAnsi="宋体"/>
        </w:rPr>
        <w:t>响应产品必须满足宁海有线数字电视平台的运营要求。</w:t>
      </w:r>
    </w:p>
    <w:p>
      <w:pPr>
        <w:snapToGrid w:val="0"/>
        <w:spacing w:line="340" w:lineRule="exact"/>
        <w:ind w:firstLine="422" w:firstLineChars="200"/>
        <w:rPr>
          <w:b/>
          <w:bCs/>
          <w:szCs w:val="21"/>
        </w:rPr>
      </w:pPr>
      <w:r>
        <w:rPr>
          <w:rFonts w:hint="eastAsia" w:ascii="宋体" w:hAnsi="宋体"/>
          <w:b/>
          <w:bCs/>
        </w:rPr>
        <w:t>★</w:t>
      </w:r>
      <w:r>
        <w:rPr>
          <w:rFonts w:hint="eastAsia"/>
          <w:b/>
          <w:bCs/>
          <w:szCs w:val="21"/>
        </w:rPr>
        <w:t>本次项目所提供的机顶盒样品硬件配置必须与该厂家产品入围华数的“省网云平台机顶盒终端入围资格招标项目”资格协议的产品性能相符，（提供华数实验室终端测试报告复印件和华数产品入网许可证复印件加盖公章编入投标文件,开标时提供原件，两者缺一不可，保持一致）。</w:t>
      </w:r>
    </w:p>
    <w:p>
      <w:pPr>
        <w:pStyle w:val="12"/>
        <w:snapToGrid w:val="0"/>
        <w:spacing w:line="340" w:lineRule="exact"/>
        <w:ind w:firstLine="420" w:firstLineChars="200"/>
        <w:rPr>
          <w:rFonts w:hAnsi="宋体"/>
          <w:sz w:val="21"/>
          <w:szCs w:val="21"/>
        </w:rPr>
      </w:pPr>
      <w:r>
        <w:rPr>
          <w:rFonts w:hint="eastAsia" w:hAnsi="宋体"/>
          <w:sz w:val="21"/>
          <w:szCs w:val="21"/>
        </w:rPr>
        <w:t>本招标项目选取规范规定了宁海</w:t>
      </w:r>
      <w:r>
        <w:rPr>
          <w:rFonts w:hint="eastAsia"/>
          <w:sz w:val="21"/>
          <w:szCs w:val="21"/>
        </w:rPr>
        <w:t>高清交互型数字电视机顶盒</w:t>
      </w:r>
      <w:r>
        <w:rPr>
          <w:rFonts w:hint="eastAsia" w:hAnsi="宋体"/>
          <w:sz w:val="21"/>
          <w:szCs w:val="21"/>
        </w:rPr>
        <w:t>的主要功能和性能参数要求，是宁海</w:t>
      </w:r>
      <w:r>
        <w:rPr>
          <w:rFonts w:hint="eastAsia"/>
          <w:sz w:val="21"/>
          <w:szCs w:val="21"/>
        </w:rPr>
        <w:t>高清交互型数字电视机顶盒</w:t>
      </w:r>
      <w:r>
        <w:rPr>
          <w:rFonts w:hint="eastAsia" w:hAnsi="宋体"/>
          <w:sz w:val="21"/>
          <w:szCs w:val="21"/>
        </w:rPr>
        <w:t>入网测试的依据。</w:t>
      </w:r>
    </w:p>
    <w:p>
      <w:pPr>
        <w:pStyle w:val="12"/>
        <w:snapToGrid w:val="0"/>
        <w:spacing w:line="340" w:lineRule="exact"/>
        <w:ind w:firstLine="420" w:firstLineChars="200"/>
        <w:rPr>
          <w:rFonts w:hAnsi="宋体"/>
          <w:b/>
          <w:sz w:val="21"/>
          <w:szCs w:val="21"/>
        </w:rPr>
      </w:pPr>
      <w:r>
        <w:rPr>
          <w:rFonts w:hint="eastAsia"/>
          <w:sz w:val="21"/>
          <w:szCs w:val="21"/>
        </w:rPr>
        <w:t>凡与供应商产品有关的、目前尚无参照标准的部分，供应商应在投标文件中特别说明，并给出书面保证在将来完全免费符合标准。供应商应保证机顶盒软件对第三方业务系统开放；如果第三方业务不涉及费用问题，对此，供应商也应放弃费用要求。</w:t>
      </w:r>
    </w:p>
    <w:p>
      <w:pPr>
        <w:pStyle w:val="7"/>
        <w:spacing w:line="340" w:lineRule="exact"/>
        <w:ind w:firstLine="435"/>
      </w:pPr>
      <w:r>
        <w:t xml:space="preserve">2.2 </w:t>
      </w:r>
      <w:r>
        <w:rPr>
          <w:rFonts w:hint="eastAsia"/>
        </w:rPr>
        <w:t>供货地点：</w:t>
      </w:r>
      <w:r>
        <w:rPr>
          <w:rFonts w:hint="eastAsia"/>
          <w:lang w:eastAsia="zh-CN"/>
        </w:rPr>
        <w:t>宁海传媒集团</w:t>
      </w:r>
      <w:r>
        <w:rPr>
          <w:rFonts w:hint="eastAsia"/>
        </w:rPr>
        <w:t>。</w:t>
      </w:r>
    </w:p>
    <w:p>
      <w:pPr>
        <w:snapToGrid w:val="0"/>
        <w:spacing w:line="340" w:lineRule="exact"/>
        <w:ind w:firstLine="420" w:firstLineChars="200"/>
      </w:pPr>
      <w:r>
        <w:t>2.3</w:t>
      </w:r>
      <w:r>
        <w:rPr>
          <w:rFonts w:hint="eastAsia"/>
        </w:rPr>
        <w:t>工期安排：</w:t>
      </w:r>
      <w:r>
        <w:rPr>
          <w:rFonts w:hint="eastAsia"/>
          <w:b/>
          <w:bCs/>
        </w:rPr>
        <w:t>合同签订后</w:t>
      </w:r>
      <w:r>
        <w:rPr>
          <w:rFonts w:hint="eastAsia" w:ascii="宋体" w:hAnsi="宋体"/>
          <w:b/>
          <w:bCs/>
          <w:szCs w:val="21"/>
          <w:lang w:val="en-US" w:eastAsia="zh-CN"/>
        </w:rPr>
        <w:t>合同签订后供货方能保证15天内一次性到货，具体供货时间由招标方确定</w:t>
      </w:r>
      <w:r>
        <w:rPr>
          <w:rFonts w:hint="eastAsia"/>
          <w:b/>
          <w:bCs/>
        </w:rPr>
        <w:t>。</w:t>
      </w:r>
    </w:p>
    <w:p>
      <w:pPr>
        <w:pStyle w:val="7"/>
        <w:spacing w:line="340" w:lineRule="exact"/>
        <w:ind w:firstLine="0"/>
        <w:rPr>
          <w:rFonts w:hAnsi="宋体"/>
          <w:b/>
          <w:bCs/>
          <w:sz w:val="28"/>
        </w:rPr>
      </w:pPr>
      <w:r>
        <w:rPr>
          <w:rFonts w:hAnsi="宋体"/>
          <w:b/>
          <w:bCs/>
          <w:sz w:val="28"/>
        </w:rPr>
        <w:t>3</w:t>
      </w:r>
      <w:r>
        <w:rPr>
          <w:rFonts w:hint="eastAsia" w:hAnsi="宋体"/>
          <w:b/>
          <w:bCs/>
          <w:sz w:val="28"/>
        </w:rPr>
        <w:t>．</w:t>
      </w:r>
      <w:r>
        <w:rPr>
          <w:rFonts w:hint="eastAsia" w:hAnsi="宋体"/>
          <w:b/>
          <w:bCs/>
          <w:sz w:val="24"/>
        </w:rPr>
        <w:t>投标响应书的编制要求</w:t>
      </w:r>
    </w:p>
    <w:p>
      <w:pPr>
        <w:pStyle w:val="7"/>
        <w:spacing w:line="340" w:lineRule="exact"/>
        <w:ind w:firstLineChars="200"/>
      </w:pPr>
      <w:r>
        <w:rPr>
          <w:rFonts w:hint="eastAsia"/>
        </w:rPr>
        <w:t>以下为供应商在投标文件中需要包含的最基本内容。若供应商提供的技术方案、设备及材料型号与采购人要求不一致，必须在技术标条款偏离表中说明。</w:t>
      </w:r>
    </w:p>
    <w:p>
      <w:pPr>
        <w:pStyle w:val="7"/>
        <w:spacing w:line="340" w:lineRule="exact"/>
        <w:ind w:firstLine="0"/>
        <w:rPr>
          <w:rFonts w:hAnsi="宋体"/>
          <w:b/>
          <w:bCs/>
          <w:sz w:val="24"/>
        </w:rPr>
      </w:pPr>
      <w:r>
        <w:rPr>
          <w:b/>
          <w:bCs/>
          <w:sz w:val="24"/>
        </w:rPr>
        <w:t>3.1</w:t>
      </w:r>
      <w:r>
        <w:rPr>
          <w:rFonts w:hint="eastAsia" w:hAnsi="宋体"/>
          <w:b/>
          <w:bCs/>
          <w:sz w:val="24"/>
        </w:rPr>
        <w:t>技术方案</w:t>
      </w:r>
    </w:p>
    <w:p>
      <w:pPr>
        <w:pStyle w:val="7"/>
        <w:numPr>
          <w:ilvl w:val="0"/>
          <w:numId w:val="1"/>
        </w:numPr>
        <w:adjustRightInd w:val="0"/>
        <w:spacing w:line="340" w:lineRule="exact"/>
        <w:textAlignment w:val="baseline"/>
      </w:pPr>
      <w:r>
        <w:rPr>
          <w:rFonts w:hint="eastAsia"/>
        </w:rPr>
        <w:t>设备性能指标。供应商根据采购人的需求，详细说明各设备的技术指标。要求提供</w:t>
      </w:r>
      <w:r>
        <w:rPr>
          <w:rFonts w:hint="eastAsia" w:hAnsi="宋体"/>
          <w:szCs w:val="21"/>
        </w:rPr>
        <w:t>符合需要遵循的标准、硬件配置和接口要求、遥控器规范、</w:t>
      </w:r>
      <w:r>
        <w:rPr>
          <w:rFonts w:hAnsi="宋体"/>
          <w:szCs w:val="21"/>
        </w:rPr>
        <w:t>STB ID</w:t>
      </w:r>
      <w:r>
        <w:rPr>
          <w:rFonts w:hint="eastAsia" w:hAnsi="宋体"/>
          <w:szCs w:val="21"/>
        </w:rPr>
        <w:t>规范等。说明</w:t>
      </w:r>
      <w:r>
        <w:rPr>
          <w:rFonts w:hint="eastAsia"/>
        </w:rPr>
        <w:t>机顶盒主要技术及性能特点的详细描述，包括软硬件详细配置（硬件配置必须包括</w:t>
      </w:r>
      <w:r>
        <w:t>CPU</w:t>
      </w:r>
      <w:r>
        <w:rPr>
          <w:rFonts w:hint="eastAsia"/>
        </w:rPr>
        <w:t>型号、</w:t>
      </w:r>
      <w:r>
        <w:t>MIPS</w:t>
      </w:r>
      <w:r>
        <w:rPr>
          <w:rFonts w:hint="eastAsia"/>
        </w:rPr>
        <w:t>，</w:t>
      </w:r>
      <w:r>
        <w:t xml:space="preserve"> Flash</w:t>
      </w:r>
      <w:r>
        <w:rPr>
          <w:rFonts w:hint="eastAsia"/>
        </w:rPr>
        <w:t>、</w:t>
      </w:r>
      <w:r>
        <w:t>SDRAM</w:t>
      </w:r>
      <w:r>
        <w:rPr>
          <w:rFonts w:hint="eastAsia"/>
        </w:rPr>
        <w:t>、</w:t>
      </w:r>
      <w:r>
        <w:t xml:space="preserve"> EEPROM</w:t>
      </w:r>
      <w:r>
        <w:rPr>
          <w:rFonts w:hint="eastAsia"/>
        </w:rPr>
        <w:t>容量，高频头型号）。要求对响应产品的所有性能指标采用表格方式进行说明。</w:t>
      </w:r>
    </w:p>
    <w:p>
      <w:pPr>
        <w:pStyle w:val="7"/>
        <w:numPr>
          <w:ilvl w:val="0"/>
          <w:numId w:val="1"/>
        </w:numPr>
        <w:adjustRightInd w:val="0"/>
        <w:spacing w:line="340" w:lineRule="exact"/>
        <w:textAlignment w:val="baseline"/>
      </w:pPr>
      <w:r>
        <w:rPr>
          <w:rFonts w:hint="eastAsia"/>
        </w:rPr>
        <w:t>设备的先进性。根据数字电视的目前应用和后续发展及宁海数字电视的实际发展情况，说明响应设备的技术先进性和指标的完整性。</w:t>
      </w:r>
    </w:p>
    <w:p>
      <w:pPr>
        <w:pStyle w:val="7"/>
        <w:numPr>
          <w:ilvl w:val="0"/>
          <w:numId w:val="1"/>
        </w:numPr>
        <w:adjustRightInd w:val="0"/>
        <w:spacing w:line="340" w:lineRule="exact"/>
        <w:textAlignment w:val="baseline"/>
      </w:pPr>
      <w:r>
        <w:rPr>
          <w:rFonts w:hint="eastAsia"/>
        </w:rPr>
        <w:t>设备的成熟度。提供专业检测机构出具的</w:t>
      </w:r>
      <w:r>
        <w:rPr>
          <w:rFonts w:hint="eastAsia" w:hAnsi="宋体"/>
          <w:szCs w:val="21"/>
        </w:rPr>
        <w:t>入网检测报告</w:t>
      </w:r>
      <w:r>
        <w:rPr>
          <w:rFonts w:hint="eastAsia"/>
        </w:rPr>
        <w:t>，说明响应设备在全国范围内的使用情况，并能出具客户的使用反馈意见。</w:t>
      </w:r>
    </w:p>
    <w:p>
      <w:pPr>
        <w:pStyle w:val="7"/>
        <w:numPr>
          <w:ilvl w:val="0"/>
          <w:numId w:val="1"/>
        </w:numPr>
        <w:adjustRightInd w:val="0"/>
        <w:spacing w:line="340" w:lineRule="exact"/>
        <w:textAlignment w:val="baseline"/>
      </w:pPr>
      <w:r>
        <w:rPr>
          <w:rFonts w:hint="eastAsia" w:hAnsi="宋体"/>
          <w:szCs w:val="21"/>
        </w:rPr>
        <w:t>软件升级功能。供应商所提供的产品应满足各项业务功能要求、软件升级功能，说明所具备的软件功能。软件升级能满足大网空中升级，并能提供大网升级成功案例说明。</w:t>
      </w:r>
    </w:p>
    <w:p>
      <w:pPr>
        <w:pStyle w:val="7"/>
        <w:numPr>
          <w:ilvl w:val="0"/>
          <w:numId w:val="1"/>
        </w:numPr>
        <w:adjustRightInd w:val="0"/>
        <w:spacing w:line="340" w:lineRule="exact"/>
        <w:textAlignment w:val="baseline"/>
      </w:pPr>
      <w:r>
        <w:rPr>
          <w:rFonts w:hint="eastAsia" w:hAnsi="宋体"/>
          <w:szCs w:val="21"/>
        </w:rPr>
        <w:t>企业规模和</w:t>
      </w:r>
      <w:r>
        <w:rPr>
          <w:rFonts w:hint="eastAsia"/>
          <w:szCs w:val="21"/>
        </w:rPr>
        <w:t>研发实力。供应商介绍公司的规模，响应产品的生产规模。响应产品的研发队伍，说明研发机构的实力，并能提供所取得的荣誉的书面材料。</w:t>
      </w:r>
    </w:p>
    <w:p>
      <w:pPr>
        <w:pStyle w:val="7"/>
        <w:spacing w:line="340" w:lineRule="exact"/>
        <w:ind w:firstLine="0"/>
        <w:rPr>
          <w:b/>
          <w:bCs/>
          <w:sz w:val="24"/>
        </w:rPr>
      </w:pPr>
      <w:r>
        <w:rPr>
          <w:b/>
          <w:bCs/>
          <w:sz w:val="24"/>
        </w:rPr>
        <w:t>3.2</w:t>
      </w:r>
      <w:r>
        <w:rPr>
          <w:rFonts w:hint="eastAsia"/>
          <w:b/>
          <w:bCs/>
          <w:sz w:val="24"/>
        </w:rPr>
        <w:t>项目实施方案</w:t>
      </w:r>
    </w:p>
    <w:p>
      <w:pPr>
        <w:pStyle w:val="7"/>
        <w:numPr>
          <w:ilvl w:val="0"/>
          <w:numId w:val="2"/>
        </w:numPr>
        <w:adjustRightInd w:val="0"/>
        <w:spacing w:line="340" w:lineRule="exact"/>
        <w:ind w:left="777"/>
        <w:textAlignment w:val="baseline"/>
      </w:pPr>
      <w:r>
        <w:rPr>
          <w:rFonts w:hint="eastAsia"/>
        </w:rPr>
        <w:t>项目执行计划。在合同签订后，成交供应商应派技术好、经验丰富的专业技术和商务人员进行供货，按采购文件要求的供货进度完成供货、测试、验收等，要有</w:t>
      </w:r>
      <w:r>
        <w:rPr>
          <w:rFonts w:hint="eastAsia" w:hAnsi="宋体"/>
        </w:rPr>
        <w:t>严格的项目管理计划（包括机顶盒的测试和验收）及档案管理计划，确保项目实施的进度及质量。</w:t>
      </w:r>
      <w:r>
        <w:rPr>
          <w:rFonts w:hint="eastAsia"/>
        </w:rPr>
        <w:t>同时用计划进度表说明每个阶段供货进度。</w:t>
      </w:r>
    </w:p>
    <w:p>
      <w:pPr>
        <w:pStyle w:val="7"/>
        <w:numPr>
          <w:ilvl w:val="0"/>
          <w:numId w:val="2"/>
        </w:numPr>
        <w:adjustRightInd w:val="0"/>
        <w:spacing w:line="340" w:lineRule="exact"/>
        <w:ind w:left="777"/>
        <w:textAlignment w:val="baseline"/>
      </w:pPr>
      <w:r>
        <w:rPr>
          <w:rFonts w:hint="eastAsia" w:hAnsi="宋体"/>
        </w:rPr>
        <w:t>成交供应商在项目实施过程中，对每一阶段的划分和实施过程应在投标响应书中详细说明，在具体实施过程中，涉及直接用户和公共系统平台的技术细节、外观、遥控器等，均需经采购人确认同意后实施。</w:t>
      </w:r>
    </w:p>
    <w:p>
      <w:pPr>
        <w:pStyle w:val="7"/>
        <w:numPr>
          <w:ilvl w:val="0"/>
          <w:numId w:val="2"/>
        </w:numPr>
        <w:adjustRightInd w:val="0"/>
        <w:spacing w:line="340" w:lineRule="exact"/>
        <w:ind w:left="777"/>
        <w:textAlignment w:val="baseline"/>
      </w:pPr>
      <w:r>
        <w:rPr>
          <w:rFonts w:hint="eastAsia" w:hAnsi="宋体"/>
        </w:rPr>
        <w:t>项目组成员介绍。介绍要体现项目经理的具体情况，以及相关技术人员的资料。</w:t>
      </w:r>
    </w:p>
    <w:p>
      <w:pPr>
        <w:pStyle w:val="7"/>
        <w:numPr>
          <w:ilvl w:val="0"/>
          <w:numId w:val="2"/>
        </w:numPr>
        <w:adjustRightInd w:val="0"/>
        <w:spacing w:line="340" w:lineRule="exact"/>
        <w:ind w:left="777"/>
        <w:textAlignment w:val="baseline"/>
      </w:pPr>
      <w:r>
        <w:rPr>
          <w:rFonts w:hint="eastAsia"/>
        </w:rPr>
        <w:t>每批次供货完成后，由采购人进行统一验收。系统验收合格的条件必须至少满足以下二个要求：已提供了合同要求的设备和资料；经抽查后设备在试运行时性能满足合同要求。</w:t>
      </w:r>
    </w:p>
    <w:p>
      <w:pPr>
        <w:pStyle w:val="7"/>
        <w:numPr>
          <w:ilvl w:val="0"/>
          <w:numId w:val="2"/>
        </w:numPr>
        <w:adjustRightInd w:val="0"/>
        <w:spacing w:line="340" w:lineRule="exact"/>
        <w:ind w:left="777"/>
        <w:textAlignment w:val="baseline"/>
      </w:pPr>
      <w:r>
        <w:rPr>
          <w:rFonts w:hint="eastAsia" w:hAnsi="宋体"/>
        </w:rPr>
        <w:t>整个项目</w:t>
      </w:r>
      <w:r>
        <w:rPr>
          <w:rFonts w:hint="eastAsia"/>
        </w:rPr>
        <w:t>实施结束后，成交供应商应严格按照规范将所有文字资料用书面和电子文档格式移交给采购人。在此文档中，成交供应商必须提供机顶盒产品的详细技术规范，包括各项技术数据及特性。对于移交的相关数据，供应商应提供及时、全面和完整的，大力配合数字电视前端系统的相关工作和整体转换的相关工作。</w:t>
      </w:r>
    </w:p>
    <w:p>
      <w:pPr>
        <w:pStyle w:val="7"/>
        <w:spacing w:line="340" w:lineRule="exact"/>
        <w:ind w:firstLine="0"/>
        <w:rPr>
          <w:b/>
          <w:bCs/>
          <w:sz w:val="24"/>
        </w:rPr>
      </w:pPr>
      <w:r>
        <w:rPr>
          <w:b/>
          <w:bCs/>
          <w:sz w:val="24"/>
        </w:rPr>
        <w:t>3.3</w:t>
      </w:r>
      <w:r>
        <w:rPr>
          <w:rFonts w:hint="eastAsia"/>
          <w:b/>
          <w:bCs/>
          <w:sz w:val="24"/>
        </w:rPr>
        <w:t>质量保证</w:t>
      </w:r>
    </w:p>
    <w:p>
      <w:pPr>
        <w:pStyle w:val="7"/>
        <w:numPr>
          <w:ilvl w:val="0"/>
          <w:numId w:val="3"/>
        </w:numPr>
        <w:adjustRightInd w:val="0"/>
        <w:spacing w:line="340" w:lineRule="exact"/>
        <w:textAlignment w:val="baseline"/>
        <w:rPr>
          <w:szCs w:val="24"/>
        </w:rPr>
      </w:pPr>
      <w:r>
        <w:rPr>
          <w:rFonts w:hint="eastAsia"/>
          <w:szCs w:val="24"/>
        </w:rPr>
        <w:t>本项目采购的机顶盒均需提供三年的产品免费保修服务。保修期自数字电视到达宁海仓库机顶盒之日起计算。</w:t>
      </w:r>
    </w:p>
    <w:p>
      <w:pPr>
        <w:pStyle w:val="7"/>
        <w:numPr>
          <w:ilvl w:val="0"/>
          <w:numId w:val="3"/>
        </w:numPr>
        <w:adjustRightInd w:val="0"/>
        <w:spacing w:line="340" w:lineRule="exact"/>
        <w:textAlignment w:val="baseline"/>
        <w:rPr>
          <w:szCs w:val="24"/>
        </w:rPr>
      </w:pPr>
      <w:r>
        <w:rPr>
          <w:rFonts w:hint="eastAsia"/>
          <w:szCs w:val="24"/>
        </w:rPr>
        <w:t>供应商必须提出保修期内的设备的保修范围进行明确说明。</w:t>
      </w:r>
      <w:r>
        <w:rPr>
          <w:rFonts w:hint="eastAsia"/>
        </w:rPr>
        <w:t>要求在投标响应书中用表格方式列清各设备及部件的具体保修时间和保修方式。</w:t>
      </w:r>
    </w:p>
    <w:p>
      <w:pPr>
        <w:pStyle w:val="7"/>
        <w:numPr>
          <w:ilvl w:val="0"/>
          <w:numId w:val="3"/>
        </w:numPr>
        <w:adjustRightInd w:val="0"/>
        <w:spacing w:line="340" w:lineRule="exact"/>
        <w:textAlignment w:val="baseline"/>
        <w:rPr>
          <w:szCs w:val="24"/>
        </w:rPr>
      </w:pPr>
      <w:r>
        <w:rPr>
          <w:rFonts w:hint="eastAsia"/>
          <w:szCs w:val="24"/>
        </w:rPr>
        <w:t>供应商应免费对软件系统终身升级服务。</w:t>
      </w:r>
    </w:p>
    <w:p>
      <w:pPr>
        <w:pStyle w:val="7"/>
        <w:numPr>
          <w:ilvl w:val="0"/>
          <w:numId w:val="3"/>
        </w:numPr>
        <w:adjustRightInd w:val="0"/>
        <w:spacing w:line="340" w:lineRule="exact"/>
        <w:textAlignment w:val="baseline"/>
        <w:rPr>
          <w:b/>
          <w:bCs/>
        </w:rPr>
      </w:pPr>
      <w:r>
        <w:rPr>
          <w:rFonts w:hint="eastAsia"/>
          <w:b/>
          <w:bCs/>
        </w:rPr>
        <w:t>为保证质量和服务，采购人每批设备到货后采用抽检的方式验货时，抽检合格率必须不低于</w:t>
      </w:r>
      <w:r>
        <w:rPr>
          <w:b/>
          <w:bCs/>
        </w:rPr>
        <w:t>99.8%</w:t>
      </w:r>
      <w:r>
        <w:rPr>
          <w:rFonts w:hint="eastAsia"/>
          <w:b/>
          <w:bCs/>
        </w:rPr>
        <w:t>。</w:t>
      </w:r>
    </w:p>
    <w:p>
      <w:pPr>
        <w:pStyle w:val="7"/>
        <w:numPr>
          <w:ilvl w:val="0"/>
          <w:numId w:val="3"/>
        </w:numPr>
        <w:adjustRightInd w:val="0"/>
        <w:spacing w:line="340" w:lineRule="exact"/>
        <w:textAlignment w:val="baseline"/>
      </w:pPr>
      <w:r>
        <w:rPr>
          <w:rFonts w:hint="eastAsia"/>
        </w:rPr>
        <w:t>设备到货后，将设备陆续到用户处进行安装，用户试运行时间为</w:t>
      </w:r>
      <w:r>
        <w:t>30</w:t>
      </w:r>
      <w:r>
        <w:rPr>
          <w:rFonts w:hint="eastAsia"/>
        </w:rPr>
        <w:t>天，在此期间出现的任何产品问题，成交供应商应免费更换。</w:t>
      </w:r>
    </w:p>
    <w:p>
      <w:pPr>
        <w:pStyle w:val="7"/>
        <w:numPr>
          <w:ilvl w:val="0"/>
          <w:numId w:val="3"/>
        </w:numPr>
        <w:adjustRightInd w:val="0"/>
        <w:spacing w:line="340" w:lineRule="exact"/>
        <w:textAlignment w:val="baseline"/>
        <w:rPr>
          <w:b/>
          <w:bCs/>
          <w:u w:val="single"/>
        </w:rPr>
      </w:pPr>
      <w:r>
        <w:rPr>
          <w:rFonts w:hint="eastAsia"/>
          <w:b/>
          <w:bCs/>
          <w:u w:val="single"/>
        </w:rPr>
        <w:t>以上内容供应商应在投标响应书中进行说明和承诺。</w:t>
      </w:r>
    </w:p>
    <w:p>
      <w:pPr>
        <w:pStyle w:val="7"/>
        <w:spacing w:line="340" w:lineRule="exact"/>
        <w:ind w:firstLine="0"/>
        <w:rPr>
          <w:b/>
          <w:bCs/>
          <w:sz w:val="24"/>
        </w:rPr>
      </w:pPr>
      <w:r>
        <w:rPr>
          <w:b/>
          <w:bCs/>
          <w:sz w:val="24"/>
        </w:rPr>
        <w:t>3.4</w:t>
      </w:r>
      <w:r>
        <w:rPr>
          <w:rFonts w:hint="eastAsia"/>
          <w:b/>
          <w:bCs/>
          <w:sz w:val="24"/>
        </w:rPr>
        <w:t>售后服务承诺</w:t>
      </w:r>
    </w:p>
    <w:p>
      <w:pPr>
        <w:pStyle w:val="7"/>
        <w:numPr>
          <w:ilvl w:val="0"/>
          <w:numId w:val="4"/>
        </w:numPr>
        <w:adjustRightInd w:val="0"/>
        <w:spacing w:line="340" w:lineRule="exact"/>
        <w:textAlignment w:val="baseline"/>
      </w:pPr>
      <w:r>
        <w:rPr>
          <w:rFonts w:hint="eastAsia"/>
        </w:rPr>
        <w:t>成交供应商在设备供货和运行期间，应长期派驻技术支持人员（</w:t>
      </w:r>
      <w:r>
        <w:t>2</w:t>
      </w:r>
      <w:r>
        <w:rPr>
          <w:rFonts w:hint="eastAsia"/>
        </w:rPr>
        <w:t>人及以上）提供支持，该技术支持人员的现场支持至少持续到供货完毕后的三个月。</w:t>
      </w:r>
    </w:p>
    <w:p>
      <w:pPr>
        <w:pStyle w:val="7"/>
        <w:numPr>
          <w:ilvl w:val="0"/>
          <w:numId w:val="4"/>
        </w:numPr>
        <w:adjustRightInd w:val="0"/>
        <w:spacing w:line="340" w:lineRule="exact"/>
        <w:textAlignment w:val="baseline"/>
      </w:pPr>
      <w:r>
        <w:rPr>
          <w:rFonts w:hint="eastAsia"/>
        </w:rPr>
        <w:t>成交供应商供货完毕后，成交供应商须在宁海设立特约维修点，该维修点的常驻人员不得少于二名。并承诺服从当地广电统筹安排设点维修。</w:t>
      </w:r>
    </w:p>
    <w:p>
      <w:pPr>
        <w:pStyle w:val="7"/>
        <w:numPr>
          <w:ilvl w:val="0"/>
          <w:numId w:val="4"/>
        </w:numPr>
        <w:adjustRightInd w:val="0"/>
        <w:spacing w:line="340" w:lineRule="exact"/>
        <w:textAlignment w:val="baseline"/>
      </w:pPr>
      <w:r>
        <w:rPr>
          <w:rFonts w:hint="eastAsia"/>
        </w:rPr>
        <w:t>成交供应商能针对宁海市场的需求对机顶盒进行二次开发，保证良好的售后服务和技术支持。</w:t>
      </w:r>
    </w:p>
    <w:p>
      <w:pPr>
        <w:pStyle w:val="7"/>
        <w:numPr>
          <w:ilvl w:val="0"/>
          <w:numId w:val="4"/>
        </w:numPr>
        <w:adjustRightInd w:val="0"/>
        <w:spacing w:line="340" w:lineRule="exact"/>
        <w:textAlignment w:val="baseline"/>
      </w:pPr>
      <w:r>
        <w:rPr>
          <w:rFonts w:hint="eastAsia"/>
        </w:rPr>
        <w:t>成交供应商所提供的机顶盒在安装期、试运转期及最终验收后的保修期内，由于机顶盒在系统设计、机顶盒制造、程序汇编、安装工程上等技术和质量问题而产生故障，并引起机顶盒修改和软件更换等，以及用户无法处理的问题，供应商均应免费提供修理服务，及时解决机顶盒中存在的各种问题和机顶盒的修理问题。</w:t>
      </w:r>
    </w:p>
    <w:p>
      <w:pPr>
        <w:pStyle w:val="7"/>
        <w:numPr>
          <w:ilvl w:val="0"/>
          <w:numId w:val="4"/>
        </w:numPr>
        <w:adjustRightInd w:val="0"/>
        <w:spacing w:line="340" w:lineRule="exact"/>
        <w:textAlignment w:val="baseline"/>
        <w:rPr>
          <w:u w:val="single"/>
        </w:rPr>
      </w:pPr>
      <w:r>
        <w:rPr>
          <w:rFonts w:hint="eastAsia"/>
        </w:rPr>
        <w:t>为保证在试运行期间维护方便，要求提供人提供</w:t>
      </w:r>
      <w:r>
        <w:t>1%</w:t>
      </w:r>
      <w:r>
        <w:rPr>
          <w:rFonts w:hint="eastAsia"/>
        </w:rPr>
        <w:t>数量的备机（即</w:t>
      </w:r>
      <w:r>
        <w:t>1</w:t>
      </w:r>
      <w:r>
        <w:rPr>
          <w:rFonts w:hint="eastAsia"/>
        </w:rPr>
        <w:t>万台免费提供</w:t>
      </w:r>
      <w:r>
        <w:t>100</w:t>
      </w:r>
      <w:r>
        <w:rPr>
          <w:rFonts w:hint="eastAsia"/>
        </w:rPr>
        <w:t>台备机），该备机应在质保期内放在采购人处，质保期满后，剩余的备机可以由供应商处理。</w:t>
      </w:r>
      <w:r>
        <w:rPr>
          <w:rFonts w:hint="eastAsia"/>
          <w:u w:val="single"/>
        </w:rPr>
        <w:t>备品备件清单</w:t>
      </w:r>
      <w:r>
        <w:rPr>
          <w:rFonts w:hint="eastAsia" w:hAnsi="宋体"/>
          <w:u w:val="single"/>
        </w:rPr>
        <w:t>格式自拟</w:t>
      </w:r>
    </w:p>
    <w:p>
      <w:pPr>
        <w:pStyle w:val="7"/>
        <w:numPr>
          <w:ilvl w:val="0"/>
          <w:numId w:val="4"/>
        </w:numPr>
        <w:adjustRightInd w:val="0"/>
        <w:spacing w:line="340" w:lineRule="exact"/>
        <w:textAlignment w:val="baseline"/>
        <w:rPr>
          <w:u w:val="single"/>
        </w:rPr>
      </w:pPr>
      <w:r>
        <w:rPr>
          <w:rFonts w:hint="eastAsia"/>
        </w:rPr>
        <w:t>为保证质保期满后的产品维修和更换，供应商应免费提供常用的备品备件，该备品备件应放在服务人处，例如一定数量的高频头、电路板、</w:t>
      </w:r>
      <w:r>
        <w:t>AV</w:t>
      </w:r>
      <w:r>
        <w:rPr>
          <w:rFonts w:hint="eastAsia"/>
        </w:rPr>
        <w:t>线、射频线、</w:t>
      </w:r>
      <w:r>
        <w:t>FLASH</w:t>
      </w:r>
      <w:r>
        <w:rPr>
          <w:rFonts w:hint="eastAsia"/>
        </w:rPr>
        <w:t>、内存等。</w:t>
      </w:r>
      <w:r>
        <w:rPr>
          <w:rFonts w:hint="eastAsia"/>
          <w:u w:val="single"/>
        </w:rPr>
        <w:t>备品备件清单</w:t>
      </w:r>
      <w:r>
        <w:rPr>
          <w:rFonts w:hint="eastAsia" w:hAnsi="宋体"/>
          <w:u w:val="single"/>
        </w:rPr>
        <w:t>格式自拟</w:t>
      </w:r>
    </w:p>
    <w:p>
      <w:pPr>
        <w:pStyle w:val="7"/>
        <w:numPr>
          <w:ilvl w:val="0"/>
          <w:numId w:val="4"/>
        </w:numPr>
        <w:adjustRightInd w:val="0"/>
        <w:spacing w:line="340" w:lineRule="exact"/>
        <w:textAlignment w:val="baseline"/>
      </w:pPr>
      <w:r>
        <w:rPr>
          <w:rFonts w:hint="eastAsia"/>
        </w:rPr>
        <w:t>成交供应商应为正常运行提供</w:t>
      </w:r>
      <w:r>
        <w:t>7*24</w:t>
      </w:r>
      <w:r>
        <w:rPr>
          <w:rFonts w:hint="eastAsia"/>
        </w:rPr>
        <w:t>小时的技术支持，保修期内在大量机顶盒发生故障时，供应商技术人员应在事故现场完全解决故障。对于不能维修解决的设备，供应商应提供同类型设备进行替换，由此产生的费用均由供应商负担。</w:t>
      </w:r>
    </w:p>
    <w:p>
      <w:pPr>
        <w:pStyle w:val="7"/>
        <w:numPr>
          <w:ilvl w:val="0"/>
          <w:numId w:val="4"/>
        </w:numPr>
        <w:adjustRightInd w:val="0"/>
        <w:spacing w:line="340" w:lineRule="exact"/>
        <w:textAlignment w:val="baseline"/>
      </w:pPr>
      <w:r>
        <w:rPr>
          <w:rFonts w:hint="eastAsia"/>
        </w:rPr>
        <w:t>成交供应商应定期主动上门询问机顶盒使用情况，并提出改进意见和对系统作适应性的修改，以防患于未然。</w:t>
      </w:r>
    </w:p>
    <w:p>
      <w:pPr>
        <w:pStyle w:val="7"/>
        <w:numPr>
          <w:ilvl w:val="0"/>
          <w:numId w:val="4"/>
        </w:numPr>
        <w:adjustRightInd w:val="0"/>
        <w:spacing w:line="340" w:lineRule="exact"/>
        <w:textAlignment w:val="baseline"/>
      </w:pPr>
      <w:r>
        <w:rPr>
          <w:rFonts w:hint="eastAsia"/>
        </w:rPr>
        <w:t>供应商就质保期满后的维护提供范本，内容包括的收费维修、维护内容，费用和服务方式、范围（产品、技术、模块、部件），供采购人参考。</w:t>
      </w:r>
    </w:p>
    <w:p>
      <w:pPr>
        <w:pStyle w:val="7"/>
        <w:numPr>
          <w:ilvl w:val="0"/>
          <w:numId w:val="4"/>
        </w:numPr>
        <w:adjustRightInd w:val="0"/>
        <w:spacing w:line="340" w:lineRule="exact"/>
        <w:textAlignment w:val="baseline"/>
        <w:rPr>
          <w:b/>
          <w:u w:val="single"/>
        </w:rPr>
      </w:pPr>
      <w:r>
        <w:rPr>
          <w:rFonts w:hint="eastAsia"/>
          <w:b/>
          <w:u w:val="single"/>
        </w:rPr>
        <w:t>以上内容供应商应在投标响应书中进行说明和承诺。</w:t>
      </w:r>
    </w:p>
    <w:p>
      <w:pPr>
        <w:pStyle w:val="7"/>
        <w:spacing w:line="340" w:lineRule="exact"/>
        <w:ind w:firstLine="0"/>
        <w:rPr>
          <w:b/>
          <w:bCs/>
          <w:sz w:val="24"/>
        </w:rPr>
      </w:pPr>
      <w:r>
        <w:rPr>
          <w:b/>
          <w:bCs/>
          <w:sz w:val="24"/>
        </w:rPr>
        <w:t>3.5</w:t>
      </w:r>
      <w:r>
        <w:rPr>
          <w:rFonts w:hint="eastAsia"/>
          <w:b/>
          <w:bCs/>
          <w:sz w:val="24"/>
        </w:rPr>
        <w:t>合同业绩</w:t>
      </w:r>
    </w:p>
    <w:p>
      <w:pPr>
        <w:pStyle w:val="7"/>
        <w:spacing w:line="340" w:lineRule="exact"/>
        <w:ind w:firstLineChars="200"/>
      </w:pPr>
      <w:r>
        <w:rPr>
          <w:rFonts w:hint="eastAsia" w:hAnsi="宋体"/>
        </w:rPr>
        <w:t>供应商应按规定提供</w:t>
      </w:r>
      <w:r>
        <w:rPr>
          <w:rFonts w:hAnsi="宋体"/>
        </w:rPr>
        <w:t>20</w:t>
      </w:r>
      <w:r>
        <w:rPr>
          <w:rFonts w:hint="eastAsia" w:hAnsi="宋体"/>
          <w:lang w:val="en-US" w:eastAsia="zh-CN"/>
        </w:rPr>
        <w:t>20</w:t>
      </w:r>
      <w:r>
        <w:rPr>
          <w:rFonts w:hint="eastAsia" w:hAnsi="宋体"/>
        </w:rPr>
        <w:t>年所投产品同方案有线高清数字机顶盒业绩。</w:t>
      </w:r>
      <w:r>
        <w:rPr>
          <w:rFonts w:hint="eastAsia" w:hAnsi="宋体"/>
          <w:u w:val="single"/>
        </w:rPr>
        <w:t>项目业绩清单</w:t>
      </w:r>
      <w:r>
        <w:rPr>
          <w:rFonts w:hint="eastAsia"/>
          <w:u w:val="single"/>
        </w:rPr>
        <w:t>（</w:t>
      </w:r>
      <w:r>
        <w:rPr>
          <w:rFonts w:hint="eastAsia" w:hAnsi="宋体"/>
          <w:u w:val="single"/>
        </w:rPr>
        <w:t>格式自拟</w:t>
      </w:r>
      <w:r>
        <w:rPr>
          <w:rFonts w:hint="eastAsia"/>
          <w:u w:val="single"/>
        </w:rPr>
        <w:t>）</w:t>
      </w:r>
      <w:r>
        <w:rPr>
          <w:rFonts w:hint="eastAsia" w:hAnsi="宋体"/>
        </w:rPr>
        <w:t>按合同原件时间顺序附在</w:t>
      </w:r>
      <w:r>
        <w:rPr>
          <w:rFonts w:hint="eastAsia" w:hAnsi="宋体"/>
          <w:u w:val="single"/>
        </w:rPr>
        <w:t>企业类似项目业绩表（格式自拟）</w:t>
      </w:r>
      <w:r>
        <w:rPr>
          <w:rFonts w:hint="eastAsia" w:hAnsi="宋体"/>
        </w:rPr>
        <w:t>后面，包括合同的主件和清单（必须加盖公章否则无效），投标时提供具体合同原件审核。</w:t>
      </w:r>
    </w:p>
    <w:p>
      <w:pPr>
        <w:pStyle w:val="7"/>
        <w:spacing w:line="340" w:lineRule="exact"/>
        <w:ind w:firstLine="0"/>
        <w:rPr>
          <w:b/>
          <w:bCs/>
          <w:sz w:val="24"/>
        </w:rPr>
      </w:pPr>
      <w:r>
        <w:rPr>
          <w:b/>
          <w:bCs/>
          <w:sz w:val="24"/>
        </w:rPr>
        <w:t>4</w:t>
      </w:r>
      <w:r>
        <w:rPr>
          <w:rFonts w:hint="eastAsia"/>
          <w:b/>
          <w:bCs/>
          <w:sz w:val="24"/>
        </w:rPr>
        <w:t>、合同签订</w:t>
      </w:r>
    </w:p>
    <w:p>
      <w:pPr>
        <w:pStyle w:val="7"/>
        <w:adjustRightInd w:val="0"/>
        <w:spacing w:line="340" w:lineRule="exact"/>
        <w:ind w:firstLineChars="200"/>
        <w:textAlignment w:val="baseline"/>
      </w:pPr>
      <w:r>
        <w:t>1.</w:t>
      </w:r>
      <w:r>
        <w:rPr>
          <w:rFonts w:hint="eastAsia"/>
        </w:rPr>
        <w:t>供应商在成交后应免费按采购人的要求对技术指标作进一步修正、优化，货物的数量如果因设计方案变化而更改，结算时则按成交单价为准予以调整，但不得高于原采购价。</w:t>
      </w:r>
    </w:p>
    <w:p>
      <w:pPr>
        <w:pStyle w:val="7"/>
        <w:adjustRightInd w:val="0"/>
        <w:spacing w:line="340" w:lineRule="exact"/>
        <w:ind w:firstLineChars="200"/>
        <w:textAlignment w:val="baseline"/>
        <w:rPr>
          <w:rFonts w:hint="eastAsia" w:hAnsi="宋体"/>
        </w:rPr>
      </w:pPr>
      <w:r>
        <w:rPr>
          <w:rFonts w:hAnsi="宋体"/>
        </w:rPr>
        <w:t>2.</w:t>
      </w:r>
      <w:r>
        <w:rPr>
          <w:rFonts w:hint="eastAsia" w:hAnsi="宋体"/>
        </w:rPr>
        <w:t>如果成交</w:t>
      </w:r>
      <w:r>
        <w:rPr>
          <w:rFonts w:hint="eastAsia"/>
        </w:rPr>
        <w:t>供应商</w:t>
      </w:r>
      <w:r>
        <w:rPr>
          <w:rFonts w:hint="eastAsia" w:hAnsi="宋体"/>
        </w:rPr>
        <w:t>提供的设备和材料与投标文件、相关澄清文件、项目联系单、合同等要约中承诺内容不一致，经采购人确认，必须接受无条件退货并赔偿该设备合同金额</w:t>
      </w:r>
      <w:r>
        <w:rPr>
          <w:rFonts w:hAnsi="宋体"/>
        </w:rPr>
        <w:t>100%</w:t>
      </w:r>
      <w:r>
        <w:rPr>
          <w:rFonts w:hint="eastAsia" w:hAnsi="宋体"/>
        </w:rPr>
        <w:t>的赔款。供应商必须对此条款在投标文件文件予以书面承诺。</w:t>
      </w:r>
    </w:p>
    <w:p>
      <w:pPr>
        <w:pStyle w:val="7"/>
        <w:adjustRightInd w:val="0"/>
        <w:spacing w:line="340" w:lineRule="exact"/>
        <w:ind w:firstLineChars="200"/>
        <w:textAlignment w:val="baseline"/>
        <w:rPr>
          <w:rFonts w:hint="eastAsia" w:hAnsi="宋体"/>
        </w:rPr>
      </w:pPr>
    </w:p>
    <w:p>
      <w:pPr>
        <w:pStyle w:val="7"/>
        <w:ind w:firstLine="0"/>
        <w:jc w:val="center"/>
        <w:rPr>
          <w:rFonts w:ascii="宋体"/>
          <w:b/>
          <w:sz w:val="30"/>
        </w:rPr>
      </w:pPr>
      <w:r>
        <w:rPr>
          <w:rFonts w:hint="eastAsia" w:ascii="宋体" w:hAnsi="宋体"/>
          <w:b/>
          <w:sz w:val="32"/>
          <w:szCs w:val="32"/>
        </w:rPr>
        <w:t>宁海数字电视高清交互型机顶盒技术规范</w:t>
      </w:r>
    </w:p>
    <w:p>
      <w:pPr>
        <w:spacing w:line="340" w:lineRule="exact"/>
        <w:rPr>
          <w:rFonts w:ascii="宋体"/>
          <w:b/>
          <w:sz w:val="24"/>
        </w:rPr>
      </w:pPr>
      <w:r>
        <w:rPr>
          <w:rFonts w:hint="eastAsia" w:ascii="宋体" w:hAnsi="宋体"/>
          <w:b/>
          <w:sz w:val="24"/>
        </w:rPr>
        <w:t>第一部分</w:t>
      </w:r>
      <w:r>
        <w:rPr>
          <w:rFonts w:ascii="宋体" w:hAnsi="宋体"/>
          <w:b/>
          <w:sz w:val="24"/>
        </w:rPr>
        <w:t>:</w:t>
      </w:r>
      <w:r>
        <w:rPr>
          <w:rFonts w:hint="eastAsia" w:ascii="宋体" w:hAnsi="宋体"/>
          <w:b/>
          <w:sz w:val="24"/>
        </w:rPr>
        <w:t>机顶盒主机硬件规范</w:t>
      </w:r>
    </w:p>
    <w:p>
      <w:pPr>
        <w:pStyle w:val="7"/>
        <w:ind w:firstLine="0"/>
        <w:rPr>
          <w:sz w:val="24"/>
          <w:szCs w:val="24"/>
        </w:rPr>
      </w:pPr>
      <w:r>
        <w:rPr>
          <w:rFonts w:hint="eastAsia" w:ascii="宋体" w:hAnsi="宋体"/>
          <w:b/>
          <w:bCs/>
        </w:rPr>
        <w:t>★</w:t>
      </w:r>
      <w:r>
        <w:rPr>
          <w:rFonts w:hint="eastAsia"/>
          <w:sz w:val="24"/>
          <w:szCs w:val="24"/>
        </w:rPr>
        <w:t>（</w:t>
      </w:r>
      <w:r>
        <w:rPr>
          <w:sz w:val="24"/>
          <w:szCs w:val="24"/>
        </w:rPr>
        <w:t>1</w:t>
      </w:r>
      <w:r>
        <w:rPr>
          <w:rFonts w:hint="eastAsia"/>
          <w:sz w:val="24"/>
          <w:szCs w:val="24"/>
        </w:rPr>
        <w:t>）高清交互型机顶盒的配置要求如下：</w:t>
      </w:r>
    </w:p>
    <w:tbl>
      <w:tblPr>
        <w:tblStyle w:val="25"/>
        <w:tblW w:w="9186" w:type="dxa"/>
        <w:tblInd w:w="108" w:type="dxa"/>
        <w:tblLayout w:type="fixed"/>
        <w:tblCellMar>
          <w:top w:w="0" w:type="dxa"/>
          <w:left w:w="108" w:type="dxa"/>
          <w:bottom w:w="0" w:type="dxa"/>
          <w:right w:w="108" w:type="dxa"/>
        </w:tblCellMar>
      </w:tblPr>
      <w:tblGrid>
        <w:gridCol w:w="3060"/>
        <w:gridCol w:w="6126"/>
      </w:tblGrid>
      <w:tr>
        <w:tblPrEx>
          <w:tblCellMar>
            <w:top w:w="0" w:type="dxa"/>
            <w:left w:w="108" w:type="dxa"/>
            <w:bottom w:w="0" w:type="dxa"/>
            <w:right w:w="108" w:type="dxa"/>
          </w:tblCellMar>
        </w:tblPrEx>
        <w:trPr>
          <w:cantSplit/>
          <w:trHeight w:val="433" w:hRule="atLeast"/>
        </w:trPr>
        <w:tc>
          <w:tcPr>
            <w:tcW w:w="3060" w:type="dxa"/>
            <w:tcBorders>
              <w:top w:val="single" w:color="000000" w:sz="8" w:space="0"/>
              <w:left w:val="single" w:color="000000" w:sz="8" w:space="0"/>
              <w:bottom w:val="single" w:color="000000" w:sz="8" w:space="0"/>
              <w:right w:val="single" w:color="000000" w:sz="8" w:space="0"/>
            </w:tcBorders>
            <w:noWrap w:val="0"/>
            <w:vAlign w:val="center"/>
          </w:tcPr>
          <w:p>
            <w:pPr>
              <w:rPr>
                <w:rFonts w:ascii="宋体"/>
                <w:szCs w:val="21"/>
              </w:rPr>
            </w:pPr>
            <w:r>
              <w:rPr>
                <w:rFonts w:hint="eastAsia" w:ascii="宋体" w:hAnsi="宋体"/>
                <w:szCs w:val="21"/>
              </w:rPr>
              <w:t>中央处理器（</w:t>
            </w:r>
            <w:r>
              <w:rPr>
                <w:rFonts w:ascii="宋体" w:hAnsi="宋体"/>
                <w:szCs w:val="21"/>
              </w:rPr>
              <w:t>CPU</w:t>
            </w:r>
            <w:r>
              <w:rPr>
                <w:rFonts w:hint="eastAsia" w:ascii="宋体" w:hAnsi="宋体"/>
                <w:szCs w:val="21"/>
              </w:rPr>
              <w:t>）</w:t>
            </w:r>
          </w:p>
        </w:tc>
        <w:tc>
          <w:tcPr>
            <w:tcW w:w="6126" w:type="dxa"/>
            <w:tcBorders>
              <w:top w:val="single" w:color="000000" w:sz="8" w:space="0"/>
              <w:left w:val="single" w:color="000000" w:sz="8" w:space="0"/>
              <w:bottom w:val="single" w:color="000000" w:sz="8" w:space="0"/>
              <w:right w:val="single" w:color="000000" w:sz="8" w:space="0"/>
            </w:tcBorders>
            <w:noWrap w:val="0"/>
            <w:vAlign w:val="center"/>
          </w:tcPr>
          <w:p>
            <w:pPr>
              <w:rPr>
                <w:rFonts w:ascii="宋体"/>
                <w:b/>
                <w:szCs w:val="21"/>
              </w:rPr>
            </w:pPr>
            <w:r>
              <w:rPr>
                <w:rFonts w:hint="eastAsia" w:ascii="宋体" w:hAnsi="宋体"/>
                <w:b/>
                <w:color w:val="FF0000"/>
                <w:szCs w:val="21"/>
              </w:rPr>
              <w:t>海思</w:t>
            </w:r>
            <w:r>
              <w:rPr>
                <w:rFonts w:ascii="宋体" w:hAnsi="宋体"/>
                <w:b/>
                <w:color w:val="FF0000"/>
                <w:szCs w:val="21"/>
              </w:rPr>
              <w:t>3716MV310</w:t>
            </w:r>
          </w:p>
        </w:tc>
      </w:tr>
      <w:tr>
        <w:tblPrEx>
          <w:tblCellMar>
            <w:top w:w="0" w:type="dxa"/>
            <w:left w:w="108" w:type="dxa"/>
            <w:bottom w:w="0" w:type="dxa"/>
            <w:right w:w="108" w:type="dxa"/>
          </w:tblCellMar>
        </w:tblPrEx>
        <w:trPr>
          <w:trHeight w:val="293" w:hRule="atLeast"/>
        </w:trPr>
        <w:tc>
          <w:tcPr>
            <w:tcW w:w="3060" w:type="dxa"/>
            <w:tcBorders>
              <w:top w:val="single" w:color="000000" w:sz="8" w:space="0"/>
              <w:left w:val="single" w:color="000000" w:sz="8" w:space="0"/>
              <w:bottom w:val="single" w:color="000000" w:sz="8" w:space="0"/>
              <w:right w:val="single" w:color="000000" w:sz="8" w:space="0"/>
            </w:tcBorders>
            <w:noWrap w:val="0"/>
            <w:vAlign w:val="center"/>
          </w:tcPr>
          <w:p>
            <w:pPr>
              <w:rPr>
                <w:rFonts w:ascii="宋体"/>
                <w:szCs w:val="21"/>
              </w:rPr>
            </w:pPr>
            <w:r>
              <w:rPr>
                <w:rFonts w:ascii="宋体" w:hAnsi="宋体"/>
                <w:szCs w:val="21"/>
              </w:rPr>
              <w:t xml:space="preserve">Flash memory </w:t>
            </w:r>
          </w:p>
        </w:tc>
        <w:tc>
          <w:tcPr>
            <w:tcW w:w="6126" w:type="dxa"/>
            <w:tcBorders>
              <w:top w:val="single" w:color="000000" w:sz="8" w:space="0"/>
              <w:left w:val="single" w:color="000000" w:sz="8" w:space="0"/>
              <w:bottom w:val="single" w:color="000000" w:sz="8" w:space="0"/>
              <w:right w:val="single" w:color="000000" w:sz="8" w:space="0"/>
            </w:tcBorders>
            <w:noWrap w:val="0"/>
            <w:vAlign w:val="center"/>
          </w:tcPr>
          <w:p>
            <w:pPr>
              <w:rPr>
                <w:rFonts w:ascii="宋体"/>
                <w:szCs w:val="21"/>
              </w:rPr>
            </w:pPr>
            <w:r>
              <w:rPr>
                <w:rFonts w:hint="eastAsia" w:ascii="宋体"/>
                <w:szCs w:val="21"/>
              </w:rPr>
              <w:t>≥</w:t>
            </w:r>
            <w:r>
              <w:rPr>
                <w:rFonts w:ascii="宋体" w:hAnsi="宋体"/>
                <w:szCs w:val="21"/>
              </w:rPr>
              <w:t>128MB</w:t>
            </w:r>
          </w:p>
        </w:tc>
      </w:tr>
      <w:tr>
        <w:tblPrEx>
          <w:tblCellMar>
            <w:top w:w="0" w:type="dxa"/>
            <w:left w:w="108" w:type="dxa"/>
            <w:bottom w:w="0" w:type="dxa"/>
            <w:right w:w="108" w:type="dxa"/>
          </w:tblCellMar>
        </w:tblPrEx>
        <w:trPr>
          <w:trHeight w:val="293" w:hRule="atLeast"/>
        </w:trPr>
        <w:tc>
          <w:tcPr>
            <w:tcW w:w="3060" w:type="dxa"/>
            <w:tcBorders>
              <w:top w:val="single" w:color="000000" w:sz="8" w:space="0"/>
              <w:left w:val="single" w:color="000000" w:sz="8" w:space="0"/>
              <w:bottom w:val="single" w:color="000000" w:sz="8" w:space="0"/>
              <w:right w:val="single" w:color="000000" w:sz="8" w:space="0"/>
            </w:tcBorders>
            <w:noWrap w:val="0"/>
            <w:vAlign w:val="center"/>
          </w:tcPr>
          <w:p>
            <w:pPr>
              <w:rPr>
                <w:rFonts w:ascii="宋体"/>
                <w:szCs w:val="21"/>
              </w:rPr>
            </w:pPr>
            <w:r>
              <w:rPr>
                <w:rFonts w:hint="eastAsia" w:ascii="宋体" w:hAnsi="宋体"/>
                <w:szCs w:val="21"/>
              </w:rPr>
              <w:t>机顶盒内存</w:t>
            </w:r>
          </w:p>
        </w:tc>
        <w:tc>
          <w:tcPr>
            <w:tcW w:w="6126" w:type="dxa"/>
            <w:tcBorders>
              <w:top w:val="single" w:color="000000" w:sz="8" w:space="0"/>
              <w:left w:val="single" w:color="000000" w:sz="8" w:space="0"/>
              <w:bottom w:val="single" w:color="000000" w:sz="8" w:space="0"/>
              <w:right w:val="single" w:color="000000" w:sz="8" w:space="0"/>
            </w:tcBorders>
            <w:noWrap w:val="0"/>
            <w:vAlign w:val="center"/>
          </w:tcPr>
          <w:p>
            <w:pPr>
              <w:rPr>
                <w:rFonts w:ascii="宋体"/>
                <w:szCs w:val="21"/>
              </w:rPr>
            </w:pPr>
            <w:r>
              <w:rPr>
                <w:rFonts w:hint="eastAsia" w:ascii="宋体"/>
                <w:szCs w:val="21"/>
              </w:rPr>
              <w:t>≥</w:t>
            </w:r>
            <w:r>
              <w:rPr>
                <w:rFonts w:ascii="宋体" w:hAnsi="宋体"/>
                <w:szCs w:val="21"/>
              </w:rPr>
              <w:t>512MB</w:t>
            </w:r>
          </w:p>
        </w:tc>
      </w:tr>
      <w:tr>
        <w:tblPrEx>
          <w:tblCellMar>
            <w:top w:w="0" w:type="dxa"/>
            <w:left w:w="108" w:type="dxa"/>
            <w:bottom w:w="0" w:type="dxa"/>
            <w:right w:w="108" w:type="dxa"/>
          </w:tblCellMar>
        </w:tblPrEx>
        <w:trPr>
          <w:trHeight w:val="293" w:hRule="atLeast"/>
        </w:trPr>
        <w:tc>
          <w:tcPr>
            <w:tcW w:w="3060" w:type="dxa"/>
            <w:tcBorders>
              <w:top w:val="single" w:color="000000" w:sz="8" w:space="0"/>
              <w:left w:val="single" w:color="000000" w:sz="8" w:space="0"/>
              <w:bottom w:val="single" w:color="000000" w:sz="8" w:space="0"/>
              <w:right w:val="single" w:color="000000" w:sz="8" w:space="0"/>
            </w:tcBorders>
            <w:noWrap w:val="0"/>
            <w:vAlign w:val="center"/>
          </w:tcPr>
          <w:p>
            <w:pPr>
              <w:rPr>
                <w:rFonts w:ascii="宋体"/>
                <w:szCs w:val="21"/>
              </w:rPr>
            </w:pPr>
            <w:r>
              <w:rPr>
                <w:rFonts w:ascii="宋体" w:hAnsi="宋体"/>
                <w:szCs w:val="21"/>
              </w:rPr>
              <w:t xml:space="preserve">EEPROM </w:t>
            </w:r>
          </w:p>
        </w:tc>
        <w:tc>
          <w:tcPr>
            <w:tcW w:w="6126" w:type="dxa"/>
            <w:tcBorders>
              <w:top w:val="single" w:color="000000" w:sz="8" w:space="0"/>
              <w:left w:val="single" w:color="000000" w:sz="8" w:space="0"/>
              <w:bottom w:val="single" w:color="000000" w:sz="8" w:space="0"/>
              <w:right w:val="single" w:color="000000" w:sz="8" w:space="0"/>
            </w:tcBorders>
            <w:noWrap w:val="0"/>
            <w:vAlign w:val="center"/>
          </w:tcPr>
          <w:p>
            <w:pPr>
              <w:rPr>
                <w:rFonts w:ascii="宋体"/>
                <w:szCs w:val="21"/>
              </w:rPr>
            </w:pPr>
            <w:r>
              <w:rPr>
                <w:rFonts w:hint="eastAsia" w:ascii="宋体"/>
                <w:szCs w:val="21"/>
              </w:rPr>
              <w:t>≥</w:t>
            </w:r>
            <w:r>
              <w:rPr>
                <w:rFonts w:ascii="宋体" w:hAnsi="宋体"/>
                <w:szCs w:val="21"/>
              </w:rPr>
              <w:t>8KB(</w:t>
            </w:r>
            <w:r>
              <w:rPr>
                <w:rFonts w:hint="eastAsia" w:ascii="宋体" w:hAnsi="宋体"/>
                <w:szCs w:val="21"/>
              </w:rPr>
              <w:t>允许仿真</w:t>
            </w:r>
            <w:r>
              <w:rPr>
                <w:rFonts w:ascii="宋体" w:hAnsi="宋体"/>
                <w:szCs w:val="21"/>
              </w:rPr>
              <w:t>)</w:t>
            </w:r>
          </w:p>
        </w:tc>
      </w:tr>
    </w:tbl>
    <w:p>
      <w:pPr>
        <w:spacing w:line="340" w:lineRule="exact"/>
        <w:rPr>
          <w:sz w:val="24"/>
        </w:rPr>
      </w:pPr>
      <w:r>
        <w:rPr>
          <w:rFonts w:hint="eastAsia" w:ascii="宋体" w:hAnsi="宋体"/>
          <w:b/>
          <w:bCs/>
        </w:rPr>
        <w:t>★</w:t>
      </w:r>
      <w:r>
        <w:rPr>
          <w:rFonts w:hint="eastAsia"/>
          <w:sz w:val="24"/>
        </w:rPr>
        <w:t>（</w:t>
      </w:r>
      <w:r>
        <w:rPr>
          <w:sz w:val="24"/>
        </w:rPr>
        <w:t>2</w:t>
      </w:r>
      <w:r>
        <w:rPr>
          <w:rFonts w:hint="eastAsia"/>
          <w:sz w:val="24"/>
        </w:rPr>
        <w:t>）高清交互型机顶盒的接口及配件要求</w:t>
      </w:r>
    </w:p>
    <w:tbl>
      <w:tblPr>
        <w:tblStyle w:val="25"/>
        <w:tblW w:w="9180" w:type="dxa"/>
        <w:tblInd w:w="108" w:type="dxa"/>
        <w:tblLayout w:type="fixed"/>
        <w:tblCellMar>
          <w:top w:w="0" w:type="dxa"/>
          <w:left w:w="108" w:type="dxa"/>
          <w:bottom w:w="0" w:type="dxa"/>
          <w:right w:w="108" w:type="dxa"/>
        </w:tblCellMar>
      </w:tblPr>
      <w:tblGrid>
        <w:gridCol w:w="2985"/>
        <w:gridCol w:w="6195"/>
      </w:tblGrid>
      <w:tr>
        <w:tblPrEx>
          <w:tblCellMar>
            <w:top w:w="0" w:type="dxa"/>
            <w:left w:w="108" w:type="dxa"/>
            <w:bottom w:w="0" w:type="dxa"/>
            <w:right w:w="108" w:type="dxa"/>
          </w:tblCellMar>
        </w:tblPrEx>
        <w:trPr>
          <w:cantSplit/>
          <w:trHeight w:val="90"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center"/>
              <w:rPr>
                <w:rFonts w:ascii="Times New Roman" w:eastAsia="新宋体"/>
                <w:color w:val="auto"/>
                <w:sz w:val="21"/>
                <w:szCs w:val="21"/>
              </w:rPr>
            </w:pPr>
            <w:r>
              <w:rPr>
                <w:rFonts w:hint="eastAsia" w:ascii="Times New Roman" w:eastAsia="新宋体"/>
                <w:color w:val="auto"/>
                <w:sz w:val="21"/>
                <w:szCs w:val="21"/>
              </w:rPr>
              <w:t>前面板</w:t>
            </w:r>
            <w:r>
              <w:rPr>
                <w:rFonts w:ascii="Times New Roman" w:eastAsia="新宋体"/>
                <w:color w:val="auto"/>
                <w:sz w:val="21"/>
                <w:szCs w:val="21"/>
              </w:rPr>
              <w:t>LED</w:t>
            </w:r>
            <w:r>
              <w:rPr>
                <w:rFonts w:hint="eastAsia" w:ascii="Times New Roman" w:eastAsia="新宋体"/>
                <w:color w:val="auto"/>
                <w:sz w:val="21"/>
                <w:szCs w:val="21"/>
              </w:rPr>
              <w:t>指示灯</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both"/>
              <w:rPr>
                <w:rFonts w:ascii="Times New Roman" w:eastAsia="新宋体"/>
                <w:color w:val="auto"/>
                <w:sz w:val="21"/>
                <w:szCs w:val="21"/>
              </w:rPr>
            </w:pPr>
            <w:r>
              <w:rPr>
                <w:rFonts w:hint="eastAsia" w:ascii="Times New Roman" w:eastAsia="新宋体"/>
                <w:color w:val="auto"/>
                <w:sz w:val="21"/>
                <w:szCs w:val="21"/>
              </w:rPr>
              <w:t>至少能表示电源</w:t>
            </w:r>
            <w:r>
              <w:rPr>
                <w:rFonts w:ascii="Times New Roman" w:eastAsia="新宋体"/>
                <w:color w:val="auto"/>
                <w:sz w:val="21"/>
                <w:szCs w:val="21"/>
              </w:rPr>
              <w:t>/</w:t>
            </w:r>
            <w:r>
              <w:rPr>
                <w:rFonts w:hint="eastAsia" w:ascii="Times New Roman" w:eastAsia="新宋体"/>
                <w:color w:val="auto"/>
                <w:sz w:val="21"/>
                <w:szCs w:val="21"/>
              </w:rPr>
              <w:t>待机二种状态</w:t>
            </w:r>
          </w:p>
        </w:tc>
      </w:tr>
      <w:tr>
        <w:tblPrEx>
          <w:tblCellMar>
            <w:top w:w="0" w:type="dxa"/>
            <w:left w:w="108" w:type="dxa"/>
            <w:bottom w:w="0" w:type="dxa"/>
            <w:right w:w="108" w:type="dxa"/>
          </w:tblCellMar>
        </w:tblPrEx>
        <w:trPr>
          <w:trHeight w:val="293"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center"/>
              <w:rPr>
                <w:rFonts w:ascii="Times New Roman" w:eastAsia="新宋体"/>
                <w:color w:val="auto"/>
                <w:sz w:val="21"/>
                <w:szCs w:val="21"/>
              </w:rPr>
            </w:pPr>
            <w:r>
              <w:rPr>
                <w:rFonts w:ascii="Times New Roman" w:eastAsia="新宋体"/>
                <w:color w:val="auto"/>
                <w:sz w:val="21"/>
                <w:szCs w:val="21"/>
              </w:rPr>
              <w:t>CA</w:t>
            </w:r>
            <w:r>
              <w:rPr>
                <w:rFonts w:hint="eastAsia" w:ascii="Times New Roman" w:eastAsia="新宋体"/>
                <w:color w:val="auto"/>
                <w:sz w:val="21"/>
                <w:szCs w:val="21"/>
              </w:rPr>
              <w:t>卡槽</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both"/>
              <w:rPr>
                <w:rFonts w:ascii="Times New Roman" w:eastAsia="新宋体"/>
                <w:color w:val="auto"/>
                <w:sz w:val="21"/>
                <w:szCs w:val="21"/>
              </w:rPr>
            </w:pPr>
            <w:r>
              <w:rPr>
                <w:rFonts w:ascii="Times New Roman" w:eastAsia="新宋体"/>
                <w:color w:val="auto"/>
                <w:sz w:val="21"/>
                <w:szCs w:val="21"/>
              </w:rPr>
              <w:t>1</w:t>
            </w:r>
            <w:r>
              <w:rPr>
                <w:rFonts w:hint="eastAsia" w:ascii="Times New Roman" w:eastAsia="新宋体"/>
                <w:color w:val="auto"/>
                <w:sz w:val="21"/>
                <w:szCs w:val="21"/>
              </w:rPr>
              <w:t>个</w:t>
            </w:r>
          </w:p>
        </w:tc>
      </w:tr>
      <w:tr>
        <w:tblPrEx>
          <w:tblCellMar>
            <w:top w:w="0" w:type="dxa"/>
            <w:left w:w="108" w:type="dxa"/>
            <w:bottom w:w="0" w:type="dxa"/>
            <w:right w:w="108" w:type="dxa"/>
          </w:tblCellMar>
        </w:tblPrEx>
        <w:trPr>
          <w:trHeight w:val="293"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center"/>
              <w:rPr>
                <w:rFonts w:ascii="Times New Roman" w:eastAsia="新宋体"/>
                <w:color w:val="auto"/>
                <w:sz w:val="21"/>
                <w:szCs w:val="21"/>
              </w:rPr>
            </w:pPr>
            <w:r>
              <w:rPr>
                <w:rFonts w:hint="eastAsia" w:ascii="Times New Roman" w:eastAsia="新宋体"/>
                <w:color w:val="auto"/>
                <w:sz w:val="21"/>
                <w:szCs w:val="21"/>
              </w:rPr>
              <w:t>后面板</w:t>
            </w:r>
            <w:r>
              <w:rPr>
                <w:rFonts w:ascii="Times New Roman" w:eastAsia="新宋体"/>
                <w:color w:val="auto"/>
                <w:sz w:val="21"/>
                <w:szCs w:val="21"/>
              </w:rPr>
              <w:t>RF</w:t>
            </w:r>
            <w:r>
              <w:rPr>
                <w:rFonts w:hint="eastAsia" w:ascii="Times New Roman" w:eastAsia="新宋体"/>
                <w:color w:val="auto"/>
                <w:sz w:val="21"/>
                <w:szCs w:val="21"/>
              </w:rPr>
              <w:t>信号输入口</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both"/>
              <w:rPr>
                <w:rFonts w:ascii="Times New Roman" w:eastAsia="新宋体"/>
                <w:color w:val="auto"/>
                <w:sz w:val="21"/>
                <w:szCs w:val="21"/>
              </w:rPr>
            </w:pPr>
            <w:r>
              <w:rPr>
                <w:rFonts w:ascii="Times New Roman" w:eastAsia="新宋体"/>
                <w:color w:val="auto"/>
                <w:sz w:val="21"/>
                <w:szCs w:val="21"/>
              </w:rPr>
              <w:t>1</w:t>
            </w:r>
            <w:r>
              <w:rPr>
                <w:rFonts w:hint="eastAsia" w:ascii="Times New Roman" w:eastAsia="新宋体"/>
                <w:color w:val="auto"/>
                <w:sz w:val="21"/>
                <w:szCs w:val="21"/>
              </w:rPr>
              <w:t>个，</w:t>
            </w:r>
            <w:r>
              <w:rPr>
                <w:rFonts w:ascii="Times New Roman" w:eastAsia="新宋体"/>
                <w:color w:val="auto"/>
                <w:sz w:val="21"/>
                <w:szCs w:val="21"/>
              </w:rPr>
              <w:t>F</w:t>
            </w:r>
            <w:r>
              <w:rPr>
                <w:rFonts w:hint="eastAsia" w:ascii="Times New Roman" w:eastAsia="新宋体"/>
                <w:color w:val="auto"/>
                <w:sz w:val="21"/>
                <w:szCs w:val="21"/>
              </w:rPr>
              <w:t>头</w:t>
            </w:r>
          </w:p>
        </w:tc>
      </w:tr>
      <w:tr>
        <w:tblPrEx>
          <w:tblCellMar>
            <w:top w:w="0" w:type="dxa"/>
            <w:left w:w="108" w:type="dxa"/>
            <w:bottom w:w="0" w:type="dxa"/>
            <w:right w:w="108" w:type="dxa"/>
          </w:tblCellMar>
        </w:tblPrEx>
        <w:trPr>
          <w:trHeight w:val="293"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center"/>
              <w:rPr>
                <w:rFonts w:ascii="Times New Roman" w:eastAsia="新宋体"/>
                <w:color w:val="auto"/>
                <w:sz w:val="21"/>
                <w:szCs w:val="21"/>
              </w:rPr>
            </w:pPr>
            <w:r>
              <w:rPr>
                <w:rFonts w:hint="eastAsia" w:ascii="Times New Roman" w:eastAsia="新宋体"/>
                <w:color w:val="auto"/>
                <w:sz w:val="21"/>
                <w:szCs w:val="21"/>
              </w:rPr>
              <w:t>后面板</w:t>
            </w:r>
            <w:r>
              <w:rPr>
                <w:rFonts w:ascii="Times New Roman" w:eastAsia="新宋体"/>
                <w:color w:val="auto"/>
                <w:sz w:val="21"/>
                <w:szCs w:val="21"/>
              </w:rPr>
              <w:t>RF</w:t>
            </w:r>
            <w:r>
              <w:rPr>
                <w:rFonts w:hint="eastAsia" w:ascii="Times New Roman" w:eastAsia="新宋体"/>
                <w:color w:val="auto"/>
                <w:sz w:val="21"/>
                <w:szCs w:val="21"/>
              </w:rPr>
              <w:t>信号输出口</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both"/>
              <w:rPr>
                <w:rFonts w:ascii="Times New Roman" w:eastAsia="新宋体"/>
                <w:color w:val="auto"/>
                <w:sz w:val="21"/>
                <w:szCs w:val="21"/>
              </w:rPr>
            </w:pPr>
            <w:r>
              <w:rPr>
                <w:rFonts w:hint="eastAsia" w:ascii="Times New Roman" w:eastAsia="新宋体"/>
                <w:color w:val="auto"/>
                <w:sz w:val="21"/>
                <w:szCs w:val="21"/>
              </w:rPr>
              <w:t>（环通输出，选配）</w:t>
            </w:r>
            <w:r>
              <w:rPr>
                <w:rFonts w:ascii="Times New Roman" w:eastAsia="新宋体"/>
                <w:color w:val="auto"/>
                <w:sz w:val="21"/>
                <w:szCs w:val="21"/>
              </w:rPr>
              <w:t>1</w:t>
            </w:r>
            <w:r>
              <w:rPr>
                <w:rFonts w:hint="eastAsia" w:ascii="Times New Roman" w:eastAsia="新宋体"/>
                <w:color w:val="auto"/>
                <w:sz w:val="21"/>
                <w:szCs w:val="21"/>
              </w:rPr>
              <w:t>个，</w:t>
            </w:r>
            <w:r>
              <w:rPr>
                <w:rFonts w:ascii="Times New Roman" w:eastAsia="新宋体"/>
                <w:color w:val="auto"/>
                <w:sz w:val="21"/>
                <w:szCs w:val="21"/>
              </w:rPr>
              <w:t>IEC169-1</w:t>
            </w:r>
            <w:r>
              <w:rPr>
                <w:rFonts w:hint="eastAsia" w:ascii="Times New Roman" w:eastAsia="新宋体"/>
                <w:color w:val="auto"/>
                <w:sz w:val="21"/>
                <w:szCs w:val="21"/>
              </w:rPr>
              <w:t>阳头</w:t>
            </w:r>
          </w:p>
        </w:tc>
      </w:tr>
      <w:tr>
        <w:tblPrEx>
          <w:tblCellMar>
            <w:top w:w="0" w:type="dxa"/>
            <w:left w:w="108" w:type="dxa"/>
            <w:bottom w:w="0" w:type="dxa"/>
            <w:right w:w="108" w:type="dxa"/>
          </w:tblCellMar>
        </w:tblPrEx>
        <w:trPr>
          <w:trHeight w:val="411"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center"/>
              <w:rPr>
                <w:rFonts w:ascii="Times New Roman" w:eastAsia="新宋体"/>
                <w:color w:val="auto"/>
                <w:sz w:val="21"/>
                <w:szCs w:val="21"/>
              </w:rPr>
            </w:pPr>
            <w:r>
              <w:rPr>
                <w:rFonts w:hint="eastAsia" w:ascii="Times New Roman" w:eastAsia="新宋体"/>
                <w:color w:val="auto"/>
                <w:sz w:val="21"/>
                <w:szCs w:val="21"/>
              </w:rPr>
              <w:t>后面板视频信号输出</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both"/>
              <w:rPr>
                <w:rFonts w:ascii="Times New Roman" w:eastAsia="新宋体"/>
                <w:color w:val="auto"/>
                <w:sz w:val="21"/>
                <w:szCs w:val="21"/>
              </w:rPr>
            </w:pPr>
            <w:r>
              <w:rPr>
                <w:rFonts w:hint="eastAsia" w:ascii="新宋体" w:hAnsi="新宋体" w:eastAsia="新宋体"/>
                <w:color w:val="auto"/>
                <w:sz w:val="21"/>
                <w:szCs w:val="21"/>
              </w:rPr>
              <w:t>≥</w:t>
            </w:r>
            <w:r>
              <w:rPr>
                <w:rFonts w:ascii="Times New Roman" w:eastAsia="新宋体"/>
                <w:color w:val="auto"/>
                <w:sz w:val="21"/>
                <w:szCs w:val="21"/>
              </w:rPr>
              <w:t>1</w:t>
            </w:r>
            <w:r>
              <w:rPr>
                <w:rFonts w:hint="eastAsia" w:ascii="Times New Roman" w:eastAsia="新宋体"/>
                <w:color w:val="auto"/>
                <w:sz w:val="21"/>
                <w:szCs w:val="21"/>
              </w:rPr>
              <w:t>个复合</w:t>
            </w:r>
            <w:r>
              <w:rPr>
                <w:rFonts w:ascii="Times New Roman" w:eastAsia="新宋体"/>
                <w:color w:val="auto"/>
                <w:sz w:val="21"/>
                <w:szCs w:val="21"/>
              </w:rPr>
              <w:t>PAL-D/K</w:t>
            </w:r>
            <w:r>
              <w:rPr>
                <w:rFonts w:hint="eastAsia" w:ascii="Times New Roman" w:eastAsia="新宋体"/>
                <w:color w:val="auto"/>
                <w:sz w:val="21"/>
                <w:szCs w:val="21"/>
              </w:rPr>
              <w:t>信号（</w:t>
            </w:r>
            <w:r>
              <w:rPr>
                <w:rFonts w:ascii="Times New Roman" w:eastAsia="新宋体"/>
                <w:color w:val="auto"/>
                <w:sz w:val="21"/>
                <w:szCs w:val="21"/>
              </w:rPr>
              <w:t>Ypbpr</w:t>
            </w:r>
            <w:r>
              <w:rPr>
                <w:rFonts w:hint="eastAsia" w:ascii="Times New Roman" w:eastAsia="新宋体"/>
                <w:color w:val="auto"/>
                <w:sz w:val="21"/>
                <w:szCs w:val="21"/>
              </w:rPr>
              <w:t>分量输出，选配）</w:t>
            </w:r>
          </w:p>
        </w:tc>
      </w:tr>
      <w:tr>
        <w:tblPrEx>
          <w:tblCellMar>
            <w:top w:w="0" w:type="dxa"/>
            <w:left w:w="108" w:type="dxa"/>
            <w:bottom w:w="0" w:type="dxa"/>
            <w:right w:w="108" w:type="dxa"/>
          </w:tblCellMar>
        </w:tblPrEx>
        <w:trPr>
          <w:trHeight w:val="293"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center"/>
              <w:rPr>
                <w:rFonts w:ascii="Times New Roman" w:eastAsia="新宋体"/>
                <w:color w:val="auto"/>
                <w:sz w:val="21"/>
                <w:szCs w:val="21"/>
              </w:rPr>
            </w:pPr>
            <w:r>
              <w:rPr>
                <w:rFonts w:hint="eastAsia" w:ascii="Times New Roman" w:eastAsia="新宋体"/>
                <w:color w:val="auto"/>
                <w:sz w:val="21"/>
                <w:szCs w:val="21"/>
              </w:rPr>
              <w:t>后面板音频信号输出</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both"/>
              <w:rPr>
                <w:rFonts w:ascii="Times New Roman" w:eastAsia="新宋体"/>
                <w:color w:val="auto"/>
                <w:sz w:val="21"/>
                <w:szCs w:val="21"/>
              </w:rPr>
            </w:pPr>
            <w:r>
              <w:rPr>
                <w:rFonts w:hint="eastAsia" w:ascii="新宋体" w:hAnsi="新宋体" w:eastAsia="新宋体"/>
                <w:color w:val="auto"/>
                <w:sz w:val="21"/>
                <w:szCs w:val="21"/>
              </w:rPr>
              <w:t>≥</w:t>
            </w:r>
            <w:r>
              <w:rPr>
                <w:rFonts w:ascii="Times New Roman" w:eastAsia="新宋体"/>
                <w:color w:val="auto"/>
                <w:sz w:val="21"/>
                <w:szCs w:val="21"/>
              </w:rPr>
              <w:t>1</w:t>
            </w:r>
            <w:r>
              <w:rPr>
                <w:rFonts w:hint="eastAsia" w:ascii="Times New Roman" w:eastAsia="新宋体"/>
                <w:color w:val="auto"/>
                <w:sz w:val="21"/>
                <w:szCs w:val="21"/>
              </w:rPr>
              <w:t>组接口（左右声道、立体声），</w:t>
            </w:r>
            <w:r>
              <w:rPr>
                <w:rFonts w:ascii="Times New Roman" w:eastAsia="新宋体"/>
                <w:color w:val="auto"/>
                <w:sz w:val="21"/>
                <w:szCs w:val="21"/>
              </w:rPr>
              <w:t xml:space="preserve">600Ω </w:t>
            </w:r>
            <w:r>
              <w:rPr>
                <w:rFonts w:hint="eastAsia" w:ascii="Times New Roman" w:eastAsia="新宋体"/>
                <w:color w:val="auto"/>
                <w:sz w:val="21"/>
                <w:szCs w:val="21"/>
              </w:rPr>
              <w:t>不平衡</w:t>
            </w:r>
          </w:p>
        </w:tc>
      </w:tr>
      <w:tr>
        <w:tblPrEx>
          <w:tblCellMar>
            <w:top w:w="0" w:type="dxa"/>
            <w:left w:w="108" w:type="dxa"/>
            <w:bottom w:w="0" w:type="dxa"/>
            <w:right w:w="108" w:type="dxa"/>
          </w:tblCellMar>
        </w:tblPrEx>
        <w:trPr>
          <w:trHeight w:val="293"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center"/>
              <w:rPr>
                <w:rFonts w:ascii="Times New Roman" w:eastAsia="新宋体"/>
                <w:color w:val="auto"/>
                <w:sz w:val="21"/>
                <w:szCs w:val="21"/>
              </w:rPr>
            </w:pPr>
            <w:r>
              <w:rPr>
                <w:rFonts w:hint="eastAsia" w:ascii="Times New Roman" w:eastAsia="新宋体"/>
                <w:color w:val="auto"/>
                <w:sz w:val="21"/>
                <w:szCs w:val="21"/>
              </w:rPr>
              <w:t>数据接口</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both"/>
              <w:rPr>
                <w:rFonts w:ascii="Times New Roman" w:eastAsia="新宋体"/>
                <w:color w:val="auto"/>
                <w:sz w:val="21"/>
                <w:szCs w:val="21"/>
              </w:rPr>
            </w:pPr>
            <w:r>
              <w:rPr>
                <w:rFonts w:ascii="Times New Roman" w:eastAsia="新宋体"/>
                <w:color w:val="auto"/>
                <w:sz w:val="21"/>
                <w:szCs w:val="21"/>
              </w:rPr>
              <w:t>RS-232</w:t>
            </w:r>
            <w:r>
              <w:rPr>
                <w:rFonts w:hint="eastAsia" w:ascii="Times New Roman" w:eastAsia="新宋体"/>
                <w:color w:val="auto"/>
                <w:sz w:val="21"/>
                <w:szCs w:val="21"/>
              </w:rPr>
              <w:t>串口或</w:t>
            </w:r>
            <w:r>
              <w:rPr>
                <w:rFonts w:ascii="Times New Roman" w:eastAsia="新宋体"/>
                <w:color w:val="auto"/>
                <w:sz w:val="21"/>
                <w:szCs w:val="21"/>
              </w:rPr>
              <w:t>miniUSB</w:t>
            </w:r>
            <w:r>
              <w:rPr>
                <w:rFonts w:hint="eastAsia" w:ascii="Times New Roman" w:eastAsia="新宋体"/>
                <w:color w:val="auto"/>
                <w:sz w:val="21"/>
                <w:szCs w:val="21"/>
              </w:rPr>
              <w:t>口，（可内外置）保证支持任意一种单台机顶盒本地升级，传输率</w:t>
            </w:r>
            <w:r>
              <w:rPr>
                <w:rFonts w:ascii="Times New Roman" w:eastAsia="新宋体"/>
                <w:color w:val="auto"/>
                <w:sz w:val="21"/>
                <w:szCs w:val="21"/>
              </w:rPr>
              <w:t>&gt;=</w:t>
            </w:r>
            <w:r>
              <w:rPr>
                <w:rFonts w:ascii="Times New Roman"/>
                <w:color w:val="auto"/>
                <w:sz w:val="21"/>
                <w:szCs w:val="21"/>
              </w:rPr>
              <w:t>38400Bits/s</w:t>
            </w:r>
            <w:r>
              <w:rPr>
                <w:rFonts w:ascii="Times New Roman"/>
                <w:color w:val="auto"/>
                <w:sz w:val="21"/>
                <w:szCs w:val="21"/>
              </w:rPr>
              <w:softHyphen/>
            </w:r>
          </w:p>
        </w:tc>
      </w:tr>
      <w:tr>
        <w:tblPrEx>
          <w:tblCellMar>
            <w:top w:w="0" w:type="dxa"/>
            <w:left w:w="108" w:type="dxa"/>
            <w:bottom w:w="0" w:type="dxa"/>
            <w:right w:w="108" w:type="dxa"/>
          </w:tblCellMar>
        </w:tblPrEx>
        <w:trPr>
          <w:trHeight w:val="293"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center"/>
              <w:rPr>
                <w:rFonts w:ascii="Times New Roman" w:eastAsia="新宋体"/>
                <w:color w:val="auto"/>
                <w:sz w:val="21"/>
                <w:szCs w:val="21"/>
              </w:rPr>
            </w:pPr>
            <w:r>
              <w:rPr>
                <w:rFonts w:hint="eastAsia" w:ascii="Times New Roman" w:eastAsia="新宋体"/>
                <w:color w:val="auto"/>
                <w:sz w:val="21"/>
                <w:szCs w:val="21"/>
              </w:rPr>
              <w:t>以太网络接口</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both"/>
              <w:rPr>
                <w:rFonts w:ascii="Times New Roman" w:eastAsia="新宋体"/>
                <w:color w:val="auto"/>
                <w:sz w:val="21"/>
                <w:szCs w:val="21"/>
              </w:rPr>
            </w:pPr>
            <w:r>
              <w:rPr>
                <w:rFonts w:ascii="Times New Roman" w:eastAsia="新宋体"/>
                <w:color w:val="auto"/>
                <w:sz w:val="21"/>
                <w:szCs w:val="21"/>
              </w:rPr>
              <w:t>100M/10Mbits/s</w:t>
            </w:r>
            <w:r>
              <w:rPr>
                <w:rFonts w:hint="eastAsia" w:ascii="Times New Roman" w:eastAsia="新宋体"/>
                <w:color w:val="auto"/>
                <w:sz w:val="21"/>
                <w:szCs w:val="21"/>
              </w:rPr>
              <w:t>，</w:t>
            </w:r>
            <w:r>
              <w:rPr>
                <w:rFonts w:ascii="Times New Roman" w:eastAsia="新宋体"/>
                <w:color w:val="auto"/>
                <w:sz w:val="21"/>
                <w:szCs w:val="21"/>
              </w:rPr>
              <w:t>RJ45</w:t>
            </w:r>
            <w:r>
              <w:rPr>
                <w:rFonts w:hint="eastAsia" w:ascii="Times New Roman" w:eastAsia="新宋体"/>
                <w:color w:val="auto"/>
                <w:sz w:val="21"/>
                <w:szCs w:val="21"/>
              </w:rPr>
              <w:t>网络接口（标配），</w:t>
            </w:r>
            <w:r>
              <w:rPr>
                <w:rFonts w:ascii="Times New Roman" w:eastAsia="新宋体"/>
                <w:color w:val="auto"/>
                <w:sz w:val="21"/>
                <w:szCs w:val="21"/>
              </w:rPr>
              <w:t>1</w:t>
            </w:r>
            <w:r>
              <w:rPr>
                <w:rFonts w:hint="eastAsia" w:ascii="Times New Roman" w:eastAsia="新宋体"/>
                <w:color w:val="auto"/>
                <w:sz w:val="21"/>
                <w:szCs w:val="21"/>
              </w:rPr>
              <w:t>个或以上</w:t>
            </w:r>
          </w:p>
        </w:tc>
      </w:tr>
      <w:tr>
        <w:tblPrEx>
          <w:tblCellMar>
            <w:top w:w="0" w:type="dxa"/>
            <w:left w:w="108" w:type="dxa"/>
            <w:bottom w:w="0" w:type="dxa"/>
            <w:right w:w="108" w:type="dxa"/>
          </w:tblCellMar>
        </w:tblPrEx>
        <w:trPr>
          <w:trHeight w:val="293"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center"/>
              <w:rPr>
                <w:rFonts w:ascii="Times New Roman" w:eastAsia="新宋体"/>
                <w:color w:val="auto"/>
                <w:sz w:val="21"/>
                <w:szCs w:val="21"/>
              </w:rPr>
            </w:pPr>
            <w:r>
              <w:rPr>
                <w:rFonts w:hint="eastAsia" w:ascii="Times New Roman" w:eastAsia="新宋体"/>
                <w:color w:val="auto"/>
                <w:sz w:val="21"/>
                <w:szCs w:val="21"/>
              </w:rPr>
              <w:t>高清数字接口（</w:t>
            </w:r>
            <w:r>
              <w:rPr>
                <w:rFonts w:ascii="Times New Roman" w:eastAsia="新宋体"/>
                <w:color w:val="auto"/>
                <w:sz w:val="21"/>
                <w:szCs w:val="21"/>
              </w:rPr>
              <w:t>HDMI</w:t>
            </w:r>
            <w:r>
              <w:rPr>
                <w:rFonts w:hint="eastAsia" w:ascii="Times New Roman" w:eastAsia="新宋体"/>
                <w:color w:val="auto"/>
                <w:sz w:val="21"/>
                <w:szCs w:val="21"/>
              </w:rPr>
              <w:t>）</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both"/>
              <w:rPr>
                <w:rFonts w:ascii="Times New Roman" w:eastAsia="新宋体"/>
                <w:color w:val="auto"/>
                <w:sz w:val="21"/>
                <w:szCs w:val="21"/>
              </w:rPr>
            </w:pPr>
            <w:r>
              <w:rPr>
                <w:rFonts w:ascii="Times New Roman" w:eastAsia="新宋体"/>
                <w:color w:val="auto"/>
                <w:sz w:val="21"/>
                <w:szCs w:val="21"/>
              </w:rPr>
              <w:t>1</w:t>
            </w:r>
            <w:r>
              <w:rPr>
                <w:rFonts w:hint="eastAsia" w:ascii="Times New Roman" w:eastAsia="新宋体"/>
                <w:color w:val="auto"/>
                <w:sz w:val="21"/>
                <w:szCs w:val="21"/>
              </w:rPr>
              <w:t>个</w:t>
            </w:r>
            <w:r>
              <w:rPr>
                <w:rFonts w:ascii="Times New Roman" w:eastAsia="新宋体"/>
                <w:color w:val="auto"/>
                <w:sz w:val="21"/>
                <w:szCs w:val="21"/>
              </w:rPr>
              <w:t>HDMI</w:t>
            </w:r>
            <w:r>
              <w:rPr>
                <w:rFonts w:hint="eastAsia" w:ascii="Times New Roman" w:eastAsia="新宋体"/>
                <w:color w:val="auto"/>
                <w:sz w:val="21"/>
                <w:szCs w:val="21"/>
              </w:rPr>
              <w:t>接口（标配）</w:t>
            </w:r>
          </w:p>
        </w:tc>
      </w:tr>
      <w:tr>
        <w:tblPrEx>
          <w:tblCellMar>
            <w:top w:w="0" w:type="dxa"/>
            <w:left w:w="108" w:type="dxa"/>
            <w:bottom w:w="0" w:type="dxa"/>
            <w:right w:w="108" w:type="dxa"/>
          </w:tblCellMar>
        </w:tblPrEx>
        <w:trPr>
          <w:trHeight w:val="293"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center"/>
              <w:rPr>
                <w:rFonts w:ascii="Times New Roman" w:eastAsia="新宋体"/>
                <w:color w:val="auto"/>
                <w:sz w:val="21"/>
                <w:szCs w:val="21"/>
              </w:rPr>
            </w:pPr>
            <w:r>
              <w:rPr>
                <w:rFonts w:hint="eastAsia" w:ascii="Times New Roman" w:eastAsia="新宋体"/>
                <w:color w:val="auto"/>
                <w:sz w:val="21"/>
                <w:szCs w:val="21"/>
              </w:rPr>
              <w:t>后面板</w:t>
            </w:r>
            <w:r>
              <w:rPr>
                <w:rFonts w:ascii="Times New Roman" w:eastAsia="新宋体"/>
                <w:color w:val="auto"/>
                <w:sz w:val="21"/>
                <w:szCs w:val="21"/>
              </w:rPr>
              <w:t>USB</w:t>
            </w:r>
            <w:r>
              <w:rPr>
                <w:rFonts w:hint="eastAsia" w:ascii="Times New Roman" w:eastAsia="新宋体"/>
                <w:color w:val="auto"/>
                <w:sz w:val="21"/>
                <w:szCs w:val="21"/>
              </w:rPr>
              <w:t>接口</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both"/>
              <w:rPr>
                <w:rFonts w:ascii="Times New Roman" w:eastAsia="新宋体"/>
                <w:color w:val="auto"/>
                <w:sz w:val="21"/>
                <w:szCs w:val="21"/>
              </w:rPr>
            </w:pPr>
            <w:r>
              <w:rPr>
                <w:rFonts w:ascii="Times New Roman" w:eastAsia="新宋体"/>
                <w:color w:val="auto"/>
                <w:sz w:val="21"/>
                <w:szCs w:val="21"/>
              </w:rPr>
              <w:t>1</w:t>
            </w:r>
            <w:r>
              <w:rPr>
                <w:rFonts w:hint="eastAsia" w:ascii="Times New Roman" w:eastAsia="新宋体"/>
                <w:color w:val="auto"/>
                <w:sz w:val="21"/>
                <w:szCs w:val="21"/>
              </w:rPr>
              <w:t>个</w:t>
            </w:r>
            <w:r>
              <w:rPr>
                <w:rFonts w:ascii="Times New Roman" w:eastAsia="新宋体"/>
                <w:color w:val="auto"/>
                <w:sz w:val="21"/>
                <w:szCs w:val="21"/>
              </w:rPr>
              <w:t>USB</w:t>
            </w:r>
            <w:r>
              <w:rPr>
                <w:rFonts w:hint="eastAsia" w:ascii="Times New Roman" w:eastAsia="新宋体"/>
                <w:color w:val="auto"/>
                <w:sz w:val="21"/>
                <w:szCs w:val="21"/>
              </w:rPr>
              <w:t>接口（标配）</w:t>
            </w:r>
          </w:p>
        </w:tc>
      </w:tr>
      <w:tr>
        <w:tblPrEx>
          <w:tblCellMar>
            <w:top w:w="0" w:type="dxa"/>
            <w:left w:w="108" w:type="dxa"/>
            <w:bottom w:w="0" w:type="dxa"/>
            <w:right w:w="108" w:type="dxa"/>
          </w:tblCellMar>
        </w:tblPrEx>
        <w:trPr>
          <w:trHeight w:val="293"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center"/>
              <w:rPr>
                <w:rFonts w:ascii="Times New Roman" w:eastAsia="新宋体"/>
                <w:color w:val="auto"/>
                <w:sz w:val="21"/>
                <w:szCs w:val="21"/>
              </w:rPr>
            </w:pPr>
            <w:r>
              <w:rPr>
                <w:rFonts w:hint="eastAsia" w:ascii="Times New Roman" w:eastAsia="新宋体"/>
                <w:color w:val="auto"/>
                <w:sz w:val="21"/>
                <w:szCs w:val="21"/>
              </w:rPr>
              <w:t>后面板</w:t>
            </w:r>
            <w:r>
              <w:rPr>
                <w:rFonts w:ascii="Times New Roman" w:eastAsia="新宋体"/>
                <w:color w:val="auto"/>
                <w:sz w:val="21"/>
                <w:szCs w:val="21"/>
              </w:rPr>
              <w:t>SPDIF</w:t>
            </w:r>
            <w:r>
              <w:rPr>
                <w:rFonts w:hint="eastAsia" w:ascii="Times New Roman" w:eastAsia="新宋体"/>
                <w:color w:val="auto"/>
                <w:sz w:val="21"/>
                <w:szCs w:val="21"/>
              </w:rPr>
              <w:t>接口</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both"/>
              <w:rPr>
                <w:rFonts w:ascii="Times New Roman" w:eastAsia="新宋体"/>
                <w:color w:val="auto"/>
                <w:sz w:val="21"/>
                <w:szCs w:val="21"/>
              </w:rPr>
            </w:pPr>
            <w:r>
              <w:rPr>
                <w:rFonts w:ascii="Times New Roman" w:eastAsia="新宋体"/>
                <w:color w:val="auto"/>
                <w:sz w:val="21"/>
                <w:szCs w:val="21"/>
              </w:rPr>
              <w:t>1</w:t>
            </w:r>
            <w:r>
              <w:rPr>
                <w:rFonts w:hint="eastAsia" w:ascii="Times New Roman" w:eastAsia="新宋体"/>
                <w:color w:val="auto"/>
                <w:sz w:val="21"/>
                <w:szCs w:val="21"/>
              </w:rPr>
              <w:t>个光纤</w:t>
            </w:r>
            <w:r>
              <w:rPr>
                <w:rFonts w:ascii="Times New Roman" w:eastAsia="新宋体"/>
                <w:color w:val="auto"/>
                <w:sz w:val="21"/>
                <w:szCs w:val="21"/>
              </w:rPr>
              <w:t>SPDIF</w:t>
            </w:r>
            <w:r>
              <w:rPr>
                <w:rFonts w:hint="eastAsia" w:ascii="Times New Roman" w:eastAsia="新宋体"/>
                <w:color w:val="auto"/>
                <w:sz w:val="21"/>
                <w:szCs w:val="21"/>
              </w:rPr>
              <w:t>接口（选配）</w:t>
            </w:r>
          </w:p>
        </w:tc>
      </w:tr>
      <w:tr>
        <w:tblPrEx>
          <w:tblCellMar>
            <w:top w:w="0" w:type="dxa"/>
            <w:left w:w="108" w:type="dxa"/>
            <w:bottom w:w="0" w:type="dxa"/>
            <w:right w:w="108" w:type="dxa"/>
          </w:tblCellMar>
        </w:tblPrEx>
        <w:trPr>
          <w:trHeight w:val="293"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center"/>
              <w:rPr>
                <w:rFonts w:ascii="Times New Roman" w:eastAsia="新宋体"/>
                <w:color w:val="auto"/>
                <w:sz w:val="21"/>
                <w:szCs w:val="21"/>
              </w:rPr>
            </w:pPr>
            <w:r>
              <w:rPr>
                <w:rFonts w:hint="eastAsia" w:ascii="Times New Roman" w:eastAsia="新宋体"/>
                <w:color w:val="auto"/>
                <w:sz w:val="21"/>
                <w:szCs w:val="21"/>
              </w:rPr>
              <w:t>红外功能接口</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both"/>
              <w:rPr>
                <w:rFonts w:ascii="Times New Roman" w:eastAsia="新宋体"/>
                <w:color w:val="auto"/>
                <w:sz w:val="21"/>
                <w:szCs w:val="21"/>
              </w:rPr>
            </w:pPr>
            <w:r>
              <w:rPr>
                <w:rFonts w:hint="eastAsia" w:ascii="Times New Roman" w:eastAsia="新宋体"/>
                <w:color w:val="auto"/>
                <w:sz w:val="21"/>
                <w:szCs w:val="21"/>
              </w:rPr>
              <w:t>物理红外接口（φ</w:t>
            </w:r>
            <w:r>
              <w:rPr>
                <w:rFonts w:ascii="Times New Roman" w:eastAsia="新宋体"/>
                <w:color w:val="auto"/>
                <w:sz w:val="21"/>
                <w:szCs w:val="21"/>
              </w:rPr>
              <w:t>3.5mm</w:t>
            </w:r>
            <w:r>
              <w:rPr>
                <w:rFonts w:hint="eastAsia" w:ascii="Times New Roman" w:eastAsia="新宋体"/>
                <w:color w:val="auto"/>
                <w:sz w:val="21"/>
                <w:szCs w:val="21"/>
              </w:rPr>
              <w:t>耳机插孔，中标后按宁海现有红外接收头接线排序）</w:t>
            </w:r>
          </w:p>
        </w:tc>
      </w:tr>
      <w:tr>
        <w:tblPrEx>
          <w:tblCellMar>
            <w:top w:w="0" w:type="dxa"/>
            <w:left w:w="108" w:type="dxa"/>
            <w:bottom w:w="0" w:type="dxa"/>
            <w:right w:w="108" w:type="dxa"/>
          </w:tblCellMar>
        </w:tblPrEx>
        <w:trPr>
          <w:trHeight w:val="293"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center"/>
              <w:rPr>
                <w:rFonts w:ascii="Times New Roman" w:eastAsia="新宋体"/>
                <w:color w:val="auto"/>
                <w:sz w:val="21"/>
                <w:szCs w:val="21"/>
              </w:rPr>
            </w:pPr>
            <w:r>
              <w:rPr>
                <w:rFonts w:hint="eastAsia" w:ascii="Times New Roman" w:eastAsia="新宋体"/>
                <w:color w:val="auto"/>
                <w:sz w:val="21"/>
                <w:szCs w:val="21"/>
              </w:rPr>
              <w:t>电源要求</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both"/>
              <w:rPr>
                <w:rFonts w:ascii="Times New Roman" w:eastAsia="新宋体"/>
                <w:color w:val="auto"/>
                <w:sz w:val="21"/>
                <w:szCs w:val="21"/>
              </w:rPr>
            </w:pPr>
            <w:r>
              <w:rPr>
                <w:rFonts w:ascii="Times New Roman" w:eastAsia="新宋体"/>
                <w:color w:val="auto"/>
                <w:sz w:val="21"/>
                <w:szCs w:val="21"/>
              </w:rPr>
              <w:t>1</w:t>
            </w:r>
            <w:r>
              <w:rPr>
                <w:rFonts w:hint="eastAsia" w:ascii="Times New Roman" w:eastAsia="新宋体"/>
                <w:color w:val="auto"/>
                <w:sz w:val="21"/>
                <w:szCs w:val="21"/>
              </w:rPr>
              <w:t>个</w:t>
            </w:r>
            <w:r>
              <w:rPr>
                <w:rFonts w:ascii="Times New Roman" w:eastAsia="新宋体"/>
                <w:color w:val="auto"/>
                <w:sz w:val="21"/>
                <w:szCs w:val="21"/>
              </w:rPr>
              <w:t>AC</w:t>
            </w:r>
            <w:r>
              <w:rPr>
                <w:rFonts w:hint="eastAsia" w:ascii="Times New Roman" w:eastAsia="新宋体"/>
                <w:color w:val="auto"/>
                <w:sz w:val="21"/>
                <w:szCs w:val="21"/>
              </w:rPr>
              <w:t>。内置或外置，电源插头可以按照招标方要求按批次使用</w:t>
            </w:r>
            <w:r>
              <w:rPr>
                <w:rFonts w:ascii="Times New Roman" w:eastAsia="新宋体"/>
                <w:color w:val="auto"/>
                <w:sz w:val="21"/>
                <w:szCs w:val="21"/>
              </w:rPr>
              <w:t>2</w:t>
            </w:r>
            <w:r>
              <w:rPr>
                <w:rFonts w:hint="eastAsia" w:ascii="Times New Roman" w:eastAsia="新宋体"/>
                <w:color w:val="auto"/>
                <w:sz w:val="21"/>
                <w:szCs w:val="21"/>
              </w:rPr>
              <w:t>芯插头或</w:t>
            </w:r>
            <w:r>
              <w:rPr>
                <w:rFonts w:ascii="Times New Roman" w:eastAsia="新宋体"/>
                <w:color w:val="auto"/>
                <w:sz w:val="21"/>
                <w:szCs w:val="21"/>
              </w:rPr>
              <w:t>3</w:t>
            </w:r>
            <w:r>
              <w:rPr>
                <w:rFonts w:hint="eastAsia" w:ascii="Times New Roman" w:eastAsia="新宋体"/>
                <w:color w:val="auto"/>
                <w:sz w:val="21"/>
                <w:szCs w:val="21"/>
              </w:rPr>
              <w:t>芯插头。要求外置电源无故障使用寿命</w:t>
            </w:r>
            <w:r>
              <w:rPr>
                <w:rFonts w:ascii="Times New Roman" w:eastAsia="新宋体"/>
                <w:color w:val="auto"/>
                <w:sz w:val="21"/>
                <w:szCs w:val="21"/>
              </w:rPr>
              <w:t>30000</w:t>
            </w:r>
            <w:r>
              <w:rPr>
                <w:rFonts w:hint="eastAsia" w:ascii="Times New Roman" w:eastAsia="新宋体"/>
                <w:color w:val="auto"/>
                <w:sz w:val="21"/>
                <w:szCs w:val="21"/>
              </w:rPr>
              <w:t>小时以上。</w:t>
            </w:r>
          </w:p>
        </w:tc>
      </w:tr>
      <w:tr>
        <w:tblPrEx>
          <w:tblCellMar>
            <w:top w:w="0" w:type="dxa"/>
            <w:left w:w="108" w:type="dxa"/>
            <w:bottom w:w="0" w:type="dxa"/>
            <w:right w:w="108" w:type="dxa"/>
          </w:tblCellMar>
        </w:tblPrEx>
        <w:trPr>
          <w:trHeight w:val="293"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center"/>
              <w:rPr>
                <w:rFonts w:ascii="Times New Roman" w:eastAsia="新宋体"/>
                <w:color w:val="auto"/>
                <w:sz w:val="21"/>
                <w:szCs w:val="21"/>
              </w:rPr>
            </w:pPr>
            <w:r>
              <w:rPr>
                <w:rFonts w:hint="eastAsia" w:ascii="Times New Roman" w:eastAsia="新宋体"/>
                <w:color w:val="auto"/>
                <w:sz w:val="21"/>
                <w:szCs w:val="21"/>
              </w:rPr>
              <w:t>待机方式要求</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both"/>
              <w:rPr>
                <w:rFonts w:ascii="Times New Roman" w:eastAsia="新宋体"/>
                <w:color w:val="auto"/>
                <w:sz w:val="21"/>
                <w:szCs w:val="21"/>
              </w:rPr>
            </w:pPr>
            <w:r>
              <w:rPr>
                <w:rFonts w:hint="eastAsia" w:ascii="Times New Roman" w:eastAsia="新宋体"/>
                <w:color w:val="auto"/>
                <w:sz w:val="21"/>
                <w:szCs w:val="21"/>
              </w:rPr>
              <w:t>真待机方式。</w:t>
            </w:r>
          </w:p>
        </w:tc>
      </w:tr>
      <w:tr>
        <w:tblPrEx>
          <w:tblCellMar>
            <w:top w:w="0" w:type="dxa"/>
            <w:left w:w="108" w:type="dxa"/>
            <w:bottom w:w="0" w:type="dxa"/>
            <w:right w:w="108" w:type="dxa"/>
          </w:tblCellMar>
        </w:tblPrEx>
        <w:trPr>
          <w:trHeight w:val="90"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jc w:val="center"/>
              <w:rPr>
                <w:rFonts w:ascii="Times New Roman" w:eastAsia="新宋体"/>
                <w:color w:val="auto"/>
                <w:sz w:val="21"/>
                <w:szCs w:val="21"/>
              </w:rPr>
            </w:pPr>
            <w:r>
              <w:rPr>
                <w:rFonts w:hint="eastAsia" w:ascii="Times New Roman" w:eastAsia="新宋体"/>
                <w:color w:val="auto"/>
                <w:sz w:val="21"/>
                <w:szCs w:val="21"/>
              </w:rPr>
              <w:t>外观要求</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jc w:val="both"/>
              <w:rPr>
                <w:rFonts w:ascii="Times New Roman" w:eastAsia="新宋体"/>
                <w:color w:val="auto"/>
                <w:sz w:val="21"/>
                <w:szCs w:val="21"/>
              </w:rPr>
            </w:pPr>
            <w:r>
              <w:rPr>
                <w:rFonts w:hint="eastAsia" w:ascii="Times New Roman" w:eastAsia="新宋体"/>
                <w:color w:val="auto"/>
                <w:sz w:val="21"/>
                <w:szCs w:val="21"/>
              </w:rPr>
              <w:t>说明其设备的散热方式，设备的冷却优选自然通风散热方式。设备发热应小，足以保证设备能够在较封闭，不通风环境下长期稳定运行。并要求提供在液晶电视后背隐藏安装的解决方案。</w:t>
            </w:r>
          </w:p>
        </w:tc>
      </w:tr>
      <w:tr>
        <w:tblPrEx>
          <w:tblCellMar>
            <w:top w:w="0" w:type="dxa"/>
            <w:left w:w="108" w:type="dxa"/>
            <w:bottom w:w="0" w:type="dxa"/>
            <w:right w:w="108" w:type="dxa"/>
          </w:tblCellMar>
        </w:tblPrEx>
        <w:trPr>
          <w:trHeight w:val="90"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jc w:val="center"/>
              <w:rPr>
                <w:rFonts w:ascii="Times New Roman" w:eastAsia="新宋体"/>
                <w:color w:val="auto"/>
                <w:sz w:val="21"/>
                <w:szCs w:val="21"/>
              </w:rPr>
            </w:pPr>
            <w:r>
              <w:rPr>
                <w:rFonts w:hint="eastAsia" w:ascii="Times New Roman" w:eastAsia="新宋体"/>
                <w:color w:val="auto"/>
                <w:sz w:val="21"/>
                <w:szCs w:val="21"/>
              </w:rPr>
              <w:t>外壳要求</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jc w:val="both"/>
              <w:rPr>
                <w:rFonts w:ascii="Times New Roman" w:eastAsia="新宋体"/>
                <w:color w:val="auto"/>
                <w:sz w:val="21"/>
                <w:szCs w:val="21"/>
              </w:rPr>
            </w:pPr>
            <w:r>
              <w:rPr>
                <w:rFonts w:hint="eastAsia" w:ascii="Times New Roman" w:eastAsia="新宋体"/>
                <w:color w:val="auto"/>
                <w:sz w:val="21"/>
                <w:szCs w:val="21"/>
              </w:rPr>
              <w:t>必须为金属外壳或者</w:t>
            </w:r>
            <w:r>
              <w:rPr>
                <w:rFonts w:ascii="Times New Roman" w:eastAsia="新宋体"/>
                <w:color w:val="auto"/>
                <w:sz w:val="21"/>
                <w:szCs w:val="21"/>
              </w:rPr>
              <w:t>V-0阻燃等级的塑料外壳。</w:t>
            </w:r>
          </w:p>
        </w:tc>
      </w:tr>
      <w:tr>
        <w:tblPrEx>
          <w:tblCellMar>
            <w:top w:w="0" w:type="dxa"/>
            <w:left w:w="108" w:type="dxa"/>
            <w:bottom w:w="0" w:type="dxa"/>
            <w:right w:w="108" w:type="dxa"/>
          </w:tblCellMar>
        </w:tblPrEx>
        <w:trPr>
          <w:trHeight w:val="90"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jc w:val="center"/>
              <w:rPr>
                <w:rFonts w:ascii="Times New Roman" w:eastAsia="新宋体"/>
                <w:color w:val="auto"/>
                <w:sz w:val="21"/>
                <w:szCs w:val="21"/>
              </w:rPr>
            </w:pPr>
            <w:r>
              <w:rPr>
                <w:rFonts w:hint="eastAsia" w:ascii="Times New Roman" w:eastAsia="新宋体"/>
                <w:color w:val="auto"/>
                <w:sz w:val="21"/>
                <w:szCs w:val="21"/>
              </w:rPr>
              <w:t>隔离要求</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jc w:val="both"/>
              <w:rPr>
                <w:rFonts w:ascii="Times New Roman" w:eastAsia="新宋体"/>
                <w:color w:val="auto"/>
                <w:sz w:val="21"/>
                <w:szCs w:val="21"/>
              </w:rPr>
            </w:pPr>
            <w:r>
              <w:rPr>
                <w:rFonts w:hint="eastAsia" w:ascii="Times New Roman" w:eastAsia="新宋体"/>
                <w:color w:val="auto"/>
                <w:sz w:val="21"/>
                <w:szCs w:val="21"/>
              </w:rPr>
              <w:t>机顶盒地线和有线电视外线地之间必须采用双隔离。隔离耐压大于直流</w:t>
            </w:r>
            <w:r>
              <w:rPr>
                <w:rFonts w:ascii="Times New Roman" w:eastAsia="新宋体"/>
                <w:color w:val="auto"/>
                <w:sz w:val="21"/>
                <w:szCs w:val="21"/>
              </w:rPr>
              <w:t>2000V</w:t>
            </w:r>
            <w:r>
              <w:rPr>
                <w:rFonts w:hint="eastAsia" w:ascii="Times New Roman" w:eastAsia="新宋体"/>
                <w:color w:val="auto"/>
                <w:sz w:val="21"/>
                <w:szCs w:val="21"/>
              </w:rPr>
              <w:t>。</w:t>
            </w:r>
          </w:p>
        </w:tc>
      </w:tr>
      <w:tr>
        <w:tblPrEx>
          <w:tblCellMar>
            <w:top w:w="0" w:type="dxa"/>
            <w:left w:w="108" w:type="dxa"/>
            <w:bottom w:w="0" w:type="dxa"/>
            <w:right w:w="108" w:type="dxa"/>
          </w:tblCellMar>
        </w:tblPrEx>
        <w:trPr>
          <w:trHeight w:val="293" w:hRule="atLeast"/>
        </w:trPr>
        <w:tc>
          <w:tcPr>
            <w:tcW w:w="2985" w:type="dxa"/>
            <w:tcBorders>
              <w:top w:val="single" w:color="000000" w:sz="8" w:space="0"/>
              <w:left w:val="single" w:color="000000" w:sz="8" w:space="0"/>
              <w:bottom w:val="single" w:color="000000" w:sz="8" w:space="0"/>
              <w:right w:val="single" w:color="000000" w:sz="8" w:space="0"/>
            </w:tcBorders>
            <w:noWrap w:val="0"/>
            <w:vAlign w:val="center"/>
          </w:tcPr>
          <w:p>
            <w:pPr>
              <w:pStyle w:val="77"/>
              <w:spacing w:before="93" w:beforeLines="30" w:after="93" w:afterLines="30"/>
              <w:jc w:val="center"/>
              <w:rPr>
                <w:rFonts w:ascii="Times New Roman" w:eastAsia="新宋体"/>
                <w:color w:val="auto"/>
                <w:sz w:val="21"/>
                <w:szCs w:val="21"/>
              </w:rPr>
            </w:pPr>
            <w:r>
              <w:rPr>
                <w:rFonts w:hint="eastAsia" w:ascii="Times New Roman" w:eastAsia="新宋体"/>
                <w:color w:val="auto"/>
                <w:sz w:val="21"/>
                <w:szCs w:val="21"/>
              </w:rPr>
              <w:t>遥控器码值要求</w:t>
            </w:r>
          </w:p>
        </w:tc>
        <w:tc>
          <w:tcPr>
            <w:tcW w:w="6195" w:type="dxa"/>
            <w:tcBorders>
              <w:top w:val="single" w:color="000000" w:sz="8" w:space="0"/>
              <w:left w:val="single" w:color="000000" w:sz="8" w:space="0"/>
              <w:bottom w:val="single" w:color="000000" w:sz="8" w:space="0"/>
              <w:right w:val="single" w:color="000000" w:sz="8" w:space="0"/>
            </w:tcBorders>
            <w:noWrap w:val="0"/>
            <w:vAlign w:val="center"/>
          </w:tcPr>
          <w:p>
            <w:pPr>
              <w:pStyle w:val="77"/>
              <w:jc w:val="both"/>
              <w:rPr>
                <w:rFonts w:ascii="Times New Roman" w:eastAsia="新宋体"/>
                <w:color w:val="auto"/>
                <w:sz w:val="21"/>
                <w:szCs w:val="21"/>
              </w:rPr>
            </w:pPr>
            <w:r>
              <w:rPr>
                <w:rFonts w:hint="eastAsia" w:ascii="Times New Roman" w:eastAsia="新宋体"/>
                <w:color w:val="auto"/>
                <w:sz w:val="21"/>
                <w:szCs w:val="21"/>
              </w:rPr>
              <w:t>需集成</w:t>
            </w:r>
            <w:r>
              <w:rPr>
                <w:rFonts w:ascii="Times New Roman" w:eastAsia="新宋体"/>
                <w:color w:val="auto"/>
                <w:sz w:val="21"/>
                <w:szCs w:val="21"/>
              </w:rPr>
              <w:t>2</w:t>
            </w:r>
            <w:r>
              <w:rPr>
                <w:rFonts w:hint="eastAsia" w:ascii="Times New Roman" w:eastAsia="新宋体"/>
                <w:color w:val="auto"/>
                <w:sz w:val="21"/>
                <w:szCs w:val="21"/>
              </w:rPr>
              <w:t>套码值，一套为主码值，另一套备用码值（请见下面附录）</w:t>
            </w:r>
          </w:p>
        </w:tc>
      </w:tr>
    </w:tbl>
    <w:p>
      <w:pPr>
        <w:pStyle w:val="9"/>
        <w:spacing w:line="360" w:lineRule="auto"/>
        <w:ind w:firstLine="0"/>
        <w:rPr>
          <w:rFonts w:hint="eastAsia" w:hAnsi="宋体"/>
          <w:b/>
          <w:bCs/>
          <w:sz w:val="21"/>
          <w:szCs w:val="21"/>
        </w:rPr>
      </w:pPr>
    </w:p>
    <w:p>
      <w:pPr>
        <w:pStyle w:val="9"/>
        <w:spacing w:line="360" w:lineRule="auto"/>
        <w:rPr>
          <w:rFonts w:hAnsi="宋体"/>
          <w:b/>
          <w:bCs/>
          <w:sz w:val="21"/>
          <w:szCs w:val="21"/>
        </w:rPr>
      </w:pPr>
      <w:r>
        <w:rPr>
          <w:rFonts w:hint="eastAsia" w:hAnsi="宋体"/>
          <w:b/>
          <w:bCs/>
          <w:sz w:val="21"/>
          <w:szCs w:val="21"/>
        </w:rPr>
        <w:t>参加本次招标的数字电视机顶盒除机顶盒主机（含电源线）外，必须包含以下配件：</w:t>
      </w:r>
    </w:p>
    <w:tbl>
      <w:tblPr>
        <w:tblStyle w:val="25"/>
        <w:tblW w:w="92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780"/>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noWrap w:val="0"/>
            <w:vAlign w:val="top"/>
          </w:tcPr>
          <w:p/>
        </w:tc>
        <w:tc>
          <w:tcPr>
            <w:tcW w:w="3780" w:type="dxa"/>
            <w:noWrap w:val="0"/>
            <w:vAlign w:val="center"/>
          </w:tcPr>
          <w:p>
            <w:pPr>
              <w:jc w:val="center"/>
              <w:rPr>
                <w:b/>
              </w:rPr>
            </w:pPr>
            <w:r>
              <w:rPr>
                <w:rFonts w:hint="eastAsia"/>
                <w:b/>
              </w:rPr>
              <w:t>配件</w:t>
            </w:r>
          </w:p>
        </w:tc>
        <w:tc>
          <w:tcPr>
            <w:tcW w:w="4536" w:type="dxa"/>
            <w:noWrap w:val="0"/>
            <w:vAlign w:val="center"/>
          </w:tcPr>
          <w:p>
            <w:pPr>
              <w:jc w:val="center"/>
              <w:rPr>
                <w:b/>
              </w:rPr>
            </w:pPr>
            <w:r>
              <w:rPr>
                <w:rFonts w:hint="eastAsia"/>
                <w:b/>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0" w:type="dxa"/>
            <w:vMerge w:val="restart"/>
            <w:noWrap w:val="0"/>
            <w:vAlign w:val="center"/>
          </w:tcPr>
          <w:p>
            <w:pPr>
              <w:jc w:val="right"/>
            </w:pPr>
            <w:r>
              <w:rPr>
                <w:rFonts w:hint="eastAsia"/>
              </w:rPr>
              <w:t>标配</w:t>
            </w:r>
          </w:p>
        </w:tc>
        <w:tc>
          <w:tcPr>
            <w:tcW w:w="3780" w:type="dxa"/>
            <w:noWrap w:val="0"/>
            <w:vAlign w:val="top"/>
          </w:tcPr>
          <w:p>
            <w:r>
              <w:rPr>
                <w:rFonts w:hint="eastAsia"/>
              </w:rPr>
              <w:t>音频线</w:t>
            </w:r>
          </w:p>
        </w:tc>
        <w:tc>
          <w:tcPr>
            <w:tcW w:w="4536" w:type="dxa"/>
            <w:vMerge w:val="restart"/>
            <w:noWrap w:val="0"/>
            <w:vAlign w:val="center"/>
          </w:tcPr>
          <w:p>
            <w:pPr>
              <w:jc w:val="center"/>
            </w:pPr>
            <w:r>
              <w:t>1</w:t>
            </w:r>
            <w:r>
              <w:rPr>
                <w:rFonts w:hint="eastAsia"/>
              </w:rPr>
              <w:t>条（</w:t>
            </w:r>
            <w:r>
              <w:rPr>
                <w:rFonts w:hint="eastAsia" w:ascii="宋体" w:hAnsi="宋体"/>
                <w:bCs/>
              </w:rPr>
              <w:t>≥</w:t>
            </w:r>
            <w:r>
              <w:rPr>
                <w:rFonts w:ascii="宋体" w:hAnsi="宋体"/>
                <w:bCs/>
              </w:rPr>
              <w:t>1.5</w:t>
            </w:r>
            <w:r>
              <w:rPr>
                <w:rFonts w:hint="eastAsia" w:ascii="宋体" w:hAnsi="宋体"/>
                <w:bCs/>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0" w:type="dxa"/>
            <w:vMerge w:val="continue"/>
            <w:noWrap w:val="0"/>
            <w:vAlign w:val="top"/>
          </w:tcPr>
          <w:p/>
        </w:tc>
        <w:tc>
          <w:tcPr>
            <w:tcW w:w="3780" w:type="dxa"/>
            <w:noWrap w:val="0"/>
            <w:vAlign w:val="top"/>
          </w:tcPr>
          <w:p>
            <w:r>
              <w:rPr>
                <w:rFonts w:hint="eastAsia"/>
              </w:rPr>
              <w:t>视频线</w:t>
            </w:r>
          </w:p>
        </w:tc>
        <w:tc>
          <w:tcPr>
            <w:tcW w:w="4536" w:type="dxa"/>
            <w:vMerge w:val="continue"/>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0" w:type="dxa"/>
            <w:vMerge w:val="continue"/>
            <w:noWrap w:val="0"/>
            <w:vAlign w:val="top"/>
          </w:tcPr>
          <w:p/>
        </w:tc>
        <w:tc>
          <w:tcPr>
            <w:tcW w:w="3780" w:type="dxa"/>
            <w:noWrap w:val="0"/>
            <w:vAlign w:val="top"/>
          </w:tcPr>
          <w:p>
            <w:r>
              <w:rPr>
                <w:rFonts w:hint="eastAsia"/>
              </w:rPr>
              <w:t>射频线</w:t>
            </w:r>
          </w:p>
        </w:tc>
        <w:tc>
          <w:tcPr>
            <w:tcW w:w="4536" w:type="dxa"/>
            <w:noWrap w:val="0"/>
            <w:vAlign w:val="center"/>
          </w:tcPr>
          <w:p>
            <w:pPr>
              <w:jc w:val="center"/>
            </w:pPr>
            <w:r>
              <w:t>1</w:t>
            </w:r>
            <w:r>
              <w:rPr>
                <w:rFonts w:hint="eastAsia"/>
              </w:rPr>
              <w:t>条（</w:t>
            </w:r>
            <w:r>
              <w:rPr>
                <w:rFonts w:ascii="宋体" w:hAnsi="宋体"/>
                <w:bCs/>
              </w:rPr>
              <w:t>1.5</w:t>
            </w:r>
            <w:r>
              <w:rPr>
                <w:rFonts w:hint="eastAsia" w:ascii="宋体" w:hAnsi="宋体"/>
                <w:bCs/>
              </w:rPr>
              <w:t>米，内导体要求必须为纯铜）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0" w:type="dxa"/>
            <w:vMerge w:val="continue"/>
            <w:noWrap w:val="0"/>
            <w:vAlign w:val="top"/>
          </w:tcPr>
          <w:p/>
        </w:tc>
        <w:tc>
          <w:tcPr>
            <w:tcW w:w="3780" w:type="dxa"/>
            <w:noWrap w:val="0"/>
            <w:vAlign w:val="top"/>
          </w:tcPr>
          <w:p>
            <w:r>
              <w:t>HDMI</w:t>
            </w:r>
            <w:r>
              <w:rPr>
                <w:rFonts w:hint="eastAsia"/>
              </w:rPr>
              <w:t>视频线</w:t>
            </w:r>
          </w:p>
        </w:tc>
        <w:tc>
          <w:tcPr>
            <w:tcW w:w="4536" w:type="dxa"/>
            <w:noWrap w:val="0"/>
            <w:vAlign w:val="center"/>
          </w:tcPr>
          <w:p>
            <w:pPr>
              <w:jc w:val="center"/>
            </w:pPr>
            <w:r>
              <w:t>1</w:t>
            </w:r>
            <w:r>
              <w:rPr>
                <w:rFonts w:hint="eastAsia"/>
              </w:rPr>
              <w:t>根（</w:t>
            </w:r>
            <w:r>
              <w:rPr>
                <w:rFonts w:hint="eastAsia" w:ascii="宋体" w:hAnsi="宋体"/>
                <w:bCs/>
              </w:rPr>
              <w:t>≥</w:t>
            </w:r>
            <w:r>
              <w:rPr>
                <w:rFonts w:ascii="宋体" w:hAnsi="宋体"/>
                <w:bCs/>
              </w:rPr>
              <w:t>1.5</w:t>
            </w:r>
            <w:r>
              <w:rPr>
                <w:rFonts w:hint="eastAsia"/>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00" w:type="dxa"/>
            <w:vMerge w:val="continue"/>
            <w:noWrap w:val="0"/>
            <w:vAlign w:val="top"/>
          </w:tcPr>
          <w:p/>
        </w:tc>
        <w:tc>
          <w:tcPr>
            <w:tcW w:w="3780" w:type="dxa"/>
            <w:noWrap w:val="0"/>
            <w:vAlign w:val="top"/>
          </w:tcPr>
          <w:p>
            <w:r>
              <w:rPr>
                <w:rFonts w:hint="eastAsia"/>
              </w:rPr>
              <w:t>产品使用中文说明书</w:t>
            </w:r>
          </w:p>
        </w:tc>
        <w:tc>
          <w:tcPr>
            <w:tcW w:w="4536" w:type="dxa"/>
            <w:noWrap w:val="0"/>
            <w:vAlign w:val="center"/>
          </w:tcPr>
          <w:p>
            <w:pPr>
              <w:jc w:val="center"/>
            </w:pPr>
            <w:r>
              <w:t>1</w:t>
            </w:r>
            <w:r>
              <w:rPr>
                <w:rFonts w:hint="eastAsia"/>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00" w:type="dxa"/>
            <w:vMerge w:val="continue"/>
            <w:noWrap w:val="0"/>
            <w:vAlign w:val="top"/>
          </w:tcPr>
          <w:p/>
        </w:tc>
        <w:tc>
          <w:tcPr>
            <w:tcW w:w="3780" w:type="dxa"/>
            <w:noWrap w:val="0"/>
            <w:vAlign w:val="top"/>
          </w:tcPr>
          <w:p>
            <w:r>
              <w:rPr>
                <w:rFonts w:hint="eastAsia"/>
              </w:rPr>
              <w:t>保修卡</w:t>
            </w:r>
          </w:p>
        </w:tc>
        <w:tc>
          <w:tcPr>
            <w:tcW w:w="4536" w:type="dxa"/>
            <w:noWrap w:val="0"/>
            <w:vAlign w:val="center"/>
          </w:tcPr>
          <w:p>
            <w:pPr>
              <w:jc w:val="center"/>
            </w:pPr>
            <w:r>
              <w:t>1</w:t>
            </w:r>
            <w:r>
              <w:rPr>
                <w:rFonts w:hint="eastAsi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00" w:type="dxa"/>
            <w:vMerge w:val="continue"/>
            <w:noWrap w:val="0"/>
            <w:vAlign w:val="top"/>
          </w:tcPr>
          <w:p/>
        </w:tc>
        <w:tc>
          <w:tcPr>
            <w:tcW w:w="3780" w:type="dxa"/>
            <w:noWrap w:val="0"/>
            <w:vAlign w:val="top"/>
          </w:tcPr>
          <w:p>
            <w:r>
              <w:rPr>
                <w:rFonts w:hint="eastAsia"/>
              </w:rPr>
              <w:t>产品合格证</w:t>
            </w:r>
          </w:p>
        </w:tc>
        <w:tc>
          <w:tcPr>
            <w:tcW w:w="4536" w:type="dxa"/>
            <w:noWrap w:val="0"/>
            <w:vAlign w:val="center"/>
          </w:tcPr>
          <w:p>
            <w:pPr>
              <w:jc w:val="center"/>
            </w:pPr>
            <w:r>
              <w:t>1</w:t>
            </w:r>
            <w:r>
              <w:rPr>
                <w:rFonts w:hint="eastAsia"/>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00" w:type="dxa"/>
            <w:vMerge w:val="continue"/>
            <w:noWrap w:val="0"/>
            <w:vAlign w:val="top"/>
          </w:tcPr>
          <w:p/>
        </w:tc>
        <w:tc>
          <w:tcPr>
            <w:tcW w:w="3780" w:type="dxa"/>
            <w:noWrap w:val="0"/>
            <w:vAlign w:val="top"/>
          </w:tcPr>
          <w:p>
            <w:r>
              <w:rPr>
                <w:rFonts w:hint="eastAsia" w:ascii="宋体" w:hAnsi="宋体"/>
              </w:rPr>
              <w:t>不干胶条形码（机顶盒序列号）</w:t>
            </w:r>
          </w:p>
        </w:tc>
        <w:tc>
          <w:tcPr>
            <w:tcW w:w="4536" w:type="dxa"/>
            <w:noWrap w:val="0"/>
            <w:vAlign w:val="center"/>
          </w:tcPr>
          <w:p>
            <w:pPr>
              <w:jc w:val="center"/>
            </w:pPr>
            <w:r>
              <w:rPr>
                <w:rFonts w:ascii="宋体" w:hAnsi="宋体"/>
              </w:rPr>
              <w:t>3</w:t>
            </w:r>
            <w:r>
              <w:rPr>
                <w:rFonts w:hint="eastAsia" w:ascii="宋体" w:hAnsi="宋体"/>
              </w:rPr>
              <w:t>条</w:t>
            </w:r>
          </w:p>
        </w:tc>
      </w:tr>
    </w:tbl>
    <w:p>
      <w:pPr>
        <w:rPr>
          <w:rFonts w:ascii="宋体"/>
        </w:rPr>
      </w:pPr>
    </w:p>
    <w:p>
      <w:r>
        <w:rPr>
          <w:rFonts w:ascii="宋体" w:hAnsi="宋体"/>
        </w:rPr>
        <w:t xml:space="preserve">   </w:t>
      </w:r>
      <w:r>
        <w:rPr>
          <w:rFonts w:hint="eastAsia" w:ascii="宋体" w:hAnsi="宋体"/>
        </w:rPr>
        <w:t>说明书的编制要方便客户，要求用图文形式，并夹带独立的简要机顶盒操作图；功能操作说明要通俗易懂，少用技术术语，多用图文的形式；机顶盒安装流程图要详细，其中机器接口的图示要与实物一致，不可用简单的几何图形替代，方便用户自行安装。</w:t>
      </w:r>
    </w:p>
    <w:p>
      <w:pPr>
        <w:rPr>
          <w:sz w:val="24"/>
        </w:rPr>
      </w:pPr>
    </w:p>
    <w:p>
      <w:pPr>
        <w:spacing w:line="340" w:lineRule="exact"/>
        <w:rPr>
          <w:rFonts w:ascii="宋体"/>
          <w:b/>
          <w:sz w:val="24"/>
        </w:rPr>
      </w:pPr>
      <w:r>
        <w:rPr>
          <w:rFonts w:hint="eastAsia" w:ascii="宋体" w:hAnsi="宋体"/>
          <w:b/>
          <w:sz w:val="24"/>
        </w:rPr>
        <w:t>第二部分</w:t>
      </w:r>
      <w:r>
        <w:rPr>
          <w:rFonts w:ascii="宋体" w:hAnsi="宋体"/>
          <w:b/>
          <w:sz w:val="24"/>
        </w:rPr>
        <w:t>:</w:t>
      </w:r>
      <w:r>
        <w:rPr>
          <w:rFonts w:hint="eastAsia" w:ascii="宋体" w:hAnsi="宋体"/>
          <w:b/>
          <w:sz w:val="24"/>
        </w:rPr>
        <w:t>遥控器操作要求（本次招标不包含遥控器）</w:t>
      </w:r>
    </w:p>
    <w:p>
      <w:pPr>
        <w:pStyle w:val="7"/>
        <w:spacing w:before="156" w:after="156" w:line="340" w:lineRule="exact"/>
        <w:rPr>
          <w:rFonts w:ascii="宋体"/>
          <w:szCs w:val="21"/>
        </w:rPr>
      </w:pPr>
      <w:r>
        <w:rPr>
          <w:rFonts w:hint="eastAsia" w:ascii="宋体" w:hAnsi="宋体"/>
          <w:szCs w:val="21"/>
        </w:rPr>
        <w:t>宁海高清交互型数字电视机顶盒遥控器采用统一码值和功能按键，遥控器按键集成基本型和交互型机顶盒的功能。</w:t>
      </w:r>
    </w:p>
    <w:p>
      <w:pPr>
        <w:spacing w:line="340" w:lineRule="exact"/>
        <w:ind w:firstLine="435"/>
        <w:rPr>
          <w:rFonts w:ascii="宋体"/>
          <w:szCs w:val="21"/>
        </w:rPr>
      </w:pPr>
    </w:p>
    <w:p>
      <w:pPr>
        <w:spacing w:line="340" w:lineRule="exact"/>
        <w:rPr>
          <w:rFonts w:ascii="宋体"/>
          <w:b/>
          <w:sz w:val="24"/>
        </w:rPr>
      </w:pPr>
      <w:r>
        <w:rPr>
          <w:rFonts w:ascii="宋体" w:hAnsi="宋体"/>
          <w:b/>
          <w:sz w:val="24"/>
        </w:rPr>
        <w:t xml:space="preserve">   </w:t>
      </w:r>
      <w:r>
        <w:rPr>
          <w:rFonts w:hint="eastAsia" w:ascii="宋体" w:hAnsi="宋体"/>
          <w:b/>
          <w:sz w:val="24"/>
        </w:rPr>
        <w:t>遥控器码值要求</w:t>
      </w:r>
    </w:p>
    <w:p>
      <w:pPr>
        <w:spacing w:line="340" w:lineRule="exact"/>
        <w:ind w:firstLine="435"/>
        <w:rPr>
          <w:rFonts w:ascii="宋体"/>
          <w:szCs w:val="21"/>
        </w:rPr>
      </w:pPr>
      <w:r>
        <w:rPr>
          <w:rFonts w:hint="eastAsia" w:ascii="宋体" w:hAnsi="宋体"/>
          <w:szCs w:val="21"/>
        </w:rPr>
        <w:t>宁海机顶盒采用统一的遥控器编码格式，具体编码格式如下：</w:t>
      </w:r>
    </w:p>
    <w:p>
      <w:pPr>
        <w:numPr>
          <w:ilvl w:val="0"/>
          <w:numId w:val="5"/>
        </w:numPr>
        <w:tabs>
          <w:tab w:val="left" w:pos="600"/>
          <w:tab w:val="clear" w:pos="60"/>
        </w:tabs>
        <w:spacing w:line="340" w:lineRule="exact"/>
        <w:ind w:left="600"/>
        <w:rPr>
          <w:rFonts w:ascii="宋体" w:cs="Courier New"/>
          <w:szCs w:val="21"/>
        </w:rPr>
      </w:pPr>
      <w:r>
        <w:rPr>
          <w:rFonts w:hint="eastAsia" w:ascii="宋体" w:hAnsi="宋体" w:cs="Courier New"/>
          <w:szCs w:val="21"/>
        </w:rPr>
        <w:t>遥控器编码格式</w:t>
      </w:r>
    </w:p>
    <w:p>
      <w:pPr>
        <w:pStyle w:val="7"/>
        <w:spacing w:line="340" w:lineRule="exact"/>
        <w:rPr>
          <w:rFonts w:ascii="宋体"/>
          <w:szCs w:val="21"/>
        </w:rPr>
      </w:pPr>
      <w:r>
        <w:rPr>
          <w:rFonts w:hint="eastAsia" w:ascii="宋体" w:hAnsi="宋体"/>
          <w:szCs w:val="21"/>
        </w:rPr>
        <w:t>遥控器固定编码采用“</w:t>
      </w:r>
      <w:r>
        <w:rPr>
          <w:rFonts w:ascii="宋体" w:hAnsi="宋体"/>
          <w:szCs w:val="21"/>
        </w:rPr>
        <w:t>NEC</w:t>
      </w:r>
      <w:r>
        <w:rPr>
          <w:rFonts w:hint="eastAsia" w:ascii="宋体" w:hAnsi="宋体"/>
          <w:szCs w:val="21"/>
        </w:rPr>
        <w:t>格式”</w:t>
      </w:r>
    </w:p>
    <w:p>
      <w:pPr>
        <w:autoSpaceDE w:val="0"/>
        <w:autoSpaceDN w:val="0"/>
        <w:adjustRightInd w:val="0"/>
        <w:spacing w:before="156" w:beforeLines="50" w:after="156" w:afterLines="50" w:line="340" w:lineRule="exact"/>
        <w:ind w:firstLine="420" w:firstLineChars="200"/>
        <w:jc w:val="left"/>
        <w:rPr>
          <w:rFonts w:ascii="宋体"/>
          <w:kern w:val="0"/>
          <w:szCs w:val="21"/>
        </w:rPr>
      </w:pPr>
      <w:r>
        <w:rPr>
          <w:rFonts w:hint="eastAsia" w:ascii="宋体" w:hAnsi="宋体"/>
          <w:kern w:val="0"/>
          <w:szCs w:val="21"/>
        </w:rPr>
        <w:t>遥控器红外发射信号的编码格式：引导码</w:t>
      </w:r>
      <w:r>
        <w:rPr>
          <w:rFonts w:ascii="宋体" w:hAnsi="宋体"/>
          <w:kern w:val="0"/>
          <w:szCs w:val="21"/>
        </w:rPr>
        <w:t>1+</w:t>
      </w:r>
      <w:r>
        <w:rPr>
          <w:rFonts w:hint="eastAsia" w:ascii="宋体" w:hAnsi="宋体"/>
          <w:kern w:val="0"/>
          <w:szCs w:val="21"/>
        </w:rPr>
        <w:t>客户码</w:t>
      </w:r>
      <w:r>
        <w:rPr>
          <w:rFonts w:ascii="宋体" w:hAnsi="宋体"/>
          <w:kern w:val="0"/>
          <w:szCs w:val="21"/>
        </w:rPr>
        <w:t>+</w:t>
      </w:r>
      <w:r>
        <w:rPr>
          <w:rFonts w:hint="eastAsia" w:ascii="宋体" w:hAnsi="宋体"/>
          <w:kern w:val="0"/>
          <w:szCs w:val="21"/>
        </w:rPr>
        <w:t>键码</w:t>
      </w:r>
      <w:r>
        <w:rPr>
          <w:rFonts w:ascii="宋体" w:hAnsi="宋体"/>
          <w:kern w:val="0"/>
          <w:szCs w:val="21"/>
        </w:rPr>
        <w:t>+</w:t>
      </w:r>
      <w:r>
        <w:rPr>
          <w:rFonts w:hint="eastAsia" w:ascii="宋体" w:hAnsi="宋体"/>
          <w:kern w:val="0"/>
          <w:szCs w:val="21"/>
        </w:rPr>
        <w:t>键反码</w:t>
      </w:r>
      <w:r>
        <w:rPr>
          <w:rFonts w:ascii="宋体" w:hAnsi="宋体"/>
          <w:kern w:val="0"/>
          <w:szCs w:val="21"/>
        </w:rPr>
        <w:t>+</w:t>
      </w:r>
      <w:r>
        <w:rPr>
          <w:rFonts w:hint="eastAsia" w:ascii="宋体" w:hAnsi="宋体"/>
          <w:kern w:val="0"/>
          <w:szCs w:val="21"/>
        </w:rPr>
        <w:t>延时</w:t>
      </w:r>
      <w:r>
        <w:rPr>
          <w:rFonts w:ascii="宋体" w:hAnsi="宋体"/>
          <w:kern w:val="0"/>
          <w:szCs w:val="21"/>
        </w:rPr>
        <w:t>1+</w:t>
      </w:r>
      <w:r>
        <w:rPr>
          <w:rFonts w:hint="eastAsia" w:ascii="宋体" w:hAnsi="宋体"/>
          <w:kern w:val="0"/>
          <w:szCs w:val="21"/>
        </w:rPr>
        <w:t>引导码</w:t>
      </w:r>
      <w:r>
        <w:rPr>
          <w:rFonts w:ascii="宋体" w:hAnsi="宋体"/>
          <w:kern w:val="0"/>
          <w:szCs w:val="21"/>
        </w:rPr>
        <w:t>2+</w:t>
      </w:r>
      <w:r>
        <w:rPr>
          <w:rFonts w:hint="eastAsia" w:ascii="宋体" w:hAnsi="宋体"/>
          <w:kern w:val="0"/>
          <w:szCs w:val="21"/>
        </w:rPr>
        <w:t>延时</w:t>
      </w:r>
      <w:r>
        <w:rPr>
          <w:rFonts w:ascii="宋体" w:hAnsi="宋体"/>
          <w:kern w:val="0"/>
          <w:szCs w:val="21"/>
        </w:rPr>
        <w:t>2+</w:t>
      </w:r>
      <w:r>
        <w:rPr>
          <w:rFonts w:hint="eastAsia" w:ascii="宋体" w:hAnsi="宋体"/>
          <w:kern w:val="0"/>
          <w:szCs w:val="21"/>
        </w:rPr>
        <w:t>循环到引导码</w:t>
      </w:r>
      <w:r>
        <w:rPr>
          <w:rFonts w:ascii="宋体" w:hAnsi="宋体"/>
          <w:kern w:val="0"/>
          <w:szCs w:val="21"/>
        </w:rPr>
        <w:t>2</w:t>
      </w:r>
    </w:p>
    <w:p>
      <w:pPr>
        <w:autoSpaceDE w:val="0"/>
        <w:autoSpaceDN w:val="0"/>
        <w:adjustRightInd w:val="0"/>
        <w:spacing w:before="156" w:beforeLines="50" w:after="156" w:afterLines="50" w:line="340" w:lineRule="exact"/>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）引导码</w:t>
      </w:r>
      <w:r>
        <w:rPr>
          <w:rFonts w:ascii="宋体" w:hAnsi="宋体"/>
          <w:kern w:val="0"/>
          <w:szCs w:val="21"/>
        </w:rPr>
        <w:t>1</w:t>
      </w:r>
    </w:p>
    <w:p>
      <w:pPr>
        <w:autoSpaceDE w:val="0"/>
        <w:autoSpaceDN w:val="0"/>
        <w:adjustRightInd w:val="0"/>
        <w:spacing w:before="156" w:beforeLines="50" w:after="156" w:afterLines="50" w:line="340" w:lineRule="exact"/>
        <w:ind w:firstLine="420" w:firstLineChars="200"/>
        <w:jc w:val="left"/>
        <w:rPr>
          <w:rFonts w:ascii="宋体"/>
          <w:kern w:val="0"/>
          <w:szCs w:val="21"/>
        </w:rPr>
      </w:pPr>
      <w:r>
        <w:rPr>
          <w:rFonts w:hint="eastAsia" w:ascii="宋体" w:hAnsi="宋体"/>
          <w:kern w:val="0"/>
          <w:szCs w:val="21"/>
        </w:rPr>
        <w:t>引导码</w:t>
      </w:r>
      <w:r>
        <w:rPr>
          <w:rFonts w:ascii="宋体" w:hAnsi="宋体"/>
          <w:kern w:val="0"/>
          <w:szCs w:val="21"/>
        </w:rPr>
        <w:t xml:space="preserve">=9000us </w:t>
      </w:r>
      <w:r>
        <w:rPr>
          <w:rFonts w:hint="eastAsia" w:ascii="宋体" w:hAnsi="宋体"/>
          <w:kern w:val="0"/>
          <w:szCs w:val="21"/>
        </w:rPr>
        <w:t>（高电平）</w:t>
      </w:r>
      <w:r>
        <w:rPr>
          <w:rFonts w:ascii="宋体" w:hAnsi="宋体"/>
          <w:kern w:val="0"/>
          <w:szCs w:val="21"/>
        </w:rPr>
        <w:t>+ 4500us</w:t>
      </w:r>
      <w:r>
        <w:rPr>
          <w:rFonts w:hint="eastAsia" w:ascii="宋体" w:hAnsi="宋体"/>
          <w:kern w:val="0"/>
          <w:szCs w:val="21"/>
        </w:rPr>
        <w:t>（低电平）；</w:t>
      </w:r>
      <w:r>
        <w:rPr>
          <w:rFonts w:hint="eastAsia" w:ascii="宋体"/>
          <w:kern w:val="0"/>
          <w:szCs w:val="21"/>
        </w:rPr>
        <w:t>“</w:t>
      </w:r>
      <w:r>
        <w:rPr>
          <w:rFonts w:hint="eastAsia" w:ascii="宋体" w:hAnsi="宋体"/>
          <w:kern w:val="0"/>
          <w:szCs w:val="21"/>
        </w:rPr>
        <w:t>高电平</w:t>
      </w:r>
      <w:r>
        <w:rPr>
          <w:rFonts w:hint="eastAsia" w:ascii="宋体"/>
          <w:kern w:val="0"/>
          <w:szCs w:val="21"/>
        </w:rPr>
        <w:t>”</w:t>
      </w:r>
      <w:r>
        <w:rPr>
          <w:rFonts w:hint="eastAsia" w:ascii="宋体" w:hAnsi="宋体"/>
          <w:kern w:val="0"/>
          <w:szCs w:val="21"/>
        </w:rPr>
        <w:t>为红外线载波调制，</w:t>
      </w:r>
      <w:r>
        <w:rPr>
          <w:rFonts w:hint="eastAsia" w:ascii="宋体"/>
          <w:kern w:val="0"/>
          <w:szCs w:val="21"/>
        </w:rPr>
        <w:t>“</w:t>
      </w:r>
      <w:r>
        <w:rPr>
          <w:rFonts w:hint="eastAsia" w:ascii="宋体" w:hAnsi="宋体"/>
          <w:kern w:val="0"/>
          <w:szCs w:val="21"/>
        </w:rPr>
        <w:t>低电平</w:t>
      </w:r>
      <w:r>
        <w:rPr>
          <w:rFonts w:hint="eastAsia" w:ascii="宋体"/>
          <w:kern w:val="0"/>
          <w:szCs w:val="21"/>
        </w:rPr>
        <w:t>”</w:t>
      </w:r>
      <w:r>
        <w:rPr>
          <w:rFonts w:hint="eastAsia" w:ascii="宋体" w:hAnsi="宋体"/>
          <w:kern w:val="0"/>
          <w:szCs w:val="21"/>
        </w:rPr>
        <w:t>为无红外线载波调制。</w:t>
      </w:r>
    </w:p>
    <w:p>
      <w:pPr>
        <w:autoSpaceDE w:val="0"/>
        <w:autoSpaceDN w:val="0"/>
        <w:adjustRightInd w:val="0"/>
        <w:spacing w:before="156" w:beforeLines="50" w:after="156" w:afterLines="50" w:line="340" w:lineRule="exact"/>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）客户码</w:t>
      </w:r>
    </w:p>
    <w:p>
      <w:pPr>
        <w:autoSpaceDE w:val="0"/>
        <w:autoSpaceDN w:val="0"/>
        <w:adjustRightInd w:val="0"/>
        <w:spacing w:before="156" w:beforeLines="50" w:after="156" w:afterLines="50" w:line="340" w:lineRule="exact"/>
        <w:ind w:firstLine="420" w:firstLineChars="200"/>
        <w:jc w:val="left"/>
        <w:rPr>
          <w:rFonts w:ascii="宋体"/>
          <w:kern w:val="0"/>
          <w:szCs w:val="21"/>
        </w:rPr>
      </w:pPr>
      <w:r>
        <w:rPr>
          <w:rFonts w:hint="eastAsia" w:ascii="宋体" w:hAnsi="宋体"/>
          <w:kern w:val="0"/>
          <w:szCs w:val="21"/>
        </w:rPr>
        <w:t>设备码</w:t>
      </w:r>
      <w:r>
        <w:rPr>
          <w:rFonts w:ascii="宋体" w:hAnsi="宋体"/>
          <w:kern w:val="0"/>
          <w:szCs w:val="21"/>
        </w:rPr>
        <w:t xml:space="preserve">=  </w:t>
      </w:r>
      <w:r>
        <w:rPr>
          <w:rFonts w:hint="eastAsia" w:ascii="宋体" w:hAnsi="宋体"/>
          <w:kern w:val="0"/>
          <w:szCs w:val="21"/>
        </w:rPr>
        <w:t>客户码</w:t>
      </w:r>
      <w:r>
        <w:rPr>
          <w:rFonts w:ascii="宋体" w:hAnsi="宋体"/>
          <w:kern w:val="0"/>
          <w:szCs w:val="21"/>
        </w:rPr>
        <w:t xml:space="preserve">08 </w:t>
      </w:r>
      <w:r>
        <w:rPr>
          <w:rFonts w:hint="eastAsia" w:ascii="宋体" w:hAnsi="宋体"/>
          <w:kern w:val="0"/>
          <w:szCs w:val="21"/>
        </w:rPr>
        <w:t>位</w:t>
      </w:r>
      <w:r>
        <w:rPr>
          <w:rFonts w:ascii="宋体" w:hAnsi="宋体"/>
          <w:kern w:val="0"/>
          <w:szCs w:val="21"/>
        </w:rPr>
        <w:t xml:space="preserve">+ </w:t>
      </w:r>
      <w:r>
        <w:rPr>
          <w:rFonts w:hint="eastAsia" w:ascii="宋体" w:hAnsi="宋体"/>
          <w:kern w:val="0"/>
          <w:szCs w:val="21"/>
        </w:rPr>
        <w:t>客户码</w:t>
      </w:r>
      <w:r>
        <w:rPr>
          <w:rFonts w:ascii="宋体" w:hAnsi="宋体"/>
          <w:kern w:val="0"/>
          <w:szCs w:val="21"/>
        </w:rPr>
        <w:t xml:space="preserve">18 </w:t>
      </w:r>
      <w:r>
        <w:rPr>
          <w:rFonts w:hint="eastAsia" w:ascii="宋体" w:hAnsi="宋体"/>
          <w:kern w:val="0"/>
          <w:szCs w:val="21"/>
        </w:rPr>
        <w:t>位</w:t>
      </w:r>
    </w:p>
    <w:p>
      <w:pPr>
        <w:autoSpaceDE w:val="0"/>
        <w:autoSpaceDN w:val="0"/>
        <w:adjustRightInd w:val="0"/>
        <w:spacing w:before="156" w:beforeLines="50" w:after="156" w:afterLines="50" w:line="340" w:lineRule="exact"/>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）键码</w:t>
      </w:r>
    </w:p>
    <w:p>
      <w:pPr>
        <w:autoSpaceDE w:val="0"/>
        <w:autoSpaceDN w:val="0"/>
        <w:adjustRightInd w:val="0"/>
        <w:spacing w:before="156" w:beforeLines="50" w:after="156" w:afterLines="50" w:line="340" w:lineRule="exact"/>
        <w:ind w:firstLine="420" w:firstLineChars="200"/>
        <w:jc w:val="left"/>
        <w:rPr>
          <w:rFonts w:ascii="宋体"/>
          <w:kern w:val="0"/>
          <w:szCs w:val="21"/>
        </w:rPr>
      </w:pPr>
      <w:r>
        <w:rPr>
          <w:rFonts w:hint="eastAsia" w:ascii="宋体" w:hAnsi="宋体"/>
          <w:kern w:val="0"/>
          <w:szCs w:val="21"/>
        </w:rPr>
        <w:t>键码</w:t>
      </w:r>
      <w:r>
        <w:rPr>
          <w:rFonts w:ascii="宋体" w:hAnsi="宋体"/>
          <w:kern w:val="0"/>
          <w:szCs w:val="21"/>
        </w:rPr>
        <w:t xml:space="preserve">= </w:t>
      </w:r>
      <w:r>
        <w:rPr>
          <w:rFonts w:hint="eastAsia" w:ascii="宋体" w:hAnsi="宋体"/>
          <w:kern w:val="0"/>
          <w:szCs w:val="21"/>
        </w:rPr>
        <w:t>数据码（</w:t>
      </w:r>
      <w:r>
        <w:rPr>
          <w:rFonts w:ascii="宋体" w:hAnsi="宋体"/>
          <w:kern w:val="0"/>
          <w:szCs w:val="21"/>
        </w:rPr>
        <w:t xml:space="preserve">8 </w:t>
      </w:r>
      <w:r>
        <w:rPr>
          <w:rFonts w:hint="eastAsia" w:ascii="宋体" w:hAnsi="宋体"/>
          <w:kern w:val="0"/>
          <w:szCs w:val="21"/>
        </w:rPr>
        <w:t>位）</w:t>
      </w:r>
      <w:r>
        <w:rPr>
          <w:rFonts w:ascii="宋体" w:hAnsi="宋体"/>
          <w:kern w:val="0"/>
          <w:szCs w:val="21"/>
        </w:rPr>
        <w:t>+</w:t>
      </w:r>
      <w:r>
        <w:rPr>
          <w:rFonts w:hint="eastAsia" w:ascii="宋体" w:hAnsi="宋体"/>
          <w:kern w:val="0"/>
          <w:szCs w:val="21"/>
        </w:rPr>
        <w:t>数据反码（</w:t>
      </w:r>
      <w:r>
        <w:rPr>
          <w:rFonts w:ascii="宋体" w:hAnsi="宋体"/>
          <w:kern w:val="0"/>
          <w:szCs w:val="21"/>
        </w:rPr>
        <w:t xml:space="preserve">8 </w:t>
      </w:r>
      <w:r>
        <w:rPr>
          <w:rFonts w:hint="eastAsia" w:ascii="宋体" w:hAnsi="宋体"/>
          <w:kern w:val="0"/>
          <w:szCs w:val="21"/>
        </w:rPr>
        <w:t>位）；</w:t>
      </w:r>
    </w:p>
    <w:p>
      <w:pPr>
        <w:autoSpaceDE w:val="0"/>
        <w:autoSpaceDN w:val="0"/>
        <w:adjustRightInd w:val="0"/>
        <w:spacing w:before="156" w:beforeLines="50" w:after="156" w:afterLines="50" w:line="340" w:lineRule="exact"/>
        <w:ind w:firstLine="420" w:firstLineChars="200"/>
        <w:jc w:val="left"/>
        <w:rPr>
          <w:rFonts w:ascii="宋体"/>
          <w:kern w:val="0"/>
          <w:szCs w:val="21"/>
        </w:rPr>
      </w:pPr>
      <w:r>
        <w:rPr>
          <w:rFonts w:hint="eastAsia" w:ascii="宋体" w:hAnsi="宋体"/>
          <w:kern w:val="0"/>
          <w:szCs w:val="21"/>
        </w:rPr>
        <w:t>数据</w:t>
      </w:r>
      <w:r>
        <w:rPr>
          <w:rFonts w:hint="eastAsia" w:ascii="宋体"/>
          <w:kern w:val="0"/>
          <w:szCs w:val="21"/>
        </w:rPr>
        <w:t>“</w:t>
      </w:r>
      <w:r>
        <w:rPr>
          <w:rFonts w:ascii="宋体"/>
          <w:kern w:val="0"/>
          <w:szCs w:val="21"/>
        </w:rPr>
        <w:t>0</w:t>
      </w:r>
      <w:r>
        <w:rPr>
          <w:rFonts w:hint="eastAsia" w:ascii="宋体"/>
          <w:kern w:val="0"/>
          <w:szCs w:val="21"/>
        </w:rPr>
        <w:t>”</w:t>
      </w:r>
      <w:r>
        <w:rPr>
          <w:rFonts w:ascii="宋体" w:hAnsi="宋体"/>
          <w:kern w:val="0"/>
          <w:szCs w:val="21"/>
        </w:rPr>
        <w:t xml:space="preserve">=560us </w:t>
      </w:r>
      <w:r>
        <w:rPr>
          <w:rFonts w:hint="eastAsia" w:ascii="宋体" w:hAnsi="宋体"/>
          <w:kern w:val="0"/>
          <w:szCs w:val="21"/>
        </w:rPr>
        <w:t>（高电平）</w:t>
      </w:r>
      <w:r>
        <w:rPr>
          <w:rFonts w:ascii="宋体" w:hAnsi="宋体"/>
          <w:kern w:val="0"/>
          <w:szCs w:val="21"/>
        </w:rPr>
        <w:t>+ 560us</w:t>
      </w:r>
      <w:r>
        <w:rPr>
          <w:rFonts w:hint="eastAsia" w:ascii="宋体" w:hAnsi="宋体"/>
          <w:kern w:val="0"/>
          <w:szCs w:val="21"/>
        </w:rPr>
        <w:t>（低电平）；</w:t>
      </w:r>
    </w:p>
    <w:p>
      <w:pPr>
        <w:autoSpaceDE w:val="0"/>
        <w:autoSpaceDN w:val="0"/>
        <w:adjustRightInd w:val="0"/>
        <w:spacing w:before="156" w:beforeLines="50" w:after="156" w:afterLines="50" w:line="340" w:lineRule="exact"/>
        <w:ind w:firstLine="420" w:firstLineChars="200"/>
        <w:jc w:val="left"/>
        <w:rPr>
          <w:rFonts w:ascii="宋体"/>
          <w:kern w:val="0"/>
          <w:szCs w:val="21"/>
        </w:rPr>
      </w:pPr>
      <w:r>
        <w:rPr>
          <w:rFonts w:hint="eastAsia" w:ascii="宋体" w:hAnsi="宋体"/>
          <w:kern w:val="0"/>
          <w:szCs w:val="21"/>
        </w:rPr>
        <w:t>数据</w:t>
      </w:r>
      <w:r>
        <w:rPr>
          <w:rFonts w:hint="eastAsia" w:ascii="宋体"/>
          <w:kern w:val="0"/>
          <w:szCs w:val="21"/>
        </w:rPr>
        <w:t>“</w:t>
      </w:r>
      <w:r>
        <w:rPr>
          <w:rFonts w:ascii="宋体" w:hAnsi="宋体"/>
          <w:kern w:val="0"/>
          <w:szCs w:val="21"/>
        </w:rPr>
        <w:t>1</w:t>
      </w:r>
      <w:r>
        <w:rPr>
          <w:rFonts w:hint="eastAsia" w:ascii="宋体" w:hAnsi="宋体"/>
          <w:kern w:val="0"/>
          <w:szCs w:val="21"/>
        </w:rPr>
        <w:t>”</w:t>
      </w:r>
      <w:r>
        <w:rPr>
          <w:rFonts w:ascii="宋体" w:hAnsi="宋体"/>
          <w:kern w:val="0"/>
          <w:szCs w:val="21"/>
        </w:rPr>
        <w:t xml:space="preserve">= 560us </w:t>
      </w:r>
      <w:r>
        <w:rPr>
          <w:rFonts w:hint="eastAsia" w:ascii="宋体" w:hAnsi="宋体"/>
          <w:kern w:val="0"/>
          <w:szCs w:val="21"/>
        </w:rPr>
        <w:t>（高电平）</w:t>
      </w:r>
      <w:r>
        <w:rPr>
          <w:rFonts w:ascii="宋体" w:hAnsi="宋体"/>
          <w:kern w:val="0"/>
          <w:szCs w:val="21"/>
        </w:rPr>
        <w:t>+ 1690us</w:t>
      </w:r>
      <w:r>
        <w:rPr>
          <w:rFonts w:hint="eastAsia" w:ascii="宋体" w:hAnsi="宋体"/>
          <w:kern w:val="0"/>
          <w:szCs w:val="21"/>
        </w:rPr>
        <w:t>（低电平）。</w:t>
      </w:r>
    </w:p>
    <w:p>
      <w:pPr>
        <w:autoSpaceDE w:val="0"/>
        <w:autoSpaceDN w:val="0"/>
        <w:adjustRightInd w:val="0"/>
        <w:spacing w:before="156" w:beforeLines="50" w:after="156" w:afterLines="50" w:line="340" w:lineRule="exact"/>
        <w:ind w:left="540" w:leftChars="257"/>
        <w:jc w:val="left"/>
        <w:rPr>
          <w:rFonts w:asci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）延时</w:t>
      </w:r>
      <w:r>
        <w:rPr>
          <w:rFonts w:ascii="宋体" w:hAnsi="宋体"/>
          <w:kern w:val="0"/>
          <w:szCs w:val="21"/>
        </w:rPr>
        <w:t>1</w:t>
      </w:r>
    </w:p>
    <w:p>
      <w:pPr>
        <w:autoSpaceDE w:val="0"/>
        <w:autoSpaceDN w:val="0"/>
        <w:adjustRightInd w:val="0"/>
        <w:spacing w:before="156" w:beforeLines="50" w:after="156" w:afterLines="50" w:line="340" w:lineRule="exact"/>
        <w:ind w:left="540" w:leftChars="257"/>
        <w:jc w:val="left"/>
        <w:rPr>
          <w:rFonts w:ascii="宋体"/>
          <w:kern w:val="0"/>
          <w:szCs w:val="21"/>
        </w:rPr>
      </w:pPr>
      <w:r>
        <w:rPr>
          <w:rFonts w:hint="eastAsia" w:ascii="宋体" w:hAnsi="宋体"/>
          <w:kern w:val="0"/>
          <w:szCs w:val="21"/>
        </w:rPr>
        <w:t>引导码</w:t>
      </w:r>
      <w:r>
        <w:rPr>
          <w:rFonts w:ascii="宋体" w:hAnsi="宋体"/>
          <w:kern w:val="0"/>
          <w:szCs w:val="21"/>
        </w:rPr>
        <w:t>1----</w:t>
      </w:r>
      <w:r>
        <w:rPr>
          <w:rFonts w:hint="eastAsia" w:ascii="宋体" w:hAnsi="宋体"/>
          <w:kern w:val="0"/>
          <w:szCs w:val="21"/>
        </w:rPr>
        <w:t>延时</w:t>
      </w:r>
      <w:r>
        <w:rPr>
          <w:rFonts w:ascii="宋体" w:hAnsi="宋体"/>
          <w:kern w:val="0"/>
          <w:szCs w:val="21"/>
        </w:rPr>
        <w:t xml:space="preserve">1 </w:t>
      </w:r>
      <w:r>
        <w:rPr>
          <w:rFonts w:hint="eastAsia" w:ascii="宋体" w:hAnsi="宋体"/>
          <w:kern w:val="0"/>
          <w:szCs w:val="21"/>
        </w:rPr>
        <w:t>为第一周期</w:t>
      </w:r>
      <w:r>
        <w:rPr>
          <w:rFonts w:ascii="宋体" w:hAnsi="宋体"/>
          <w:kern w:val="0"/>
          <w:szCs w:val="21"/>
        </w:rPr>
        <w:t xml:space="preserve"> =108ms</w:t>
      </w:r>
      <w:r>
        <w:rPr>
          <w:rFonts w:hint="eastAsia" w:ascii="宋体" w:hAnsi="宋体"/>
          <w:kern w:val="0"/>
          <w:szCs w:val="21"/>
        </w:rPr>
        <w:t>；误差</w:t>
      </w:r>
      <w:r>
        <w:rPr>
          <w:rFonts w:hint="eastAsia" w:ascii="宋体"/>
          <w:kern w:val="0"/>
          <w:szCs w:val="21"/>
        </w:rPr>
        <w:t>≤</w:t>
      </w:r>
      <w:r>
        <w:rPr>
          <w:rFonts w:ascii="宋体" w:hAnsi="宋体"/>
          <w:kern w:val="0"/>
          <w:szCs w:val="21"/>
        </w:rPr>
        <w:t>5%</w:t>
      </w:r>
      <w:r>
        <w:rPr>
          <w:rFonts w:hint="eastAsia" w:ascii="宋体" w:hAnsi="宋体"/>
          <w:kern w:val="0"/>
          <w:szCs w:val="21"/>
        </w:rPr>
        <w:t>。</w:t>
      </w:r>
    </w:p>
    <w:p>
      <w:pPr>
        <w:autoSpaceDE w:val="0"/>
        <w:autoSpaceDN w:val="0"/>
        <w:adjustRightInd w:val="0"/>
        <w:spacing w:before="156" w:beforeLines="50" w:after="156" w:afterLines="50" w:line="340" w:lineRule="exact"/>
        <w:ind w:firstLine="420" w:firstLineChars="200"/>
        <w:jc w:val="left"/>
        <w:rPr>
          <w:rFonts w:asci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）引导码</w:t>
      </w:r>
      <w:r>
        <w:rPr>
          <w:rFonts w:ascii="宋体" w:hAnsi="宋体"/>
          <w:kern w:val="0"/>
          <w:szCs w:val="21"/>
        </w:rPr>
        <w:t>2</w:t>
      </w:r>
    </w:p>
    <w:p>
      <w:pPr>
        <w:autoSpaceDE w:val="0"/>
        <w:autoSpaceDN w:val="0"/>
        <w:adjustRightInd w:val="0"/>
        <w:spacing w:before="156" w:beforeLines="50" w:after="156" w:afterLines="50" w:line="340" w:lineRule="exact"/>
        <w:ind w:firstLine="420" w:firstLineChars="200"/>
        <w:jc w:val="left"/>
        <w:rPr>
          <w:rFonts w:ascii="宋体"/>
          <w:kern w:val="0"/>
          <w:szCs w:val="21"/>
        </w:rPr>
      </w:pPr>
      <w:r>
        <w:rPr>
          <w:rFonts w:hint="eastAsia" w:ascii="宋体" w:hAnsi="宋体"/>
          <w:kern w:val="0"/>
          <w:szCs w:val="21"/>
        </w:rPr>
        <w:t>引导码</w:t>
      </w:r>
      <w:r>
        <w:rPr>
          <w:rFonts w:ascii="宋体" w:hAnsi="宋体"/>
          <w:kern w:val="0"/>
          <w:szCs w:val="21"/>
        </w:rPr>
        <w:t xml:space="preserve">2 =9000us </w:t>
      </w:r>
      <w:r>
        <w:rPr>
          <w:rFonts w:hint="eastAsia" w:ascii="宋体" w:hAnsi="宋体"/>
          <w:kern w:val="0"/>
          <w:szCs w:val="21"/>
        </w:rPr>
        <w:t>（高电平）</w:t>
      </w:r>
      <w:r>
        <w:rPr>
          <w:rFonts w:ascii="宋体" w:hAnsi="宋体"/>
          <w:kern w:val="0"/>
          <w:szCs w:val="21"/>
        </w:rPr>
        <w:t>+ 2250us</w:t>
      </w:r>
      <w:r>
        <w:rPr>
          <w:rFonts w:hint="eastAsia" w:ascii="宋体" w:hAnsi="宋体"/>
          <w:kern w:val="0"/>
          <w:szCs w:val="21"/>
        </w:rPr>
        <w:t>（低电平）；</w:t>
      </w:r>
      <w:r>
        <w:rPr>
          <w:rFonts w:hint="eastAsia" w:ascii="宋体"/>
          <w:kern w:val="0"/>
          <w:szCs w:val="21"/>
        </w:rPr>
        <w:t>“</w:t>
      </w:r>
      <w:r>
        <w:rPr>
          <w:rFonts w:hint="eastAsia" w:ascii="宋体" w:hAnsi="宋体"/>
          <w:kern w:val="0"/>
          <w:szCs w:val="21"/>
        </w:rPr>
        <w:t>高电平</w:t>
      </w:r>
      <w:r>
        <w:rPr>
          <w:rFonts w:hint="eastAsia" w:ascii="宋体"/>
          <w:kern w:val="0"/>
          <w:szCs w:val="21"/>
        </w:rPr>
        <w:t>”</w:t>
      </w:r>
      <w:r>
        <w:rPr>
          <w:rFonts w:hint="eastAsia" w:ascii="宋体" w:hAnsi="宋体"/>
          <w:kern w:val="0"/>
          <w:szCs w:val="21"/>
        </w:rPr>
        <w:t>为红外线载波调制，</w:t>
      </w:r>
      <w:r>
        <w:rPr>
          <w:rFonts w:hint="eastAsia" w:ascii="宋体"/>
          <w:kern w:val="0"/>
          <w:szCs w:val="21"/>
        </w:rPr>
        <w:t>“</w:t>
      </w:r>
      <w:r>
        <w:rPr>
          <w:rFonts w:hint="eastAsia" w:ascii="宋体" w:hAnsi="宋体"/>
          <w:kern w:val="0"/>
          <w:szCs w:val="21"/>
        </w:rPr>
        <w:t>低电平</w:t>
      </w:r>
      <w:r>
        <w:rPr>
          <w:rFonts w:hint="eastAsia" w:ascii="宋体"/>
          <w:kern w:val="0"/>
          <w:szCs w:val="21"/>
        </w:rPr>
        <w:t>”</w:t>
      </w:r>
      <w:r>
        <w:rPr>
          <w:rFonts w:hint="eastAsia" w:ascii="宋体" w:hAnsi="宋体"/>
          <w:kern w:val="0"/>
          <w:szCs w:val="21"/>
        </w:rPr>
        <w:t>为无红外线载波调制。</w:t>
      </w:r>
    </w:p>
    <w:p>
      <w:pPr>
        <w:autoSpaceDE w:val="0"/>
        <w:autoSpaceDN w:val="0"/>
        <w:adjustRightInd w:val="0"/>
        <w:spacing w:before="156" w:beforeLines="50" w:after="156" w:afterLines="50" w:line="340" w:lineRule="exact"/>
        <w:ind w:left="540" w:leftChars="257"/>
        <w:jc w:val="left"/>
        <w:rPr>
          <w:rFonts w:ascii="宋体"/>
          <w:kern w:val="0"/>
          <w:szCs w:val="21"/>
        </w:rPr>
      </w:pPr>
      <w:r>
        <w:rPr>
          <w:rFonts w:hint="eastAsia" w:ascii="宋体" w:hAnsi="宋体"/>
          <w:kern w:val="0"/>
          <w:szCs w:val="21"/>
        </w:rPr>
        <w:t>（</w:t>
      </w:r>
      <w:r>
        <w:rPr>
          <w:rFonts w:ascii="宋体" w:hAnsi="宋体"/>
          <w:kern w:val="0"/>
          <w:szCs w:val="21"/>
        </w:rPr>
        <w:t>6</w:t>
      </w:r>
      <w:r>
        <w:rPr>
          <w:rFonts w:hint="eastAsia" w:ascii="宋体" w:hAnsi="宋体"/>
          <w:kern w:val="0"/>
          <w:szCs w:val="21"/>
        </w:rPr>
        <w:t>）延时</w:t>
      </w:r>
      <w:r>
        <w:rPr>
          <w:rFonts w:ascii="宋体" w:hAnsi="宋体"/>
          <w:kern w:val="0"/>
          <w:szCs w:val="21"/>
        </w:rPr>
        <w:t>2</w:t>
      </w:r>
    </w:p>
    <w:p>
      <w:pPr>
        <w:pStyle w:val="7"/>
        <w:spacing w:line="340" w:lineRule="exact"/>
        <w:ind w:firstLine="409" w:firstLineChars="195"/>
        <w:rPr>
          <w:rFonts w:ascii="宋体"/>
          <w:b/>
          <w:szCs w:val="21"/>
        </w:rPr>
      </w:pPr>
      <w:r>
        <w:rPr>
          <w:rFonts w:hint="eastAsia" w:ascii="宋体" w:hAnsi="宋体"/>
          <w:szCs w:val="21"/>
        </w:rPr>
        <w:t>引导码</w:t>
      </w:r>
      <w:r>
        <w:rPr>
          <w:rFonts w:ascii="宋体" w:hAnsi="宋体"/>
          <w:szCs w:val="21"/>
        </w:rPr>
        <w:t>2----</w:t>
      </w:r>
      <w:r>
        <w:rPr>
          <w:rFonts w:hint="eastAsia" w:ascii="宋体" w:hAnsi="宋体"/>
          <w:szCs w:val="21"/>
        </w:rPr>
        <w:t>延时</w:t>
      </w:r>
      <w:r>
        <w:rPr>
          <w:rFonts w:ascii="宋体" w:hAnsi="宋体"/>
          <w:szCs w:val="21"/>
        </w:rPr>
        <w:t xml:space="preserve">2 </w:t>
      </w:r>
      <w:r>
        <w:rPr>
          <w:rFonts w:hint="eastAsia" w:ascii="宋体" w:hAnsi="宋体"/>
          <w:szCs w:val="21"/>
        </w:rPr>
        <w:t>为第二周期</w:t>
      </w:r>
      <w:r>
        <w:rPr>
          <w:rFonts w:ascii="宋体" w:hAnsi="宋体"/>
          <w:szCs w:val="21"/>
        </w:rPr>
        <w:t xml:space="preserve"> =108ms</w:t>
      </w:r>
      <w:r>
        <w:rPr>
          <w:rFonts w:hint="eastAsia" w:ascii="宋体" w:hAnsi="宋体"/>
          <w:szCs w:val="21"/>
        </w:rPr>
        <w:t>；误差</w:t>
      </w:r>
      <w:r>
        <w:rPr>
          <w:rFonts w:hint="eastAsia" w:ascii="宋体"/>
          <w:szCs w:val="21"/>
        </w:rPr>
        <w:t>≤</w:t>
      </w:r>
      <w:r>
        <w:rPr>
          <w:rFonts w:ascii="宋体" w:hAnsi="宋体"/>
          <w:szCs w:val="21"/>
        </w:rPr>
        <w:t>5%</w:t>
      </w:r>
    </w:p>
    <w:p>
      <w:pPr>
        <w:pStyle w:val="7"/>
        <w:spacing w:line="340" w:lineRule="exact"/>
        <w:ind w:firstLine="525" w:firstLineChars="250"/>
        <w:rPr>
          <w:rFonts w:ascii="宋体"/>
          <w:szCs w:val="21"/>
        </w:rPr>
      </w:pPr>
      <w:r>
        <w:rPr>
          <w:rFonts w:hint="eastAsia" w:ascii="宋体" w:hAnsi="宋体"/>
          <w:szCs w:val="21"/>
        </w:rPr>
        <w:t>（</w:t>
      </w:r>
      <w:r>
        <w:rPr>
          <w:rFonts w:ascii="宋体" w:hAnsi="宋体"/>
          <w:szCs w:val="21"/>
        </w:rPr>
        <w:t>7</w:t>
      </w:r>
      <w:r>
        <w:rPr>
          <w:rFonts w:hint="eastAsia" w:ascii="宋体" w:hAnsi="宋体"/>
          <w:szCs w:val="21"/>
        </w:rPr>
        <w:t>）载频：</w:t>
      </w:r>
      <w:r>
        <w:rPr>
          <w:rFonts w:ascii="宋体" w:hAnsi="宋体"/>
          <w:szCs w:val="21"/>
        </w:rPr>
        <w:t xml:space="preserve"> 38KHz </w:t>
      </w:r>
    </w:p>
    <w:p>
      <w:pPr>
        <w:spacing w:line="340" w:lineRule="exact"/>
        <w:rPr>
          <w:rFonts w:ascii="宋体"/>
          <w:b/>
          <w:szCs w:val="21"/>
        </w:rPr>
      </w:pPr>
    </w:p>
    <w:p>
      <w:pPr>
        <w:numPr>
          <w:ilvl w:val="0"/>
          <w:numId w:val="5"/>
        </w:numPr>
        <w:tabs>
          <w:tab w:val="left" w:pos="600"/>
          <w:tab w:val="clear" w:pos="60"/>
        </w:tabs>
        <w:spacing w:line="340" w:lineRule="exact"/>
        <w:ind w:left="600"/>
        <w:rPr>
          <w:rFonts w:ascii="宋体" w:cs="Courier New"/>
          <w:szCs w:val="21"/>
        </w:rPr>
      </w:pPr>
      <w:r>
        <w:rPr>
          <w:rFonts w:hint="eastAsia" w:ascii="宋体" w:hAnsi="宋体" w:cs="Courier New"/>
          <w:szCs w:val="21"/>
        </w:rPr>
        <w:t>遥控器客户码切换操作说明</w:t>
      </w:r>
    </w:p>
    <w:p>
      <w:pPr>
        <w:spacing w:line="340" w:lineRule="exact"/>
        <w:ind w:left="-359" w:leftChars="-171" w:firstLine="420" w:firstLineChars="200"/>
        <w:rPr>
          <w:rFonts w:ascii="宋体"/>
          <w:kern w:val="0"/>
          <w:szCs w:val="21"/>
        </w:rPr>
      </w:pPr>
      <w:r>
        <w:rPr>
          <w:rFonts w:hint="eastAsia" w:ascii="宋体" w:hAnsi="宋体"/>
          <w:kern w:val="0"/>
          <w:szCs w:val="21"/>
        </w:rPr>
        <w:t>为解决串码问题，遥控器必须可以实现双客户码</w:t>
      </w:r>
    </w:p>
    <w:p>
      <w:pPr>
        <w:autoSpaceDE w:val="0"/>
        <w:autoSpaceDN w:val="0"/>
        <w:adjustRightInd w:val="0"/>
        <w:spacing w:before="156" w:beforeLines="50" w:after="156" w:afterLines="50" w:line="340" w:lineRule="exact"/>
        <w:ind w:firstLine="422" w:firstLineChars="200"/>
        <w:rPr>
          <w:rFonts w:ascii="宋体"/>
          <w:b/>
          <w:kern w:val="0"/>
          <w:szCs w:val="21"/>
        </w:rPr>
      </w:pPr>
      <w:r>
        <w:rPr>
          <w:rFonts w:hint="eastAsia" w:ascii="宋体" w:hAnsi="宋体"/>
          <w:b/>
          <w:kern w:val="0"/>
          <w:szCs w:val="21"/>
        </w:rPr>
        <w:t>第一套客户码</w:t>
      </w:r>
      <w:r>
        <w:rPr>
          <w:rFonts w:ascii="宋体" w:hAnsi="宋体"/>
          <w:b/>
          <w:kern w:val="0"/>
          <w:szCs w:val="21"/>
        </w:rPr>
        <w:t>:</w:t>
      </w:r>
    </w:p>
    <w:tbl>
      <w:tblPr>
        <w:tblStyle w:val="25"/>
        <w:tblW w:w="504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683"/>
        <w:gridCol w:w="168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1682" w:type="dxa"/>
            <w:tcBorders>
              <w:top w:val="double" w:color="auto" w:sz="4" w:space="0"/>
            </w:tcBorders>
            <w:noWrap w:val="0"/>
            <w:vAlign w:val="center"/>
          </w:tcPr>
          <w:p>
            <w:pPr>
              <w:autoSpaceDE w:val="0"/>
              <w:autoSpaceDN w:val="0"/>
              <w:adjustRightInd w:val="0"/>
              <w:jc w:val="center"/>
              <w:rPr>
                <w:rFonts w:ascii="宋体" w:cs="TimesNewRomanPS-BoldMT"/>
                <w:b/>
                <w:bCs/>
                <w:kern w:val="0"/>
                <w:szCs w:val="21"/>
              </w:rPr>
            </w:pPr>
            <w:r>
              <w:rPr>
                <w:rFonts w:hint="eastAsia" w:ascii="宋体" w:hAnsi="宋体"/>
                <w:b/>
                <w:kern w:val="0"/>
                <w:szCs w:val="21"/>
              </w:rPr>
              <w:t>客户码</w:t>
            </w:r>
          </w:p>
        </w:tc>
        <w:tc>
          <w:tcPr>
            <w:tcW w:w="1683" w:type="dxa"/>
            <w:tcBorders>
              <w:top w:val="double" w:color="auto" w:sz="4" w:space="0"/>
            </w:tcBorders>
            <w:noWrap w:val="0"/>
            <w:vAlign w:val="center"/>
          </w:tcPr>
          <w:p>
            <w:pPr>
              <w:autoSpaceDE w:val="0"/>
              <w:autoSpaceDN w:val="0"/>
              <w:adjustRightInd w:val="0"/>
              <w:jc w:val="center"/>
              <w:rPr>
                <w:rFonts w:ascii="宋体" w:cs="TimesNewRomanPS-BoldMT"/>
                <w:b/>
                <w:bCs/>
                <w:kern w:val="0"/>
                <w:szCs w:val="21"/>
              </w:rPr>
            </w:pPr>
            <w:r>
              <w:rPr>
                <w:rFonts w:hint="eastAsia" w:ascii="宋体" w:hAnsi="宋体"/>
                <w:b/>
                <w:kern w:val="0"/>
                <w:szCs w:val="21"/>
              </w:rPr>
              <w:t>客户码</w:t>
            </w:r>
            <w:r>
              <w:rPr>
                <w:rFonts w:ascii="宋体"/>
                <w:b/>
                <w:kern w:val="0"/>
                <w:szCs w:val="21"/>
              </w:rPr>
              <w:t>0</w:t>
            </w:r>
          </w:p>
        </w:tc>
        <w:tc>
          <w:tcPr>
            <w:tcW w:w="1683" w:type="dxa"/>
            <w:tcBorders>
              <w:top w:val="double" w:color="auto" w:sz="4" w:space="0"/>
            </w:tcBorders>
            <w:noWrap w:val="0"/>
            <w:vAlign w:val="center"/>
          </w:tcPr>
          <w:p>
            <w:pPr>
              <w:autoSpaceDE w:val="0"/>
              <w:autoSpaceDN w:val="0"/>
              <w:adjustRightInd w:val="0"/>
              <w:jc w:val="center"/>
              <w:rPr>
                <w:rFonts w:ascii="宋体" w:cs="TimesNewRomanPS-BoldMT"/>
                <w:b/>
                <w:bCs/>
                <w:kern w:val="0"/>
                <w:szCs w:val="21"/>
              </w:rPr>
            </w:pPr>
            <w:r>
              <w:rPr>
                <w:rFonts w:hint="eastAsia" w:ascii="宋体" w:hAnsi="宋体"/>
                <w:b/>
                <w:kern w:val="0"/>
                <w:szCs w:val="21"/>
              </w:rPr>
              <w:t>客户码</w:t>
            </w:r>
            <w:r>
              <w:rPr>
                <w:rFonts w:ascii="宋体" w:hAnsi="宋体"/>
                <w:b/>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2" w:type="dxa"/>
            <w:tcBorders>
              <w:bottom w:val="double" w:color="auto" w:sz="4" w:space="0"/>
            </w:tcBorders>
            <w:noWrap w:val="0"/>
            <w:vAlign w:val="center"/>
          </w:tcPr>
          <w:p>
            <w:pPr>
              <w:autoSpaceDE w:val="0"/>
              <w:autoSpaceDN w:val="0"/>
              <w:adjustRightInd w:val="0"/>
              <w:jc w:val="center"/>
              <w:rPr>
                <w:rFonts w:ascii="宋体"/>
                <w:kern w:val="0"/>
                <w:szCs w:val="21"/>
              </w:rPr>
            </w:pPr>
            <w:r>
              <w:rPr>
                <w:rFonts w:ascii="宋体" w:hAnsi="宋体"/>
                <w:kern w:val="0"/>
                <w:szCs w:val="21"/>
              </w:rPr>
              <w:t>HEX</w:t>
            </w:r>
          </w:p>
        </w:tc>
        <w:tc>
          <w:tcPr>
            <w:tcW w:w="1683" w:type="dxa"/>
            <w:tcBorders>
              <w:bottom w:val="double" w:color="auto" w:sz="4" w:space="0"/>
            </w:tcBorders>
            <w:noWrap w:val="0"/>
            <w:vAlign w:val="center"/>
          </w:tcPr>
          <w:p>
            <w:pPr>
              <w:autoSpaceDE w:val="0"/>
              <w:autoSpaceDN w:val="0"/>
              <w:adjustRightInd w:val="0"/>
              <w:jc w:val="center"/>
              <w:rPr>
                <w:rFonts w:ascii="宋体"/>
                <w:kern w:val="0"/>
                <w:szCs w:val="21"/>
              </w:rPr>
            </w:pPr>
            <w:r>
              <w:rPr>
                <w:rFonts w:ascii="宋体" w:hAnsi="宋体"/>
                <w:kern w:val="0"/>
                <w:szCs w:val="21"/>
              </w:rPr>
              <w:t>A0</w:t>
            </w:r>
          </w:p>
        </w:tc>
        <w:tc>
          <w:tcPr>
            <w:tcW w:w="1683" w:type="dxa"/>
            <w:tcBorders>
              <w:bottom w:val="double" w:color="auto" w:sz="4" w:space="0"/>
            </w:tcBorders>
            <w:noWrap w:val="0"/>
            <w:vAlign w:val="center"/>
          </w:tcPr>
          <w:p>
            <w:pPr>
              <w:autoSpaceDE w:val="0"/>
              <w:autoSpaceDN w:val="0"/>
              <w:adjustRightInd w:val="0"/>
              <w:jc w:val="center"/>
              <w:rPr>
                <w:rFonts w:ascii="宋体"/>
                <w:kern w:val="0"/>
                <w:szCs w:val="21"/>
              </w:rPr>
            </w:pPr>
            <w:r>
              <w:rPr>
                <w:rFonts w:ascii="宋体" w:hAnsi="宋体"/>
                <w:kern w:val="0"/>
                <w:szCs w:val="21"/>
              </w:rPr>
              <w:t>5D</w:t>
            </w:r>
          </w:p>
        </w:tc>
      </w:tr>
    </w:tbl>
    <w:p>
      <w:pPr>
        <w:autoSpaceDE w:val="0"/>
        <w:autoSpaceDN w:val="0"/>
        <w:adjustRightInd w:val="0"/>
        <w:spacing w:before="156" w:beforeLines="50" w:after="156" w:afterLines="50" w:line="340" w:lineRule="exact"/>
        <w:ind w:firstLine="422" w:firstLineChars="200"/>
        <w:rPr>
          <w:rFonts w:ascii="宋体"/>
          <w:b/>
          <w:kern w:val="0"/>
          <w:szCs w:val="21"/>
        </w:rPr>
      </w:pPr>
      <w:r>
        <w:rPr>
          <w:rFonts w:hint="eastAsia" w:ascii="宋体" w:hAnsi="宋体"/>
          <w:b/>
          <w:kern w:val="0"/>
          <w:szCs w:val="21"/>
        </w:rPr>
        <w:t>第二套客户码</w:t>
      </w:r>
      <w:r>
        <w:rPr>
          <w:rFonts w:ascii="宋体" w:hAnsi="宋体"/>
          <w:b/>
          <w:kern w:val="0"/>
          <w:szCs w:val="21"/>
        </w:rPr>
        <w:t>:</w:t>
      </w:r>
    </w:p>
    <w:tbl>
      <w:tblPr>
        <w:tblStyle w:val="25"/>
        <w:tblW w:w="504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683"/>
        <w:gridCol w:w="168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2" w:type="dxa"/>
            <w:tcBorders>
              <w:top w:val="double" w:color="auto" w:sz="4" w:space="0"/>
            </w:tcBorders>
            <w:noWrap w:val="0"/>
            <w:vAlign w:val="center"/>
          </w:tcPr>
          <w:p>
            <w:pPr>
              <w:autoSpaceDE w:val="0"/>
              <w:autoSpaceDN w:val="0"/>
              <w:adjustRightInd w:val="0"/>
              <w:jc w:val="center"/>
              <w:rPr>
                <w:rFonts w:ascii="宋体" w:cs="TimesNewRomanPS-BoldMT"/>
                <w:b/>
                <w:bCs/>
                <w:kern w:val="0"/>
                <w:szCs w:val="21"/>
              </w:rPr>
            </w:pPr>
            <w:r>
              <w:rPr>
                <w:rFonts w:hint="eastAsia" w:ascii="宋体" w:hAnsi="宋体"/>
                <w:b/>
                <w:kern w:val="0"/>
                <w:szCs w:val="21"/>
              </w:rPr>
              <w:t>客户码</w:t>
            </w:r>
          </w:p>
        </w:tc>
        <w:tc>
          <w:tcPr>
            <w:tcW w:w="1683" w:type="dxa"/>
            <w:tcBorders>
              <w:top w:val="double" w:color="auto" w:sz="4" w:space="0"/>
            </w:tcBorders>
            <w:noWrap w:val="0"/>
            <w:vAlign w:val="center"/>
          </w:tcPr>
          <w:p>
            <w:pPr>
              <w:autoSpaceDE w:val="0"/>
              <w:autoSpaceDN w:val="0"/>
              <w:adjustRightInd w:val="0"/>
              <w:jc w:val="center"/>
              <w:rPr>
                <w:rFonts w:ascii="宋体" w:cs="TimesNewRomanPS-BoldMT"/>
                <w:b/>
                <w:bCs/>
                <w:kern w:val="0"/>
                <w:szCs w:val="21"/>
              </w:rPr>
            </w:pPr>
            <w:r>
              <w:rPr>
                <w:rFonts w:hint="eastAsia" w:ascii="宋体" w:hAnsi="宋体"/>
                <w:b/>
                <w:kern w:val="0"/>
                <w:szCs w:val="21"/>
              </w:rPr>
              <w:t>客户码</w:t>
            </w:r>
            <w:r>
              <w:rPr>
                <w:rFonts w:ascii="宋体"/>
                <w:b/>
                <w:kern w:val="0"/>
                <w:szCs w:val="21"/>
              </w:rPr>
              <w:t>0</w:t>
            </w:r>
          </w:p>
        </w:tc>
        <w:tc>
          <w:tcPr>
            <w:tcW w:w="1683" w:type="dxa"/>
            <w:tcBorders>
              <w:top w:val="double" w:color="auto" w:sz="4" w:space="0"/>
            </w:tcBorders>
            <w:noWrap w:val="0"/>
            <w:vAlign w:val="center"/>
          </w:tcPr>
          <w:p>
            <w:pPr>
              <w:autoSpaceDE w:val="0"/>
              <w:autoSpaceDN w:val="0"/>
              <w:adjustRightInd w:val="0"/>
              <w:jc w:val="center"/>
              <w:rPr>
                <w:rFonts w:ascii="宋体" w:cs="TimesNewRomanPS-BoldMT"/>
                <w:b/>
                <w:bCs/>
                <w:kern w:val="0"/>
                <w:szCs w:val="21"/>
              </w:rPr>
            </w:pPr>
            <w:r>
              <w:rPr>
                <w:rFonts w:hint="eastAsia" w:ascii="宋体" w:hAnsi="宋体"/>
                <w:b/>
                <w:kern w:val="0"/>
                <w:szCs w:val="21"/>
              </w:rPr>
              <w:t>客户码</w:t>
            </w:r>
            <w:r>
              <w:rPr>
                <w:rFonts w:ascii="宋体" w:hAnsi="宋体"/>
                <w:b/>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2" w:type="dxa"/>
            <w:tcBorders>
              <w:bottom w:val="double" w:color="auto" w:sz="4" w:space="0"/>
            </w:tcBorders>
            <w:noWrap w:val="0"/>
            <w:vAlign w:val="center"/>
          </w:tcPr>
          <w:p>
            <w:pPr>
              <w:autoSpaceDE w:val="0"/>
              <w:autoSpaceDN w:val="0"/>
              <w:adjustRightInd w:val="0"/>
              <w:jc w:val="center"/>
              <w:rPr>
                <w:rFonts w:ascii="宋体"/>
                <w:kern w:val="0"/>
                <w:szCs w:val="21"/>
              </w:rPr>
            </w:pPr>
            <w:r>
              <w:rPr>
                <w:rFonts w:ascii="宋体" w:hAnsi="宋体"/>
                <w:kern w:val="0"/>
                <w:szCs w:val="21"/>
              </w:rPr>
              <w:t>HEX</w:t>
            </w:r>
          </w:p>
        </w:tc>
        <w:tc>
          <w:tcPr>
            <w:tcW w:w="1683" w:type="dxa"/>
            <w:tcBorders>
              <w:bottom w:val="double" w:color="auto" w:sz="4" w:space="0"/>
            </w:tcBorders>
            <w:noWrap w:val="0"/>
            <w:vAlign w:val="center"/>
          </w:tcPr>
          <w:p>
            <w:pPr>
              <w:autoSpaceDE w:val="0"/>
              <w:autoSpaceDN w:val="0"/>
              <w:adjustRightInd w:val="0"/>
              <w:jc w:val="center"/>
              <w:rPr>
                <w:rFonts w:ascii="宋体"/>
                <w:kern w:val="0"/>
                <w:szCs w:val="21"/>
              </w:rPr>
            </w:pPr>
            <w:r>
              <w:rPr>
                <w:rFonts w:ascii="宋体" w:hAnsi="宋体"/>
                <w:kern w:val="0"/>
                <w:szCs w:val="21"/>
              </w:rPr>
              <w:t>AA</w:t>
            </w:r>
          </w:p>
        </w:tc>
        <w:tc>
          <w:tcPr>
            <w:tcW w:w="1683" w:type="dxa"/>
            <w:tcBorders>
              <w:bottom w:val="double" w:color="auto" w:sz="4" w:space="0"/>
            </w:tcBorders>
            <w:noWrap w:val="0"/>
            <w:vAlign w:val="center"/>
          </w:tcPr>
          <w:p>
            <w:pPr>
              <w:autoSpaceDE w:val="0"/>
              <w:autoSpaceDN w:val="0"/>
              <w:adjustRightInd w:val="0"/>
              <w:jc w:val="center"/>
              <w:rPr>
                <w:rFonts w:ascii="宋体"/>
                <w:kern w:val="0"/>
                <w:szCs w:val="21"/>
              </w:rPr>
            </w:pPr>
            <w:r>
              <w:rPr>
                <w:rFonts w:ascii="宋体" w:hAnsi="宋体"/>
                <w:kern w:val="0"/>
                <w:szCs w:val="21"/>
              </w:rPr>
              <w:t>55</w:t>
            </w:r>
          </w:p>
        </w:tc>
      </w:tr>
    </w:tbl>
    <w:p>
      <w:pPr>
        <w:spacing w:line="340" w:lineRule="exact"/>
        <w:ind w:left="735" w:leftChars="250" w:hanging="210" w:hangingChars="100"/>
        <w:jc w:val="left"/>
        <w:rPr>
          <w:rFonts w:ascii="宋体"/>
          <w:szCs w:val="21"/>
        </w:rPr>
      </w:pPr>
    </w:p>
    <w:p>
      <w:pPr>
        <w:numPr>
          <w:ilvl w:val="0"/>
          <w:numId w:val="6"/>
        </w:numPr>
        <w:tabs>
          <w:tab w:val="left" w:pos="960"/>
          <w:tab w:val="clear" w:pos="1200"/>
        </w:tabs>
        <w:spacing w:line="340" w:lineRule="exact"/>
        <w:ind w:left="960" w:hanging="420"/>
        <w:jc w:val="left"/>
        <w:rPr>
          <w:rFonts w:ascii="宋体"/>
          <w:bCs/>
          <w:szCs w:val="21"/>
        </w:rPr>
      </w:pPr>
      <w:r>
        <w:rPr>
          <w:rFonts w:hint="eastAsia" w:ascii="宋体" w:hAnsi="宋体"/>
          <w:bCs/>
          <w:szCs w:val="21"/>
        </w:rPr>
        <w:t>遥控器内置两套客户码，当用户出现</w:t>
      </w:r>
      <w:r>
        <w:rPr>
          <w:rFonts w:hint="eastAsia" w:ascii="宋体" w:hAnsi="宋体"/>
          <w:szCs w:val="21"/>
        </w:rPr>
        <w:t>窜</w:t>
      </w:r>
      <w:r>
        <w:rPr>
          <w:rFonts w:hint="eastAsia" w:ascii="宋体" w:hAnsi="宋体"/>
          <w:bCs/>
          <w:szCs w:val="21"/>
        </w:rPr>
        <w:t>码时，可选第二套客户码避免</w:t>
      </w:r>
      <w:r>
        <w:rPr>
          <w:rFonts w:hint="eastAsia" w:ascii="宋体" w:hAnsi="宋体"/>
          <w:szCs w:val="21"/>
        </w:rPr>
        <w:t>窜</w:t>
      </w:r>
      <w:r>
        <w:rPr>
          <w:rFonts w:hint="eastAsia" w:ascii="宋体" w:hAnsi="宋体"/>
          <w:bCs/>
          <w:szCs w:val="21"/>
        </w:rPr>
        <w:t>码。按以下步骤切换机顶盒遥控器的客户码：</w:t>
      </w:r>
      <w:r>
        <w:rPr>
          <w:rFonts w:hint="eastAsia" w:ascii="宋体" w:hAnsi="宋体"/>
          <w:kern w:val="0"/>
          <w:szCs w:val="21"/>
        </w:rPr>
        <w:t>按“机顶盒电源”</w:t>
      </w:r>
      <w:r>
        <w:rPr>
          <w:rFonts w:ascii="宋体" w:hAnsi="宋体"/>
          <w:kern w:val="0"/>
          <w:szCs w:val="21"/>
        </w:rPr>
        <w:t>+</w:t>
      </w:r>
      <w:r>
        <w:rPr>
          <w:rFonts w:hint="eastAsia" w:ascii="宋体" w:hAnsi="宋体"/>
          <w:kern w:val="0"/>
          <w:szCs w:val="21"/>
        </w:rPr>
        <w:t>“</w:t>
      </w:r>
      <w:r>
        <w:rPr>
          <w:rFonts w:ascii="宋体"/>
          <w:kern w:val="0"/>
          <w:szCs w:val="21"/>
        </w:rPr>
        <w:t>0</w:t>
      </w:r>
      <w:r>
        <w:rPr>
          <w:rFonts w:hint="eastAsia" w:ascii="宋体" w:hAnsi="宋体"/>
          <w:kern w:val="0"/>
          <w:szCs w:val="21"/>
        </w:rPr>
        <w:t>”键</w:t>
      </w:r>
      <w:r>
        <w:rPr>
          <w:rFonts w:ascii="宋体" w:hAnsi="宋体"/>
          <w:kern w:val="0"/>
          <w:szCs w:val="21"/>
        </w:rPr>
        <w:t>7</w:t>
      </w:r>
      <w:r>
        <w:rPr>
          <w:rFonts w:hint="eastAsia" w:ascii="宋体" w:hAnsi="宋体"/>
          <w:kern w:val="0"/>
          <w:szCs w:val="21"/>
        </w:rPr>
        <w:t>秒可切换</w:t>
      </w:r>
    </w:p>
    <w:p>
      <w:pPr>
        <w:numPr>
          <w:ilvl w:val="0"/>
          <w:numId w:val="6"/>
        </w:numPr>
        <w:tabs>
          <w:tab w:val="left" w:pos="960"/>
          <w:tab w:val="clear" w:pos="1200"/>
        </w:tabs>
        <w:spacing w:line="340" w:lineRule="exact"/>
        <w:ind w:left="960" w:hanging="420"/>
        <w:jc w:val="left"/>
        <w:rPr>
          <w:rFonts w:ascii="宋体"/>
          <w:szCs w:val="21"/>
        </w:rPr>
      </w:pPr>
      <w:r>
        <w:rPr>
          <w:rFonts w:hint="eastAsia" w:ascii="宋体" w:hAnsi="宋体"/>
          <w:szCs w:val="21"/>
        </w:rPr>
        <w:t>同时按住机顶盒遥控器的“待机”键和数字键“</w:t>
      </w:r>
      <w:r>
        <w:rPr>
          <w:rFonts w:ascii="宋体"/>
          <w:szCs w:val="21"/>
        </w:rPr>
        <w:t>0</w:t>
      </w:r>
      <w:r>
        <w:rPr>
          <w:rFonts w:hint="eastAsia" w:ascii="宋体" w:hAnsi="宋体"/>
          <w:szCs w:val="21"/>
        </w:rPr>
        <w:t>”不放约</w:t>
      </w:r>
      <w:r>
        <w:rPr>
          <w:rFonts w:ascii="宋体" w:hAnsi="宋体"/>
          <w:szCs w:val="21"/>
        </w:rPr>
        <w:t>7</w:t>
      </w:r>
      <w:r>
        <w:rPr>
          <w:rFonts w:hint="eastAsia" w:ascii="宋体" w:hAnsi="宋体"/>
          <w:szCs w:val="21"/>
        </w:rPr>
        <w:t>秒钟后，红色发光灯会连续闪烁三下，此时松开“待机”</w:t>
      </w:r>
      <w:r>
        <w:rPr>
          <w:rFonts w:ascii="宋体" w:hAnsi="宋体"/>
          <w:szCs w:val="21"/>
        </w:rPr>
        <w:t xml:space="preserve"> </w:t>
      </w:r>
      <w:r>
        <w:rPr>
          <w:rFonts w:hint="eastAsia" w:ascii="宋体" w:hAnsi="宋体"/>
          <w:szCs w:val="21"/>
        </w:rPr>
        <w:t>与数字键“</w:t>
      </w:r>
      <w:r>
        <w:rPr>
          <w:rFonts w:ascii="宋体"/>
          <w:szCs w:val="21"/>
        </w:rPr>
        <w:t>0</w:t>
      </w:r>
      <w:r>
        <w:rPr>
          <w:rFonts w:hint="eastAsia" w:ascii="宋体" w:hAnsi="宋体"/>
          <w:szCs w:val="21"/>
        </w:rPr>
        <w:t>”，机顶盒遥控器发第二套客户码格式</w:t>
      </w:r>
      <w:r>
        <w:rPr>
          <w:rFonts w:ascii="宋体" w:hAnsi="宋体"/>
          <w:szCs w:val="21"/>
        </w:rPr>
        <w:t>;</w:t>
      </w:r>
      <w:r>
        <w:rPr>
          <w:rFonts w:hint="eastAsia" w:ascii="宋体" w:hAnsi="宋体"/>
          <w:szCs w:val="21"/>
        </w:rPr>
        <w:t>。</w:t>
      </w:r>
    </w:p>
    <w:p>
      <w:pPr>
        <w:spacing w:line="340" w:lineRule="exact"/>
        <w:rPr>
          <w:rFonts w:ascii="宋体"/>
          <w:szCs w:val="21"/>
        </w:rPr>
      </w:pPr>
      <w:r>
        <w:rPr>
          <w:rFonts w:hint="eastAsia" w:ascii="宋体" w:hAnsi="宋体"/>
          <w:szCs w:val="21"/>
        </w:rPr>
        <w:t>再次操作</w:t>
      </w:r>
      <w:r>
        <w:rPr>
          <w:rFonts w:hint="eastAsia" w:ascii="宋体" w:hAnsi="宋体"/>
          <w:kern w:val="0"/>
          <w:szCs w:val="21"/>
        </w:rPr>
        <w:t>按“机顶盒电源”</w:t>
      </w:r>
      <w:r>
        <w:rPr>
          <w:rFonts w:ascii="宋体" w:hAnsi="宋体"/>
          <w:kern w:val="0"/>
          <w:szCs w:val="21"/>
        </w:rPr>
        <w:t>+</w:t>
      </w:r>
      <w:r>
        <w:rPr>
          <w:rFonts w:hint="eastAsia" w:ascii="宋体" w:hAnsi="宋体"/>
          <w:kern w:val="0"/>
          <w:szCs w:val="21"/>
        </w:rPr>
        <w:t>“</w:t>
      </w:r>
      <w:r>
        <w:rPr>
          <w:rFonts w:ascii="宋体"/>
          <w:kern w:val="0"/>
          <w:szCs w:val="21"/>
        </w:rPr>
        <w:t>0</w:t>
      </w:r>
      <w:r>
        <w:rPr>
          <w:rFonts w:hint="eastAsia" w:ascii="宋体" w:hAnsi="宋体"/>
          <w:kern w:val="0"/>
          <w:szCs w:val="21"/>
        </w:rPr>
        <w:t>”键</w:t>
      </w:r>
      <w:r>
        <w:rPr>
          <w:rFonts w:ascii="宋体" w:hAnsi="宋体"/>
          <w:kern w:val="0"/>
          <w:szCs w:val="21"/>
        </w:rPr>
        <w:t>7</w:t>
      </w:r>
      <w:r>
        <w:rPr>
          <w:rFonts w:hint="eastAsia" w:ascii="宋体" w:hAnsi="宋体"/>
          <w:kern w:val="0"/>
          <w:szCs w:val="21"/>
        </w:rPr>
        <w:t>秒</w:t>
      </w:r>
      <w:r>
        <w:rPr>
          <w:rFonts w:hint="eastAsia" w:ascii="宋体" w:hAnsi="宋体"/>
          <w:szCs w:val="21"/>
        </w:rPr>
        <w:t>可可循环切换回第一套客户码。</w:t>
      </w:r>
    </w:p>
    <w:p>
      <w:pPr>
        <w:spacing w:line="340" w:lineRule="exact"/>
        <w:rPr>
          <w:rFonts w:ascii="宋体"/>
          <w:b/>
          <w:bCs/>
          <w:szCs w:val="21"/>
        </w:rPr>
      </w:pPr>
      <w:r>
        <w:rPr>
          <w:rFonts w:ascii="宋体" w:hAnsi="宋体"/>
          <w:b/>
          <w:bCs/>
          <w:szCs w:val="21"/>
        </w:rPr>
        <w:t>3</w:t>
      </w:r>
      <w:r>
        <w:rPr>
          <w:rFonts w:hint="eastAsia" w:ascii="宋体" w:hAnsi="宋体"/>
          <w:b/>
          <w:bCs/>
          <w:szCs w:val="21"/>
        </w:rPr>
        <w:t>）遥控器码值表见下</w:t>
      </w:r>
    </w:p>
    <w:p>
      <w:pPr>
        <w:rPr>
          <w:rFonts w:ascii="宋体"/>
          <w:szCs w:val="21"/>
        </w:rPr>
      </w:pPr>
      <w:r>
        <w:rPr>
          <w:rFonts w:hint="eastAsia" w:ascii="宋体"/>
          <w:szCs w:val="21"/>
        </w:rPr>
        <w:drawing>
          <wp:inline distT="0" distB="0" distL="114300" distR="114300">
            <wp:extent cx="5648325" cy="7256780"/>
            <wp:effectExtent l="0" t="0" r="9525" b="1270"/>
            <wp:docPr id="1" name="图片 1" descr="NY-222-NHGQ确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Y-222-NHGQ确认"/>
                    <pic:cNvPicPr>
                      <a:picLocks noChangeAspect="1"/>
                    </pic:cNvPicPr>
                  </pic:nvPicPr>
                  <pic:blipFill>
                    <a:blip r:embed="rId10"/>
                    <a:stretch>
                      <a:fillRect/>
                    </a:stretch>
                  </pic:blipFill>
                  <pic:spPr>
                    <a:xfrm>
                      <a:off x="0" y="0"/>
                      <a:ext cx="5648325" cy="7256780"/>
                    </a:xfrm>
                    <a:prstGeom prst="rect">
                      <a:avLst/>
                    </a:prstGeom>
                    <a:noFill/>
                    <a:ln>
                      <a:noFill/>
                    </a:ln>
                  </pic:spPr>
                </pic:pic>
              </a:graphicData>
            </a:graphic>
          </wp:inline>
        </w:drawing>
      </w:r>
    </w:p>
    <w:p>
      <w:pPr>
        <w:spacing w:line="340" w:lineRule="exact"/>
        <w:rPr>
          <w:rFonts w:ascii="宋体"/>
          <w:b/>
          <w:sz w:val="28"/>
        </w:rPr>
      </w:pPr>
    </w:p>
    <w:p>
      <w:pPr>
        <w:spacing w:line="340" w:lineRule="exact"/>
        <w:rPr>
          <w:rFonts w:ascii="宋体"/>
          <w:b/>
          <w:sz w:val="28"/>
        </w:rPr>
      </w:pPr>
    </w:p>
    <w:p>
      <w:pPr>
        <w:spacing w:line="340" w:lineRule="exact"/>
        <w:rPr>
          <w:rFonts w:ascii="宋体"/>
          <w:b/>
          <w:sz w:val="28"/>
        </w:rPr>
      </w:pPr>
    </w:p>
    <w:p>
      <w:pPr>
        <w:spacing w:line="340" w:lineRule="exact"/>
        <w:rPr>
          <w:rFonts w:ascii="宋体"/>
          <w:b/>
          <w:sz w:val="28"/>
        </w:rPr>
      </w:pPr>
    </w:p>
    <w:p>
      <w:pPr>
        <w:spacing w:line="340" w:lineRule="exact"/>
        <w:rPr>
          <w:rFonts w:ascii="宋体"/>
          <w:b/>
          <w:sz w:val="28"/>
        </w:rPr>
      </w:pPr>
    </w:p>
    <w:p>
      <w:pPr>
        <w:spacing w:line="340" w:lineRule="exact"/>
        <w:rPr>
          <w:rFonts w:ascii="宋体"/>
          <w:b/>
          <w:sz w:val="28"/>
        </w:rPr>
      </w:pPr>
    </w:p>
    <w:p>
      <w:pPr>
        <w:spacing w:line="340" w:lineRule="exact"/>
        <w:rPr>
          <w:rFonts w:ascii="宋体"/>
          <w:b/>
          <w:sz w:val="28"/>
        </w:rPr>
      </w:pPr>
    </w:p>
    <w:p>
      <w:pPr>
        <w:spacing w:line="340" w:lineRule="exact"/>
        <w:rPr>
          <w:rFonts w:ascii="宋体"/>
          <w:b/>
          <w:sz w:val="28"/>
        </w:rPr>
      </w:pPr>
      <w:r>
        <w:rPr>
          <w:rFonts w:ascii="宋体" w:hAnsi="宋体"/>
          <w:b/>
          <w:sz w:val="28"/>
        </w:rPr>
        <w:t xml:space="preserve">  </w:t>
      </w:r>
      <w:r>
        <w:rPr>
          <w:rFonts w:hint="eastAsia" w:ascii="宋体" w:hAnsi="宋体"/>
          <w:b/>
          <w:sz w:val="28"/>
        </w:rPr>
        <w:t>第三部分</w:t>
      </w:r>
      <w:r>
        <w:rPr>
          <w:rFonts w:ascii="宋体" w:hAnsi="宋体"/>
          <w:b/>
          <w:sz w:val="28"/>
        </w:rPr>
        <w:t>:</w:t>
      </w:r>
      <w:r>
        <w:rPr>
          <w:rFonts w:hint="eastAsia" w:ascii="宋体" w:hAnsi="宋体"/>
          <w:b/>
          <w:sz w:val="28"/>
        </w:rPr>
        <w:t>机顶盒软件规范</w:t>
      </w:r>
    </w:p>
    <w:p>
      <w:pPr>
        <w:spacing w:line="340" w:lineRule="exact"/>
        <w:rPr>
          <w:rFonts w:ascii="宋体"/>
          <w:b/>
          <w:sz w:val="28"/>
        </w:rPr>
      </w:pPr>
    </w:p>
    <w:p>
      <w:pPr>
        <w:spacing w:line="340" w:lineRule="exact"/>
        <w:rPr>
          <w:rFonts w:ascii="宋体"/>
          <w:b/>
          <w:sz w:val="21"/>
          <w:szCs w:val="21"/>
        </w:rPr>
      </w:pPr>
      <w:r>
        <w:rPr>
          <w:rFonts w:ascii="宋体" w:hAnsi="宋体"/>
          <w:b/>
          <w:sz w:val="21"/>
          <w:szCs w:val="21"/>
        </w:rPr>
        <w:t>1.</w:t>
      </w:r>
      <w:r>
        <w:rPr>
          <w:rFonts w:hint="eastAsia" w:ascii="宋体" w:hAnsi="宋体"/>
          <w:b/>
          <w:sz w:val="21"/>
          <w:szCs w:val="21"/>
        </w:rPr>
        <w:t>高清交互机顶盒</w:t>
      </w:r>
      <w:r>
        <w:rPr>
          <w:rFonts w:ascii="宋体" w:hAnsi="宋体"/>
          <w:b/>
          <w:sz w:val="21"/>
          <w:szCs w:val="21"/>
        </w:rPr>
        <w:t>DVB</w:t>
      </w:r>
      <w:r>
        <w:rPr>
          <w:rFonts w:hint="eastAsia" w:ascii="宋体" w:hAnsi="宋体"/>
          <w:b/>
          <w:sz w:val="21"/>
          <w:szCs w:val="21"/>
        </w:rPr>
        <w:t>部分技术要求</w:t>
      </w:r>
    </w:p>
    <w:p>
      <w:pPr>
        <w:spacing w:line="340" w:lineRule="exact"/>
        <w:ind w:left="424" w:leftChars="201" w:hanging="2"/>
        <w:rPr>
          <w:rFonts w:ascii="宋体"/>
          <w:sz w:val="21"/>
          <w:szCs w:val="21"/>
        </w:rPr>
      </w:pPr>
      <w:r>
        <w:rPr>
          <w:rFonts w:ascii="宋体" w:hAnsi="宋体"/>
          <w:sz w:val="21"/>
          <w:szCs w:val="21"/>
        </w:rPr>
        <w:t>1</w:t>
      </w:r>
      <w:r>
        <w:rPr>
          <w:rFonts w:hint="eastAsia" w:ascii="宋体" w:hAnsi="宋体"/>
          <w:sz w:val="21"/>
          <w:szCs w:val="21"/>
        </w:rPr>
        <w:t>）机顶盒必须能接收在</w:t>
      </w:r>
      <w:r>
        <w:rPr>
          <w:rFonts w:ascii="宋体" w:hAnsi="宋体"/>
          <w:sz w:val="21"/>
          <w:szCs w:val="21"/>
        </w:rPr>
        <w:t>HFC</w:t>
      </w:r>
      <w:r>
        <w:rPr>
          <w:rFonts w:hint="eastAsia" w:ascii="宋体" w:hAnsi="宋体"/>
          <w:sz w:val="21"/>
          <w:szCs w:val="21"/>
        </w:rPr>
        <w:t>有线网络内传输的、符合</w:t>
      </w:r>
      <w:r>
        <w:rPr>
          <w:rFonts w:ascii="宋体" w:hAnsi="宋体"/>
          <w:sz w:val="21"/>
          <w:szCs w:val="21"/>
        </w:rPr>
        <w:t>DVB</w:t>
      </w:r>
      <w:r>
        <w:rPr>
          <w:rFonts w:hint="eastAsia" w:ascii="宋体" w:hAnsi="宋体"/>
          <w:sz w:val="21"/>
          <w:szCs w:val="21"/>
        </w:rPr>
        <w:t>标准的数字电视和相关服务信息，包括数字视频节目和数字音频节目。每次机顶盒开机后（开通点播用户开机后第一次从点播页面进入直播页面）应自动转到</w:t>
      </w:r>
      <w:r>
        <w:rPr>
          <w:rFonts w:ascii="宋体" w:hAnsi="宋体"/>
          <w:sz w:val="21"/>
          <w:szCs w:val="21"/>
        </w:rPr>
        <w:t>1</w:t>
      </w:r>
      <w:r>
        <w:rPr>
          <w:rFonts w:hint="eastAsia" w:ascii="宋体" w:hAnsi="宋体"/>
          <w:sz w:val="21"/>
          <w:szCs w:val="21"/>
        </w:rPr>
        <w:t>号逻辑频道。</w:t>
      </w:r>
    </w:p>
    <w:p>
      <w:pPr>
        <w:spacing w:line="340" w:lineRule="exact"/>
        <w:ind w:left="424" w:leftChars="201" w:hanging="2"/>
        <w:rPr>
          <w:rFonts w:ascii="宋体"/>
          <w:sz w:val="21"/>
          <w:szCs w:val="21"/>
        </w:rPr>
      </w:pPr>
      <w:r>
        <w:rPr>
          <w:rFonts w:ascii="宋体" w:hAnsi="宋体"/>
          <w:sz w:val="21"/>
          <w:szCs w:val="21"/>
        </w:rPr>
        <w:t>2</w:t>
      </w:r>
      <w:r>
        <w:rPr>
          <w:rFonts w:hint="eastAsia" w:ascii="宋体" w:hAnsi="宋体"/>
          <w:sz w:val="21"/>
          <w:szCs w:val="21"/>
        </w:rPr>
        <w:t>）机顶盒必须支持全频点搜索、快速搜索、手动搜索等多种搜索方式，节目搜索后自动转到</w:t>
      </w:r>
      <w:r>
        <w:rPr>
          <w:rFonts w:ascii="宋体" w:hAnsi="宋体"/>
          <w:sz w:val="21"/>
          <w:szCs w:val="21"/>
        </w:rPr>
        <w:t>1</w:t>
      </w:r>
      <w:r>
        <w:rPr>
          <w:rFonts w:hint="eastAsia" w:ascii="宋体" w:hAnsi="宋体"/>
          <w:sz w:val="21"/>
          <w:szCs w:val="21"/>
        </w:rPr>
        <w:t>号逻辑频道；每次快速搜索时，强制清空原先节目列表，再进行搜索。</w:t>
      </w:r>
    </w:p>
    <w:p>
      <w:pPr>
        <w:spacing w:line="340" w:lineRule="exact"/>
        <w:ind w:left="424" w:leftChars="201" w:hanging="2"/>
        <w:rPr>
          <w:rFonts w:ascii="宋体"/>
          <w:sz w:val="21"/>
          <w:szCs w:val="21"/>
        </w:rPr>
      </w:pPr>
      <w:r>
        <w:rPr>
          <w:rFonts w:ascii="宋体" w:hAnsi="宋体"/>
          <w:sz w:val="21"/>
          <w:szCs w:val="21"/>
        </w:rPr>
        <w:t>3</w:t>
      </w:r>
      <w:r>
        <w:rPr>
          <w:rFonts w:hint="eastAsia" w:ascii="宋体" w:hAnsi="宋体"/>
          <w:sz w:val="21"/>
          <w:szCs w:val="21"/>
        </w:rPr>
        <w:t>）机顶盒必须按照前端规划根据主频点</w:t>
      </w:r>
      <w:r>
        <w:rPr>
          <w:rFonts w:ascii="宋体" w:hAnsi="宋体"/>
          <w:sz w:val="21"/>
          <w:szCs w:val="21"/>
        </w:rPr>
        <w:t>BAT</w:t>
      </w:r>
      <w:r>
        <w:rPr>
          <w:rFonts w:hint="eastAsia" w:ascii="宋体" w:hAnsi="宋体"/>
          <w:sz w:val="21"/>
          <w:szCs w:val="21"/>
        </w:rPr>
        <w:t>表中频道号描述符进行排序。对搜索到的所有节目进行排序。当</w:t>
      </w:r>
      <w:r>
        <w:rPr>
          <w:rFonts w:ascii="宋体" w:hAnsi="宋体"/>
          <w:sz w:val="21"/>
          <w:szCs w:val="21"/>
        </w:rPr>
        <w:t>BAT</w:t>
      </w:r>
      <w:r>
        <w:rPr>
          <w:rFonts w:hint="eastAsia" w:ascii="宋体" w:hAnsi="宋体"/>
          <w:sz w:val="21"/>
          <w:szCs w:val="21"/>
        </w:rPr>
        <w:t>表中没有描述的节目，最后不进行节目保存。</w:t>
      </w:r>
    </w:p>
    <w:p>
      <w:pPr>
        <w:spacing w:line="340" w:lineRule="exact"/>
        <w:ind w:left="424" w:leftChars="201" w:hanging="2"/>
        <w:rPr>
          <w:rFonts w:ascii="宋体"/>
          <w:sz w:val="21"/>
          <w:szCs w:val="21"/>
        </w:rPr>
      </w:pPr>
      <w:r>
        <w:rPr>
          <w:rFonts w:ascii="宋体" w:hAnsi="宋体"/>
          <w:sz w:val="21"/>
          <w:szCs w:val="21"/>
        </w:rPr>
        <w:t>4</w:t>
      </w:r>
      <w:r>
        <w:rPr>
          <w:rFonts w:hint="eastAsia" w:ascii="宋体" w:hAnsi="宋体"/>
          <w:sz w:val="21"/>
          <w:szCs w:val="21"/>
        </w:rPr>
        <w:t>）机顶盒必须按照前端规划对搜索到的所有节目进行音量大小根据通过</w:t>
      </w:r>
      <w:r>
        <w:rPr>
          <w:rFonts w:ascii="宋体" w:hAnsi="宋体"/>
          <w:sz w:val="21"/>
          <w:szCs w:val="21"/>
        </w:rPr>
        <w:t>BAT</w:t>
      </w:r>
      <w:r>
        <w:rPr>
          <w:rFonts w:hint="eastAsia" w:ascii="宋体" w:hAnsi="宋体"/>
          <w:sz w:val="21"/>
          <w:szCs w:val="21"/>
        </w:rPr>
        <w:t>表中描述实现调整。用户通过摇控器增减音量关机以后状态能够记忆。</w:t>
      </w:r>
    </w:p>
    <w:p>
      <w:pPr>
        <w:spacing w:line="340" w:lineRule="exact"/>
        <w:ind w:left="424" w:leftChars="201" w:hanging="2"/>
        <w:rPr>
          <w:rFonts w:ascii="宋体"/>
          <w:sz w:val="21"/>
          <w:szCs w:val="21"/>
        </w:rPr>
      </w:pPr>
      <w:r>
        <w:rPr>
          <w:rFonts w:ascii="宋体" w:hAnsi="宋体"/>
          <w:sz w:val="21"/>
          <w:szCs w:val="21"/>
        </w:rPr>
        <w:t>5</w:t>
      </w:r>
      <w:r>
        <w:rPr>
          <w:rFonts w:hint="eastAsia" w:ascii="宋体" w:hAnsi="宋体"/>
          <w:sz w:val="21"/>
          <w:szCs w:val="21"/>
        </w:rPr>
        <w:t>）</w:t>
      </w:r>
      <w:r>
        <w:rPr>
          <w:rFonts w:hint="eastAsia"/>
          <w:sz w:val="21"/>
          <w:szCs w:val="21"/>
        </w:rPr>
        <w:t>机顶盒开机读取</w:t>
      </w:r>
      <w:r>
        <w:rPr>
          <w:rFonts w:hint="eastAsia" w:ascii="宋体" w:hAnsi="宋体"/>
          <w:sz w:val="21"/>
          <w:szCs w:val="21"/>
        </w:rPr>
        <w:t>主频点</w:t>
      </w:r>
      <w:r>
        <w:rPr>
          <w:rFonts w:ascii="宋体" w:hAnsi="宋体"/>
          <w:sz w:val="21"/>
          <w:szCs w:val="21"/>
        </w:rPr>
        <w:t>TS</w:t>
      </w:r>
      <w:r>
        <w:rPr>
          <w:rFonts w:hint="eastAsia" w:ascii="宋体" w:hAnsi="宋体"/>
          <w:sz w:val="21"/>
          <w:szCs w:val="21"/>
        </w:rPr>
        <w:t>码流中</w:t>
      </w:r>
      <w:r>
        <w:rPr>
          <w:rFonts w:ascii="宋体" w:hAnsi="宋体"/>
          <w:sz w:val="21"/>
          <w:szCs w:val="21"/>
        </w:rPr>
        <w:t>NIT</w:t>
      </w:r>
      <w:r>
        <w:rPr>
          <w:rFonts w:hint="eastAsia" w:ascii="宋体" w:hAnsi="宋体"/>
          <w:sz w:val="21"/>
          <w:szCs w:val="21"/>
        </w:rPr>
        <w:t>表的</w:t>
      </w:r>
      <w:r>
        <w:rPr>
          <w:rFonts w:ascii="宋体" w:hAnsi="宋体"/>
          <w:sz w:val="21"/>
          <w:szCs w:val="21"/>
        </w:rPr>
        <w:t>version number</w:t>
      </w:r>
      <w:r>
        <w:rPr>
          <w:rFonts w:hint="eastAsia" w:ascii="宋体" w:hAnsi="宋体"/>
          <w:sz w:val="21"/>
          <w:szCs w:val="21"/>
        </w:rPr>
        <w:t>，通过机顶盒内保存的</w:t>
      </w:r>
      <w:r>
        <w:rPr>
          <w:rFonts w:ascii="宋体" w:hAnsi="宋体"/>
          <w:sz w:val="21"/>
          <w:szCs w:val="21"/>
        </w:rPr>
        <w:t>version number</w:t>
      </w:r>
      <w:r>
        <w:rPr>
          <w:rFonts w:hint="eastAsia" w:ascii="宋体" w:hAnsi="宋体"/>
          <w:sz w:val="21"/>
          <w:szCs w:val="21"/>
        </w:rPr>
        <w:t>与主频点</w:t>
      </w:r>
      <w:r>
        <w:rPr>
          <w:rFonts w:ascii="宋体" w:hAnsi="宋体"/>
          <w:sz w:val="21"/>
          <w:szCs w:val="21"/>
        </w:rPr>
        <w:t>TS</w:t>
      </w:r>
      <w:r>
        <w:rPr>
          <w:rFonts w:hint="eastAsia" w:ascii="宋体" w:hAnsi="宋体"/>
          <w:sz w:val="21"/>
          <w:szCs w:val="21"/>
        </w:rPr>
        <w:t>码流</w:t>
      </w:r>
      <w:r>
        <w:rPr>
          <w:rFonts w:ascii="宋体" w:hAnsi="宋体"/>
          <w:sz w:val="21"/>
          <w:szCs w:val="21"/>
        </w:rPr>
        <w:t>NIT</w:t>
      </w:r>
      <w:r>
        <w:rPr>
          <w:rFonts w:hint="eastAsia" w:ascii="宋体" w:hAnsi="宋体"/>
          <w:sz w:val="21"/>
          <w:szCs w:val="21"/>
        </w:rPr>
        <w:t>表中的</w:t>
      </w:r>
      <w:r>
        <w:rPr>
          <w:rFonts w:ascii="宋体" w:hAnsi="宋体"/>
          <w:sz w:val="21"/>
          <w:szCs w:val="21"/>
        </w:rPr>
        <w:t>version number</w:t>
      </w:r>
      <w:r>
        <w:rPr>
          <w:rFonts w:hint="eastAsia" w:ascii="宋体" w:hAnsi="宋体"/>
          <w:sz w:val="21"/>
          <w:szCs w:val="21"/>
        </w:rPr>
        <w:t>的比对实现自动节目更新。</w:t>
      </w:r>
      <w:r>
        <w:rPr>
          <w:rFonts w:ascii="宋体" w:hAnsi="宋体"/>
          <w:sz w:val="21"/>
          <w:szCs w:val="21"/>
        </w:rPr>
        <w:t>Version number</w:t>
      </w:r>
      <w:r>
        <w:rPr>
          <w:rFonts w:hint="eastAsia" w:ascii="宋体" w:hAnsi="宋体"/>
          <w:sz w:val="21"/>
          <w:szCs w:val="21"/>
        </w:rPr>
        <w:t>保存在机顶盒</w:t>
      </w:r>
      <w:r>
        <w:rPr>
          <w:rFonts w:ascii="宋体" w:hAnsi="宋体"/>
          <w:sz w:val="21"/>
          <w:szCs w:val="21"/>
        </w:rPr>
        <w:t>EEPROM</w:t>
      </w:r>
      <w:r>
        <w:rPr>
          <w:rFonts w:hint="eastAsia" w:ascii="宋体" w:hAnsi="宋体"/>
          <w:sz w:val="21"/>
          <w:szCs w:val="21"/>
        </w:rPr>
        <w:t>内，节目更新后，保存新的</w:t>
      </w:r>
      <w:r>
        <w:rPr>
          <w:rFonts w:ascii="宋体" w:hAnsi="宋体"/>
          <w:sz w:val="21"/>
          <w:szCs w:val="21"/>
        </w:rPr>
        <w:t>version number</w:t>
      </w:r>
      <w:r>
        <w:rPr>
          <w:rFonts w:hint="eastAsia" w:ascii="宋体" w:hAnsi="宋体"/>
          <w:sz w:val="21"/>
          <w:szCs w:val="21"/>
        </w:rPr>
        <w:t>。机顶盒</w:t>
      </w:r>
      <w:r>
        <w:rPr>
          <w:rFonts w:ascii="宋体" w:hAnsi="宋体"/>
          <w:sz w:val="21"/>
          <w:szCs w:val="21"/>
        </w:rPr>
        <w:t>Version number</w:t>
      </w:r>
      <w:r>
        <w:rPr>
          <w:rFonts w:hint="eastAsia" w:ascii="宋体" w:hAnsi="宋体"/>
          <w:sz w:val="21"/>
          <w:szCs w:val="21"/>
        </w:rPr>
        <w:t>的默认出厂设置为</w:t>
      </w:r>
      <w:r>
        <w:rPr>
          <w:rFonts w:ascii="宋体"/>
          <w:sz w:val="21"/>
          <w:szCs w:val="21"/>
        </w:rPr>
        <w:t>0</w:t>
      </w:r>
      <w:r>
        <w:rPr>
          <w:rFonts w:hint="eastAsia" w:ascii="宋体" w:hAnsi="宋体"/>
          <w:sz w:val="21"/>
          <w:szCs w:val="21"/>
        </w:rPr>
        <w:t>。当切换频点时，读取的</w:t>
      </w:r>
      <w:r>
        <w:rPr>
          <w:rFonts w:ascii="宋体" w:hAnsi="宋体"/>
          <w:sz w:val="21"/>
          <w:szCs w:val="21"/>
        </w:rPr>
        <w:t>NIT</w:t>
      </w:r>
      <w:r>
        <w:rPr>
          <w:rFonts w:hint="eastAsia" w:ascii="宋体" w:hAnsi="宋体"/>
          <w:sz w:val="21"/>
          <w:szCs w:val="21"/>
        </w:rPr>
        <w:t>表内的</w:t>
      </w:r>
      <w:r>
        <w:rPr>
          <w:rFonts w:ascii="宋体" w:hAnsi="宋体"/>
          <w:sz w:val="21"/>
          <w:szCs w:val="21"/>
        </w:rPr>
        <w:t>Version number</w:t>
      </w:r>
      <w:r>
        <w:rPr>
          <w:rFonts w:hint="eastAsia" w:ascii="宋体" w:hAnsi="宋体"/>
          <w:sz w:val="21"/>
          <w:szCs w:val="21"/>
        </w:rPr>
        <w:t>值不作为节目更新的依据，也不保存到机顶盒当中。机顶盒恢复出厂设置后</w:t>
      </w:r>
      <w:r>
        <w:rPr>
          <w:rFonts w:ascii="宋体" w:hAnsi="宋体"/>
          <w:sz w:val="21"/>
          <w:szCs w:val="21"/>
        </w:rPr>
        <w:t>Version number</w:t>
      </w:r>
      <w:r>
        <w:rPr>
          <w:rFonts w:hint="eastAsia" w:ascii="宋体" w:hAnsi="宋体"/>
          <w:sz w:val="21"/>
          <w:szCs w:val="21"/>
        </w:rPr>
        <w:t>值恢复为</w:t>
      </w:r>
      <w:r>
        <w:rPr>
          <w:rFonts w:ascii="宋体"/>
          <w:sz w:val="21"/>
          <w:szCs w:val="21"/>
        </w:rPr>
        <w:t>0,</w:t>
      </w:r>
      <w:r>
        <w:rPr>
          <w:rFonts w:hint="eastAsia" w:ascii="宋体" w:hAnsi="宋体"/>
          <w:sz w:val="21"/>
          <w:szCs w:val="21"/>
        </w:rPr>
        <w:t>重新快速搜台后，机顶盒保存主频点</w:t>
      </w:r>
      <w:r>
        <w:rPr>
          <w:rFonts w:ascii="宋体" w:hAnsi="宋体"/>
          <w:sz w:val="21"/>
          <w:szCs w:val="21"/>
        </w:rPr>
        <w:t>NIT</w:t>
      </w:r>
      <w:r>
        <w:rPr>
          <w:rFonts w:hint="eastAsia" w:ascii="宋体" w:hAnsi="宋体"/>
          <w:sz w:val="21"/>
          <w:szCs w:val="21"/>
        </w:rPr>
        <w:t>表中的</w:t>
      </w:r>
      <w:r>
        <w:rPr>
          <w:rFonts w:ascii="宋体" w:hAnsi="宋体"/>
          <w:sz w:val="21"/>
          <w:szCs w:val="21"/>
        </w:rPr>
        <w:t>Version number</w:t>
      </w:r>
      <w:r>
        <w:rPr>
          <w:rFonts w:hint="eastAsia" w:ascii="宋体" w:hAnsi="宋体"/>
          <w:sz w:val="21"/>
          <w:szCs w:val="21"/>
        </w:rPr>
        <w:t>值。机顶盒节目更新，应根据主频点进行快速搜台，搜台后自动保存频道列表。</w:t>
      </w:r>
    </w:p>
    <w:p>
      <w:pPr>
        <w:spacing w:line="340" w:lineRule="exact"/>
        <w:ind w:left="424" w:leftChars="201" w:hanging="2"/>
        <w:rPr>
          <w:rFonts w:ascii="宋体"/>
          <w:sz w:val="21"/>
          <w:szCs w:val="21"/>
        </w:rPr>
      </w:pPr>
      <w:r>
        <w:rPr>
          <w:rFonts w:ascii="宋体" w:hAnsi="宋体"/>
          <w:sz w:val="21"/>
          <w:szCs w:val="21"/>
        </w:rPr>
        <w:t>6</w:t>
      </w:r>
      <w:r>
        <w:rPr>
          <w:rFonts w:hint="eastAsia" w:ascii="宋体" w:hAnsi="宋体"/>
          <w:sz w:val="21"/>
          <w:szCs w:val="21"/>
        </w:rPr>
        <w:t>）机顶盒必须支持中文</w:t>
      </w:r>
      <w:r>
        <w:rPr>
          <w:rFonts w:ascii="宋体" w:hAnsi="宋体"/>
          <w:sz w:val="21"/>
          <w:szCs w:val="21"/>
        </w:rPr>
        <w:t>EPG</w:t>
      </w:r>
      <w:r>
        <w:rPr>
          <w:rFonts w:hint="eastAsia" w:ascii="宋体" w:hAnsi="宋体"/>
          <w:sz w:val="21"/>
          <w:szCs w:val="21"/>
        </w:rPr>
        <w:t>显示，支持对前端</w:t>
      </w:r>
      <w:r>
        <w:rPr>
          <w:rFonts w:ascii="宋体" w:hAnsi="宋体"/>
          <w:sz w:val="21"/>
          <w:szCs w:val="21"/>
        </w:rPr>
        <w:t>EPG server</w:t>
      </w:r>
      <w:r>
        <w:rPr>
          <w:rFonts w:hint="eastAsia" w:ascii="宋体" w:hAnsi="宋体"/>
          <w:sz w:val="21"/>
          <w:szCs w:val="21"/>
        </w:rPr>
        <w:t>节目单的接收，能正确提取</w:t>
      </w:r>
      <w:r>
        <w:rPr>
          <w:rFonts w:ascii="宋体" w:hAnsi="宋体"/>
          <w:sz w:val="21"/>
          <w:szCs w:val="21"/>
        </w:rPr>
        <w:t>PSI/SI</w:t>
      </w:r>
      <w:r>
        <w:rPr>
          <w:rFonts w:hint="eastAsia" w:ascii="宋体" w:hAnsi="宋体"/>
          <w:sz w:val="21"/>
          <w:szCs w:val="21"/>
        </w:rPr>
        <w:t>信息并实现其相应功能，可完成节目预定、取消预定，实现节目按预定自动切换。</w:t>
      </w:r>
    </w:p>
    <w:p>
      <w:pPr>
        <w:spacing w:line="340" w:lineRule="exact"/>
        <w:ind w:left="424" w:leftChars="201" w:hanging="2"/>
        <w:rPr>
          <w:rFonts w:ascii="宋体"/>
          <w:sz w:val="21"/>
          <w:szCs w:val="21"/>
        </w:rPr>
      </w:pPr>
      <w:r>
        <w:rPr>
          <w:rFonts w:ascii="宋体" w:hAnsi="宋体"/>
          <w:sz w:val="21"/>
          <w:szCs w:val="21"/>
        </w:rPr>
        <w:t>7</w:t>
      </w:r>
      <w:r>
        <w:rPr>
          <w:rFonts w:hint="eastAsia" w:ascii="宋体" w:hAnsi="宋体"/>
          <w:sz w:val="21"/>
          <w:szCs w:val="21"/>
        </w:rPr>
        <w:t>）机顶盒必须能够对频道列表进行手动编辑，包括对频道进行喜爱、锁定、删除和移动，在不重新搜索的情况下可以对删除的频道进行恢复。</w:t>
      </w:r>
    </w:p>
    <w:p>
      <w:pPr>
        <w:spacing w:line="340" w:lineRule="exact"/>
        <w:ind w:left="424" w:leftChars="201" w:hanging="2"/>
        <w:rPr>
          <w:rFonts w:ascii="宋体"/>
          <w:sz w:val="21"/>
          <w:szCs w:val="21"/>
        </w:rPr>
      </w:pPr>
      <w:r>
        <w:rPr>
          <w:rFonts w:ascii="宋体" w:hAnsi="宋体"/>
          <w:sz w:val="21"/>
          <w:szCs w:val="21"/>
        </w:rPr>
        <w:t>8</w:t>
      </w:r>
      <w:r>
        <w:rPr>
          <w:rFonts w:hint="eastAsia" w:ascii="宋体" w:hAnsi="宋体"/>
          <w:sz w:val="21"/>
          <w:szCs w:val="21"/>
        </w:rPr>
        <w:t>）机顶盒出厂必须设置基本频道参数（主频点</w:t>
      </w:r>
      <w:r>
        <w:rPr>
          <w:rFonts w:ascii="宋体" w:hAnsi="宋体"/>
          <w:sz w:val="21"/>
          <w:szCs w:val="21"/>
        </w:rPr>
        <w:t>530MHZ</w:t>
      </w:r>
      <w:r>
        <w:rPr>
          <w:rFonts w:hint="eastAsia" w:ascii="宋体" w:hAnsi="宋体"/>
          <w:sz w:val="21"/>
          <w:szCs w:val="21"/>
        </w:rPr>
        <w:t>，调制方式</w:t>
      </w:r>
      <w:r>
        <w:rPr>
          <w:rFonts w:ascii="宋体" w:hAnsi="宋体"/>
          <w:sz w:val="21"/>
          <w:szCs w:val="21"/>
        </w:rPr>
        <w:t>64QAM</w:t>
      </w:r>
      <w:r>
        <w:rPr>
          <w:rFonts w:hint="eastAsia" w:ascii="宋体" w:hAnsi="宋体"/>
          <w:sz w:val="21"/>
          <w:szCs w:val="21"/>
        </w:rPr>
        <w:t>，符号率</w:t>
      </w:r>
      <w:r>
        <w:rPr>
          <w:rFonts w:ascii="宋体" w:hAnsi="宋体"/>
          <w:sz w:val="21"/>
          <w:szCs w:val="21"/>
        </w:rPr>
        <w:t>6.875M</w:t>
      </w:r>
      <w:r>
        <w:rPr>
          <w:rFonts w:hint="eastAsia" w:ascii="宋体" w:hAnsi="宋体"/>
          <w:sz w:val="21"/>
          <w:szCs w:val="21"/>
        </w:rPr>
        <w:t>），并具有基本频道参数设置功能；机顶盒每次升级完成后，保留升级前基本频道参数设置。</w:t>
      </w:r>
    </w:p>
    <w:p>
      <w:pPr>
        <w:spacing w:line="340" w:lineRule="exact"/>
        <w:ind w:left="424" w:leftChars="201" w:hanging="2"/>
        <w:rPr>
          <w:rFonts w:ascii="宋体"/>
          <w:sz w:val="21"/>
          <w:szCs w:val="21"/>
        </w:rPr>
      </w:pPr>
      <w:r>
        <w:rPr>
          <w:rFonts w:ascii="宋体" w:hAnsi="宋体"/>
          <w:sz w:val="21"/>
          <w:szCs w:val="21"/>
        </w:rPr>
        <w:t xml:space="preserve">9) </w:t>
      </w:r>
      <w:r>
        <w:rPr>
          <w:rFonts w:hint="eastAsia" w:ascii="宋体" w:hAnsi="宋体"/>
          <w:sz w:val="21"/>
          <w:szCs w:val="21"/>
        </w:rPr>
        <w:t>机顶盒在设置其他频点作为主频点情况下，也必须根据设置主频点下的</w:t>
      </w:r>
      <w:r>
        <w:rPr>
          <w:rFonts w:ascii="宋体" w:hAnsi="宋体"/>
          <w:sz w:val="21"/>
          <w:szCs w:val="21"/>
        </w:rPr>
        <w:t xml:space="preserve">BAT NIT SDT </w:t>
      </w:r>
      <w:r>
        <w:rPr>
          <w:rFonts w:hint="eastAsia" w:ascii="宋体" w:hAnsi="宋体"/>
          <w:sz w:val="21"/>
          <w:szCs w:val="21"/>
        </w:rPr>
        <w:t>表进行搜台排序并保存。</w:t>
      </w:r>
    </w:p>
    <w:p>
      <w:pPr>
        <w:spacing w:line="340" w:lineRule="exact"/>
        <w:ind w:left="424" w:leftChars="201" w:hanging="2"/>
        <w:rPr>
          <w:rFonts w:ascii="宋体"/>
          <w:sz w:val="21"/>
          <w:szCs w:val="21"/>
        </w:rPr>
      </w:pPr>
      <w:r>
        <w:rPr>
          <w:rFonts w:ascii="宋体" w:hAnsi="宋体"/>
          <w:sz w:val="21"/>
          <w:szCs w:val="21"/>
        </w:rPr>
        <w:t>10</w:t>
      </w:r>
      <w:r>
        <w:rPr>
          <w:rFonts w:hint="eastAsia" w:ascii="宋体" w:hAnsi="宋体"/>
          <w:sz w:val="21"/>
          <w:szCs w:val="21"/>
        </w:rPr>
        <w:t>）机顶盒在没插智能卡的情况下，必须能够正常接收没有加密的节目。不加密节目在加密后无需重新搜索即可收看。</w:t>
      </w:r>
      <w:r>
        <w:rPr>
          <w:rFonts w:ascii="宋体" w:hAnsi="宋体"/>
          <w:sz w:val="21"/>
          <w:szCs w:val="21"/>
        </w:rPr>
        <w:t xml:space="preserve"> </w:t>
      </w:r>
    </w:p>
    <w:p>
      <w:pPr>
        <w:spacing w:line="340" w:lineRule="exact"/>
        <w:ind w:left="424" w:leftChars="201" w:hanging="2"/>
        <w:rPr>
          <w:rFonts w:ascii="宋体"/>
          <w:sz w:val="21"/>
          <w:szCs w:val="21"/>
        </w:rPr>
      </w:pPr>
      <w:r>
        <w:rPr>
          <w:rFonts w:ascii="宋体" w:hAnsi="宋体"/>
          <w:sz w:val="21"/>
          <w:szCs w:val="21"/>
        </w:rPr>
        <w:t>11</w:t>
      </w:r>
      <w:r>
        <w:rPr>
          <w:rFonts w:hint="eastAsia" w:ascii="宋体" w:hAnsi="宋体"/>
          <w:sz w:val="21"/>
          <w:szCs w:val="21"/>
        </w:rPr>
        <w:t>）在正常收视过程中，若发生射频信号丢失、前端视音频信号中断、前端</w:t>
      </w:r>
      <w:r>
        <w:rPr>
          <w:rFonts w:ascii="宋体" w:hAnsi="宋体"/>
          <w:sz w:val="21"/>
          <w:szCs w:val="21"/>
        </w:rPr>
        <w:t>TS</w:t>
      </w:r>
      <w:r>
        <w:rPr>
          <w:rFonts w:hint="eastAsia" w:ascii="宋体" w:hAnsi="宋体"/>
          <w:sz w:val="21"/>
          <w:szCs w:val="21"/>
        </w:rPr>
        <w:t>流中断中的任一种情况，机顶盒应显示黑屏“信号异常”提示信息，</w:t>
      </w:r>
      <w:r>
        <w:rPr>
          <w:rFonts w:hint="eastAsia" w:ascii="宋体" w:hAnsi="宋体"/>
          <w:sz w:val="21"/>
          <w:szCs w:val="21"/>
          <w:lang w:val="en-GB"/>
        </w:rPr>
        <w:t>不得停留在丢失信号前的最后一帧画面上。</w:t>
      </w:r>
    </w:p>
    <w:p>
      <w:pPr>
        <w:spacing w:line="340" w:lineRule="exact"/>
        <w:ind w:left="424" w:leftChars="201" w:hanging="2"/>
        <w:rPr>
          <w:rFonts w:ascii="宋体"/>
          <w:kern w:val="0"/>
          <w:sz w:val="21"/>
          <w:szCs w:val="21"/>
        </w:rPr>
      </w:pPr>
      <w:r>
        <w:rPr>
          <w:rFonts w:ascii="宋体"/>
          <w:kern w:val="0"/>
          <w:sz w:val="21"/>
          <w:szCs w:val="21"/>
        </w:rPr>
        <w:t xml:space="preserve">12) </w:t>
      </w:r>
      <w:r>
        <w:rPr>
          <w:rFonts w:hint="eastAsia" w:ascii="宋体"/>
          <w:kern w:val="0"/>
          <w:sz w:val="21"/>
          <w:szCs w:val="21"/>
        </w:rPr>
        <w:t>特殊频道显示控制</w:t>
      </w:r>
    </w:p>
    <w:p>
      <w:pPr>
        <w:spacing w:line="340" w:lineRule="exact"/>
        <w:ind w:left="424" w:leftChars="201" w:hanging="2"/>
        <w:rPr>
          <w:rFonts w:ascii="宋体"/>
          <w:kern w:val="0"/>
          <w:sz w:val="21"/>
          <w:szCs w:val="21"/>
        </w:rPr>
      </w:pPr>
      <w:r>
        <w:rPr>
          <w:rFonts w:hint="eastAsia" w:ascii="宋体"/>
          <w:kern w:val="0"/>
          <w:sz w:val="21"/>
          <w:szCs w:val="21"/>
        </w:rPr>
        <w:t>机顶盒搜索特殊频道节目时，需根据智能卡是否授权进行搜台完成后的节目显示控制。</w:t>
      </w:r>
    </w:p>
    <w:p>
      <w:pPr>
        <w:spacing w:line="340" w:lineRule="exact"/>
        <w:ind w:left="424" w:leftChars="201" w:hanging="2"/>
        <w:rPr>
          <w:rFonts w:ascii="宋体"/>
          <w:kern w:val="0"/>
          <w:sz w:val="21"/>
          <w:szCs w:val="21"/>
        </w:rPr>
      </w:pPr>
      <w:r>
        <w:rPr>
          <w:rFonts w:hint="eastAsia" w:ascii="宋体"/>
          <w:kern w:val="0"/>
          <w:sz w:val="21"/>
          <w:szCs w:val="21"/>
        </w:rPr>
        <w:t>在</w:t>
      </w:r>
      <w:r>
        <w:rPr>
          <w:rFonts w:ascii="宋体"/>
          <w:kern w:val="0"/>
          <w:sz w:val="21"/>
          <w:szCs w:val="21"/>
        </w:rPr>
        <w:t>BAT</w:t>
      </w:r>
      <w:r>
        <w:rPr>
          <w:rFonts w:hint="eastAsia" w:ascii="宋体"/>
          <w:kern w:val="0"/>
          <w:sz w:val="21"/>
          <w:szCs w:val="21"/>
        </w:rPr>
        <w:t>中新建</w:t>
      </w:r>
      <w:r>
        <w:rPr>
          <w:rFonts w:ascii="宋体"/>
          <w:kern w:val="0"/>
          <w:sz w:val="21"/>
          <w:szCs w:val="21"/>
        </w:rPr>
        <w:t>bouquet_id</w:t>
      </w:r>
      <w:r>
        <w:rPr>
          <w:rFonts w:hint="eastAsia" w:ascii="宋体"/>
          <w:kern w:val="0"/>
          <w:sz w:val="21"/>
          <w:szCs w:val="21"/>
        </w:rPr>
        <w:t>号</w:t>
      </w:r>
      <w:r>
        <w:rPr>
          <w:rFonts w:ascii="宋体"/>
          <w:kern w:val="0"/>
          <w:sz w:val="21"/>
          <w:szCs w:val="21"/>
        </w:rPr>
        <w:t xml:space="preserve"> </w:t>
      </w:r>
      <w:r>
        <w:rPr>
          <w:rFonts w:hint="eastAsia" w:ascii="宋体"/>
          <w:kern w:val="0"/>
          <w:sz w:val="21"/>
          <w:szCs w:val="21"/>
        </w:rPr>
        <w:t>以此</w:t>
      </w:r>
      <w:r>
        <w:rPr>
          <w:rFonts w:ascii="宋体"/>
          <w:kern w:val="0"/>
          <w:sz w:val="21"/>
          <w:szCs w:val="21"/>
        </w:rPr>
        <w:t>ID</w:t>
      </w:r>
      <w:r>
        <w:rPr>
          <w:rFonts w:hint="eastAsia" w:ascii="宋体"/>
          <w:kern w:val="0"/>
          <w:sz w:val="21"/>
          <w:szCs w:val="21"/>
        </w:rPr>
        <w:t>号设置逻辑频道号区域控制搜完的境外节目是否排序显示。</w:t>
      </w:r>
    </w:p>
    <w:p>
      <w:pPr>
        <w:spacing w:line="340" w:lineRule="exact"/>
        <w:ind w:left="424" w:leftChars="201" w:hanging="2"/>
        <w:rPr>
          <w:rFonts w:ascii="宋体"/>
          <w:kern w:val="0"/>
          <w:sz w:val="21"/>
          <w:szCs w:val="21"/>
        </w:rPr>
      </w:pPr>
      <w:r>
        <w:rPr>
          <w:rFonts w:ascii="宋体"/>
          <w:kern w:val="0"/>
          <w:sz w:val="21"/>
          <w:szCs w:val="21"/>
        </w:rPr>
        <w:t xml:space="preserve">    1.</w:t>
      </w:r>
      <w:r>
        <w:rPr>
          <w:rFonts w:hint="eastAsia" w:ascii="宋体"/>
          <w:kern w:val="0"/>
          <w:sz w:val="21"/>
          <w:szCs w:val="21"/>
        </w:rPr>
        <w:t>当智能卡授权境外节目，必须正常保存境外节目。</w:t>
      </w:r>
    </w:p>
    <w:p>
      <w:pPr>
        <w:spacing w:line="340" w:lineRule="exact"/>
        <w:ind w:left="424" w:leftChars="201" w:hanging="2"/>
        <w:rPr>
          <w:rFonts w:ascii="宋体"/>
          <w:kern w:val="0"/>
          <w:sz w:val="21"/>
          <w:szCs w:val="21"/>
        </w:rPr>
      </w:pPr>
      <w:r>
        <w:rPr>
          <w:rFonts w:ascii="宋体"/>
          <w:kern w:val="0"/>
          <w:sz w:val="21"/>
          <w:szCs w:val="21"/>
        </w:rPr>
        <w:t xml:space="preserve">    2.</w:t>
      </w:r>
      <w:r>
        <w:rPr>
          <w:rFonts w:hint="eastAsia" w:ascii="宋体"/>
          <w:kern w:val="0"/>
          <w:sz w:val="21"/>
          <w:szCs w:val="21"/>
        </w:rPr>
        <w:t>当智能卡未授权境外节目，节目搜素完后不能保存在机顶盒内，不能出现节目未授权提示。</w:t>
      </w:r>
    </w:p>
    <w:p>
      <w:pPr>
        <w:spacing w:line="340" w:lineRule="exact"/>
        <w:ind w:left="424" w:leftChars="201" w:hanging="2"/>
        <w:rPr>
          <w:rFonts w:ascii="宋体"/>
          <w:kern w:val="0"/>
          <w:sz w:val="21"/>
          <w:szCs w:val="21"/>
        </w:rPr>
      </w:pPr>
      <w:r>
        <w:rPr>
          <w:rFonts w:ascii="宋体"/>
          <w:kern w:val="0"/>
          <w:sz w:val="21"/>
          <w:szCs w:val="21"/>
        </w:rPr>
        <w:t xml:space="preserve">    3.</w:t>
      </w:r>
      <w:r>
        <w:rPr>
          <w:rFonts w:hint="eastAsia" w:ascii="宋体"/>
          <w:kern w:val="0"/>
          <w:sz w:val="21"/>
          <w:szCs w:val="21"/>
        </w:rPr>
        <w:t>关于其他付费电视还是按照原由方式进行排序保存，授权则显示节目，未授权则显示未授权提示。</w:t>
      </w:r>
    </w:p>
    <w:p>
      <w:pPr>
        <w:spacing w:line="340" w:lineRule="exact"/>
        <w:ind w:left="424" w:leftChars="201" w:hanging="2"/>
        <w:rPr>
          <w:rFonts w:ascii="宋体"/>
          <w:kern w:val="0"/>
          <w:sz w:val="21"/>
          <w:szCs w:val="21"/>
        </w:rPr>
      </w:pPr>
    </w:p>
    <w:p>
      <w:pPr>
        <w:spacing w:line="340" w:lineRule="exact"/>
        <w:textAlignment w:val="baseline"/>
        <w:rPr>
          <w:b/>
          <w:sz w:val="21"/>
          <w:szCs w:val="21"/>
        </w:rPr>
      </w:pPr>
      <w:r>
        <w:rPr>
          <w:rFonts w:ascii="宋体" w:hAnsi="宋体"/>
          <w:b/>
          <w:sz w:val="21"/>
          <w:szCs w:val="21"/>
        </w:rPr>
        <w:t>2.</w:t>
      </w:r>
      <w:r>
        <w:rPr>
          <w:rFonts w:hint="eastAsia"/>
          <w:b/>
          <w:sz w:val="21"/>
          <w:szCs w:val="21"/>
        </w:rPr>
        <w:t>高清交互机顶盒交互点播部分技术要求</w:t>
      </w:r>
    </w:p>
    <w:p>
      <w:pPr>
        <w:spacing w:line="340" w:lineRule="exact"/>
        <w:ind w:left="422" w:leftChars="201" w:firstLine="427"/>
        <w:textAlignment w:val="baseline"/>
        <w:rPr>
          <w:sz w:val="21"/>
          <w:szCs w:val="21"/>
        </w:rPr>
      </w:pPr>
      <w:r>
        <w:rPr>
          <w:rFonts w:hint="eastAsia"/>
          <w:sz w:val="21"/>
          <w:szCs w:val="21"/>
        </w:rPr>
        <w:t>宁海交互点播系统上接华数云平台，所有功能均要符合华数云平台，终端软件应集成茁壮</w:t>
      </w:r>
      <w:r>
        <w:rPr>
          <w:sz w:val="21"/>
          <w:szCs w:val="21"/>
        </w:rPr>
        <w:t>3.0</w:t>
      </w:r>
      <w:r>
        <w:rPr>
          <w:rFonts w:hint="eastAsia"/>
          <w:sz w:val="21"/>
          <w:szCs w:val="21"/>
        </w:rPr>
        <w:t>中间件。宁海数字电视本地交互平台目前正在完善，投标方必须承诺在规定时间内，免费完成宁海数字电视自建平台的二次开发。</w:t>
      </w:r>
    </w:p>
    <w:p>
      <w:pPr>
        <w:spacing w:line="340" w:lineRule="exact"/>
        <w:ind w:left="422" w:leftChars="201" w:firstLine="427"/>
        <w:textAlignment w:val="baseline"/>
        <w:rPr>
          <w:sz w:val="21"/>
          <w:szCs w:val="21"/>
        </w:rPr>
      </w:pPr>
      <w:r>
        <w:rPr>
          <w:rFonts w:hint="eastAsia"/>
          <w:sz w:val="21"/>
          <w:szCs w:val="21"/>
        </w:rPr>
        <w:t>机顶盒要提供能读取真实机顶盒号及</w:t>
      </w:r>
      <w:r>
        <w:rPr>
          <w:sz w:val="21"/>
          <w:szCs w:val="21"/>
        </w:rPr>
        <w:t>SIM</w:t>
      </w:r>
      <w:r>
        <w:rPr>
          <w:rFonts w:hint="eastAsia"/>
          <w:sz w:val="21"/>
          <w:szCs w:val="21"/>
        </w:rPr>
        <w:t>卡号的</w:t>
      </w:r>
      <w:r>
        <w:rPr>
          <w:sz w:val="21"/>
          <w:szCs w:val="21"/>
        </w:rPr>
        <w:t>js</w:t>
      </w:r>
      <w:r>
        <w:rPr>
          <w:rFonts w:hint="eastAsia"/>
          <w:sz w:val="21"/>
          <w:szCs w:val="21"/>
        </w:rPr>
        <w:t>接口。</w:t>
      </w:r>
    </w:p>
    <w:p>
      <w:pPr>
        <w:spacing w:line="340" w:lineRule="exact"/>
        <w:ind w:left="422" w:leftChars="201" w:firstLine="427"/>
        <w:textAlignment w:val="baseline"/>
        <w:rPr>
          <w:sz w:val="21"/>
          <w:szCs w:val="21"/>
        </w:rPr>
      </w:pPr>
    </w:p>
    <w:p>
      <w:pPr>
        <w:spacing w:line="340" w:lineRule="exact"/>
        <w:ind w:left="426"/>
        <w:rPr>
          <w:bCs/>
          <w:sz w:val="21"/>
          <w:szCs w:val="21"/>
        </w:rPr>
      </w:pPr>
      <w:r>
        <w:rPr>
          <w:bCs/>
          <w:sz w:val="21"/>
          <w:szCs w:val="21"/>
        </w:rPr>
        <w:t>1</w:t>
      </w:r>
      <w:r>
        <w:rPr>
          <w:rFonts w:hint="eastAsia"/>
          <w:bCs/>
          <w:sz w:val="21"/>
          <w:szCs w:val="21"/>
        </w:rPr>
        <w:t>）机顶盒软件必须集成如加网络科技有限公司</w:t>
      </w:r>
      <w:r>
        <w:rPr>
          <w:bCs/>
          <w:sz w:val="21"/>
          <w:szCs w:val="21"/>
        </w:rPr>
        <w:t>EPG</w:t>
      </w:r>
      <w:r>
        <w:rPr>
          <w:rFonts w:hint="eastAsia"/>
          <w:bCs/>
          <w:sz w:val="21"/>
          <w:szCs w:val="21"/>
        </w:rPr>
        <w:t>广告系统，广告显示样式必须经过我方确认。中标后投标人提供</w:t>
      </w:r>
      <w:r>
        <w:rPr>
          <w:bCs/>
          <w:sz w:val="21"/>
          <w:szCs w:val="21"/>
        </w:rPr>
        <w:t>MIS</w:t>
      </w:r>
      <w:r>
        <w:rPr>
          <w:rFonts w:hint="eastAsia"/>
          <w:bCs/>
          <w:sz w:val="21"/>
          <w:szCs w:val="21"/>
        </w:rPr>
        <w:t>移植认证测试报告，要求提供详细测试通过报告；</w:t>
      </w:r>
    </w:p>
    <w:p>
      <w:pPr>
        <w:spacing w:line="340" w:lineRule="exact"/>
        <w:ind w:left="426"/>
        <w:rPr>
          <w:bCs/>
          <w:sz w:val="21"/>
          <w:szCs w:val="21"/>
        </w:rPr>
      </w:pPr>
      <w:r>
        <w:rPr>
          <w:bCs/>
          <w:sz w:val="21"/>
          <w:szCs w:val="21"/>
        </w:rPr>
        <w:t>2</w:t>
      </w:r>
      <w:r>
        <w:rPr>
          <w:rFonts w:hint="eastAsia"/>
          <w:bCs/>
          <w:sz w:val="21"/>
          <w:szCs w:val="21"/>
        </w:rPr>
        <w:t>）机顶盒必须具备读取</w:t>
      </w:r>
      <w:r>
        <w:rPr>
          <w:bCs/>
          <w:sz w:val="21"/>
          <w:szCs w:val="21"/>
        </w:rPr>
        <w:t>STB ID</w:t>
      </w:r>
      <w:r>
        <w:rPr>
          <w:rFonts w:hint="eastAsia"/>
          <w:bCs/>
          <w:sz w:val="21"/>
          <w:szCs w:val="21"/>
        </w:rPr>
        <w:t>。</w:t>
      </w:r>
    </w:p>
    <w:p>
      <w:pPr>
        <w:spacing w:line="340" w:lineRule="exact"/>
        <w:ind w:left="422" w:leftChars="201" w:firstLine="427"/>
        <w:textAlignment w:val="baseline"/>
        <w:rPr>
          <w:sz w:val="21"/>
          <w:szCs w:val="21"/>
        </w:rPr>
      </w:pPr>
      <w:r>
        <w:rPr>
          <w:sz w:val="21"/>
          <w:szCs w:val="21"/>
        </w:rPr>
        <w:t>STB ID</w:t>
      </w:r>
      <w:r>
        <w:rPr>
          <w:rFonts w:hint="eastAsia"/>
          <w:sz w:val="21"/>
          <w:szCs w:val="21"/>
        </w:rPr>
        <w:t>即为华数</w:t>
      </w:r>
      <w:r>
        <w:rPr>
          <w:sz w:val="21"/>
          <w:szCs w:val="21"/>
        </w:rPr>
        <w:t>TV2.0</w:t>
      </w:r>
      <w:r>
        <w:rPr>
          <w:rFonts w:hint="eastAsia"/>
          <w:sz w:val="21"/>
          <w:szCs w:val="21"/>
        </w:rPr>
        <w:t>终端</w:t>
      </w:r>
      <w:r>
        <w:rPr>
          <w:sz w:val="21"/>
          <w:szCs w:val="21"/>
        </w:rPr>
        <w:t>UA</w:t>
      </w:r>
      <w:r>
        <w:rPr>
          <w:rFonts w:hint="eastAsia"/>
          <w:sz w:val="21"/>
          <w:szCs w:val="21"/>
        </w:rPr>
        <w:t>信息接入规范中的</w:t>
      </w:r>
      <w:r>
        <w:rPr>
          <w:sz w:val="21"/>
          <w:szCs w:val="21"/>
        </w:rPr>
        <w:t>X-TERMINAL-ID</w:t>
      </w:r>
      <w:r>
        <w:rPr>
          <w:rFonts w:hint="eastAsia"/>
          <w:sz w:val="21"/>
          <w:szCs w:val="21"/>
        </w:rPr>
        <w:t>和</w:t>
      </w:r>
      <w:r>
        <w:rPr>
          <w:sz w:val="21"/>
          <w:szCs w:val="21"/>
        </w:rPr>
        <w:t>TERMINALID</w:t>
      </w:r>
      <w:r>
        <w:rPr>
          <w:rFonts w:hint="eastAsia"/>
          <w:sz w:val="21"/>
          <w:szCs w:val="21"/>
        </w:rPr>
        <w:t>。</w:t>
      </w:r>
    </w:p>
    <w:p>
      <w:pPr>
        <w:spacing w:line="340" w:lineRule="exact"/>
        <w:ind w:left="426"/>
        <w:rPr>
          <w:sz w:val="21"/>
          <w:szCs w:val="21"/>
        </w:rPr>
      </w:pPr>
      <w:r>
        <w:rPr>
          <w:sz w:val="21"/>
          <w:szCs w:val="21"/>
        </w:rPr>
        <w:t>3</w:t>
      </w:r>
      <w:r>
        <w:rPr>
          <w:rFonts w:hint="eastAsia"/>
          <w:sz w:val="21"/>
          <w:szCs w:val="21"/>
        </w:rPr>
        <w:t>）前期</w:t>
      </w:r>
      <w:r>
        <w:rPr>
          <w:sz w:val="21"/>
          <w:szCs w:val="21"/>
        </w:rPr>
        <w:t>IPQAM</w:t>
      </w:r>
      <w:r>
        <w:rPr>
          <w:rFonts w:hint="eastAsia"/>
          <w:sz w:val="21"/>
          <w:szCs w:val="21"/>
        </w:rPr>
        <w:t>没有部署，机顶盒检测不到</w:t>
      </w:r>
      <w:r>
        <w:rPr>
          <w:sz w:val="21"/>
          <w:szCs w:val="21"/>
        </w:rPr>
        <w:t>IPQAM</w:t>
      </w:r>
      <w:r>
        <w:rPr>
          <w:rFonts w:hint="eastAsia"/>
          <w:sz w:val="21"/>
          <w:szCs w:val="21"/>
        </w:rPr>
        <w:t>信号，返回错误信息为：</w:t>
      </w:r>
      <w:r>
        <w:rPr>
          <w:sz w:val="21"/>
          <w:szCs w:val="21"/>
        </w:rPr>
        <w:t>ipqam</w:t>
      </w:r>
      <w:r>
        <w:rPr>
          <w:rFonts w:hint="eastAsia"/>
          <w:sz w:val="21"/>
          <w:szCs w:val="21"/>
        </w:rPr>
        <w:t>信号错误。</w:t>
      </w:r>
    </w:p>
    <w:p>
      <w:pPr>
        <w:spacing w:line="340" w:lineRule="exact"/>
        <w:ind w:left="424" w:leftChars="202"/>
        <w:textAlignment w:val="baseline"/>
        <w:rPr>
          <w:sz w:val="21"/>
          <w:szCs w:val="21"/>
        </w:rPr>
      </w:pPr>
      <w:r>
        <w:rPr>
          <w:sz w:val="21"/>
          <w:szCs w:val="21"/>
        </w:rPr>
        <w:t>4</w:t>
      </w:r>
      <w:r>
        <w:rPr>
          <w:rFonts w:hint="eastAsia"/>
          <w:sz w:val="21"/>
          <w:szCs w:val="21"/>
        </w:rPr>
        <w:t>）高清</w:t>
      </w:r>
      <w:r>
        <w:rPr>
          <w:sz w:val="21"/>
          <w:szCs w:val="21"/>
        </w:rPr>
        <w:t>HDMI</w:t>
      </w:r>
      <w:r>
        <w:rPr>
          <w:rFonts w:hint="eastAsia"/>
          <w:sz w:val="21"/>
          <w:szCs w:val="21"/>
        </w:rPr>
        <w:t>接口要求</w:t>
      </w:r>
    </w:p>
    <w:p>
      <w:pPr>
        <w:spacing w:line="340" w:lineRule="exact"/>
        <w:ind w:left="422" w:leftChars="201" w:firstLine="427"/>
        <w:textAlignment w:val="baseline"/>
        <w:rPr>
          <w:sz w:val="21"/>
          <w:szCs w:val="21"/>
        </w:rPr>
      </w:pPr>
      <w:r>
        <w:rPr>
          <w:rFonts w:hint="eastAsia"/>
          <w:sz w:val="21"/>
          <w:szCs w:val="21"/>
        </w:rPr>
        <w:t>高清、交互机顶盒必须能够正常接收前端播出的</w:t>
      </w:r>
      <w:r>
        <w:rPr>
          <w:sz w:val="21"/>
          <w:szCs w:val="21"/>
        </w:rPr>
        <w:t>MPEG-2</w:t>
      </w:r>
      <w:r>
        <w:rPr>
          <w:rFonts w:hint="eastAsia"/>
          <w:sz w:val="21"/>
          <w:szCs w:val="21"/>
        </w:rPr>
        <w:t>和</w:t>
      </w:r>
      <w:r>
        <w:rPr>
          <w:sz w:val="21"/>
          <w:szCs w:val="21"/>
        </w:rPr>
        <w:t>H.264</w:t>
      </w:r>
      <w:r>
        <w:rPr>
          <w:rFonts w:hint="eastAsia"/>
          <w:sz w:val="21"/>
          <w:szCs w:val="21"/>
        </w:rPr>
        <w:t>格式的高清节目流，机顶盒的</w:t>
      </w:r>
      <w:r>
        <w:rPr>
          <w:sz w:val="21"/>
          <w:szCs w:val="21"/>
        </w:rPr>
        <w:t>HDMI</w:t>
      </w:r>
      <w:r>
        <w:rPr>
          <w:rFonts w:hint="eastAsia"/>
          <w:sz w:val="21"/>
          <w:szCs w:val="21"/>
        </w:rPr>
        <w:t>接口底层驱动软件必须和电视机的</w:t>
      </w:r>
      <w:r>
        <w:rPr>
          <w:sz w:val="21"/>
          <w:szCs w:val="21"/>
        </w:rPr>
        <w:t>HDMI</w:t>
      </w:r>
      <w:r>
        <w:rPr>
          <w:rFonts w:hint="eastAsia"/>
          <w:sz w:val="21"/>
          <w:szCs w:val="21"/>
        </w:rPr>
        <w:t>接口兼容。</w:t>
      </w:r>
      <w:r>
        <w:rPr>
          <w:sz w:val="21"/>
          <w:szCs w:val="21"/>
        </w:rPr>
        <w:t xml:space="preserve"> </w:t>
      </w:r>
      <w:r>
        <w:rPr>
          <w:rFonts w:hint="eastAsia"/>
          <w:sz w:val="21"/>
          <w:szCs w:val="21"/>
        </w:rPr>
        <w:t>机顶盒须正常接收有线网内传输的</w:t>
      </w:r>
      <w:r>
        <w:rPr>
          <w:sz w:val="21"/>
          <w:szCs w:val="21"/>
        </w:rPr>
        <w:t>H.264</w:t>
      </w:r>
      <w:r>
        <w:rPr>
          <w:rFonts w:hint="eastAsia"/>
          <w:sz w:val="21"/>
          <w:szCs w:val="21"/>
        </w:rPr>
        <w:t>编码格式的</w:t>
      </w:r>
      <w:r>
        <w:rPr>
          <w:sz w:val="21"/>
          <w:szCs w:val="21"/>
        </w:rPr>
        <w:t>3D</w:t>
      </w:r>
      <w:r>
        <w:rPr>
          <w:rFonts w:hint="eastAsia"/>
          <w:sz w:val="21"/>
          <w:szCs w:val="21"/>
        </w:rPr>
        <w:t>电视信号，并能通过</w:t>
      </w:r>
      <w:r>
        <w:rPr>
          <w:sz w:val="21"/>
          <w:szCs w:val="21"/>
        </w:rPr>
        <w:t>HDMI</w:t>
      </w:r>
      <w:r>
        <w:rPr>
          <w:rFonts w:hint="eastAsia"/>
          <w:sz w:val="21"/>
          <w:szCs w:val="21"/>
        </w:rPr>
        <w:t>接口在各种品牌的</w:t>
      </w:r>
      <w:r>
        <w:rPr>
          <w:sz w:val="21"/>
          <w:szCs w:val="21"/>
        </w:rPr>
        <w:t>3D</w:t>
      </w:r>
      <w:r>
        <w:rPr>
          <w:rFonts w:hint="eastAsia"/>
          <w:sz w:val="21"/>
          <w:szCs w:val="21"/>
        </w:rPr>
        <w:t>电视机上实现完美流畅播放。</w:t>
      </w:r>
      <w:r>
        <w:rPr>
          <w:sz w:val="21"/>
          <w:szCs w:val="21"/>
        </w:rPr>
        <w:t>HDMI</w:t>
      </w:r>
      <w:r>
        <w:rPr>
          <w:rFonts w:hint="eastAsia"/>
          <w:sz w:val="21"/>
          <w:szCs w:val="21"/>
        </w:rPr>
        <w:t>版本大于等于</w:t>
      </w:r>
      <w:r>
        <w:rPr>
          <w:sz w:val="21"/>
          <w:szCs w:val="21"/>
        </w:rPr>
        <w:t>1.3</w:t>
      </w:r>
      <w:r>
        <w:rPr>
          <w:rFonts w:hint="eastAsia"/>
          <w:sz w:val="21"/>
          <w:szCs w:val="21"/>
        </w:rPr>
        <w:t>。</w:t>
      </w:r>
    </w:p>
    <w:p>
      <w:pPr>
        <w:spacing w:line="340" w:lineRule="exact"/>
        <w:ind w:left="424" w:leftChars="202" w:right="-210" w:rightChars="-100"/>
        <w:rPr>
          <w:rFonts w:eastAsia="新宋体"/>
          <w:sz w:val="21"/>
          <w:szCs w:val="21"/>
        </w:rPr>
      </w:pPr>
      <w:r>
        <w:rPr>
          <w:rFonts w:eastAsia="新宋体"/>
          <w:sz w:val="21"/>
          <w:szCs w:val="21"/>
        </w:rPr>
        <w:t>5</w:t>
      </w:r>
      <w:r>
        <w:rPr>
          <w:rFonts w:hint="eastAsia" w:eastAsia="新宋体"/>
          <w:sz w:val="21"/>
          <w:szCs w:val="21"/>
        </w:rPr>
        <w:t>）电视显示参数设置要求</w:t>
      </w:r>
    </w:p>
    <w:p>
      <w:pPr>
        <w:numPr>
          <w:ilvl w:val="2"/>
          <w:numId w:val="7"/>
        </w:numPr>
        <w:spacing w:line="340" w:lineRule="exact"/>
        <w:rPr>
          <w:rFonts w:eastAsia="新宋体"/>
          <w:sz w:val="21"/>
          <w:szCs w:val="21"/>
        </w:rPr>
      </w:pPr>
      <w:r>
        <w:rPr>
          <w:rFonts w:hint="eastAsia" w:eastAsia="新宋体"/>
          <w:sz w:val="21"/>
          <w:szCs w:val="21"/>
        </w:rPr>
        <w:t>支持</w:t>
      </w:r>
      <w:r>
        <w:rPr>
          <w:rFonts w:eastAsia="新宋体"/>
          <w:sz w:val="21"/>
          <w:szCs w:val="21"/>
        </w:rPr>
        <w:t>4</w:t>
      </w:r>
      <w:r>
        <w:rPr>
          <w:rFonts w:hint="eastAsia" w:eastAsia="新宋体"/>
          <w:sz w:val="21"/>
          <w:szCs w:val="21"/>
        </w:rPr>
        <w:t>：</w:t>
      </w:r>
      <w:r>
        <w:rPr>
          <w:rFonts w:eastAsia="新宋体"/>
          <w:sz w:val="21"/>
          <w:szCs w:val="21"/>
        </w:rPr>
        <w:t>3</w:t>
      </w:r>
      <w:r>
        <w:rPr>
          <w:rFonts w:hint="eastAsia" w:eastAsia="新宋体"/>
          <w:sz w:val="21"/>
          <w:szCs w:val="21"/>
        </w:rPr>
        <w:t>和</w:t>
      </w:r>
      <w:r>
        <w:rPr>
          <w:rFonts w:eastAsia="新宋体"/>
          <w:sz w:val="21"/>
          <w:szCs w:val="21"/>
        </w:rPr>
        <w:t>16</w:t>
      </w:r>
      <w:r>
        <w:rPr>
          <w:rFonts w:hint="eastAsia" w:eastAsia="新宋体"/>
          <w:sz w:val="21"/>
          <w:szCs w:val="21"/>
        </w:rPr>
        <w:t>：</w:t>
      </w:r>
      <w:r>
        <w:rPr>
          <w:rFonts w:eastAsia="新宋体"/>
          <w:sz w:val="21"/>
          <w:szCs w:val="21"/>
        </w:rPr>
        <w:t>9</w:t>
      </w:r>
      <w:r>
        <w:rPr>
          <w:rFonts w:hint="eastAsia" w:eastAsia="新宋体"/>
          <w:sz w:val="21"/>
          <w:szCs w:val="21"/>
        </w:rPr>
        <w:t>的屏幕输出。</w:t>
      </w:r>
    </w:p>
    <w:p>
      <w:pPr>
        <w:numPr>
          <w:ilvl w:val="2"/>
          <w:numId w:val="7"/>
        </w:numPr>
        <w:spacing w:line="340" w:lineRule="exact"/>
        <w:ind w:right="-210" w:rightChars="-100"/>
        <w:rPr>
          <w:sz w:val="21"/>
          <w:szCs w:val="21"/>
        </w:rPr>
      </w:pPr>
      <w:r>
        <w:rPr>
          <w:rFonts w:hint="eastAsia"/>
          <w:sz w:val="21"/>
          <w:szCs w:val="21"/>
        </w:rPr>
        <w:t>输出制式</w:t>
      </w:r>
      <w:r>
        <w:rPr>
          <w:sz w:val="21"/>
          <w:szCs w:val="21"/>
        </w:rPr>
        <w:t>——</w:t>
      </w:r>
      <w:r>
        <w:rPr>
          <w:rFonts w:hint="eastAsia"/>
          <w:sz w:val="21"/>
          <w:szCs w:val="21"/>
        </w:rPr>
        <w:t>应默认为</w:t>
      </w:r>
      <w:r>
        <w:rPr>
          <w:sz w:val="21"/>
          <w:szCs w:val="21"/>
        </w:rPr>
        <w:t>PAL</w:t>
      </w:r>
      <w:r>
        <w:rPr>
          <w:rFonts w:hint="eastAsia"/>
          <w:sz w:val="21"/>
          <w:szCs w:val="21"/>
        </w:rPr>
        <w:t>制式。</w:t>
      </w:r>
    </w:p>
    <w:p>
      <w:pPr>
        <w:spacing w:line="340" w:lineRule="exact"/>
        <w:ind w:left="424" w:leftChars="201" w:right="-210" w:rightChars="-100" w:hanging="2"/>
        <w:rPr>
          <w:rFonts w:ascii="宋体"/>
          <w:sz w:val="21"/>
          <w:szCs w:val="21"/>
        </w:rPr>
      </w:pPr>
      <w:r>
        <w:rPr>
          <w:sz w:val="21"/>
          <w:szCs w:val="21"/>
        </w:rPr>
        <w:t>6</w:t>
      </w:r>
      <w:r>
        <w:rPr>
          <w:rFonts w:hint="eastAsia"/>
          <w:sz w:val="21"/>
          <w:szCs w:val="21"/>
        </w:rPr>
        <w:t>）</w:t>
      </w:r>
      <w:r>
        <w:rPr>
          <w:rFonts w:hint="eastAsia" w:ascii="宋体" w:hAnsi="宋体"/>
          <w:sz w:val="21"/>
          <w:szCs w:val="21"/>
        </w:rPr>
        <w:t>支持自动机卡自动绑定功能，新智能卡在第一次开机，进入</w:t>
      </w:r>
      <w:r>
        <w:rPr>
          <w:rFonts w:ascii="宋体" w:hAnsi="宋体"/>
          <w:sz w:val="21"/>
          <w:szCs w:val="21"/>
        </w:rPr>
        <w:t>DVB</w:t>
      </w:r>
      <w:r>
        <w:rPr>
          <w:rFonts w:hint="eastAsia" w:ascii="宋体" w:hAnsi="宋体"/>
          <w:sz w:val="21"/>
          <w:szCs w:val="21"/>
        </w:rPr>
        <w:t>，机顶盒做自动绑定。</w:t>
      </w:r>
    </w:p>
    <w:p>
      <w:pPr>
        <w:spacing w:line="340" w:lineRule="exact"/>
        <w:ind w:left="424" w:leftChars="201" w:hanging="2"/>
        <w:rPr>
          <w:sz w:val="21"/>
          <w:szCs w:val="21"/>
        </w:rPr>
      </w:pPr>
      <w:r>
        <w:rPr>
          <w:sz w:val="21"/>
          <w:szCs w:val="21"/>
        </w:rPr>
        <w:t>7</w:t>
      </w:r>
      <w:r>
        <w:rPr>
          <w:rFonts w:hint="eastAsia"/>
          <w:sz w:val="21"/>
          <w:szCs w:val="21"/>
        </w:rPr>
        <w:t>）机顶盒从加电启动到进入服务的时间应不大于</w:t>
      </w:r>
      <w:r>
        <w:rPr>
          <w:sz w:val="21"/>
          <w:szCs w:val="21"/>
        </w:rPr>
        <w:t>45</w:t>
      </w:r>
      <w:r>
        <w:rPr>
          <w:rFonts w:hint="eastAsia"/>
          <w:sz w:val="21"/>
          <w:szCs w:val="21"/>
        </w:rPr>
        <w:t>秒；从用户选择遥控器输入到电视画面反馈的时间应不大于</w:t>
      </w:r>
      <w:r>
        <w:rPr>
          <w:sz w:val="21"/>
          <w:szCs w:val="21"/>
        </w:rPr>
        <w:t>2</w:t>
      </w:r>
      <w:r>
        <w:rPr>
          <w:rFonts w:hint="eastAsia"/>
          <w:sz w:val="21"/>
          <w:szCs w:val="21"/>
        </w:rPr>
        <w:t>秒。</w:t>
      </w:r>
    </w:p>
    <w:p>
      <w:pPr>
        <w:spacing w:line="340" w:lineRule="exact"/>
        <w:ind w:left="424" w:leftChars="201" w:hanging="2"/>
        <w:rPr>
          <w:sz w:val="21"/>
          <w:szCs w:val="21"/>
        </w:rPr>
      </w:pPr>
      <w:r>
        <w:rPr>
          <w:sz w:val="21"/>
          <w:szCs w:val="21"/>
        </w:rPr>
        <w:t>8</w:t>
      </w:r>
      <w:r>
        <w:rPr>
          <w:rFonts w:hint="eastAsia"/>
          <w:sz w:val="21"/>
          <w:szCs w:val="21"/>
        </w:rPr>
        <w:t>）机顶盒可提供关机后的旁路功能，即在机顶盒电源关闭后，电视机应能照常收看模拟节目。</w:t>
      </w:r>
    </w:p>
    <w:p>
      <w:pPr>
        <w:spacing w:line="340" w:lineRule="exact"/>
        <w:ind w:left="424" w:leftChars="201" w:hanging="2"/>
        <w:rPr>
          <w:rFonts w:ascii="宋体"/>
          <w:sz w:val="21"/>
          <w:szCs w:val="21"/>
        </w:rPr>
      </w:pPr>
      <w:r>
        <w:rPr>
          <w:rFonts w:ascii="宋体" w:hAnsi="宋体"/>
          <w:sz w:val="21"/>
          <w:szCs w:val="21"/>
        </w:rPr>
        <w:t>9</w:t>
      </w:r>
      <w:r>
        <w:rPr>
          <w:rFonts w:hint="eastAsia" w:ascii="宋体" w:hAnsi="宋体"/>
          <w:sz w:val="21"/>
          <w:szCs w:val="21"/>
        </w:rPr>
        <w:t>）机顶盒必须能够正确接收电视邮件，所接收的邮件必须存放在机顶盒的</w:t>
      </w:r>
      <w:r>
        <w:rPr>
          <w:rFonts w:ascii="宋体" w:hAnsi="宋体"/>
          <w:sz w:val="21"/>
          <w:szCs w:val="21"/>
        </w:rPr>
        <w:t>flash</w:t>
      </w:r>
      <w:r>
        <w:rPr>
          <w:rFonts w:hint="eastAsia" w:ascii="宋体" w:hAnsi="宋体"/>
          <w:sz w:val="21"/>
          <w:szCs w:val="21"/>
        </w:rPr>
        <w:t>中，有新邮件时应出现相应的提示</w:t>
      </w:r>
      <w:r>
        <w:rPr>
          <w:rFonts w:ascii="宋体" w:hAnsi="宋体"/>
          <w:sz w:val="21"/>
          <w:szCs w:val="21"/>
        </w:rPr>
        <w:t xml:space="preserve">, </w:t>
      </w:r>
      <w:r>
        <w:rPr>
          <w:rFonts w:hint="eastAsia" w:ascii="宋体" w:hAnsi="宋体"/>
          <w:sz w:val="21"/>
          <w:szCs w:val="21"/>
        </w:rPr>
        <w:t>并具有删除邮件的功能。</w:t>
      </w:r>
    </w:p>
    <w:p>
      <w:pPr>
        <w:spacing w:line="340" w:lineRule="exact"/>
        <w:ind w:left="424" w:leftChars="201" w:hanging="2"/>
        <w:rPr>
          <w:rFonts w:ascii="宋体"/>
          <w:sz w:val="21"/>
          <w:szCs w:val="21"/>
        </w:rPr>
      </w:pPr>
      <w:r>
        <w:rPr>
          <w:rFonts w:ascii="宋体"/>
          <w:kern w:val="0"/>
          <w:sz w:val="21"/>
          <w:szCs w:val="21"/>
        </w:rPr>
        <w:t>10</w:t>
      </w:r>
      <w:r>
        <w:rPr>
          <w:rFonts w:hint="eastAsia" w:ascii="宋体"/>
          <w:kern w:val="0"/>
          <w:sz w:val="21"/>
          <w:szCs w:val="21"/>
        </w:rPr>
        <w:t>）机顶盒必须能处理中文或中、英文字符，中文字符为符合</w:t>
      </w:r>
      <w:r>
        <w:rPr>
          <w:rFonts w:ascii="宋体"/>
          <w:kern w:val="0"/>
          <w:sz w:val="21"/>
          <w:szCs w:val="21"/>
        </w:rPr>
        <w:t>ANSI/GB2312</w:t>
      </w:r>
      <w:r>
        <w:rPr>
          <w:rFonts w:hint="eastAsia" w:ascii="宋体"/>
          <w:kern w:val="0"/>
          <w:sz w:val="21"/>
          <w:szCs w:val="21"/>
        </w:rPr>
        <w:t>编码标准的二级字库，推荐使用矢量字库。菜单中应支持中英文显示切换方式。</w:t>
      </w:r>
    </w:p>
    <w:p>
      <w:pPr>
        <w:spacing w:line="340" w:lineRule="exact"/>
        <w:ind w:left="424" w:leftChars="201" w:hanging="2"/>
        <w:rPr>
          <w:rFonts w:ascii="宋体"/>
          <w:sz w:val="21"/>
          <w:szCs w:val="21"/>
        </w:rPr>
      </w:pPr>
      <w:r>
        <w:rPr>
          <w:rFonts w:ascii="宋体" w:hAnsi="宋体"/>
          <w:sz w:val="21"/>
          <w:szCs w:val="21"/>
        </w:rPr>
        <w:t>11</w:t>
      </w:r>
      <w:r>
        <w:rPr>
          <w:rFonts w:hint="eastAsia" w:ascii="宋体" w:hAnsi="宋体"/>
          <w:sz w:val="21"/>
          <w:szCs w:val="21"/>
        </w:rPr>
        <w:t>）交互型机顶盒基本密码设置为“</w:t>
      </w:r>
      <w:r>
        <w:rPr>
          <w:rFonts w:ascii="宋体"/>
          <w:sz w:val="21"/>
          <w:szCs w:val="21"/>
        </w:rPr>
        <w:t>000000</w:t>
      </w:r>
      <w:r>
        <w:rPr>
          <w:rFonts w:hint="eastAsia" w:ascii="宋体" w:hAnsi="宋体"/>
          <w:sz w:val="21"/>
          <w:szCs w:val="21"/>
        </w:rPr>
        <w:t>”，用户可随意修改，恢复出厂设置后密码返回为“</w:t>
      </w:r>
      <w:r>
        <w:rPr>
          <w:rFonts w:ascii="宋体"/>
          <w:sz w:val="21"/>
          <w:szCs w:val="21"/>
        </w:rPr>
        <w:t>000000</w:t>
      </w:r>
      <w:r>
        <w:rPr>
          <w:rFonts w:hint="eastAsia" w:ascii="宋体" w:hAnsi="宋体"/>
          <w:sz w:val="21"/>
          <w:szCs w:val="21"/>
        </w:rPr>
        <w:t>”。基本密码使用于频道搜索中的“手动搜索”和“全频段搜索”；频道编辑中“加锁”后的解锁；机顶盒基本参数设置的修改。另外设置“</w:t>
      </w:r>
      <w:r>
        <w:rPr>
          <w:rFonts w:ascii="宋体" w:hAnsi="宋体"/>
          <w:sz w:val="21"/>
          <w:szCs w:val="21"/>
        </w:rPr>
        <w:t>888888</w:t>
      </w:r>
      <w:r>
        <w:rPr>
          <w:rFonts w:hint="eastAsia" w:ascii="宋体" w:hAnsi="宋体"/>
          <w:sz w:val="21"/>
          <w:szCs w:val="21"/>
        </w:rPr>
        <w:t>”为超级密码（超级密码可恢复基本密码在内的所有初始数据）。</w:t>
      </w:r>
    </w:p>
    <w:p>
      <w:pPr>
        <w:spacing w:line="340" w:lineRule="exact"/>
        <w:ind w:left="424" w:leftChars="201" w:hanging="2"/>
        <w:rPr>
          <w:rFonts w:ascii="宋体"/>
          <w:sz w:val="21"/>
          <w:szCs w:val="21"/>
        </w:rPr>
      </w:pPr>
      <w:r>
        <w:rPr>
          <w:rFonts w:ascii="宋体" w:hAnsi="宋体"/>
          <w:sz w:val="21"/>
          <w:szCs w:val="21"/>
        </w:rPr>
        <w:t>12</w:t>
      </w:r>
      <w:r>
        <w:rPr>
          <w:rFonts w:hint="eastAsia" w:ascii="宋体" w:hAnsi="宋体"/>
          <w:sz w:val="21"/>
          <w:szCs w:val="21"/>
        </w:rPr>
        <w:t>）机顶盒的音频输出，用户可选左、右声道或立体声，每个节目能分别设置左、右声道或立体声伴音状态</w:t>
      </w:r>
      <w:r>
        <w:rPr>
          <w:rFonts w:ascii="宋体"/>
          <w:sz w:val="21"/>
          <w:szCs w:val="21"/>
        </w:rPr>
        <w:t>,</w:t>
      </w:r>
      <w:r>
        <w:rPr>
          <w:rFonts w:hint="eastAsia" w:ascii="宋体" w:hAnsi="宋体"/>
          <w:sz w:val="21"/>
          <w:szCs w:val="21"/>
        </w:rPr>
        <w:t>机顶盒必须具有记忆功能，下次开机时自动切换到关机前用户观看的最后一个频道；在频道切换后，频道的音量按照上次观看此频道时的音量设置恢复，频道的声道状态（左声道、右声道、立体声）也按照上次节目的设置恢复。</w:t>
      </w:r>
    </w:p>
    <w:p>
      <w:pPr>
        <w:spacing w:line="340" w:lineRule="exact"/>
        <w:ind w:left="424" w:leftChars="201" w:hanging="2"/>
        <w:rPr>
          <w:sz w:val="21"/>
          <w:szCs w:val="21"/>
        </w:rPr>
      </w:pPr>
      <w:r>
        <w:rPr>
          <w:rFonts w:ascii="宋体" w:hAnsi="宋体"/>
          <w:sz w:val="21"/>
          <w:szCs w:val="21"/>
        </w:rPr>
        <w:t>13</w:t>
      </w:r>
      <w:r>
        <w:rPr>
          <w:rFonts w:hint="eastAsia" w:ascii="宋体" w:hAnsi="宋体"/>
          <w:sz w:val="21"/>
          <w:szCs w:val="21"/>
        </w:rPr>
        <w:t>）机顶盒</w:t>
      </w:r>
      <w:r>
        <w:rPr>
          <w:rFonts w:hint="eastAsia"/>
          <w:sz w:val="21"/>
          <w:szCs w:val="21"/>
        </w:rPr>
        <w:t>必须能装载和流畅运行省网数字电视中间件，必须支持华数</w:t>
      </w:r>
      <w:r>
        <w:rPr>
          <w:sz w:val="21"/>
          <w:szCs w:val="21"/>
        </w:rPr>
        <w:t>TV2.0</w:t>
      </w:r>
      <w:r>
        <w:rPr>
          <w:rFonts w:hint="eastAsia"/>
          <w:sz w:val="21"/>
          <w:szCs w:val="21"/>
        </w:rPr>
        <w:t>所有功能以及宁海</w:t>
      </w:r>
      <w:r>
        <w:rPr>
          <w:sz w:val="21"/>
          <w:szCs w:val="21"/>
        </w:rPr>
        <w:t>DVB</w:t>
      </w:r>
      <w:r>
        <w:rPr>
          <w:rFonts w:hint="eastAsia"/>
          <w:sz w:val="21"/>
          <w:szCs w:val="21"/>
        </w:rPr>
        <w:t>平台各项业务。</w:t>
      </w:r>
    </w:p>
    <w:p>
      <w:pPr>
        <w:spacing w:line="340" w:lineRule="exact"/>
        <w:ind w:left="424" w:leftChars="201" w:hanging="2"/>
        <w:rPr>
          <w:sz w:val="21"/>
          <w:szCs w:val="21"/>
        </w:rPr>
      </w:pPr>
      <w:r>
        <w:rPr>
          <w:rFonts w:ascii="宋体" w:hAnsi="宋体"/>
          <w:sz w:val="21"/>
          <w:szCs w:val="21"/>
        </w:rPr>
        <w:t>14</w:t>
      </w:r>
      <w:r>
        <w:rPr>
          <w:rFonts w:hint="eastAsia" w:ascii="宋体" w:hAnsi="宋体"/>
          <w:sz w:val="21"/>
          <w:szCs w:val="21"/>
        </w:rPr>
        <w:t>）机顶盒的升级方式要求强制升级。</w:t>
      </w:r>
      <w:r>
        <w:rPr>
          <w:rFonts w:hint="eastAsia"/>
          <w:sz w:val="21"/>
          <w:szCs w:val="21"/>
        </w:rPr>
        <w:t>升级界面及升级提示应该人性化，升级过程中，下载数据，写入数据，保存数据等动作必须有明确的进度条（从</w:t>
      </w:r>
      <w:r>
        <w:rPr>
          <w:sz w:val="21"/>
          <w:szCs w:val="21"/>
        </w:rPr>
        <w:t>1%~100%</w:t>
      </w:r>
      <w:r>
        <w:rPr>
          <w:rFonts w:hint="eastAsia"/>
          <w:sz w:val="21"/>
          <w:szCs w:val="21"/>
        </w:rPr>
        <w:t>）显示，并提醒用户“请不要关机！”。升级过程应具有断电保护、自动恢复或再升级机制。</w:t>
      </w:r>
      <w:r>
        <w:rPr>
          <w:rFonts w:hint="eastAsia" w:ascii="宋体" w:hAnsi="宋体"/>
          <w:sz w:val="21"/>
          <w:szCs w:val="21"/>
        </w:rPr>
        <w:t>机顶盒升级后必须保存机顶盒原先的频点设置、机卡绑定设置、</w:t>
      </w:r>
      <w:r>
        <w:rPr>
          <w:rFonts w:ascii="宋体" w:hAnsi="宋体"/>
          <w:sz w:val="21"/>
          <w:szCs w:val="21"/>
        </w:rPr>
        <w:t>STBID</w:t>
      </w:r>
      <w:r>
        <w:rPr>
          <w:rFonts w:hint="eastAsia" w:ascii="宋体" w:hAnsi="宋体"/>
          <w:sz w:val="21"/>
          <w:szCs w:val="21"/>
        </w:rPr>
        <w:t>、节目更新标志</w:t>
      </w:r>
      <w:r>
        <w:rPr>
          <w:rFonts w:ascii="宋体" w:hAnsi="宋体"/>
          <w:sz w:val="21"/>
          <w:szCs w:val="21"/>
        </w:rPr>
        <w:t>Version number</w:t>
      </w:r>
      <w:r>
        <w:rPr>
          <w:rFonts w:hint="eastAsia" w:ascii="宋体" w:hAnsi="宋体"/>
          <w:sz w:val="21"/>
          <w:szCs w:val="21"/>
        </w:rPr>
        <w:t>。在前端没有节目更新信息的情况下，机顶盒升级后不进行重新搜台，保存原先的频道列表。</w:t>
      </w:r>
      <w:r>
        <w:rPr>
          <w:rFonts w:hint="eastAsia" w:ascii="宋体" w:hAnsi="Wingdings"/>
          <w:kern w:val="0"/>
          <w:sz w:val="21"/>
          <w:szCs w:val="21"/>
        </w:rPr>
        <w:t>机顶盒必须能够通过本地数据口进行软件的非在线升级。Loader软件必须支持针对单个机顶盒以及针对不同的分组机顶盒进行单独升级。机顶盒的Loader模块应该可以实现后台检测版本信息，实现自动升级，同时可以通过手工设置参数，实现强制升级。LOADER必须有写保护，防止LOADER被破坏。</w:t>
      </w:r>
    </w:p>
    <w:p>
      <w:pPr>
        <w:spacing w:line="340" w:lineRule="exact"/>
        <w:ind w:firstLine="420" w:firstLineChars="200"/>
        <w:rPr>
          <w:rFonts w:ascii="宋体"/>
          <w:sz w:val="21"/>
          <w:szCs w:val="21"/>
        </w:rPr>
      </w:pPr>
      <w:r>
        <w:rPr>
          <w:rFonts w:ascii="宋体" w:hAnsi="宋体"/>
          <w:sz w:val="21"/>
          <w:szCs w:val="21"/>
        </w:rPr>
        <w:t>15</w:t>
      </w:r>
      <w:r>
        <w:rPr>
          <w:rFonts w:hint="eastAsia" w:ascii="宋体" w:hAnsi="宋体"/>
          <w:sz w:val="21"/>
          <w:szCs w:val="21"/>
        </w:rPr>
        <w:t>）</w:t>
      </w:r>
      <w:r>
        <w:rPr>
          <w:rFonts w:ascii="宋体" w:hAnsi="宋体"/>
          <w:sz w:val="21"/>
          <w:szCs w:val="21"/>
        </w:rPr>
        <w:t>OSD</w:t>
      </w:r>
      <w:r>
        <w:rPr>
          <w:rFonts w:hint="eastAsia" w:ascii="宋体" w:hAnsi="宋体"/>
          <w:sz w:val="21"/>
          <w:szCs w:val="21"/>
        </w:rPr>
        <w:t>字幕显示要求</w:t>
      </w:r>
    </w:p>
    <w:p>
      <w:pPr>
        <w:spacing w:line="340" w:lineRule="exact"/>
        <w:ind w:left="422" w:leftChars="201" w:firstLine="427"/>
        <w:rPr>
          <w:sz w:val="21"/>
          <w:szCs w:val="21"/>
        </w:rPr>
      </w:pPr>
      <w:r>
        <w:rPr>
          <w:rFonts w:hint="eastAsia"/>
          <w:sz w:val="21"/>
          <w:szCs w:val="21"/>
        </w:rPr>
        <w:t>机顶盒检测到前端</w:t>
      </w:r>
      <w:r>
        <w:rPr>
          <w:sz w:val="21"/>
          <w:szCs w:val="21"/>
        </w:rPr>
        <w:t>CA</w:t>
      </w:r>
      <w:r>
        <w:rPr>
          <w:rFonts w:hint="eastAsia"/>
          <w:sz w:val="21"/>
          <w:szCs w:val="21"/>
        </w:rPr>
        <w:t>播发的字幕信息时，首先在屏幕的底部出现蓝色底框，高度适中。在蓝色底框出现后，字幕信息从右至左以</w:t>
      </w:r>
      <w:r>
        <w:rPr>
          <w:sz w:val="21"/>
          <w:szCs w:val="21"/>
        </w:rPr>
        <w:t>3</w:t>
      </w:r>
      <w:r>
        <w:rPr>
          <w:rFonts w:hint="eastAsia"/>
          <w:sz w:val="21"/>
          <w:szCs w:val="21"/>
        </w:rPr>
        <w:t>个</w:t>
      </w:r>
      <w:r>
        <w:rPr>
          <w:sz w:val="21"/>
          <w:szCs w:val="21"/>
        </w:rPr>
        <w:t>/</w:t>
      </w:r>
      <w:r>
        <w:rPr>
          <w:rFonts w:hint="eastAsia"/>
          <w:sz w:val="21"/>
          <w:szCs w:val="21"/>
        </w:rPr>
        <w:t>秒的速度平滑移动，字体为黑体，颜色为白色，字体大小适中。在整段字幕循环移动过程中，蓝色底框不允许消失，直至最后一次字幕最后一个字符（包括标点符号）从左边移动消失。循环移动整段字幕应有明显的间隔，上一次完整字幕与下一次完整字幕间应有</w:t>
      </w:r>
      <w:r>
        <w:rPr>
          <w:sz w:val="21"/>
          <w:szCs w:val="21"/>
        </w:rPr>
        <w:t>5~10</w:t>
      </w:r>
      <w:r>
        <w:rPr>
          <w:rFonts w:hint="eastAsia"/>
          <w:sz w:val="21"/>
          <w:szCs w:val="21"/>
        </w:rPr>
        <w:t>个字符的间隔距离。最后一次字幕必须显示完整。</w:t>
      </w:r>
    </w:p>
    <w:p>
      <w:pPr>
        <w:spacing w:line="340" w:lineRule="exact"/>
        <w:ind w:firstLine="420" w:firstLineChars="200"/>
        <w:rPr>
          <w:rFonts w:ascii="宋体"/>
          <w:sz w:val="21"/>
          <w:szCs w:val="21"/>
        </w:rPr>
      </w:pPr>
      <w:r>
        <w:rPr>
          <w:rFonts w:ascii="宋体" w:hAnsi="宋体"/>
          <w:sz w:val="21"/>
          <w:szCs w:val="21"/>
        </w:rPr>
        <w:t>16</w:t>
      </w:r>
      <w:r>
        <w:rPr>
          <w:rFonts w:hint="eastAsia" w:ascii="宋体" w:hAnsi="宋体"/>
          <w:sz w:val="21"/>
          <w:szCs w:val="21"/>
        </w:rPr>
        <w:t>）机顶盒切换频道</w:t>
      </w:r>
    </w:p>
    <w:p>
      <w:pPr>
        <w:spacing w:line="340" w:lineRule="exact"/>
        <w:ind w:left="422" w:leftChars="201" w:firstLine="427"/>
        <w:rPr>
          <w:sz w:val="21"/>
          <w:szCs w:val="21"/>
        </w:rPr>
      </w:pPr>
      <w:r>
        <w:rPr>
          <w:rFonts w:hint="eastAsia"/>
          <w:sz w:val="21"/>
          <w:szCs w:val="21"/>
        </w:rPr>
        <w:t>机顶盒频道切换必须保证音视频播放正常，同频点节目切换时间≤</w:t>
      </w:r>
      <w:r>
        <w:rPr>
          <w:sz w:val="21"/>
          <w:szCs w:val="21"/>
        </w:rPr>
        <w:t>1</w:t>
      </w:r>
      <w:r>
        <w:rPr>
          <w:rFonts w:hint="eastAsia"/>
          <w:sz w:val="21"/>
          <w:szCs w:val="21"/>
        </w:rPr>
        <w:t>秒。跨频点节目切换时间≤</w:t>
      </w:r>
      <w:r>
        <w:rPr>
          <w:sz w:val="21"/>
          <w:szCs w:val="21"/>
        </w:rPr>
        <w:t>2</w:t>
      </w:r>
      <w:r>
        <w:rPr>
          <w:rFonts w:hint="eastAsia"/>
          <w:sz w:val="21"/>
          <w:szCs w:val="21"/>
        </w:rPr>
        <w:t>秒。并自动弹出频道信息导航条，</w:t>
      </w:r>
      <w:r>
        <w:rPr>
          <w:sz w:val="21"/>
          <w:szCs w:val="21"/>
        </w:rPr>
        <w:t>3</w:t>
      </w:r>
      <w:r>
        <w:rPr>
          <w:rFonts w:hint="eastAsia"/>
          <w:sz w:val="21"/>
          <w:szCs w:val="21"/>
        </w:rPr>
        <w:t>秒钟后自动消失。在频道导航条上频道信息显示正常。</w:t>
      </w:r>
    </w:p>
    <w:p>
      <w:pPr>
        <w:spacing w:line="340" w:lineRule="exact"/>
        <w:ind w:firstLine="420" w:firstLineChars="200"/>
        <w:rPr>
          <w:rFonts w:ascii="宋体"/>
          <w:sz w:val="21"/>
          <w:szCs w:val="21"/>
        </w:rPr>
      </w:pPr>
      <w:r>
        <w:rPr>
          <w:rFonts w:ascii="宋体" w:hAnsi="宋体"/>
          <w:sz w:val="21"/>
          <w:szCs w:val="21"/>
        </w:rPr>
        <w:t>17</w:t>
      </w:r>
      <w:r>
        <w:rPr>
          <w:rFonts w:hint="eastAsia" w:ascii="宋体" w:hAnsi="宋体"/>
          <w:sz w:val="21"/>
          <w:szCs w:val="21"/>
        </w:rPr>
        <w:t>）在中间件上集成宁波数字电视银行支付系统。</w:t>
      </w:r>
    </w:p>
    <w:p>
      <w:pPr>
        <w:spacing w:line="340" w:lineRule="exact"/>
        <w:ind w:firstLine="420" w:firstLineChars="200"/>
        <w:rPr>
          <w:rFonts w:ascii="宋体"/>
          <w:sz w:val="21"/>
          <w:szCs w:val="21"/>
        </w:rPr>
      </w:pPr>
      <w:r>
        <w:rPr>
          <w:rFonts w:ascii="宋体" w:hAnsi="宋体"/>
          <w:sz w:val="21"/>
          <w:szCs w:val="21"/>
        </w:rPr>
        <w:t>18) IPTV</w:t>
      </w:r>
      <w:r>
        <w:rPr>
          <w:rFonts w:hint="eastAsia" w:ascii="宋体" w:hAnsi="宋体"/>
          <w:sz w:val="21"/>
          <w:szCs w:val="21"/>
        </w:rPr>
        <w:t>首页退出到</w:t>
      </w:r>
      <w:r>
        <w:rPr>
          <w:rFonts w:ascii="宋体" w:hAnsi="宋体"/>
          <w:sz w:val="21"/>
          <w:szCs w:val="21"/>
        </w:rPr>
        <w:t>DVB</w:t>
      </w:r>
      <w:r>
        <w:rPr>
          <w:rFonts w:hint="eastAsia" w:ascii="宋体" w:hAnsi="宋体"/>
          <w:sz w:val="21"/>
          <w:szCs w:val="21"/>
        </w:rPr>
        <w:t>模式可控</w:t>
      </w:r>
    </w:p>
    <w:p>
      <w:pPr>
        <w:spacing w:line="340" w:lineRule="exact"/>
        <w:ind w:left="422" w:leftChars="201" w:firstLine="427"/>
        <w:rPr>
          <w:rFonts w:ascii="宋体"/>
          <w:sz w:val="21"/>
          <w:szCs w:val="21"/>
        </w:rPr>
      </w:pPr>
      <w:r>
        <w:rPr>
          <w:rFonts w:hint="eastAsia"/>
          <w:sz w:val="21"/>
          <w:szCs w:val="21"/>
        </w:rPr>
        <w:t>当机顶盒在</w:t>
      </w:r>
      <w:r>
        <w:rPr>
          <w:sz w:val="21"/>
          <w:szCs w:val="21"/>
        </w:rPr>
        <w:t>IPTV</w:t>
      </w:r>
      <w:r>
        <w:rPr>
          <w:rFonts w:hint="eastAsia"/>
          <w:sz w:val="21"/>
          <w:szCs w:val="21"/>
        </w:rPr>
        <w:t>首页退出到</w:t>
      </w:r>
      <w:r>
        <w:rPr>
          <w:sz w:val="21"/>
          <w:szCs w:val="21"/>
        </w:rPr>
        <w:t>DVB</w:t>
      </w:r>
      <w:r>
        <w:rPr>
          <w:rFonts w:hint="eastAsia"/>
          <w:sz w:val="21"/>
          <w:szCs w:val="21"/>
        </w:rPr>
        <w:t>模式时，直接进入到</w:t>
      </w:r>
      <w:r>
        <w:rPr>
          <w:sz w:val="21"/>
          <w:szCs w:val="21"/>
        </w:rPr>
        <w:t>DVB</w:t>
      </w:r>
      <w:r>
        <w:rPr>
          <w:rFonts w:hint="eastAsia"/>
          <w:sz w:val="21"/>
          <w:szCs w:val="21"/>
        </w:rPr>
        <w:t>节目，而进入</w:t>
      </w:r>
      <w:r>
        <w:rPr>
          <w:sz w:val="21"/>
          <w:szCs w:val="21"/>
        </w:rPr>
        <w:t>DVB</w:t>
      </w:r>
      <w:r>
        <w:rPr>
          <w:rFonts w:hint="eastAsia"/>
          <w:sz w:val="21"/>
          <w:szCs w:val="21"/>
        </w:rPr>
        <w:t>哪个节目必须由前端控制。</w:t>
      </w:r>
    </w:p>
    <w:p>
      <w:pPr>
        <w:numPr>
          <w:ilvl w:val="0"/>
          <w:numId w:val="8"/>
        </w:numPr>
        <w:spacing w:line="340" w:lineRule="exact"/>
        <w:ind w:firstLine="420" w:firstLineChars="200"/>
        <w:rPr>
          <w:rFonts w:ascii="宋体"/>
          <w:sz w:val="21"/>
          <w:szCs w:val="21"/>
        </w:rPr>
      </w:pPr>
      <w:r>
        <w:rPr>
          <w:rFonts w:hint="eastAsia" w:ascii="宋体" w:hAnsi="宋体"/>
          <w:sz w:val="21"/>
          <w:szCs w:val="21"/>
        </w:rPr>
        <w:t>当机顶盒遥控器按确认键，电视机显示切换台</w:t>
      </w:r>
      <w:r>
        <w:rPr>
          <w:rFonts w:ascii="宋体" w:hAnsi="宋体"/>
          <w:sz w:val="21"/>
          <w:szCs w:val="21"/>
        </w:rPr>
        <w:t>EPG</w:t>
      </w:r>
      <w:r>
        <w:rPr>
          <w:rFonts w:hint="eastAsia" w:ascii="宋体" w:hAnsi="宋体"/>
          <w:sz w:val="21"/>
          <w:szCs w:val="21"/>
        </w:rPr>
        <w:t>信息。</w:t>
      </w:r>
    </w:p>
    <w:p>
      <w:pPr>
        <w:numPr>
          <w:ilvl w:val="0"/>
          <w:numId w:val="8"/>
        </w:numPr>
        <w:spacing w:line="340" w:lineRule="exact"/>
        <w:ind w:firstLine="420" w:firstLineChars="200"/>
        <w:rPr>
          <w:rFonts w:ascii="宋体"/>
          <w:sz w:val="21"/>
          <w:szCs w:val="21"/>
        </w:rPr>
      </w:pPr>
      <w:r>
        <w:rPr>
          <w:rFonts w:hint="eastAsia" w:ascii="宋体" w:hAnsi="宋体"/>
          <w:sz w:val="21"/>
          <w:szCs w:val="21"/>
        </w:rPr>
        <w:t>音视频设备产品强制性认证依据标准</w:t>
      </w:r>
      <w:r>
        <w:rPr>
          <w:rFonts w:ascii="宋体" w:hAnsi="宋体"/>
          <w:sz w:val="21"/>
          <w:szCs w:val="21"/>
        </w:rPr>
        <w:t>GB8898-2011</w:t>
      </w:r>
      <w:r>
        <w:rPr>
          <w:rFonts w:hint="eastAsia" w:ascii="宋体" w:hAnsi="宋体"/>
          <w:sz w:val="21"/>
          <w:szCs w:val="21"/>
        </w:rPr>
        <w:t>《音频、视频及类似电子设备</w:t>
      </w:r>
      <w:r>
        <w:rPr>
          <w:rFonts w:ascii="宋体" w:hAnsi="宋体"/>
          <w:sz w:val="21"/>
          <w:szCs w:val="21"/>
        </w:rPr>
        <w:t xml:space="preserve"> </w:t>
      </w:r>
      <w:r>
        <w:rPr>
          <w:rFonts w:hint="eastAsia" w:ascii="宋体" w:hAnsi="宋体"/>
          <w:sz w:val="21"/>
          <w:szCs w:val="21"/>
        </w:rPr>
        <w:t>安全要求》已于</w:t>
      </w:r>
      <w:r>
        <w:rPr>
          <w:rFonts w:ascii="宋体" w:hAnsi="宋体"/>
          <w:sz w:val="21"/>
          <w:szCs w:val="21"/>
        </w:rPr>
        <w:t>2011</w:t>
      </w:r>
      <w:r>
        <w:rPr>
          <w:rFonts w:hint="eastAsia" w:ascii="宋体" w:hAnsi="宋体"/>
          <w:sz w:val="21"/>
          <w:szCs w:val="21"/>
        </w:rPr>
        <w:t>年</w:t>
      </w:r>
      <w:r>
        <w:rPr>
          <w:rFonts w:ascii="宋体" w:hAnsi="宋体"/>
          <w:sz w:val="21"/>
          <w:szCs w:val="21"/>
        </w:rPr>
        <w:t>12</w:t>
      </w:r>
      <w:r>
        <w:rPr>
          <w:rFonts w:hint="eastAsia" w:ascii="宋体" w:hAnsi="宋体"/>
          <w:sz w:val="21"/>
          <w:szCs w:val="21"/>
        </w:rPr>
        <w:t>月</w:t>
      </w:r>
      <w:r>
        <w:rPr>
          <w:rFonts w:ascii="宋体" w:hAnsi="宋体"/>
          <w:sz w:val="21"/>
          <w:szCs w:val="21"/>
        </w:rPr>
        <w:t>30</w:t>
      </w:r>
      <w:r>
        <w:rPr>
          <w:rFonts w:hint="eastAsia" w:ascii="宋体" w:hAnsi="宋体"/>
          <w:sz w:val="21"/>
          <w:szCs w:val="21"/>
        </w:rPr>
        <w:t>日发布，并将于</w:t>
      </w:r>
      <w:r>
        <w:rPr>
          <w:rFonts w:ascii="宋体" w:hAnsi="宋体"/>
          <w:sz w:val="21"/>
          <w:szCs w:val="21"/>
        </w:rPr>
        <w:t>2012</w:t>
      </w:r>
      <w:r>
        <w:rPr>
          <w:rFonts w:hint="eastAsia" w:ascii="宋体" w:hAnsi="宋体"/>
          <w:sz w:val="21"/>
          <w:szCs w:val="21"/>
        </w:rPr>
        <w:t>年</w:t>
      </w:r>
      <w:r>
        <w:rPr>
          <w:rFonts w:ascii="宋体" w:hAnsi="宋体"/>
          <w:sz w:val="21"/>
          <w:szCs w:val="21"/>
        </w:rPr>
        <w:t>11</w:t>
      </w:r>
      <w:r>
        <w:rPr>
          <w:rFonts w:hint="eastAsia" w:ascii="宋体" w:hAnsi="宋体"/>
          <w:sz w:val="21"/>
          <w:szCs w:val="21"/>
        </w:rPr>
        <w:t>月</w:t>
      </w:r>
      <w:r>
        <w:rPr>
          <w:rFonts w:ascii="宋体" w:hAnsi="宋体"/>
          <w:sz w:val="21"/>
          <w:szCs w:val="21"/>
        </w:rPr>
        <w:t>1</w:t>
      </w:r>
      <w:r>
        <w:rPr>
          <w:rFonts w:hint="eastAsia" w:ascii="宋体" w:hAnsi="宋体"/>
          <w:sz w:val="21"/>
          <w:szCs w:val="21"/>
        </w:rPr>
        <w:t>日起实施，替代旧版标准</w:t>
      </w:r>
      <w:r>
        <w:rPr>
          <w:rFonts w:ascii="宋体" w:hAnsi="宋体"/>
          <w:sz w:val="21"/>
          <w:szCs w:val="21"/>
        </w:rPr>
        <w:t>GB8898-2001.</w:t>
      </w:r>
      <w:r>
        <w:rPr>
          <w:rFonts w:hint="eastAsia" w:ascii="宋体" w:hAnsi="宋体"/>
          <w:sz w:val="21"/>
          <w:szCs w:val="21"/>
        </w:rPr>
        <w:t>所以必须采用新版标准实施认证并出具新版标准认证证书。</w:t>
      </w:r>
    </w:p>
    <w:p>
      <w:pPr>
        <w:spacing w:line="340" w:lineRule="exact"/>
        <w:ind w:left="420" w:leftChars="200"/>
        <w:rPr>
          <w:rFonts w:ascii="宋体"/>
          <w:sz w:val="21"/>
          <w:szCs w:val="21"/>
        </w:rPr>
      </w:pPr>
      <w:r>
        <w:rPr>
          <w:rFonts w:ascii="宋体" w:hAnsi="宋体"/>
          <w:sz w:val="21"/>
          <w:szCs w:val="21"/>
        </w:rPr>
        <w:t>19</w:t>
      </w:r>
      <w:r>
        <w:rPr>
          <w:rFonts w:hint="eastAsia" w:ascii="宋体" w:hAnsi="宋体"/>
          <w:sz w:val="21"/>
          <w:szCs w:val="21"/>
        </w:rPr>
        <w:t>）机顶盒能正确还原宁波信号源的高清频道声音，支持杜比解码。</w:t>
      </w:r>
    </w:p>
    <w:p>
      <w:pPr>
        <w:spacing w:line="340" w:lineRule="exact"/>
        <w:rPr>
          <w:b/>
          <w:sz w:val="21"/>
          <w:szCs w:val="21"/>
        </w:rPr>
      </w:pPr>
      <w:r>
        <w:rPr>
          <w:b/>
          <w:sz w:val="21"/>
          <w:szCs w:val="21"/>
        </w:rPr>
        <w:t xml:space="preserve">3. </w:t>
      </w:r>
      <w:r>
        <w:rPr>
          <w:rFonts w:hint="eastAsia"/>
          <w:b/>
          <w:sz w:val="21"/>
          <w:szCs w:val="21"/>
        </w:rPr>
        <w:t>宁波数字电视机顶盒标识（</w:t>
      </w:r>
      <w:r>
        <w:rPr>
          <w:b/>
          <w:sz w:val="21"/>
          <w:szCs w:val="21"/>
        </w:rPr>
        <w:t>STBID</w:t>
      </w:r>
      <w:r>
        <w:rPr>
          <w:rFonts w:hint="eastAsia"/>
          <w:b/>
          <w:sz w:val="21"/>
          <w:szCs w:val="21"/>
        </w:rPr>
        <w:t>）规范</w:t>
      </w:r>
    </w:p>
    <w:p>
      <w:pPr>
        <w:spacing w:line="340" w:lineRule="exact"/>
        <w:ind w:left="418" w:hanging="365" w:hangingChars="174"/>
        <w:rPr>
          <w:rFonts w:ascii="宋体"/>
          <w:sz w:val="21"/>
          <w:szCs w:val="21"/>
        </w:rPr>
      </w:pPr>
      <w:r>
        <w:rPr>
          <w:rFonts w:ascii="宋体" w:hAnsi="宋体"/>
          <w:sz w:val="21"/>
          <w:szCs w:val="21"/>
        </w:rPr>
        <w:t xml:space="preserve">   1.</w:t>
      </w:r>
      <w:r>
        <w:rPr>
          <w:rFonts w:hint="eastAsia" w:ascii="宋体" w:hAnsi="宋体"/>
          <w:sz w:val="21"/>
          <w:szCs w:val="21"/>
        </w:rPr>
        <w:t>交互型机顶盒的</w:t>
      </w:r>
      <w:r>
        <w:rPr>
          <w:rFonts w:ascii="宋体" w:hAnsi="宋体"/>
          <w:sz w:val="21"/>
          <w:szCs w:val="21"/>
        </w:rPr>
        <w:t>STBID</w:t>
      </w:r>
      <w:r>
        <w:rPr>
          <w:rFonts w:hint="eastAsia" w:ascii="宋体" w:hAnsi="宋体"/>
          <w:sz w:val="21"/>
          <w:szCs w:val="21"/>
        </w:rPr>
        <w:t>必须严格依照宁波数字电视机顶盒标识（</w:t>
      </w:r>
      <w:r>
        <w:rPr>
          <w:rFonts w:ascii="宋体" w:hAnsi="宋体"/>
          <w:sz w:val="21"/>
          <w:szCs w:val="21"/>
        </w:rPr>
        <w:t>STBID</w:t>
      </w:r>
      <w:r>
        <w:rPr>
          <w:rFonts w:hint="eastAsia" w:ascii="宋体" w:hAnsi="宋体"/>
          <w:sz w:val="21"/>
          <w:szCs w:val="21"/>
        </w:rPr>
        <w:t>）规范。宁波数字电视机顶盒</w:t>
      </w:r>
      <w:r>
        <w:rPr>
          <w:rFonts w:ascii="宋体" w:hAnsi="宋体"/>
          <w:sz w:val="21"/>
          <w:szCs w:val="21"/>
        </w:rPr>
        <w:t>STBID</w:t>
      </w:r>
      <w:r>
        <w:rPr>
          <w:rFonts w:hint="eastAsia" w:ascii="宋体" w:hAnsi="宋体"/>
          <w:sz w:val="21"/>
          <w:szCs w:val="21"/>
        </w:rPr>
        <w:t>是由</w:t>
      </w:r>
      <w:r>
        <w:rPr>
          <w:rFonts w:ascii="宋体" w:hAnsi="宋体"/>
          <w:sz w:val="21"/>
          <w:szCs w:val="21"/>
        </w:rPr>
        <w:t>26</w:t>
      </w:r>
      <w:r>
        <w:rPr>
          <w:rFonts w:hint="eastAsia" w:ascii="宋体" w:hAnsi="宋体"/>
          <w:sz w:val="21"/>
          <w:szCs w:val="21"/>
        </w:rPr>
        <w:t>位的字符（</w:t>
      </w:r>
      <w:r>
        <w:rPr>
          <w:rFonts w:ascii="宋体" w:hAnsi="宋体"/>
          <w:sz w:val="21"/>
          <w:szCs w:val="21"/>
        </w:rPr>
        <w:t>0~9</w:t>
      </w:r>
      <w:r>
        <w:rPr>
          <w:rFonts w:hint="eastAsia" w:ascii="宋体" w:hAnsi="宋体"/>
          <w:sz w:val="21"/>
          <w:szCs w:val="21"/>
        </w:rPr>
        <w:t>，</w:t>
      </w:r>
      <w:r>
        <w:rPr>
          <w:rFonts w:ascii="宋体" w:hAnsi="宋体"/>
          <w:sz w:val="21"/>
          <w:szCs w:val="21"/>
        </w:rPr>
        <w:t>A~Z</w:t>
      </w:r>
      <w:r>
        <w:rPr>
          <w:rFonts w:hint="eastAsia" w:ascii="宋体" w:hAnsi="宋体"/>
          <w:sz w:val="21"/>
          <w:szCs w:val="21"/>
        </w:rPr>
        <w:t>）组成，是终端产品的唯一标识码。</w:t>
      </w:r>
      <w:r>
        <w:rPr>
          <w:rFonts w:ascii="宋体" w:hAnsi="宋体"/>
          <w:sz w:val="21"/>
          <w:szCs w:val="21"/>
        </w:rPr>
        <w:t>STBID</w:t>
      </w:r>
      <w:r>
        <w:rPr>
          <w:rFonts w:hint="eastAsia" w:ascii="宋体" w:hAnsi="宋体"/>
          <w:sz w:val="21"/>
          <w:szCs w:val="21"/>
        </w:rPr>
        <w:t>中包含的英文字母全部为大写格式。</w:t>
      </w:r>
    </w:p>
    <w:p>
      <w:pPr>
        <w:spacing w:line="340" w:lineRule="exact"/>
        <w:ind w:left="420" w:leftChars="200"/>
        <w:rPr>
          <w:rFonts w:ascii="宋体"/>
          <w:sz w:val="24"/>
        </w:rPr>
      </w:pPr>
      <w:r>
        <w:rPr>
          <w:rFonts w:hint="eastAsia" w:ascii="宋体" w:hAnsi="宋体"/>
          <w:sz w:val="24"/>
        </w:rPr>
        <w:t>例如：</w:t>
      </w:r>
      <w:r>
        <w:rPr>
          <w:rFonts w:ascii="宋体" w:hAnsi="宋体"/>
          <w:sz w:val="24"/>
        </w:rPr>
        <w:t xml:space="preserve">  111</w:t>
      </w:r>
      <w:r>
        <w:rPr>
          <w:rFonts w:ascii="宋体" w:hAnsi="宋体"/>
          <w:sz w:val="24"/>
        </w:rPr>
        <w:tab/>
      </w:r>
      <w:r>
        <w:rPr>
          <w:rFonts w:ascii="宋体" w:hAnsi="宋体"/>
          <w:sz w:val="24"/>
        </w:rPr>
        <w:t xml:space="preserve"> 0</w:t>
      </w:r>
      <w:r>
        <w:rPr>
          <w:rFonts w:ascii="宋体"/>
          <w:sz w:val="24"/>
        </w:rPr>
        <w:t>00</w:t>
      </w:r>
      <w:r>
        <w:rPr>
          <w:rFonts w:ascii="宋体"/>
          <w:sz w:val="24"/>
        </w:rPr>
        <w:tab/>
      </w:r>
      <w:r>
        <w:rPr>
          <w:rFonts w:ascii="宋体" w:hAnsi="宋体"/>
          <w:sz w:val="24"/>
        </w:rPr>
        <w:t>00  00</w:t>
      </w:r>
      <w:r>
        <w:rPr>
          <w:rFonts w:ascii="宋体" w:hAnsi="宋体"/>
          <w:sz w:val="24"/>
        </w:rPr>
        <w:tab/>
      </w:r>
      <w:r>
        <w:rPr>
          <w:rFonts w:ascii="宋体" w:hAnsi="宋体"/>
          <w:sz w:val="24"/>
        </w:rPr>
        <w:t xml:space="preserve"> 0</w:t>
      </w:r>
      <w:r>
        <w:rPr>
          <w:rFonts w:ascii="宋体"/>
          <w:sz w:val="24"/>
        </w:rPr>
        <w:t>0</w:t>
      </w:r>
      <w:r>
        <w:rPr>
          <w:rFonts w:ascii="宋体" w:hAnsi="宋体"/>
          <w:sz w:val="24"/>
        </w:rPr>
        <w:t xml:space="preserve">00   </w:t>
      </w:r>
      <w:r>
        <w:rPr>
          <w:rFonts w:ascii="宋体"/>
          <w:sz w:val="24"/>
        </w:rPr>
        <w:t>00</w:t>
      </w:r>
      <w:r>
        <w:rPr>
          <w:rFonts w:ascii="宋体" w:hAnsi="宋体"/>
          <w:sz w:val="24"/>
        </w:rPr>
        <w:t>3</w:t>
      </w:r>
      <w:r>
        <w:rPr>
          <w:rFonts w:ascii="宋体"/>
          <w:sz w:val="24"/>
        </w:rPr>
        <w:t>0</w:t>
      </w:r>
      <w:r>
        <w:rPr>
          <w:rFonts w:ascii="宋体" w:hAnsi="宋体"/>
          <w:sz w:val="24"/>
        </w:rPr>
        <w:t xml:space="preserve"> 0004 C7E7</w:t>
      </w:r>
    </w:p>
    <w:p>
      <w:pPr>
        <w:spacing w:line="340" w:lineRule="exact"/>
        <w:ind w:left="420" w:leftChars="200"/>
        <w:rPr>
          <w:rFonts w:ascii="宋体"/>
          <w:sz w:val="24"/>
        </w:rPr>
      </w:pPr>
      <w:r>
        <w:rPr>
          <w:rFonts w:hint="eastAsia" w:ascii="宋体" w:hAnsi="宋体"/>
          <w:sz w:val="24"/>
        </w:rPr>
        <w:t>格式：</w:t>
      </w:r>
      <w:r>
        <w:rPr>
          <w:rFonts w:ascii="宋体" w:hAnsi="宋体"/>
          <w:sz w:val="24"/>
        </w:rPr>
        <w:t xml:space="preserve">  AAA</w:t>
      </w:r>
      <w:r>
        <w:rPr>
          <w:rFonts w:ascii="宋体" w:hAnsi="宋体"/>
          <w:sz w:val="24"/>
        </w:rPr>
        <w:tab/>
      </w:r>
      <w:r>
        <w:rPr>
          <w:rFonts w:ascii="宋体" w:hAnsi="宋体"/>
          <w:sz w:val="24"/>
        </w:rPr>
        <w:t xml:space="preserve"> BBB</w:t>
      </w:r>
      <w:r>
        <w:rPr>
          <w:rFonts w:ascii="宋体" w:hAnsi="宋体"/>
          <w:sz w:val="24"/>
        </w:rPr>
        <w:tab/>
      </w:r>
      <w:r>
        <w:rPr>
          <w:rFonts w:ascii="宋体" w:hAnsi="宋体"/>
          <w:sz w:val="24"/>
        </w:rPr>
        <w:t>CC  DD  EEEE   FFFF FFFF FFFF</w:t>
      </w:r>
    </w:p>
    <w:tbl>
      <w:tblPr>
        <w:tblStyle w:val="25"/>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8"/>
        <w:gridCol w:w="408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8" w:type="dxa"/>
            <w:noWrap w:val="0"/>
            <w:vAlign w:val="center"/>
          </w:tcPr>
          <w:p>
            <w:pPr>
              <w:spacing w:line="340" w:lineRule="exact"/>
              <w:jc w:val="center"/>
              <w:rPr>
                <w:rFonts w:ascii="宋体"/>
              </w:rPr>
            </w:pPr>
            <w:r>
              <w:rPr>
                <w:rFonts w:hint="eastAsia" w:ascii="宋体" w:hAnsi="宋体"/>
              </w:rPr>
              <w:t>字段</w:t>
            </w:r>
          </w:p>
        </w:tc>
        <w:tc>
          <w:tcPr>
            <w:tcW w:w="4080" w:type="dxa"/>
            <w:noWrap w:val="0"/>
            <w:vAlign w:val="center"/>
          </w:tcPr>
          <w:p>
            <w:pPr>
              <w:spacing w:line="340" w:lineRule="exact"/>
              <w:jc w:val="center"/>
              <w:rPr>
                <w:rFonts w:ascii="宋体"/>
              </w:rPr>
            </w:pPr>
            <w:r>
              <w:rPr>
                <w:rFonts w:hint="eastAsia" w:ascii="宋体" w:hAnsi="宋体"/>
              </w:rPr>
              <w:t>内容</w:t>
            </w:r>
          </w:p>
        </w:tc>
        <w:tc>
          <w:tcPr>
            <w:tcW w:w="5040" w:type="dxa"/>
            <w:noWrap w:val="0"/>
            <w:vAlign w:val="center"/>
          </w:tcPr>
          <w:p>
            <w:pPr>
              <w:spacing w:line="340" w:lineRule="exact"/>
              <w:jc w:val="center"/>
              <w:rPr>
                <w:rFonts w:ascii="宋体"/>
              </w:rPr>
            </w:pPr>
            <w:r>
              <w:rPr>
                <w:rFonts w:hint="eastAsia" w:ascii="宋体" w:hAnsi="宋体"/>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noWrap w:val="0"/>
            <w:vAlign w:val="top"/>
          </w:tcPr>
          <w:p>
            <w:pPr>
              <w:spacing w:line="320" w:lineRule="exact"/>
              <w:rPr>
                <w:rFonts w:ascii="宋体"/>
              </w:rPr>
            </w:pPr>
            <w:r>
              <w:rPr>
                <w:rFonts w:ascii="宋体" w:hAnsi="宋体"/>
              </w:rPr>
              <w:t>AAA</w:t>
            </w:r>
          </w:p>
        </w:tc>
        <w:tc>
          <w:tcPr>
            <w:tcW w:w="4080" w:type="dxa"/>
            <w:noWrap w:val="0"/>
            <w:vAlign w:val="top"/>
          </w:tcPr>
          <w:p>
            <w:pPr>
              <w:spacing w:line="320" w:lineRule="exact"/>
              <w:rPr>
                <w:rFonts w:ascii="宋体"/>
              </w:rPr>
            </w:pPr>
            <w:r>
              <w:rPr>
                <w:rFonts w:hint="eastAsia" w:ascii="宋体" w:hAnsi="宋体"/>
              </w:rPr>
              <w:t>三位宁波指示码</w:t>
            </w:r>
          </w:p>
        </w:tc>
        <w:tc>
          <w:tcPr>
            <w:tcW w:w="5040" w:type="dxa"/>
            <w:noWrap w:val="0"/>
            <w:vAlign w:val="top"/>
          </w:tcPr>
          <w:p>
            <w:pPr>
              <w:spacing w:line="320" w:lineRule="exact"/>
              <w:rPr>
                <w:rFonts w:ascii="宋体"/>
              </w:rPr>
            </w:pPr>
            <w:r>
              <w:rPr>
                <w:rFonts w:hint="eastAsia" w:ascii="宋体" w:hAnsi="宋体"/>
              </w:rPr>
              <w:t>地区指示码：</w:t>
            </w:r>
          </w:p>
          <w:p>
            <w:pPr>
              <w:numPr>
                <w:ilvl w:val="0"/>
                <w:numId w:val="9"/>
              </w:numPr>
              <w:spacing w:line="320" w:lineRule="exact"/>
              <w:rPr>
                <w:rFonts w:ascii="宋体"/>
              </w:rPr>
            </w:pPr>
            <w:r>
              <w:rPr>
                <w:rFonts w:hint="eastAsia" w:ascii="宋体" w:hAnsi="宋体"/>
              </w:rPr>
              <w:t>固定为</w:t>
            </w:r>
            <w:r>
              <w:rPr>
                <w:rFonts w:ascii="宋体" w:hAnsi="宋体"/>
              </w:rPr>
              <w:t>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8" w:type="dxa"/>
            <w:noWrap w:val="0"/>
            <w:vAlign w:val="top"/>
          </w:tcPr>
          <w:p>
            <w:pPr>
              <w:spacing w:line="320" w:lineRule="exact"/>
              <w:rPr>
                <w:rFonts w:ascii="宋体"/>
              </w:rPr>
            </w:pPr>
            <w:r>
              <w:rPr>
                <w:rFonts w:ascii="宋体" w:hAnsi="宋体"/>
              </w:rPr>
              <w:t>BBB</w:t>
            </w:r>
          </w:p>
        </w:tc>
        <w:tc>
          <w:tcPr>
            <w:tcW w:w="4080" w:type="dxa"/>
            <w:noWrap w:val="0"/>
            <w:vAlign w:val="top"/>
          </w:tcPr>
          <w:p>
            <w:pPr>
              <w:spacing w:line="320" w:lineRule="exact"/>
              <w:rPr>
                <w:rFonts w:ascii="宋体"/>
              </w:rPr>
            </w:pPr>
            <w:r>
              <w:rPr>
                <w:rFonts w:hint="eastAsia" w:ascii="宋体" w:hAnsi="宋体"/>
              </w:rPr>
              <w:t>三位宁波市内不同地域分配</w:t>
            </w:r>
          </w:p>
          <w:p>
            <w:pPr>
              <w:spacing w:line="320" w:lineRule="exact"/>
              <w:rPr>
                <w:rFonts w:ascii="宋体"/>
              </w:rPr>
            </w:pPr>
          </w:p>
        </w:tc>
        <w:tc>
          <w:tcPr>
            <w:tcW w:w="5040" w:type="dxa"/>
            <w:noWrap w:val="0"/>
            <w:vAlign w:val="top"/>
          </w:tcPr>
          <w:p>
            <w:pPr>
              <w:spacing w:line="320" w:lineRule="exact"/>
            </w:pPr>
            <w:r>
              <w:rPr>
                <w:rFonts w:hint="eastAsia"/>
              </w:rPr>
              <w:t>范围为</w:t>
            </w:r>
            <w:r>
              <w:t>001</w:t>
            </w:r>
            <w:r>
              <w:rPr>
                <w:rFonts w:hint="eastAsia"/>
              </w:rPr>
              <w:t>～</w:t>
            </w:r>
            <w:r>
              <w:t>999</w:t>
            </w:r>
            <w:r>
              <w:rPr>
                <w:rFonts w:hint="eastAsia" w:ascii="宋体" w:hAnsi="宋体"/>
              </w:rPr>
              <w:t>（数字，不能用字母）</w:t>
            </w:r>
            <w:r>
              <w:rPr>
                <w:rFonts w:hint="eastAsia"/>
              </w:rPr>
              <w:t>。</w:t>
            </w:r>
          </w:p>
          <w:p>
            <w:pPr>
              <w:spacing w:line="320" w:lineRule="exact"/>
            </w:pPr>
            <w:r>
              <w:rPr>
                <w:rFonts w:hint="eastAsia"/>
              </w:rPr>
              <w:t>具体分配值见附表</w:t>
            </w:r>
          </w:p>
          <w:p>
            <w:pPr>
              <w:spacing w:line="320" w:lineRule="exact"/>
            </w:pPr>
            <w:r>
              <w:rPr>
                <w:rFonts w:hint="eastAsia"/>
              </w:rPr>
              <w:t>该值用于区分宁波市区内不同地域</w:t>
            </w:r>
          </w:p>
          <w:p>
            <w:pPr>
              <w:spacing w:line="320" w:lineRule="exact"/>
            </w:pPr>
            <w:r>
              <w:rPr>
                <w:rFonts w:hint="eastAsia"/>
              </w:rPr>
              <w:t>以后供区域机顶盒升级用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8" w:type="dxa"/>
            <w:noWrap w:val="0"/>
            <w:vAlign w:val="top"/>
          </w:tcPr>
          <w:p>
            <w:pPr>
              <w:spacing w:line="320" w:lineRule="exact"/>
              <w:rPr>
                <w:rFonts w:ascii="宋体"/>
              </w:rPr>
            </w:pPr>
            <w:r>
              <w:rPr>
                <w:rFonts w:ascii="宋体" w:hAnsi="宋体"/>
              </w:rPr>
              <w:t>CC</w:t>
            </w:r>
          </w:p>
        </w:tc>
        <w:tc>
          <w:tcPr>
            <w:tcW w:w="4080" w:type="dxa"/>
            <w:noWrap w:val="0"/>
            <w:vAlign w:val="top"/>
          </w:tcPr>
          <w:p>
            <w:pPr>
              <w:spacing w:line="320" w:lineRule="exact"/>
              <w:rPr>
                <w:rFonts w:ascii="宋体"/>
              </w:rPr>
            </w:pPr>
            <w:r>
              <w:rPr>
                <w:rFonts w:hint="eastAsia" w:ascii="宋体" w:hAnsi="宋体"/>
              </w:rPr>
              <w:t>终端产品生产厂商认证编号，</w:t>
            </w:r>
          </w:p>
          <w:p>
            <w:pPr>
              <w:spacing w:line="320" w:lineRule="exact"/>
              <w:rPr>
                <w:rFonts w:ascii="宋体"/>
              </w:rPr>
            </w:pPr>
            <w:r>
              <w:rPr>
                <w:rFonts w:hint="eastAsia" w:ascii="宋体" w:hAnsi="宋体"/>
              </w:rPr>
              <w:t>由客户对我公司终端产品经入网认证后分配的编号。</w:t>
            </w:r>
          </w:p>
          <w:p>
            <w:pPr>
              <w:spacing w:line="320" w:lineRule="exact"/>
              <w:rPr>
                <w:rFonts w:ascii="宋体"/>
              </w:rPr>
            </w:pPr>
          </w:p>
        </w:tc>
        <w:tc>
          <w:tcPr>
            <w:tcW w:w="5040" w:type="dxa"/>
            <w:noWrap w:val="0"/>
            <w:vAlign w:val="top"/>
          </w:tcPr>
          <w:p>
            <w:pPr>
              <w:spacing w:line="320" w:lineRule="exact"/>
            </w:pPr>
            <w:r>
              <w:rPr>
                <w:rFonts w:hint="eastAsia"/>
              </w:rPr>
              <w:t>范围为</w:t>
            </w:r>
            <w:r>
              <w:t>01</w:t>
            </w:r>
            <w:r>
              <w:rPr>
                <w:rFonts w:hint="eastAsia"/>
              </w:rPr>
              <w:t>～</w:t>
            </w:r>
            <w:r>
              <w:t>99</w:t>
            </w:r>
            <w:r>
              <w:rPr>
                <w:rFonts w:hint="eastAsia" w:ascii="宋体" w:hAnsi="宋体"/>
              </w:rPr>
              <w:t>（数字，不能用字母））</w:t>
            </w:r>
            <w:r>
              <w:rPr>
                <w:rFonts w:hint="eastAsia"/>
              </w:rPr>
              <w:t>。</w:t>
            </w:r>
          </w:p>
          <w:p>
            <w:pPr>
              <w:spacing w:line="320" w:lineRule="exact"/>
            </w:pPr>
            <w:r>
              <w:rPr>
                <w:rFonts w:hint="eastAsia"/>
              </w:rPr>
              <w:t>具体分配值见附表</w:t>
            </w:r>
          </w:p>
          <w:p>
            <w:pPr>
              <w:spacing w:line="320" w:lineRule="exact"/>
              <w:rPr>
                <w:rFonts w:ascii="宋体"/>
              </w:rPr>
            </w:pPr>
            <w:r>
              <w:rPr>
                <w:rFonts w:hint="eastAsia"/>
              </w:rPr>
              <w:t>以后供区分不同厂商机顶盒升级用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8" w:type="dxa"/>
            <w:noWrap w:val="0"/>
            <w:vAlign w:val="top"/>
          </w:tcPr>
          <w:p>
            <w:pPr>
              <w:spacing w:line="320" w:lineRule="exact"/>
              <w:rPr>
                <w:rFonts w:ascii="宋体"/>
              </w:rPr>
            </w:pPr>
            <w:r>
              <w:rPr>
                <w:rFonts w:ascii="宋体" w:hAnsi="宋体"/>
              </w:rPr>
              <w:t>DD</w:t>
            </w:r>
          </w:p>
        </w:tc>
        <w:tc>
          <w:tcPr>
            <w:tcW w:w="4080" w:type="dxa"/>
            <w:noWrap w:val="0"/>
            <w:vAlign w:val="top"/>
          </w:tcPr>
          <w:p>
            <w:pPr>
              <w:spacing w:line="320" w:lineRule="exact"/>
              <w:rPr>
                <w:rFonts w:ascii="宋体"/>
              </w:rPr>
            </w:pPr>
            <w:r>
              <w:rPr>
                <w:rFonts w:hint="eastAsia" w:ascii="宋体" w:hAnsi="宋体"/>
              </w:rPr>
              <w:t>终端类型</w:t>
            </w:r>
          </w:p>
        </w:tc>
        <w:tc>
          <w:tcPr>
            <w:tcW w:w="5040" w:type="dxa"/>
            <w:noWrap w:val="0"/>
            <w:vAlign w:val="top"/>
          </w:tcPr>
          <w:p>
            <w:pPr>
              <w:spacing w:line="320" w:lineRule="exact"/>
              <w:rPr>
                <w:rFonts w:ascii="宋体"/>
              </w:rPr>
            </w:pPr>
            <w:r>
              <w:rPr>
                <w:rFonts w:hint="eastAsia" w:ascii="宋体" w:hAnsi="宋体"/>
              </w:rPr>
              <w:t>取值范围：</w:t>
            </w:r>
            <w:r>
              <w:rPr>
                <w:rFonts w:ascii="宋体" w:hAnsi="宋体"/>
              </w:rPr>
              <w:t>01~99</w:t>
            </w:r>
            <w:r>
              <w:rPr>
                <w:rFonts w:hint="eastAsia" w:ascii="宋体" w:hAnsi="宋体"/>
              </w:rPr>
              <w:t>（数字，不能用字母）</w:t>
            </w:r>
          </w:p>
          <w:p>
            <w:pPr>
              <w:spacing w:line="320" w:lineRule="exact"/>
              <w:rPr>
                <w:rFonts w:ascii="宋体"/>
              </w:rPr>
            </w:pPr>
            <w:r>
              <w:rPr>
                <w:rFonts w:hint="eastAsia"/>
              </w:rPr>
              <w:t>以后供区分不同类型机顶盒升级用</w:t>
            </w:r>
          </w:p>
          <w:p>
            <w:pPr>
              <w:spacing w:line="320" w:lineRule="exact"/>
            </w:pPr>
            <w:r>
              <w:rPr>
                <w:rFonts w:hint="eastAsia"/>
              </w:rPr>
              <w:t>“</w:t>
            </w:r>
            <w:r>
              <w:t>01</w:t>
            </w:r>
            <w:r>
              <w:rPr>
                <w:rFonts w:hint="eastAsia"/>
              </w:rPr>
              <w:t>”表示标清基本型机顶盒</w:t>
            </w:r>
          </w:p>
          <w:p>
            <w:pPr>
              <w:spacing w:line="320" w:lineRule="exact"/>
            </w:pPr>
            <w:r>
              <w:rPr>
                <w:rFonts w:hint="eastAsia"/>
              </w:rPr>
              <w:t>“</w:t>
            </w:r>
            <w:r>
              <w:t>02</w:t>
            </w:r>
            <w:r>
              <w:rPr>
                <w:rFonts w:hint="eastAsia"/>
              </w:rPr>
              <w:t>”表示基本交互型机顶盒</w:t>
            </w:r>
          </w:p>
          <w:p>
            <w:pPr>
              <w:spacing w:line="320" w:lineRule="exact"/>
            </w:pPr>
            <w:r>
              <w:rPr>
                <w:rFonts w:hint="eastAsia"/>
              </w:rPr>
              <w:t>“</w:t>
            </w:r>
            <w:r>
              <w:t>03</w:t>
            </w:r>
            <w:r>
              <w:rPr>
                <w:rFonts w:hint="eastAsia"/>
              </w:rPr>
              <w:t>”表示标清增强交互型机顶盒</w:t>
            </w:r>
          </w:p>
          <w:p>
            <w:pPr>
              <w:spacing w:line="320" w:lineRule="exact"/>
            </w:pPr>
            <w:r>
              <w:rPr>
                <w:rFonts w:hint="eastAsia"/>
              </w:rPr>
              <w:t>“</w:t>
            </w:r>
            <w:r>
              <w:t>04</w:t>
            </w:r>
            <w:r>
              <w:rPr>
                <w:rFonts w:hint="eastAsia"/>
              </w:rPr>
              <w:t>”表示高清基本型机顶盒</w:t>
            </w:r>
          </w:p>
          <w:p>
            <w:pPr>
              <w:spacing w:line="320" w:lineRule="exact"/>
            </w:pPr>
            <w:r>
              <w:rPr>
                <w:rFonts w:hint="eastAsia"/>
              </w:rPr>
              <w:t>“</w:t>
            </w:r>
            <w:r>
              <w:t>05</w:t>
            </w:r>
            <w:r>
              <w:rPr>
                <w:rFonts w:hint="eastAsia"/>
              </w:rPr>
              <w:t>”表示高清增强交互机顶盒</w:t>
            </w:r>
          </w:p>
          <w:p>
            <w:pPr>
              <w:spacing w:line="320" w:lineRule="exact"/>
            </w:pPr>
            <w:r>
              <w:rPr>
                <w:rFonts w:hint="eastAsia"/>
              </w:rPr>
              <w:t>“</w:t>
            </w:r>
            <w:r>
              <w:t>06</w:t>
            </w:r>
            <w:r>
              <w:rPr>
                <w:rFonts w:hint="eastAsia"/>
              </w:rPr>
              <w:t>”表示机卡分离机顶盒</w:t>
            </w:r>
          </w:p>
          <w:p>
            <w:pPr>
              <w:spacing w:line="320" w:lineRule="exact"/>
              <w:rPr>
                <w:rFonts w:ascii="宋体"/>
              </w:rPr>
            </w:pPr>
            <w:r>
              <w:rPr>
                <w:rFonts w:hint="eastAsia"/>
              </w:rPr>
              <w:t>“</w:t>
            </w:r>
            <w:r>
              <w:t>07</w:t>
            </w:r>
            <w:r>
              <w:rPr>
                <w:rFonts w:hint="eastAsia"/>
              </w:rPr>
              <w:t>”表示壁挂基本型机顶盒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8" w:type="dxa"/>
            <w:noWrap w:val="0"/>
            <w:vAlign w:val="top"/>
          </w:tcPr>
          <w:p>
            <w:pPr>
              <w:spacing w:line="320" w:lineRule="exact"/>
              <w:rPr>
                <w:rFonts w:ascii="宋体"/>
              </w:rPr>
            </w:pPr>
            <w:r>
              <w:rPr>
                <w:rFonts w:ascii="宋体" w:hAnsi="宋体"/>
              </w:rPr>
              <w:t>EEEE</w:t>
            </w:r>
          </w:p>
        </w:tc>
        <w:tc>
          <w:tcPr>
            <w:tcW w:w="4080" w:type="dxa"/>
            <w:noWrap w:val="0"/>
            <w:vAlign w:val="top"/>
          </w:tcPr>
          <w:p>
            <w:pPr>
              <w:spacing w:line="320" w:lineRule="exact"/>
              <w:rPr>
                <w:rFonts w:ascii="宋体"/>
              </w:rPr>
            </w:pPr>
            <w:r>
              <w:rPr>
                <w:rFonts w:hint="eastAsia" w:ascii="宋体" w:hAnsi="宋体"/>
              </w:rPr>
              <w:t>终端产品机顶盒生产批次</w:t>
            </w:r>
          </w:p>
          <w:p>
            <w:pPr>
              <w:spacing w:line="320" w:lineRule="exact"/>
              <w:jc w:val="center"/>
              <w:rPr>
                <w:rFonts w:ascii="宋体"/>
              </w:rPr>
            </w:pPr>
          </w:p>
        </w:tc>
        <w:tc>
          <w:tcPr>
            <w:tcW w:w="5040" w:type="dxa"/>
            <w:noWrap w:val="0"/>
            <w:vAlign w:val="top"/>
          </w:tcPr>
          <w:p>
            <w:pPr>
              <w:spacing w:line="320" w:lineRule="exact"/>
              <w:rPr>
                <w:rFonts w:ascii="宋体"/>
              </w:rPr>
            </w:pPr>
            <w:r>
              <w:rPr>
                <w:rFonts w:hint="eastAsia" w:ascii="宋体" w:hAnsi="宋体"/>
              </w:rPr>
              <w:t>定义原则：</w:t>
            </w:r>
            <w:r>
              <w:rPr>
                <w:rFonts w:hint="eastAsia"/>
              </w:rPr>
              <w:t>以后供区分不同批次机顶盒升级用</w:t>
            </w:r>
          </w:p>
          <w:p>
            <w:pPr>
              <w:numPr>
                <w:ilvl w:val="0"/>
                <w:numId w:val="10"/>
              </w:numPr>
              <w:tabs>
                <w:tab w:val="left" w:pos="578"/>
                <w:tab w:val="clear" w:pos="899"/>
              </w:tabs>
              <w:spacing w:line="320" w:lineRule="exact"/>
              <w:ind w:left="578"/>
              <w:rPr>
                <w:rFonts w:ascii="宋体"/>
              </w:rPr>
            </w:pPr>
            <w:r>
              <w:rPr>
                <w:rFonts w:hint="eastAsia" w:ascii="宋体" w:hAnsi="宋体"/>
              </w:rPr>
              <w:t>取值范围：</w:t>
            </w:r>
            <w:r>
              <w:rPr>
                <w:rFonts w:ascii="宋体" w:hAnsi="宋体"/>
              </w:rPr>
              <w:t>0001~9999</w:t>
            </w:r>
            <w:r>
              <w:rPr>
                <w:rFonts w:hint="eastAsia" w:ascii="宋体" w:hAnsi="宋体"/>
              </w:rPr>
              <w:t>（数字，不能用字母）</w:t>
            </w:r>
          </w:p>
          <w:p>
            <w:pPr>
              <w:numPr>
                <w:ilvl w:val="0"/>
                <w:numId w:val="10"/>
              </w:numPr>
              <w:tabs>
                <w:tab w:val="left" w:pos="578"/>
                <w:tab w:val="clear" w:pos="899"/>
              </w:tabs>
              <w:spacing w:line="320" w:lineRule="exact"/>
              <w:ind w:left="578"/>
              <w:rPr>
                <w:rFonts w:ascii="宋体"/>
              </w:rPr>
            </w:pPr>
            <w:r>
              <w:rPr>
                <w:rFonts w:hint="eastAsia" w:ascii="宋体" w:hAnsi="宋体"/>
              </w:rPr>
              <w:t>按机顶盒生产日期</w:t>
            </w:r>
          </w:p>
          <w:p>
            <w:pPr>
              <w:spacing w:line="320" w:lineRule="exact"/>
              <w:rPr>
                <w:rFonts w:ascii="宋体"/>
              </w:rPr>
            </w:pPr>
            <w:r>
              <w:rPr>
                <w:rFonts w:hint="eastAsia" w:ascii="宋体" w:hAnsi="宋体"/>
              </w:rPr>
              <w:t>如</w:t>
            </w:r>
            <w:r>
              <w:rPr>
                <w:rFonts w:ascii="宋体" w:hAnsi="宋体"/>
              </w:rPr>
              <w:t>06</w:t>
            </w:r>
            <w:r>
              <w:rPr>
                <w:rFonts w:hint="eastAsia" w:ascii="宋体" w:hAnsi="宋体"/>
              </w:rPr>
              <w:t>年</w:t>
            </w:r>
            <w:r>
              <w:rPr>
                <w:rFonts w:ascii="宋体" w:hAnsi="宋体"/>
              </w:rPr>
              <w:t>7</w:t>
            </w:r>
            <w:r>
              <w:rPr>
                <w:rFonts w:hint="eastAsia" w:ascii="宋体" w:hAnsi="宋体"/>
              </w:rPr>
              <w:t>月为：</w:t>
            </w:r>
            <w:r>
              <w:rPr>
                <w:rFonts w:ascii="宋体" w:hAnsi="宋体"/>
              </w:rPr>
              <w:t>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8" w:type="dxa"/>
            <w:noWrap w:val="0"/>
            <w:vAlign w:val="top"/>
          </w:tcPr>
          <w:p>
            <w:pPr>
              <w:spacing w:line="320" w:lineRule="exact"/>
              <w:rPr>
                <w:rFonts w:ascii="宋体"/>
              </w:rPr>
            </w:pPr>
            <w:r>
              <w:rPr>
                <w:rFonts w:ascii="宋体" w:hAnsi="宋体"/>
              </w:rPr>
              <w:t>FFFFFFFFFFFF</w:t>
            </w:r>
          </w:p>
        </w:tc>
        <w:tc>
          <w:tcPr>
            <w:tcW w:w="4080" w:type="dxa"/>
            <w:noWrap w:val="0"/>
            <w:vAlign w:val="top"/>
          </w:tcPr>
          <w:p>
            <w:pPr>
              <w:spacing w:line="320" w:lineRule="exact"/>
              <w:rPr>
                <w:rFonts w:ascii="宋体"/>
              </w:rPr>
            </w:pPr>
            <w:r>
              <w:rPr>
                <w:rFonts w:hint="eastAsia" w:ascii="宋体" w:hAnsi="宋体"/>
              </w:rPr>
              <w:t>根据前一位的定义的具体数值。</w:t>
            </w:r>
          </w:p>
        </w:tc>
        <w:tc>
          <w:tcPr>
            <w:tcW w:w="5040" w:type="dxa"/>
            <w:noWrap w:val="0"/>
            <w:vAlign w:val="top"/>
          </w:tcPr>
          <w:p>
            <w:pPr>
              <w:tabs>
                <w:tab w:val="left" w:pos="1080"/>
              </w:tabs>
              <w:spacing w:line="320" w:lineRule="exact"/>
              <w:rPr>
                <w:rFonts w:ascii="宋体"/>
              </w:rPr>
            </w:pPr>
            <w:r>
              <w:rPr>
                <w:rFonts w:hint="eastAsia" w:ascii="宋体" w:hAnsi="宋体"/>
              </w:rPr>
              <w:t>取值：（</w:t>
            </w:r>
            <w:r>
              <w:rPr>
                <w:rFonts w:ascii="宋体" w:hAnsi="宋体"/>
              </w:rPr>
              <w:t>0~9</w:t>
            </w:r>
            <w:r>
              <w:rPr>
                <w:rFonts w:hint="eastAsia" w:ascii="宋体" w:hAnsi="宋体"/>
              </w:rPr>
              <w:t>，</w:t>
            </w:r>
            <w:r>
              <w:rPr>
                <w:rFonts w:ascii="宋体" w:hAnsi="宋体"/>
              </w:rPr>
              <w:t>A~F</w:t>
            </w:r>
            <w:r>
              <w:rPr>
                <w:rFonts w:hint="eastAsia" w:ascii="宋体" w:hAnsi="宋体"/>
              </w:rPr>
              <w:t>）</w:t>
            </w:r>
            <w:r>
              <w:rPr>
                <w:rFonts w:hint="eastAsia"/>
              </w:rPr>
              <w:t>以后供区分不同编号机顶盒升级用</w:t>
            </w:r>
          </w:p>
          <w:p>
            <w:pPr>
              <w:tabs>
                <w:tab w:val="left" w:pos="1080"/>
              </w:tabs>
              <w:spacing w:line="320" w:lineRule="exact"/>
              <w:rPr>
                <w:rFonts w:ascii="宋体"/>
              </w:rPr>
            </w:pPr>
            <w:r>
              <w:rPr>
                <w:rFonts w:ascii="宋体" w:hAnsi="宋体"/>
              </w:rPr>
              <w:t>MAC</w:t>
            </w:r>
            <w:r>
              <w:rPr>
                <w:rFonts w:hint="eastAsia" w:ascii="宋体" w:hAnsi="宋体"/>
              </w:rPr>
              <w:t>地址</w:t>
            </w:r>
            <w:r>
              <w:rPr>
                <w:rFonts w:ascii="宋体" w:hAnsi="宋体"/>
              </w:rPr>
              <w:t>/</w:t>
            </w:r>
            <w:r>
              <w:rPr>
                <w:rFonts w:hint="eastAsia" w:ascii="宋体" w:hAnsi="宋体"/>
              </w:rPr>
              <w:t>生产流水号等；</w:t>
            </w:r>
          </w:p>
          <w:p>
            <w:pPr>
              <w:tabs>
                <w:tab w:val="left" w:pos="1080"/>
              </w:tabs>
              <w:spacing w:line="320" w:lineRule="exact"/>
              <w:rPr>
                <w:rFonts w:ascii="宋体"/>
              </w:rPr>
            </w:pPr>
            <w:r>
              <w:rPr>
                <w:rFonts w:hint="eastAsia" w:ascii="宋体" w:hAnsi="宋体"/>
              </w:rPr>
              <w:t>交互型可以为</w:t>
            </w:r>
            <w:r>
              <w:rPr>
                <w:rFonts w:ascii="宋体" w:hAnsi="宋体"/>
              </w:rPr>
              <w:t>MAC</w:t>
            </w:r>
            <w:r>
              <w:rPr>
                <w:rFonts w:hint="eastAsia" w:ascii="宋体" w:hAnsi="宋体"/>
              </w:rPr>
              <w:t>地址，非交互型为生产流水号</w:t>
            </w:r>
          </w:p>
        </w:tc>
      </w:tr>
    </w:tbl>
    <w:p>
      <w:pPr>
        <w:spacing w:line="340" w:lineRule="exact"/>
        <w:rPr>
          <w:rFonts w:ascii="宋体"/>
          <w:sz w:val="24"/>
        </w:rPr>
      </w:pPr>
    </w:p>
    <w:p>
      <w:pPr>
        <w:spacing w:line="340" w:lineRule="exact"/>
        <w:rPr>
          <w:rFonts w:ascii="宋体"/>
          <w:sz w:val="24"/>
        </w:rPr>
      </w:pPr>
      <w:r>
        <w:rPr>
          <w:rFonts w:ascii="宋体" w:hAnsi="宋体"/>
          <w:sz w:val="24"/>
        </w:rPr>
        <w:t xml:space="preserve">  2.</w:t>
      </w:r>
      <w:r>
        <w:rPr>
          <w:rFonts w:hint="eastAsia" w:ascii="宋体" w:hAnsi="宋体"/>
          <w:sz w:val="24"/>
        </w:rPr>
        <w:t>分配信息表</w:t>
      </w:r>
    </w:p>
    <w:tbl>
      <w:tblPr>
        <w:tblStyle w:val="25"/>
        <w:tblW w:w="92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3361"/>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noWrap w:val="0"/>
            <w:vAlign w:val="top"/>
          </w:tcPr>
          <w:p>
            <w:pPr>
              <w:pStyle w:val="7"/>
              <w:spacing w:line="340" w:lineRule="exact"/>
              <w:ind w:firstLine="0"/>
              <w:jc w:val="center"/>
            </w:pPr>
            <w:r>
              <w:rPr>
                <w:rFonts w:hint="eastAsia"/>
              </w:rPr>
              <w:t>数位号</w:t>
            </w:r>
          </w:p>
        </w:tc>
        <w:tc>
          <w:tcPr>
            <w:tcW w:w="3361" w:type="dxa"/>
            <w:noWrap w:val="0"/>
            <w:vAlign w:val="top"/>
          </w:tcPr>
          <w:p>
            <w:pPr>
              <w:pStyle w:val="7"/>
              <w:spacing w:line="340" w:lineRule="exact"/>
              <w:jc w:val="center"/>
            </w:pPr>
            <w:r>
              <w:rPr>
                <w:rFonts w:hint="eastAsia"/>
              </w:rPr>
              <w:t>表示内容</w:t>
            </w:r>
          </w:p>
        </w:tc>
        <w:tc>
          <w:tcPr>
            <w:tcW w:w="3546" w:type="dxa"/>
            <w:noWrap w:val="0"/>
            <w:vAlign w:val="top"/>
          </w:tcPr>
          <w:p>
            <w:pPr>
              <w:pStyle w:val="7"/>
              <w:spacing w:line="340" w:lineRule="exact"/>
              <w:jc w:val="center"/>
            </w:pPr>
            <w:r>
              <w:rPr>
                <w:rFonts w:hint="eastAsia"/>
              </w:rPr>
              <w:t>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2295" w:type="dxa"/>
            <w:noWrap w:val="0"/>
            <w:vAlign w:val="center"/>
          </w:tcPr>
          <w:p>
            <w:pPr>
              <w:pStyle w:val="7"/>
              <w:spacing w:line="340" w:lineRule="exact"/>
              <w:jc w:val="center"/>
            </w:pPr>
            <w:r>
              <w:t>1~3</w:t>
            </w:r>
          </w:p>
        </w:tc>
        <w:tc>
          <w:tcPr>
            <w:tcW w:w="3361" w:type="dxa"/>
            <w:noWrap w:val="0"/>
            <w:vAlign w:val="center"/>
          </w:tcPr>
          <w:p>
            <w:pPr>
              <w:pStyle w:val="7"/>
              <w:spacing w:line="340" w:lineRule="exact"/>
              <w:ind w:firstLine="0"/>
              <w:jc w:val="center"/>
            </w:pPr>
            <w:r>
              <w:rPr>
                <w:rFonts w:hint="eastAsia"/>
              </w:rPr>
              <w:t>运营商号（宁波数字电视公司）</w:t>
            </w:r>
          </w:p>
        </w:tc>
        <w:tc>
          <w:tcPr>
            <w:tcW w:w="3546" w:type="dxa"/>
            <w:noWrap w:val="0"/>
            <w:vAlign w:val="top"/>
          </w:tcPr>
          <w:p>
            <w:pPr>
              <w:pStyle w:val="7"/>
              <w:spacing w:line="340" w:lineRule="exact"/>
            </w:pPr>
            <w:r>
              <w:rPr>
                <w:rFonts w:hint="eastAsia"/>
              </w:rPr>
              <w:t>固定为</w:t>
            </w:r>
            <w:r>
              <w:t>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5" w:type="dxa"/>
            <w:noWrap w:val="0"/>
            <w:vAlign w:val="center"/>
          </w:tcPr>
          <w:p>
            <w:pPr>
              <w:pStyle w:val="7"/>
              <w:spacing w:line="340" w:lineRule="exact"/>
              <w:jc w:val="center"/>
            </w:pPr>
            <w:r>
              <w:t>4~6</w:t>
            </w:r>
          </w:p>
        </w:tc>
        <w:tc>
          <w:tcPr>
            <w:tcW w:w="3361" w:type="dxa"/>
            <w:noWrap w:val="0"/>
            <w:vAlign w:val="center"/>
          </w:tcPr>
          <w:p>
            <w:pPr>
              <w:pStyle w:val="7"/>
              <w:spacing w:line="340" w:lineRule="exact"/>
              <w:jc w:val="center"/>
            </w:pPr>
            <w:r>
              <w:rPr>
                <w:rFonts w:hint="eastAsia"/>
              </w:rPr>
              <w:t>区域编号</w:t>
            </w:r>
          </w:p>
        </w:tc>
        <w:tc>
          <w:tcPr>
            <w:tcW w:w="3546" w:type="dxa"/>
            <w:noWrap w:val="0"/>
            <w:vAlign w:val="top"/>
          </w:tcPr>
          <w:p>
            <w:pPr>
              <w:pStyle w:val="7"/>
              <w:spacing w:line="340" w:lineRule="exact"/>
            </w:pPr>
            <w:r>
              <w:t>100</w:t>
            </w:r>
            <w:r>
              <w:rPr>
                <w:rFonts w:hint="eastAsia"/>
              </w:rPr>
              <w:t>：宁波市区</w:t>
            </w:r>
          </w:p>
          <w:p>
            <w:pPr>
              <w:pStyle w:val="7"/>
              <w:spacing w:line="340" w:lineRule="exact"/>
            </w:pPr>
            <w:r>
              <w:t>110</w:t>
            </w:r>
            <w:r>
              <w:rPr>
                <w:rFonts w:hint="eastAsia"/>
              </w:rPr>
              <w:t>：鄞县</w:t>
            </w:r>
          </w:p>
          <w:p>
            <w:pPr>
              <w:pStyle w:val="7"/>
              <w:spacing w:line="340" w:lineRule="exact"/>
            </w:pPr>
            <w:r>
              <w:t>120</w:t>
            </w:r>
            <w:r>
              <w:rPr>
                <w:rFonts w:hint="eastAsia"/>
              </w:rPr>
              <w:t>：镇海</w:t>
            </w:r>
          </w:p>
          <w:p>
            <w:pPr>
              <w:pStyle w:val="7"/>
              <w:spacing w:line="340" w:lineRule="exact"/>
            </w:pPr>
            <w:r>
              <w:t>130</w:t>
            </w:r>
            <w:r>
              <w:rPr>
                <w:rFonts w:hint="eastAsia"/>
              </w:rPr>
              <w:t>：北仑</w:t>
            </w:r>
          </w:p>
          <w:p>
            <w:pPr>
              <w:pStyle w:val="7"/>
              <w:spacing w:line="340" w:lineRule="exact"/>
            </w:pPr>
            <w:r>
              <w:t>140</w:t>
            </w:r>
            <w:r>
              <w:rPr>
                <w:rFonts w:hint="eastAsia"/>
              </w:rPr>
              <w:t>：奉化</w:t>
            </w:r>
          </w:p>
          <w:p>
            <w:pPr>
              <w:pStyle w:val="7"/>
              <w:spacing w:line="340" w:lineRule="exact"/>
            </w:pPr>
            <w:r>
              <w:t>150</w:t>
            </w:r>
            <w:r>
              <w:rPr>
                <w:rFonts w:hint="eastAsia"/>
              </w:rPr>
              <w:t>：宁海</w:t>
            </w:r>
          </w:p>
          <w:p>
            <w:pPr>
              <w:pStyle w:val="7"/>
              <w:spacing w:line="340" w:lineRule="exact"/>
            </w:pPr>
            <w:r>
              <w:t>160</w:t>
            </w:r>
            <w:r>
              <w:rPr>
                <w:rFonts w:hint="eastAsia"/>
              </w:rPr>
              <w:t>：象山</w:t>
            </w:r>
          </w:p>
          <w:p>
            <w:pPr>
              <w:pStyle w:val="7"/>
              <w:spacing w:line="340" w:lineRule="exact"/>
            </w:pPr>
            <w:r>
              <w:t>170</w:t>
            </w:r>
            <w:r>
              <w:rPr>
                <w:rFonts w:hint="eastAsia"/>
              </w:rPr>
              <w:t>：余姚</w:t>
            </w:r>
          </w:p>
          <w:p>
            <w:pPr>
              <w:pStyle w:val="7"/>
              <w:spacing w:line="340" w:lineRule="exact"/>
            </w:pPr>
            <w:r>
              <w:t>180</w:t>
            </w:r>
            <w:r>
              <w:rPr>
                <w:rFonts w:hint="eastAsia"/>
              </w:rPr>
              <w:t>：慈溪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5" w:type="dxa"/>
            <w:noWrap w:val="0"/>
            <w:vAlign w:val="center"/>
          </w:tcPr>
          <w:p>
            <w:pPr>
              <w:pStyle w:val="7"/>
              <w:spacing w:line="340" w:lineRule="exact"/>
              <w:jc w:val="center"/>
            </w:pPr>
            <w:r>
              <w:t>7~8</w:t>
            </w:r>
          </w:p>
        </w:tc>
        <w:tc>
          <w:tcPr>
            <w:tcW w:w="3361" w:type="dxa"/>
            <w:noWrap w:val="0"/>
            <w:vAlign w:val="center"/>
          </w:tcPr>
          <w:p>
            <w:pPr>
              <w:pStyle w:val="7"/>
              <w:spacing w:line="340" w:lineRule="exact"/>
              <w:jc w:val="center"/>
            </w:pPr>
            <w:r>
              <w:rPr>
                <w:rFonts w:hint="eastAsia"/>
              </w:rPr>
              <w:t>机顶盒厂商号</w:t>
            </w:r>
          </w:p>
        </w:tc>
        <w:tc>
          <w:tcPr>
            <w:tcW w:w="3546" w:type="dxa"/>
            <w:noWrap w:val="0"/>
            <w:vAlign w:val="top"/>
          </w:tcPr>
          <w:p>
            <w:pPr>
              <w:pStyle w:val="7"/>
              <w:spacing w:line="340" w:lineRule="exact"/>
              <w:rPr>
                <w:rFonts w:ascii="宋体" w:hAnsi="宋体"/>
                <w:szCs w:val="21"/>
              </w:rPr>
            </w:pPr>
            <w:r>
              <w:rPr>
                <w:rFonts w:ascii="宋体" w:hAnsi="宋体"/>
                <w:szCs w:val="21"/>
              </w:rPr>
              <w:t>01</w:t>
            </w:r>
            <w:r>
              <w:rPr>
                <w:rFonts w:hint="eastAsia" w:ascii="宋体" w:hAnsi="宋体"/>
                <w:szCs w:val="21"/>
              </w:rPr>
              <w:t>：华为</w:t>
            </w:r>
          </w:p>
          <w:p>
            <w:pPr>
              <w:pStyle w:val="7"/>
              <w:spacing w:line="340" w:lineRule="exact"/>
              <w:rPr>
                <w:rFonts w:ascii="宋体" w:hAnsi="宋体"/>
                <w:szCs w:val="21"/>
              </w:rPr>
            </w:pPr>
            <w:r>
              <w:rPr>
                <w:rFonts w:ascii="宋体" w:hAnsi="宋体"/>
                <w:szCs w:val="21"/>
              </w:rPr>
              <w:t>02</w:t>
            </w:r>
            <w:r>
              <w:rPr>
                <w:rFonts w:hint="eastAsia" w:ascii="宋体" w:hAnsi="宋体"/>
                <w:szCs w:val="21"/>
              </w:rPr>
              <w:t>：创维</w:t>
            </w:r>
          </w:p>
          <w:p>
            <w:pPr>
              <w:pStyle w:val="7"/>
              <w:spacing w:line="340" w:lineRule="exact"/>
              <w:rPr>
                <w:rFonts w:ascii="宋体" w:hAnsi="宋体"/>
                <w:szCs w:val="21"/>
              </w:rPr>
            </w:pPr>
            <w:r>
              <w:rPr>
                <w:rFonts w:ascii="宋体" w:hAnsi="宋体"/>
                <w:szCs w:val="21"/>
              </w:rPr>
              <w:t>03</w:t>
            </w:r>
            <w:r>
              <w:rPr>
                <w:rFonts w:hint="eastAsia" w:ascii="宋体" w:hAnsi="宋体"/>
                <w:szCs w:val="21"/>
              </w:rPr>
              <w:t>：海信</w:t>
            </w:r>
          </w:p>
          <w:p>
            <w:pPr>
              <w:pStyle w:val="7"/>
              <w:spacing w:line="340" w:lineRule="exact"/>
              <w:rPr>
                <w:rFonts w:ascii="宋体" w:hAnsi="宋体"/>
                <w:szCs w:val="21"/>
              </w:rPr>
            </w:pPr>
            <w:r>
              <w:rPr>
                <w:rFonts w:ascii="宋体" w:hAnsi="宋体"/>
                <w:szCs w:val="21"/>
              </w:rPr>
              <w:t>04</w:t>
            </w:r>
            <w:r>
              <w:rPr>
                <w:rFonts w:hint="eastAsia" w:ascii="宋体" w:hAnsi="宋体"/>
                <w:szCs w:val="21"/>
              </w:rPr>
              <w:t>：同洲</w:t>
            </w:r>
          </w:p>
          <w:p>
            <w:pPr>
              <w:pStyle w:val="7"/>
              <w:spacing w:line="340" w:lineRule="exact"/>
              <w:rPr>
                <w:rFonts w:ascii="宋体" w:hAnsi="宋体"/>
                <w:szCs w:val="21"/>
              </w:rPr>
            </w:pPr>
            <w:r>
              <w:rPr>
                <w:rFonts w:ascii="宋体" w:hAnsi="宋体"/>
                <w:szCs w:val="21"/>
              </w:rPr>
              <w:t>05</w:t>
            </w:r>
            <w:r>
              <w:rPr>
                <w:rFonts w:hint="eastAsia" w:ascii="宋体" w:hAnsi="宋体"/>
                <w:szCs w:val="21"/>
              </w:rPr>
              <w:t>：九州</w:t>
            </w:r>
          </w:p>
          <w:p>
            <w:pPr>
              <w:pStyle w:val="7"/>
              <w:spacing w:line="340" w:lineRule="exact"/>
              <w:rPr>
                <w:rFonts w:ascii="宋体" w:hAnsi="宋体"/>
                <w:szCs w:val="21"/>
              </w:rPr>
            </w:pPr>
            <w:r>
              <w:rPr>
                <w:rFonts w:ascii="宋体" w:hAnsi="宋体"/>
                <w:szCs w:val="21"/>
              </w:rPr>
              <w:t>06</w:t>
            </w:r>
            <w:r>
              <w:rPr>
                <w:rFonts w:hint="eastAsia" w:ascii="宋体" w:hAnsi="宋体"/>
                <w:szCs w:val="21"/>
              </w:rPr>
              <w:t>：大华</w:t>
            </w:r>
          </w:p>
          <w:p>
            <w:pPr>
              <w:pStyle w:val="7"/>
              <w:spacing w:line="340" w:lineRule="exact"/>
              <w:rPr>
                <w:rFonts w:ascii="宋体" w:hAnsi="宋体"/>
                <w:szCs w:val="21"/>
              </w:rPr>
            </w:pPr>
            <w:r>
              <w:rPr>
                <w:rFonts w:ascii="宋体" w:hAnsi="宋体"/>
                <w:szCs w:val="21"/>
              </w:rPr>
              <w:t>07</w:t>
            </w:r>
            <w:r>
              <w:rPr>
                <w:rFonts w:hint="eastAsia" w:ascii="宋体" w:hAnsi="宋体"/>
                <w:szCs w:val="21"/>
              </w:rPr>
              <w:t>：金网通</w:t>
            </w:r>
          </w:p>
          <w:p>
            <w:pPr>
              <w:pStyle w:val="7"/>
              <w:spacing w:line="340" w:lineRule="exact"/>
              <w:rPr>
                <w:rFonts w:hint="eastAsia" w:ascii="宋体" w:hAnsi="宋体"/>
                <w:szCs w:val="21"/>
              </w:rPr>
            </w:pPr>
            <w:r>
              <w:rPr>
                <w:rFonts w:ascii="宋体" w:hAnsi="宋体"/>
                <w:szCs w:val="21"/>
              </w:rPr>
              <w:t>08</w:t>
            </w:r>
            <w:r>
              <w:rPr>
                <w:rFonts w:hint="eastAsia" w:ascii="宋体" w:hAnsi="宋体"/>
                <w:szCs w:val="21"/>
              </w:rPr>
              <w:t>：东方广视</w:t>
            </w:r>
          </w:p>
          <w:p>
            <w:pPr>
              <w:pStyle w:val="7"/>
              <w:spacing w:line="340" w:lineRule="exact"/>
              <w:rPr>
                <w:rFonts w:hint="eastAsia" w:ascii="宋体" w:hAnsi="宋体"/>
                <w:szCs w:val="21"/>
              </w:rPr>
            </w:pPr>
            <w:r>
              <w:rPr>
                <w:rFonts w:ascii="宋体" w:hAnsi="宋体"/>
                <w:szCs w:val="21"/>
              </w:rPr>
              <w:t>0</w:t>
            </w:r>
            <w:r>
              <w:rPr>
                <w:rFonts w:hint="eastAsia" w:ascii="宋体" w:hAnsi="宋体"/>
                <w:szCs w:val="21"/>
              </w:rPr>
              <w:t>9：九联</w:t>
            </w:r>
          </w:p>
          <w:p>
            <w:pPr>
              <w:pStyle w:val="7"/>
              <w:spacing w:line="340" w:lineRule="exact"/>
            </w:pPr>
            <w:r>
              <w:rPr>
                <w:rFonts w:hint="eastAsia" w:ascii="宋体" w:hAnsi="宋体"/>
                <w:szCs w:val="21"/>
              </w:rPr>
              <w:t>10：飞跃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5" w:type="dxa"/>
            <w:noWrap w:val="0"/>
            <w:vAlign w:val="center"/>
          </w:tcPr>
          <w:p>
            <w:pPr>
              <w:pStyle w:val="7"/>
              <w:spacing w:line="340" w:lineRule="exact"/>
              <w:jc w:val="center"/>
            </w:pPr>
            <w:r>
              <w:t>9~10</w:t>
            </w:r>
          </w:p>
        </w:tc>
        <w:tc>
          <w:tcPr>
            <w:tcW w:w="3361" w:type="dxa"/>
            <w:noWrap w:val="0"/>
            <w:vAlign w:val="center"/>
          </w:tcPr>
          <w:p>
            <w:pPr>
              <w:pStyle w:val="7"/>
              <w:spacing w:line="340" w:lineRule="exact"/>
              <w:jc w:val="center"/>
            </w:pPr>
            <w:r>
              <w:rPr>
                <w:rFonts w:hint="eastAsia" w:ascii="宋体" w:hAnsi="宋体"/>
              </w:rPr>
              <w:t>终端类型</w:t>
            </w:r>
          </w:p>
        </w:tc>
        <w:tc>
          <w:tcPr>
            <w:tcW w:w="3546" w:type="dxa"/>
            <w:noWrap w:val="0"/>
            <w:vAlign w:val="top"/>
          </w:tcPr>
          <w:p>
            <w:pPr>
              <w:spacing w:line="340" w:lineRule="exact"/>
            </w:pPr>
            <w:r>
              <w:rPr>
                <w:rFonts w:hint="eastAsia"/>
              </w:rPr>
              <w:t>“</w:t>
            </w:r>
            <w:r>
              <w:t>01</w:t>
            </w:r>
            <w:r>
              <w:rPr>
                <w:rFonts w:hint="eastAsia"/>
              </w:rPr>
              <w:t>”表示标清基本型机顶盒</w:t>
            </w:r>
          </w:p>
          <w:p>
            <w:pPr>
              <w:spacing w:line="340" w:lineRule="exact"/>
            </w:pPr>
            <w:r>
              <w:rPr>
                <w:rFonts w:hint="eastAsia"/>
              </w:rPr>
              <w:t>“</w:t>
            </w:r>
            <w:r>
              <w:t>02</w:t>
            </w:r>
            <w:r>
              <w:rPr>
                <w:rFonts w:hint="eastAsia"/>
              </w:rPr>
              <w:t>”表示基本交互型机顶盒</w:t>
            </w:r>
          </w:p>
          <w:p>
            <w:pPr>
              <w:spacing w:line="340" w:lineRule="exact"/>
            </w:pPr>
            <w:r>
              <w:rPr>
                <w:rFonts w:hint="eastAsia"/>
              </w:rPr>
              <w:t>“</w:t>
            </w:r>
            <w:r>
              <w:t>03</w:t>
            </w:r>
            <w:r>
              <w:rPr>
                <w:rFonts w:hint="eastAsia"/>
              </w:rPr>
              <w:t>”表示标清增强交互型机顶盒</w:t>
            </w:r>
          </w:p>
          <w:p>
            <w:pPr>
              <w:spacing w:line="340" w:lineRule="exact"/>
            </w:pPr>
            <w:r>
              <w:rPr>
                <w:rFonts w:hint="eastAsia"/>
              </w:rPr>
              <w:t>“</w:t>
            </w:r>
            <w:r>
              <w:t>04</w:t>
            </w:r>
            <w:r>
              <w:rPr>
                <w:rFonts w:hint="eastAsia"/>
              </w:rPr>
              <w:t>”表示高清基本型机顶盒</w:t>
            </w:r>
          </w:p>
          <w:p>
            <w:pPr>
              <w:spacing w:line="340" w:lineRule="exact"/>
            </w:pPr>
            <w:r>
              <w:rPr>
                <w:rFonts w:hint="eastAsia"/>
              </w:rPr>
              <w:t>“</w:t>
            </w:r>
            <w:r>
              <w:t>05</w:t>
            </w:r>
            <w:r>
              <w:rPr>
                <w:rFonts w:hint="eastAsia"/>
              </w:rPr>
              <w:t>”表示高清增强交互机顶盒</w:t>
            </w:r>
          </w:p>
          <w:p>
            <w:pPr>
              <w:spacing w:line="340" w:lineRule="exact"/>
            </w:pPr>
            <w:r>
              <w:rPr>
                <w:rFonts w:hint="eastAsia"/>
              </w:rPr>
              <w:t>“</w:t>
            </w:r>
            <w:r>
              <w:t>06</w:t>
            </w:r>
            <w:r>
              <w:rPr>
                <w:rFonts w:hint="eastAsia"/>
              </w:rPr>
              <w:t>”表示机卡分离机顶盒</w:t>
            </w:r>
          </w:p>
          <w:p>
            <w:pPr>
              <w:spacing w:line="340" w:lineRule="exact"/>
            </w:pPr>
            <w:r>
              <w:rPr>
                <w:rFonts w:hint="eastAsia"/>
              </w:rPr>
              <w:t>“</w:t>
            </w:r>
            <w:r>
              <w:t>07</w:t>
            </w:r>
            <w:r>
              <w:rPr>
                <w:rFonts w:hint="eastAsia"/>
              </w:rPr>
              <w:t>”表示壁挂基本型机顶盒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5" w:type="dxa"/>
            <w:noWrap w:val="0"/>
            <w:vAlign w:val="center"/>
          </w:tcPr>
          <w:p>
            <w:pPr>
              <w:pStyle w:val="7"/>
              <w:spacing w:line="340" w:lineRule="exact"/>
              <w:jc w:val="center"/>
            </w:pPr>
            <w:r>
              <w:t>11~12</w:t>
            </w:r>
          </w:p>
        </w:tc>
        <w:tc>
          <w:tcPr>
            <w:tcW w:w="3361" w:type="dxa"/>
            <w:noWrap w:val="0"/>
            <w:vAlign w:val="center"/>
          </w:tcPr>
          <w:p>
            <w:pPr>
              <w:pStyle w:val="7"/>
              <w:spacing w:line="340" w:lineRule="exact"/>
              <w:jc w:val="center"/>
            </w:pPr>
            <w:r>
              <w:rPr>
                <w:rFonts w:hint="eastAsia"/>
              </w:rPr>
              <w:t>生产年号</w:t>
            </w:r>
          </w:p>
        </w:tc>
        <w:tc>
          <w:tcPr>
            <w:tcW w:w="3546" w:type="dxa"/>
            <w:noWrap w:val="0"/>
            <w:vAlign w:val="top"/>
          </w:tcPr>
          <w:p>
            <w:pPr>
              <w:pStyle w:val="7"/>
              <w:spacing w:line="340" w:lineRule="exact"/>
            </w:pPr>
            <w:r>
              <w:t>06: 2006</w:t>
            </w:r>
            <w:r>
              <w:rPr>
                <w:rFonts w:hint="eastAsi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5" w:type="dxa"/>
            <w:noWrap w:val="0"/>
            <w:vAlign w:val="center"/>
          </w:tcPr>
          <w:p>
            <w:pPr>
              <w:pStyle w:val="7"/>
              <w:spacing w:line="340" w:lineRule="exact"/>
              <w:jc w:val="center"/>
            </w:pPr>
            <w:r>
              <w:t>13~14</w:t>
            </w:r>
          </w:p>
        </w:tc>
        <w:tc>
          <w:tcPr>
            <w:tcW w:w="3361" w:type="dxa"/>
            <w:noWrap w:val="0"/>
            <w:vAlign w:val="center"/>
          </w:tcPr>
          <w:p>
            <w:pPr>
              <w:pStyle w:val="7"/>
              <w:spacing w:line="340" w:lineRule="exact"/>
              <w:jc w:val="center"/>
            </w:pPr>
            <w:r>
              <w:rPr>
                <w:rFonts w:hint="eastAsia"/>
              </w:rPr>
              <w:t>生产月号</w:t>
            </w:r>
          </w:p>
        </w:tc>
        <w:tc>
          <w:tcPr>
            <w:tcW w:w="3546" w:type="dxa"/>
            <w:noWrap w:val="0"/>
            <w:vAlign w:val="top"/>
          </w:tcPr>
          <w:p>
            <w:pPr>
              <w:pStyle w:val="7"/>
              <w:spacing w:line="340" w:lineRule="exact"/>
            </w:pPr>
            <w:r>
              <w:t xml:space="preserve">07: </w:t>
            </w:r>
            <w:r>
              <w:rPr>
                <w:rFonts w:hint="eastAsia"/>
              </w:rPr>
              <w:t>七月份生产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5" w:type="dxa"/>
            <w:noWrap w:val="0"/>
            <w:vAlign w:val="center"/>
          </w:tcPr>
          <w:p>
            <w:pPr>
              <w:pStyle w:val="7"/>
              <w:spacing w:line="340" w:lineRule="exact"/>
              <w:jc w:val="center"/>
            </w:pPr>
            <w:r>
              <w:t>15~26</w:t>
            </w:r>
          </w:p>
        </w:tc>
        <w:tc>
          <w:tcPr>
            <w:tcW w:w="3361" w:type="dxa"/>
            <w:noWrap w:val="0"/>
            <w:vAlign w:val="center"/>
          </w:tcPr>
          <w:p>
            <w:pPr>
              <w:pStyle w:val="7"/>
              <w:spacing w:line="340" w:lineRule="exact"/>
              <w:ind w:firstLine="71" w:firstLineChars="34"/>
              <w:jc w:val="center"/>
            </w:pPr>
            <w:r>
              <w:rPr>
                <w:rFonts w:hint="eastAsia"/>
              </w:rPr>
              <w:t>机顶盒</w:t>
            </w:r>
            <w:r>
              <w:t>MAC</w:t>
            </w:r>
            <w:r>
              <w:rPr>
                <w:rFonts w:hint="eastAsia"/>
              </w:rPr>
              <w:t>地址（或序列号）</w:t>
            </w:r>
          </w:p>
        </w:tc>
        <w:tc>
          <w:tcPr>
            <w:tcW w:w="3546" w:type="dxa"/>
            <w:noWrap w:val="0"/>
            <w:vAlign w:val="top"/>
          </w:tcPr>
          <w:p>
            <w:pPr>
              <w:pStyle w:val="7"/>
              <w:spacing w:line="340" w:lineRule="exact"/>
            </w:pPr>
            <w:r>
              <w:t>00085B6473A8</w:t>
            </w:r>
          </w:p>
        </w:tc>
      </w:tr>
    </w:tbl>
    <w:p>
      <w:pPr>
        <w:spacing w:line="340" w:lineRule="exact"/>
        <w:rPr>
          <w:rFonts w:ascii="宋体"/>
          <w:sz w:val="24"/>
        </w:rPr>
      </w:pPr>
    </w:p>
    <w:p>
      <w:pPr>
        <w:pStyle w:val="82"/>
        <w:spacing w:line="340" w:lineRule="exact"/>
        <w:ind w:firstLine="0"/>
        <w:rPr>
          <w:rFonts w:ascii="宋体" w:hAnsi="宋体" w:eastAsia="宋体"/>
          <w:sz w:val="24"/>
        </w:rPr>
      </w:pPr>
      <w:r>
        <w:rPr>
          <w:rFonts w:ascii="宋体" w:hAnsi="宋体" w:eastAsia="宋体"/>
          <w:sz w:val="24"/>
        </w:rPr>
        <w:t xml:space="preserve">  3.STBID</w:t>
      </w:r>
      <w:r>
        <w:rPr>
          <w:rFonts w:hint="eastAsia" w:ascii="宋体" w:hAnsi="宋体" w:eastAsia="宋体"/>
          <w:sz w:val="24"/>
        </w:rPr>
        <w:t>对机顶盒软件的要求</w:t>
      </w:r>
    </w:p>
    <w:p>
      <w:pPr>
        <w:spacing w:line="340" w:lineRule="exact"/>
        <w:ind w:left="420" w:leftChars="200"/>
        <w:rPr>
          <w:rFonts w:ascii="宋体"/>
          <w:sz w:val="24"/>
        </w:rPr>
      </w:pPr>
      <w:r>
        <w:rPr>
          <w:rFonts w:ascii="宋体" w:hAnsi="宋体"/>
          <w:sz w:val="24"/>
        </w:rPr>
        <w:t>STBID</w:t>
      </w:r>
      <w:r>
        <w:rPr>
          <w:rFonts w:hint="eastAsia" w:ascii="宋体" w:hAnsi="宋体"/>
          <w:sz w:val="24"/>
        </w:rPr>
        <w:t>必须烧录在机顶盒的</w:t>
      </w:r>
      <w:r>
        <w:rPr>
          <w:rFonts w:ascii="宋体" w:hAnsi="宋体"/>
          <w:sz w:val="24"/>
        </w:rPr>
        <w:t>Flash</w:t>
      </w:r>
      <w:r>
        <w:rPr>
          <w:rFonts w:hint="eastAsia" w:ascii="宋体" w:hAnsi="宋体"/>
          <w:sz w:val="24"/>
        </w:rPr>
        <w:t>或</w:t>
      </w:r>
      <w:r>
        <w:rPr>
          <w:rFonts w:ascii="宋体" w:hAnsi="宋体"/>
          <w:sz w:val="24"/>
        </w:rPr>
        <w:t>EEPROM</w:t>
      </w:r>
      <w:r>
        <w:rPr>
          <w:rFonts w:hint="eastAsia" w:ascii="宋体" w:hAnsi="宋体"/>
          <w:sz w:val="24"/>
        </w:rPr>
        <w:t>中，机顶盒软件参数中应包含</w:t>
      </w:r>
      <w:r>
        <w:rPr>
          <w:rFonts w:ascii="宋体" w:hAnsi="宋体"/>
          <w:sz w:val="24"/>
        </w:rPr>
        <w:t>STBID</w:t>
      </w:r>
      <w:r>
        <w:rPr>
          <w:rFonts w:hint="eastAsia" w:ascii="宋体" w:hAnsi="宋体"/>
          <w:sz w:val="24"/>
        </w:rPr>
        <w:t>所有信息，并确保与外包装条码内容完全一致，系统软件必须提供可供中间件及其它运行软件获得</w:t>
      </w:r>
      <w:r>
        <w:rPr>
          <w:rFonts w:ascii="宋体" w:hAnsi="宋体"/>
          <w:sz w:val="24"/>
        </w:rPr>
        <w:t>STBID</w:t>
      </w:r>
      <w:r>
        <w:rPr>
          <w:rFonts w:hint="eastAsia" w:ascii="宋体" w:hAnsi="宋体"/>
          <w:sz w:val="24"/>
        </w:rPr>
        <w:t>号的程序接口。</w:t>
      </w:r>
    </w:p>
    <w:p>
      <w:pPr>
        <w:spacing w:line="340" w:lineRule="exact"/>
        <w:rPr>
          <w:rFonts w:ascii="新宋体" w:hAnsi="新宋体" w:eastAsia="新宋体"/>
          <w:b/>
          <w:sz w:val="28"/>
          <w:szCs w:val="28"/>
        </w:rPr>
      </w:pPr>
    </w:p>
    <w:p>
      <w:pPr>
        <w:spacing w:line="340" w:lineRule="exact"/>
        <w:rPr>
          <w:rFonts w:ascii="新宋体" w:hAnsi="新宋体" w:eastAsia="新宋体"/>
          <w:sz w:val="24"/>
        </w:rPr>
      </w:pPr>
      <w:r>
        <w:rPr>
          <w:rFonts w:ascii="新宋体" w:hAnsi="新宋体" w:eastAsia="新宋体"/>
          <w:b/>
          <w:sz w:val="28"/>
          <w:szCs w:val="28"/>
        </w:rPr>
        <w:t>4.</w:t>
      </w:r>
      <w:r>
        <w:rPr>
          <w:rFonts w:hint="eastAsia" w:ascii="新宋体" w:hAnsi="新宋体" w:eastAsia="新宋体"/>
          <w:b/>
          <w:sz w:val="28"/>
          <w:szCs w:val="28"/>
        </w:rPr>
        <w:t>宁海</w:t>
      </w:r>
      <w:r>
        <w:rPr>
          <w:rFonts w:ascii="新宋体" w:hAnsi="新宋体" w:eastAsia="新宋体"/>
          <w:b/>
          <w:sz w:val="28"/>
          <w:szCs w:val="28"/>
        </w:rPr>
        <w:t>DHCP OPTION</w:t>
      </w:r>
      <w:r>
        <w:rPr>
          <w:rFonts w:hint="eastAsia" w:ascii="新宋体" w:hAnsi="新宋体" w:eastAsia="新宋体"/>
          <w:b/>
          <w:sz w:val="28"/>
          <w:szCs w:val="28"/>
        </w:rPr>
        <w:t>地址规范</w:t>
      </w:r>
    </w:p>
    <w:p>
      <w:pPr>
        <w:autoSpaceDN w:val="0"/>
        <w:spacing w:line="340" w:lineRule="exact"/>
        <w:rPr>
          <w:rFonts w:ascii="新宋体" w:hAnsi="新宋体" w:eastAsia="新宋体"/>
          <w:sz w:val="21"/>
          <w:szCs w:val="21"/>
        </w:rPr>
      </w:pPr>
      <w:r>
        <w:rPr>
          <w:rFonts w:ascii="新宋体" w:hAnsi="新宋体" w:eastAsia="新宋体"/>
          <w:sz w:val="24"/>
        </w:rPr>
        <w:t xml:space="preserve">   </w:t>
      </w:r>
      <w:r>
        <w:rPr>
          <w:rFonts w:hint="eastAsia" w:ascii="新宋体" w:hAnsi="新宋体" w:eastAsia="新宋体"/>
          <w:sz w:val="21"/>
          <w:szCs w:val="21"/>
        </w:rPr>
        <w:t>华数</w:t>
      </w:r>
      <w:r>
        <w:rPr>
          <w:rFonts w:ascii="新宋体" w:hAnsi="新宋体" w:eastAsia="新宋体"/>
          <w:sz w:val="21"/>
          <w:szCs w:val="21"/>
        </w:rPr>
        <w:t>TV2.0</w:t>
      </w:r>
      <w:r>
        <w:rPr>
          <w:rFonts w:hint="eastAsia" w:ascii="新宋体" w:hAnsi="新宋体" w:eastAsia="新宋体"/>
          <w:sz w:val="21"/>
          <w:szCs w:val="21"/>
        </w:rPr>
        <w:t>遵循《华数</w:t>
      </w:r>
      <w:r>
        <w:rPr>
          <w:rFonts w:ascii="新宋体" w:hAnsi="新宋体" w:eastAsia="新宋体"/>
          <w:sz w:val="21"/>
          <w:szCs w:val="21"/>
        </w:rPr>
        <w:t>TV2.0</w:t>
      </w:r>
      <w:r>
        <w:rPr>
          <w:rFonts w:hint="eastAsia" w:ascii="新宋体" w:hAnsi="新宋体" w:eastAsia="新宋体"/>
          <w:sz w:val="21"/>
          <w:szCs w:val="21"/>
        </w:rPr>
        <w:t>机顶盒接入规范》</w:t>
      </w:r>
      <w:r>
        <w:rPr>
          <w:rFonts w:ascii="新宋体" w:hAnsi="新宋体" w:eastAsia="新宋体"/>
          <w:sz w:val="21"/>
          <w:szCs w:val="21"/>
        </w:rPr>
        <w:t>DHCP OPTION 60</w:t>
      </w:r>
      <w:r>
        <w:rPr>
          <w:rFonts w:hint="eastAsia" w:ascii="新宋体" w:hAnsi="新宋体" w:eastAsia="新宋体"/>
          <w:sz w:val="21"/>
          <w:szCs w:val="21"/>
        </w:rPr>
        <w:t>规范，</w:t>
      </w:r>
      <w:r>
        <w:rPr>
          <w:rFonts w:ascii="新宋体" w:hAnsi="新宋体" w:eastAsia="新宋体"/>
          <w:sz w:val="21"/>
          <w:szCs w:val="21"/>
        </w:rPr>
        <w:t>OPTION</w:t>
      </w:r>
      <w:r>
        <w:rPr>
          <w:rFonts w:hint="eastAsia" w:ascii="新宋体" w:hAnsi="新宋体" w:eastAsia="新宋体"/>
          <w:sz w:val="21"/>
          <w:szCs w:val="21"/>
        </w:rPr>
        <w:t>取值：</w:t>
      </w:r>
      <w:r>
        <w:rPr>
          <w:rFonts w:ascii="新宋体" w:hAnsi="新宋体" w:eastAsia="新宋体"/>
          <w:sz w:val="21"/>
          <w:szCs w:val="21"/>
        </w:rPr>
        <w:t>HZCNCSTBV1</w:t>
      </w:r>
    </w:p>
    <w:p>
      <w:pPr>
        <w:autoSpaceDN w:val="0"/>
        <w:spacing w:line="340" w:lineRule="exact"/>
        <w:rPr>
          <w:rFonts w:ascii="新宋体" w:hAnsi="新宋体" w:eastAsia="新宋体"/>
          <w:sz w:val="21"/>
          <w:szCs w:val="21"/>
        </w:rPr>
      </w:pPr>
      <w:r>
        <w:rPr>
          <w:rFonts w:hint="eastAsia" w:ascii="新宋体" w:hAnsi="新宋体" w:eastAsia="新宋体"/>
          <w:sz w:val="21"/>
          <w:szCs w:val="21"/>
        </w:rPr>
        <w:t>机顶盒支持</w:t>
      </w:r>
      <w:r>
        <w:rPr>
          <w:rFonts w:ascii="新宋体" w:hAnsi="新宋体" w:eastAsia="新宋体"/>
          <w:sz w:val="21"/>
          <w:szCs w:val="21"/>
        </w:rPr>
        <w:t xml:space="preserve">DHCP </w:t>
      </w:r>
      <w:r>
        <w:rPr>
          <w:rFonts w:hint="eastAsia" w:ascii="新宋体" w:hAnsi="新宋体" w:eastAsia="新宋体"/>
          <w:sz w:val="21"/>
          <w:szCs w:val="21"/>
        </w:rPr>
        <w:t>扩展</w:t>
      </w:r>
      <w:r>
        <w:rPr>
          <w:rFonts w:ascii="新宋体" w:hAnsi="新宋体" w:eastAsia="新宋体"/>
          <w:sz w:val="21"/>
          <w:szCs w:val="21"/>
        </w:rPr>
        <w:t xml:space="preserve"> </w:t>
      </w:r>
      <w:r>
        <w:rPr>
          <w:rFonts w:hint="eastAsia" w:ascii="新宋体" w:hAnsi="新宋体" w:eastAsia="新宋体"/>
          <w:sz w:val="21"/>
          <w:szCs w:val="21"/>
        </w:rPr>
        <w:t>（</w:t>
      </w:r>
      <w:r>
        <w:rPr>
          <w:rFonts w:ascii="新宋体" w:hAnsi="新宋体" w:eastAsia="新宋体"/>
          <w:sz w:val="21"/>
          <w:szCs w:val="21"/>
        </w:rPr>
        <w:t xml:space="preserve">option 60 </w:t>
      </w:r>
      <w:r>
        <w:rPr>
          <w:rFonts w:hint="eastAsia" w:ascii="新宋体" w:hAnsi="新宋体" w:eastAsia="新宋体"/>
          <w:sz w:val="21"/>
          <w:szCs w:val="21"/>
        </w:rPr>
        <w:t>、</w:t>
      </w:r>
      <w:r>
        <w:rPr>
          <w:rFonts w:ascii="新宋体" w:hAnsi="新宋体" w:eastAsia="新宋体"/>
          <w:sz w:val="21"/>
          <w:szCs w:val="21"/>
        </w:rPr>
        <w:t>option 82</w:t>
      </w:r>
      <w:r>
        <w:rPr>
          <w:rFonts w:hint="eastAsia" w:ascii="新宋体" w:hAnsi="新宋体" w:eastAsia="新宋体"/>
          <w:sz w:val="21"/>
          <w:szCs w:val="21"/>
        </w:rPr>
        <w:t>）</w:t>
      </w:r>
    </w:p>
    <w:p>
      <w:pPr>
        <w:autoSpaceDN w:val="0"/>
        <w:spacing w:line="340" w:lineRule="exact"/>
        <w:rPr>
          <w:rFonts w:ascii="新宋体" w:hAnsi="新宋体" w:eastAsia="新宋体"/>
          <w:sz w:val="21"/>
          <w:szCs w:val="21"/>
        </w:rPr>
      </w:pPr>
      <w:r>
        <w:rPr>
          <w:rFonts w:hint="eastAsia" w:ascii="新宋体" w:hAnsi="新宋体" w:eastAsia="新宋体"/>
          <w:sz w:val="21"/>
          <w:szCs w:val="21"/>
        </w:rPr>
        <w:t>规定机顶盒</w:t>
      </w:r>
      <w:r>
        <w:rPr>
          <w:rFonts w:ascii="新宋体" w:hAnsi="新宋体" w:eastAsia="新宋体"/>
          <w:sz w:val="21"/>
          <w:szCs w:val="21"/>
        </w:rPr>
        <w:t xml:space="preserve"> option </w:t>
      </w:r>
      <w:r>
        <w:rPr>
          <w:rFonts w:hint="eastAsia" w:ascii="新宋体" w:hAnsi="新宋体" w:eastAsia="新宋体"/>
          <w:sz w:val="21"/>
          <w:szCs w:val="21"/>
        </w:rPr>
        <w:t>扩展标记</w:t>
      </w:r>
    </w:p>
    <w:p>
      <w:pPr>
        <w:autoSpaceDN w:val="0"/>
        <w:spacing w:line="340" w:lineRule="exact"/>
        <w:rPr>
          <w:rFonts w:ascii="新宋体" w:hAnsi="新宋体" w:eastAsia="新宋体"/>
          <w:sz w:val="21"/>
          <w:szCs w:val="21"/>
        </w:rPr>
      </w:pPr>
      <w:r>
        <w:rPr>
          <w:rFonts w:hint="eastAsia" w:ascii="新宋体" w:hAnsi="新宋体" w:eastAsia="新宋体"/>
          <w:sz w:val="21"/>
          <w:szCs w:val="21"/>
        </w:rPr>
        <w:t>已经规定：</w:t>
      </w:r>
      <w:r>
        <w:rPr>
          <w:rFonts w:ascii="新宋体" w:hAnsi="新宋体" w:eastAsia="新宋体"/>
          <w:sz w:val="21"/>
          <w:szCs w:val="21"/>
        </w:rPr>
        <w:t xml:space="preserve">NBDTV00030 </w:t>
      </w:r>
      <w:r>
        <w:rPr>
          <w:rFonts w:hint="eastAsia" w:ascii="新宋体" w:hAnsi="新宋体" w:eastAsia="新宋体"/>
          <w:sz w:val="21"/>
          <w:szCs w:val="21"/>
        </w:rPr>
        <w:t>宁波小区版本</w:t>
      </w:r>
      <w:r>
        <w:rPr>
          <w:rFonts w:ascii="新宋体" w:hAnsi="新宋体" w:eastAsia="新宋体"/>
          <w:sz w:val="21"/>
          <w:szCs w:val="21"/>
        </w:rPr>
        <w:br w:type="textWrapping"/>
      </w:r>
      <w:r>
        <w:rPr>
          <w:rFonts w:ascii="新宋体" w:hAnsi="新宋体" w:eastAsia="新宋体"/>
          <w:sz w:val="21"/>
          <w:szCs w:val="21"/>
        </w:rPr>
        <w:t xml:space="preserve">          NBDTVHOTEL01 </w:t>
      </w:r>
      <w:r>
        <w:rPr>
          <w:rFonts w:hint="eastAsia" w:ascii="新宋体" w:hAnsi="新宋体" w:eastAsia="新宋体"/>
          <w:sz w:val="21"/>
          <w:szCs w:val="21"/>
        </w:rPr>
        <w:t>宁波宾馆版本</w:t>
      </w:r>
      <w:r>
        <w:rPr>
          <w:rFonts w:ascii="新宋体" w:hAnsi="新宋体" w:eastAsia="新宋体"/>
          <w:sz w:val="21"/>
          <w:szCs w:val="21"/>
        </w:rPr>
        <w:br w:type="textWrapping"/>
      </w:r>
      <w:r>
        <w:rPr>
          <w:rFonts w:ascii="新宋体" w:hAnsi="新宋体" w:eastAsia="新宋体"/>
          <w:sz w:val="21"/>
          <w:szCs w:val="21"/>
        </w:rPr>
        <w:t xml:space="preserve">          ZHDTV00015 </w:t>
      </w:r>
      <w:r>
        <w:rPr>
          <w:rFonts w:hint="eastAsia" w:ascii="新宋体" w:hAnsi="新宋体" w:eastAsia="新宋体"/>
          <w:sz w:val="21"/>
          <w:szCs w:val="21"/>
        </w:rPr>
        <w:t>镇海小区版本</w:t>
      </w:r>
    </w:p>
    <w:p>
      <w:pPr>
        <w:autoSpaceDN w:val="0"/>
        <w:spacing w:line="340" w:lineRule="exact"/>
        <w:rPr>
          <w:rFonts w:ascii="新宋体" w:hAnsi="新宋体" w:eastAsia="新宋体"/>
          <w:sz w:val="24"/>
        </w:rPr>
      </w:pPr>
      <w:r>
        <w:rPr>
          <w:rFonts w:hint="eastAsia" w:ascii="新宋体" w:hAnsi="新宋体" w:eastAsia="新宋体"/>
          <w:sz w:val="21"/>
          <w:szCs w:val="21"/>
        </w:rPr>
        <w:t>以后新扩展规定：</w:t>
      </w:r>
      <w:r>
        <w:rPr>
          <w:rFonts w:ascii="新宋体" w:hAnsi="新宋体" w:eastAsia="新宋体"/>
          <w:sz w:val="21"/>
          <w:szCs w:val="21"/>
        </w:rPr>
        <w:br w:type="textWrapping"/>
      </w:r>
      <w:r>
        <w:rPr>
          <w:rFonts w:ascii="新宋体" w:hAnsi="新宋体" w:eastAsia="新宋体"/>
          <w:sz w:val="21"/>
          <w:szCs w:val="21"/>
        </w:rPr>
        <w:t xml:space="preserve">      </w:t>
      </w:r>
      <w:r>
        <w:rPr>
          <w:rFonts w:hint="eastAsia" w:ascii="新宋体" w:hAnsi="新宋体" w:eastAsia="新宋体"/>
          <w:sz w:val="21"/>
          <w:szCs w:val="21"/>
        </w:rPr>
        <w:t>比如：</w:t>
      </w:r>
      <w:r>
        <w:rPr>
          <w:rFonts w:ascii="新宋体" w:hAnsi="新宋体" w:eastAsia="新宋体"/>
          <w:sz w:val="21"/>
          <w:szCs w:val="21"/>
        </w:rPr>
        <w:t>XSDTV00010 XSDTV</w:t>
      </w:r>
      <w:r>
        <w:rPr>
          <w:rFonts w:hint="eastAsia" w:ascii="新宋体" w:hAnsi="新宋体" w:eastAsia="新宋体"/>
          <w:sz w:val="21"/>
          <w:szCs w:val="21"/>
        </w:rPr>
        <w:t>（象山小区）</w:t>
      </w:r>
      <w:r>
        <w:rPr>
          <w:rFonts w:ascii="新宋体" w:hAnsi="新宋体" w:eastAsia="新宋体"/>
          <w:sz w:val="21"/>
          <w:szCs w:val="21"/>
        </w:rPr>
        <w:t>0010</w:t>
      </w:r>
      <w:r>
        <w:rPr>
          <w:rFonts w:hint="eastAsia" w:ascii="新宋体" w:hAnsi="新宋体" w:eastAsia="新宋体"/>
          <w:sz w:val="21"/>
          <w:szCs w:val="21"/>
        </w:rPr>
        <w:t>（可变、业务版本）</w:t>
      </w:r>
      <w:r>
        <w:rPr>
          <w:rFonts w:ascii="新宋体" w:hAnsi="新宋体" w:eastAsia="新宋体"/>
          <w:sz w:val="21"/>
          <w:szCs w:val="21"/>
        </w:rPr>
        <w:br w:type="textWrapping"/>
      </w:r>
      <w:r>
        <w:rPr>
          <w:rFonts w:ascii="新宋体" w:hAnsi="新宋体" w:eastAsia="新宋体"/>
          <w:sz w:val="21"/>
          <w:szCs w:val="21"/>
        </w:rPr>
        <w:t xml:space="preserve">            XSDTVHOTEL01 XSDTV</w:t>
      </w:r>
      <w:r>
        <w:rPr>
          <w:rFonts w:hint="eastAsia" w:ascii="新宋体" w:hAnsi="新宋体" w:eastAsia="新宋体"/>
          <w:sz w:val="21"/>
          <w:szCs w:val="21"/>
        </w:rPr>
        <w:t>（象山宾馆）</w:t>
      </w:r>
      <w:r>
        <w:rPr>
          <w:rFonts w:ascii="新宋体" w:hAnsi="新宋体" w:eastAsia="新宋体"/>
          <w:sz w:val="21"/>
          <w:szCs w:val="21"/>
        </w:rPr>
        <w:t>01</w:t>
      </w:r>
      <w:r>
        <w:rPr>
          <w:rFonts w:hint="eastAsia" w:ascii="新宋体" w:hAnsi="新宋体" w:eastAsia="新宋体"/>
          <w:sz w:val="21"/>
          <w:szCs w:val="21"/>
        </w:rPr>
        <w:t>（可变、业务版本）</w:t>
      </w:r>
    </w:p>
    <w:p>
      <w:pPr>
        <w:pStyle w:val="12"/>
        <w:snapToGrid w:val="0"/>
        <w:spacing w:beforeLines="0" w:afterLines="0" w:line="240" w:lineRule="auto"/>
        <w:jc w:val="center"/>
        <w:outlineLvl w:val="0"/>
        <w:rPr>
          <w:rFonts w:ascii="宋体"/>
          <w:sz w:val="24"/>
        </w:rPr>
      </w:pPr>
    </w:p>
    <w:p>
      <w:pPr>
        <w:pStyle w:val="12"/>
        <w:snapToGrid w:val="0"/>
        <w:spacing w:beforeLines="0" w:afterLines="0" w:line="240" w:lineRule="auto"/>
        <w:jc w:val="center"/>
        <w:outlineLvl w:val="0"/>
        <w:rPr>
          <w:rFonts w:hint="eastAsia" w:hAnsi="宋体"/>
          <w:b/>
          <w:sz w:val="28"/>
          <w:szCs w:val="28"/>
        </w:rPr>
      </w:pPr>
    </w:p>
    <w:p>
      <w:pPr>
        <w:pStyle w:val="12"/>
        <w:numPr>
          <w:ilvl w:val="0"/>
          <w:numId w:val="11"/>
        </w:numPr>
        <w:snapToGrid w:val="0"/>
        <w:spacing w:beforeLines="0" w:afterLines="0" w:line="240" w:lineRule="auto"/>
        <w:jc w:val="center"/>
        <w:outlineLvl w:val="0"/>
        <w:rPr>
          <w:rFonts w:hint="eastAsia" w:hAnsi="宋体"/>
          <w:b/>
          <w:sz w:val="28"/>
          <w:szCs w:val="28"/>
        </w:rPr>
      </w:pPr>
      <w:r>
        <w:rPr>
          <w:rFonts w:hint="eastAsia" w:hAnsi="宋体"/>
          <w:b/>
          <w:sz w:val="28"/>
          <w:szCs w:val="28"/>
        </w:rPr>
        <w:t>商务要求表</w:t>
      </w:r>
    </w:p>
    <w:p>
      <w:pPr>
        <w:pStyle w:val="12"/>
        <w:numPr>
          <w:ilvl w:val="0"/>
          <w:numId w:val="0"/>
        </w:numPr>
        <w:snapToGrid w:val="0"/>
        <w:spacing w:beforeLines="0" w:afterLines="0" w:line="240" w:lineRule="auto"/>
        <w:jc w:val="both"/>
        <w:outlineLvl w:val="0"/>
        <w:rPr>
          <w:rFonts w:hint="eastAsia" w:hAnsi="宋体"/>
          <w:b/>
          <w:sz w:val="28"/>
          <w:szCs w:val="28"/>
        </w:rPr>
      </w:pPr>
    </w:p>
    <w:tbl>
      <w:tblPr>
        <w:tblStyle w:val="25"/>
        <w:tblW w:w="85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40"/>
        <w:gridCol w:w="68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1740" w:type="dxa"/>
            <w:tcBorders>
              <w:top w:val="single" w:color="auto" w:sz="4" w:space="0"/>
              <w:bottom w:val="single" w:color="auto" w:sz="4" w:space="0"/>
              <w:right w:val="single" w:color="auto" w:sz="4" w:space="0"/>
            </w:tcBorders>
            <w:noWrap w:val="0"/>
            <w:vAlign w:val="center"/>
          </w:tcPr>
          <w:p>
            <w:pPr>
              <w:snapToGrid w:val="0"/>
              <w:rPr>
                <w:rFonts w:ascii="宋体"/>
                <w:sz w:val="21"/>
                <w:szCs w:val="21"/>
              </w:rPr>
            </w:pPr>
            <w:r>
              <w:rPr>
                <w:rFonts w:hint="eastAsia" w:hAnsi="宋体"/>
                <w:b/>
                <w:sz w:val="28"/>
                <w:szCs w:val="28"/>
              </w:rPr>
              <w:t>★</w:t>
            </w:r>
            <w:r>
              <w:rPr>
                <w:rFonts w:hint="eastAsia" w:ascii="宋体" w:hAnsi="宋体"/>
                <w:sz w:val="21"/>
                <w:szCs w:val="21"/>
              </w:rPr>
              <w:t>质保期及授权</w:t>
            </w:r>
          </w:p>
        </w:tc>
        <w:tc>
          <w:tcPr>
            <w:tcW w:w="6846" w:type="dxa"/>
            <w:tcBorders>
              <w:top w:val="single" w:color="auto" w:sz="4" w:space="0"/>
              <w:left w:val="single" w:color="auto" w:sz="4" w:space="0"/>
              <w:bottom w:val="single" w:color="auto" w:sz="4" w:space="0"/>
            </w:tcBorders>
            <w:noWrap w:val="0"/>
            <w:vAlign w:val="center"/>
          </w:tcPr>
          <w:p>
            <w:pPr>
              <w:snapToGrid w:val="0"/>
              <w:rPr>
                <w:rFonts w:ascii="宋体"/>
                <w:sz w:val="21"/>
                <w:szCs w:val="21"/>
              </w:rPr>
            </w:pPr>
            <w:r>
              <w:rPr>
                <w:rFonts w:hint="eastAsia" w:ascii="Verdana" w:hAnsi="Verdana"/>
                <w:sz w:val="21"/>
                <w:szCs w:val="21"/>
              </w:rPr>
              <w:t>质保期（自到宁海制定仓库验收合格为起始时间）三年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1740" w:type="dxa"/>
            <w:tcBorders>
              <w:top w:val="single" w:color="auto" w:sz="4" w:space="0"/>
              <w:bottom w:val="single" w:color="auto" w:sz="4" w:space="0"/>
              <w:right w:val="single" w:color="auto" w:sz="4" w:space="0"/>
            </w:tcBorders>
            <w:noWrap w:val="0"/>
            <w:vAlign w:val="center"/>
          </w:tcPr>
          <w:p>
            <w:pPr>
              <w:snapToGrid w:val="0"/>
              <w:rPr>
                <w:rFonts w:ascii="宋体"/>
                <w:sz w:val="21"/>
                <w:szCs w:val="21"/>
              </w:rPr>
            </w:pPr>
            <w:r>
              <w:rPr>
                <w:rFonts w:hint="eastAsia" w:hAnsi="宋体"/>
                <w:b/>
                <w:sz w:val="28"/>
                <w:szCs w:val="28"/>
              </w:rPr>
              <w:t>★</w:t>
            </w:r>
            <w:r>
              <w:rPr>
                <w:rFonts w:hint="eastAsia" w:ascii="宋体" w:hAnsi="宋体"/>
                <w:sz w:val="21"/>
                <w:szCs w:val="21"/>
              </w:rPr>
              <w:t>供货期限及报价</w:t>
            </w:r>
          </w:p>
        </w:tc>
        <w:tc>
          <w:tcPr>
            <w:tcW w:w="6846" w:type="dxa"/>
            <w:tcBorders>
              <w:top w:val="single" w:color="auto" w:sz="4" w:space="0"/>
              <w:left w:val="single" w:color="auto" w:sz="4" w:space="0"/>
              <w:bottom w:val="single" w:color="auto" w:sz="4" w:space="0"/>
            </w:tcBorders>
            <w:noWrap w:val="0"/>
            <w:vAlign w:val="center"/>
          </w:tcPr>
          <w:p>
            <w:pPr>
              <w:snapToGrid w:val="0"/>
              <w:spacing w:line="340" w:lineRule="exact"/>
              <w:rPr>
                <w:rFonts w:ascii="Verdana" w:hAnsi="Verdana"/>
                <w:sz w:val="21"/>
                <w:szCs w:val="21"/>
              </w:rPr>
            </w:pPr>
            <w:r>
              <w:rPr>
                <w:rFonts w:hint="eastAsia" w:ascii="宋体" w:hAnsi="宋体"/>
                <w:b/>
                <w:bCs/>
                <w:szCs w:val="21"/>
                <w:lang w:val="en-US" w:eastAsia="zh-CN"/>
              </w:rPr>
              <w:t>合同签订后供货方能保证15天内一次性到货，具体供货时间由招标方确定</w:t>
            </w:r>
            <w:r>
              <w:rPr>
                <w:rFonts w:hint="eastAsia" w:ascii="Verdana" w:hAnsi="Verdana"/>
                <w:b/>
                <w:bCs/>
                <w:sz w:val="21"/>
                <w:szCs w:val="21"/>
              </w:rPr>
              <w:t>。</w:t>
            </w:r>
            <w:r>
              <w:rPr>
                <w:rFonts w:hint="eastAsia" w:ascii="Verdana" w:hAnsi="Verdana"/>
                <w:sz w:val="21"/>
                <w:szCs w:val="21"/>
              </w:rPr>
              <w:t>本次报价包含</w:t>
            </w:r>
            <w:r>
              <w:rPr>
                <w:rFonts w:ascii="Verdana" w:hAnsi="Verdana"/>
                <w:sz w:val="21"/>
                <w:szCs w:val="21"/>
              </w:rPr>
              <w:t>CAS</w:t>
            </w:r>
            <w:r>
              <w:rPr>
                <w:rFonts w:hint="eastAsia" w:ascii="Verdana" w:hAnsi="Verdana"/>
                <w:sz w:val="21"/>
                <w:szCs w:val="21"/>
              </w:rPr>
              <w:t>软件许可费用部分、华数</w:t>
            </w:r>
            <w:r>
              <w:rPr>
                <w:rFonts w:ascii="Verdana" w:hAnsi="Verdana"/>
                <w:sz w:val="21"/>
                <w:szCs w:val="21"/>
              </w:rPr>
              <w:t>TV3.0</w:t>
            </w:r>
            <w:r>
              <w:rPr>
                <w:rFonts w:hint="eastAsia" w:ascii="Verdana" w:hAnsi="Verdana"/>
                <w:sz w:val="21"/>
                <w:szCs w:val="21"/>
              </w:rPr>
              <w:t>交互点播系统的终端软件茁壮</w:t>
            </w:r>
            <w:r>
              <w:rPr>
                <w:rFonts w:ascii="Verdana" w:hAnsi="Verdana"/>
                <w:sz w:val="21"/>
                <w:szCs w:val="21"/>
              </w:rPr>
              <w:t>3.0</w:t>
            </w:r>
            <w:r>
              <w:rPr>
                <w:rFonts w:hint="eastAsia" w:ascii="Verdana" w:hAnsi="Verdana"/>
                <w:sz w:val="21"/>
                <w:szCs w:val="21"/>
              </w:rPr>
              <w:t>中间件的软件许可费用以及杜比解码许可费用；包括配件费用</w:t>
            </w:r>
            <w:r>
              <w:rPr>
                <w:rFonts w:ascii="Verdana" w:hAnsi="Verdana"/>
                <w:sz w:val="21"/>
                <w:szCs w:val="21"/>
              </w:rPr>
              <w:t>A/V</w:t>
            </w:r>
            <w:r>
              <w:rPr>
                <w:rFonts w:hint="eastAsia" w:ascii="Verdana" w:hAnsi="Verdana"/>
                <w:sz w:val="21"/>
                <w:szCs w:val="21"/>
              </w:rPr>
              <w:t>线</w:t>
            </w:r>
            <w:r>
              <w:rPr>
                <w:rFonts w:ascii="Verdana" w:hAnsi="Verdana"/>
                <w:sz w:val="21"/>
                <w:szCs w:val="21"/>
              </w:rPr>
              <w:t>1</w:t>
            </w:r>
            <w:r>
              <w:rPr>
                <w:rFonts w:hint="eastAsia" w:ascii="Verdana" w:hAnsi="Verdana"/>
                <w:sz w:val="21"/>
                <w:szCs w:val="21"/>
              </w:rPr>
              <w:t>组≥</w:t>
            </w:r>
            <w:r>
              <w:rPr>
                <w:rFonts w:ascii="Verdana" w:hAnsi="Verdana"/>
                <w:sz w:val="21"/>
                <w:szCs w:val="21"/>
              </w:rPr>
              <w:t>1.5</w:t>
            </w:r>
            <w:r>
              <w:rPr>
                <w:rFonts w:hint="eastAsia" w:ascii="Verdana" w:hAnsi="Verdana"/>
                <w:sz w:val="21"/>
                <w:szCs w:val="21"/>
              </w:rPr>
              <w:t>米、</w:t>
            </w:r>
            <w:r>
              <w:rPr>
                <w:rFonts w:ascii="Verdana" w:hAnsi="Verdana"/>
                <w:sz w:val="21"/>
                <w:szCs w:val="21"/>
              </w:rPr>
              <w:t>RF</w:t>
            </w:r>
            <w:r>
              <w:rPr>
                <w:rFonts w:hint="eastAsia" w:ascii="Verdana" w:hAnsi="Verdana"/>
                <w:sz w:val="21"/>
                <w:szCs w:val="21"/>
              </w:rPr>
              <w:t>输入线</w:t>
            </w:r>
            <w:r>
              <w:rPr>
                <w:rFonts w:ascii="Verdana" w:hAnsi="Verdana"/>
                <w:sz w:val="21"/>
                <w:szCs w:val="21"/>
              </w:rPr>
              <w:t>1</w:t>
            </w:r>
            <w:r>
              <w:rPr>
                <w:rFonts w:hint="eastAsia" w:ascii="Verdana" w:hAnsi="Verdana"/>
                <w:sz w:val="21"/>
                <w:szCs w:val="21"/>
              </w:rPr>
              <w:t>条≥</w:t>
            </w:r>
            <w:r>
              <w:rPr>
                <w:rFonts w:ascii="Verdana" w:hAnsi="Verdana"/>
                <w:sz w:val="21"/>
                <w:szCs w:val="21"/>
              </w:rPr>
              <w:t>1.5</w:t>
            </w:r>
            <w:r>
              <w:rPr>
                <w:rFonts w:hint="eastAsia" w:ascii="Verdana" w:hAnsi="Verdana"/>
                <w:sz w:val="21"/>
                <w:szCs w:val="21"/>
              </w:rPr>
              <w:t>米；</w:t>
            </w:r>
            <w:r>
              <w:rPr>
                <w:rFonts w:ascii="Verdana" w:hAnsi="Verdana"/>
                <w:sz w:val="21"/>
                <w:szCs w:val="21"/>
              </w:rPr>
              <w:t>HDMI</w:t>
            </w:r>
            <w:r>
              <w:rPr>
                <w:rFonts w:hint="eastAsia" w:ascii="Verdana" w:hAnsi="Verdana"/>
                <w:sz w:val="21"/>
                <w:szCs w:val="21"/>
              </w:rPr>
              <w:t>线≥</w:t>
            </w:r>
            <w:r>
              <w:rPr>
                <w:rFonts w:ascii="Verdana" w:hAnsi="Verdana"/>
                <w:sz w:val="21"/>
                <w:szCs w:val="21"/>
              </w:rPr>
              <w:t>1.5</w:t>
            </w:r>
            <w:r>
              <w:rPr>
                <w:rFonts w:hint="eastAsia" w:ascii="Verdana" w:hAnsi="Verdana"/>
                <w:sz w:val="21"/>
                <w:szCs w:val="21"/>
              </w:rPr>
              <w:t>米。以上报价不包括遥控器。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1740" w:type="dxa"/>
            <w:tcBorders>
              <w:top w:val="single" w:color="auto" w:sz="4" w:space="0"/>
              <w:bottom w:val="single" w:color="auto" w:sz="4" w:space="0"/>
              <w:right w:val="single" w:color="auto" w:sz="4" w:space="0"/>
            </w:tcBorders>
            <w:noWrap w:val="0"/>
            <w:vAlign w:val="center"/>
          </w:tcPr>
          <w:p>
            <w:pPr>
              <w:snapToGrid w:val="0"/>
              <w:rPr>
                <w:rFonts w:hint="eastAsia" w:eastAsia="宋体"/>
                <w:b/>
                <w:bCs/>
                <w:sz w:val="21"/>
                <w:szCs w:val="21"/>
                <w:lang w:eastAsia="zh-CN"/>
              </w:rPr>
            </w:pPr>
            <w:r>
              <w:rPr>
                <w:rFonts w:hint="eastAsia" w:hAnsi="宋体"/>
                <w:b/>
                <w:sz w:val="28"/>
                <w:szCs w:val="28"/>
              </w:rPr>
              <w:t>★</w:t>
            </w:r>
            <w:r>
              <w:rPr>
                <w:rFonts w:hint="eastAsia" w:ascii="Verdana" w:hAnsi="Verdana"/>
                <w:sz w:val="21"/>
                <w:szCs w:val="21"/>
              </w:rPr>
              <w:t>宁海本地个性化软件集成</w:t>
            </w:r>
            <w:r>
              <w:rPr>
                <w:rFonts w:hint="eastAsia" w:ascii="Verdana" w:hAnsi="Verdana"/>
                <w:sz w:val="21"/>
                <w:szCs w:val="21"/>
                <w:lang w:eastAsia="zh-CN"/>
              </w:rPr>
              <w:t>时间</w:t>
            </w:r>
          </w:p>
        </w:tc>
        <w:tc>
          <w:tcPr>
            <w:tcW w:w="6846" w:type="dxa"/>
            <w:tcBorders>
              <w:top w:val="single" w:color="auto" w:sz="4" w:space="0"/>
              <w:left w:val="single" w:color="auto" w:sz="4" w:space="0"/>
              <w:bottom w:val="single" w:color="auto" w:sz="4" w:space="0"/>
            </w:tcBorders>
            <w:noWrap w:val="0"/>
            <w:vAlign w:val="center"/>
          </w:tcPr>
          <w:p>
            <w:pPr>
              <w:snapToGrid w:val="0"/>
              <w:rPr>
                <w:rFonts w:hint="eastAsia" w:eastAsia="宋体"/>
                <w:b/>
                <w:bCs/>
                <w:sz w:val="21"/>
                <w:szCs w:val="21"/>
                <w:lang w:eastAsia="zh-CN"/>
              </w:rPr>
            </w:pPr>
            <w:r>
              <w:rPr>
                <w:rFonts w:hint="eastAsia" w:ascii="Verdana" w:hAnsi="Verdana"/>
                <w:sz w:val="21"/>
                <w:szCs w:val="21"/>
                <w:lang w:eastAsia="zh-CN"/>
              </w:rPr>
              <w:t>中标单位</w:t>
            </w:r>
            <w:r>
              <w:rPr>
                <w:rFonts w:hint="eastAsia" w:ascii="Verdana" w:hAnsi="Verdana"/>
                <w:sz w:val="21"/>
                <w:szCs w:val="21"/>
              </w:rPr>
              <w:t>中标后</w:t>
            </w:r>
            <w:r>
              <w:rPr>
                <w:rFonts w:hint="eastAsia" w:ascii="Verdana" w:hAnsi="Verdana"/>
                <w:sz w:val="21"/>
                <w:szCs w:val="21"/>
                <w:lang w:val="en-US" w:eastAsia="zh-CN"/>
              </w:rPr>
              <w:t>7</w:t>
            </w:r>
            <w:r>
              <w:rPr>
                <w:rFonts w:hint="eastAsia" w:ascii="Verdana" w:hAnsi="Verdana"/>
                <w:sz w:val="21"/>
                <w:szCs w:val="21"/>
              </w:rPr>
              <w:t>天内完成宁海本地个性化软件集成</w:t>
            </w:r>
            <w:r>
              <w:rPr>
                <w:rFonts w:hint="eastAsia" w:ascii="Verdana" w:hAnsi="Verdana"/>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 w:hRule="atLeast"/>
          <w:jc w:val="center"/>
        </w:trPr>
        <w:tc>
          <w:tcPr>
            <w:tcW w:w="1740" w:type="dxa"/>
            <w:tcBorders>
              <w:top w:val="single" w:color="auto" w:sz="4" w:space="0"/>
              <w:bottom w:val="single" w:color="auto" w:sz="4" w:space="0"/>
              <w:right w:val="single" w:color="auto" w:sz="4" w:space="0"/>
            </w:tcBorders>
            <w:noWrap w:val="0"/>
            <w:vAlign w:val="center"/>
          </w:tcPr>
          <w:p>
            <w:pPr>
              <w:snapToGrid w:val="0"/>
              <w:rPr>
                <w:sz w:val="21"/>
                <w:szCs w:val="21"/>
              </w:rPr>
            </w:pPr>
            <w:r>
              <w:rPr>
                <w:rFonts w:hint="eastAsia" w:hAnsi="宋体"/>
                <w:b/>
                <w:sz w:val="28"/>
                <w:szCs w:val="28"/>
              </w:rPr>
              <w:t>★</w:t>
            </w:r>
            <w:r>
              <w:rPr>
                <w:rFonts w:hint="eastAsia"/>
                <w:sz w:val="21"/>
                <w:szCs w:val="21"/>
              </w:rPr>
              <w:t>履约保证金</w:t>
            </w:r>
          </w:p>
        </w:tc>
        <w:tc>
          <w:tcPr>
            <w:tcW w:w="6846" w:type="dxa"/>
            <w:tcBorders>
              <w:top w:val="single" w:color="auto" w:sz="4" w:space="0"/>
              <w:left w:val="single" w:color="auto" w:sz="4" w:space="0"/>
              <w:bottom w:val="single" w:color="auto" w:sz="4" w:space="0"/>
            </w:tcBorders>
            <w:noWrap w:val="0"/>
            <w:vAlign w:val="center"/>
          </w:tcPr>
          <w:p>
            <w:pPr>
              <w:snapToGrid w:val="0"/>
              <w:rPr>
                <w:sz w:val="21"/>
                <w:szCs w:val="21"/>
              </w:rPr>
            </w:pPr>
            <w:r>
              <w:rPr>
                <w:rFonts w:hint="eastAsia"/>
                <w:sz w:val="21"/>
                <w:szCs w:val="21"/>
              </w:rPr>
              <w:t>签订合同前，乙方交纳人民币</w:t>
            </w:r>
            <w:r>
              <w:rPr>
                <w:rFonts w:hint="eastAsia"/>
                <w:sz w:val="21"/>
                <w:szCs w:val="21"/>
                <w:lang w:val="en-US" w:eastAsia="zh-CN"/>
              </w:rPr>
              <w:t>10</w:t>
            </w:r>
            <w:bookmarkStart w:id="37" w:name="_GoBack"/>
            <w:bookmarkEnd w:id="37"/>
            <w:r>
              <w:rPr>
                <w:rFonts w:hint="eastAsia"/>
                <w:sz w:val="21"/>
                <w:szCs w:val="21"/>
              </w:rPr>
              <w:t>万元作为本合同的履约保证金，在中标人第一批供货后</w:t>
            </w:r>
            <w:r>
              <w:rPr>
                <w:sz w:val="21"/>
                <w:szCs w:val="21"/>
              </w:rPr>
              <w:t>6</w:t>
            </w:r>
            <w:r>
              <w:rPr>
                <w:rFonts w:hint="eastAsia"/>
                <w:sz w:val="21"/>
                <w:szCs w:val="21"/>
              </w:rPr>
              <w:t>个月内产品无重要质量问题退回履约保证金。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 w:hRule="atLeast"/>
          <w:jc w:val="center"/>
        </w:trPr>
        <w:tc>
          <w:tcPr>
            <w:tcW w:w="1740" w:type="dxa"/>
            <w:tcBorders>
              <w:top w:val="single" w:color="auto" w:sz="4" w:space="0"/>
              <w:bottom w:val="single" w:color="auto" w:sz="4" w:space="0"/>
              <w:right w:val="single" w:color="auto" w:sz="4" w:space="0"/>
            </w:tcBorders>
            <w:noWrap w:val="0"/>
            <w:vAlign w:val="center"/>
          </w:tcPr>
          <w:p>
            <w:pPr>
              <w:snapToGrid w:val="0"/>
              <w:rPr>
                <w:rFonts w:ascii="宋体"/>
                <w:sz w:val="21"/>
                <w:szCs w:val="21"/>
              </w:rPr>
            </w:pPr>
            <w:r>
              <w:rPr>
                <w:rFonts w:hint="eastAsia" w:hAnsi="宋体"/>
                <w:b/>
                <w:sz w:val="28"/>
                <w:szCs w:val="28"/>
              </w:rPr>
              <w:t>★</w:t>
            </w:r>
            <w:r>
              <w:rPr>
                <w:rFonts w:hint="eastAsia" w:ascii="宋体" w:hAnsi="宋体"/>
                <w:sz w:val="21"/>
                <w:szCs w:val="21"/>
              </w:rPr>
              <w:t>付款方式</w:t>
            </w:r>
          </w:p>
        </w:tc>
        <w:tc>
          <w:tcPr>
            <w:tcW w:w="6846" w:type="dxa"/>
            <w:tcBorders>
              <w:top w:val="single" w:color="auto" w:sz="4" w:space="0"/>
              <w:left w:val="single" w:color="auto" w:sz="4" w:space="0"/>
              <w:bottom w:val="single" w:color="auto" w:sz="4" w:space="0"/>
            </w:tcBorders>
            <w:noWrap w:val="0"/>
            <w:vAlign w:val="center"/>
          </w:tcPr>
          <w:p>
            <w:pPr>
              <w:rPr>
                <w:rFonts w:ascii="宋体"/>
                <w:sz w:val="21"/>
                <w:szCs w:val="21"/>
              </w:rPr>
            </w:pPr>
            <w:r>
              <w:rPr>
                <w:rFonts w:hint="eastAsia"/>
                <w:sz w:val="21"/>
                <w:szCs w:val="21"/>
              </w:rPr>
              <w:t>合同签订后，根据供货进度进行支付，货到经采购人抽检合格后付</w:t>
            </w:r>
            <w:r>
              <w:rPr>
                <w:sz w:val="21"/>
                <w:szCs w:val="21"/>
              </w:rPr>
              <w:t>50%</w:t>
            </w:r>
            <w:r>
              <w:rPr>
                <w:rFonts w:hint="eastAsia"/>
                <w:sz w:val="21"/>
                <w:szCs w:val="21"/>
              </w:rPr>
              <w:t>，数字电视用户使用六个月后无故障付</w:t>
            </w:r>
            <w:r>
              <w:rPr>
                <w:sz w:val="21"/>
                <w:szCs w:val="21"/>
              </w:rPr>
              <w:t>45%</w:t>
            </w:r>
            <w:r>
              <w:rPr>
                <w:rFonts w:hint="eastAsia"/>
                <w:sz w:val="21"/>
                <w:szCs w:val="21"/>
              </w:rPr>
              <w:t>，余款</w:t>
            </w:r>
            <w:r>
              <w:rPr>
                <w:sz w:val="21"/>
                <w:szCs w:val="21"/>
              </w:rPr>
              <w:t>5</w:t>
            </w:r>
            <w:r>
              <w:rPr>
                <w:rFonts w:hint="eastAsia"/>
                <w:sz w:val="21"/>
                <w:szCs w:val="21"/>
              </w:rPr>
              <w:t>％作为质量保证金在质保期满后付清。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7" w:hRule="atLeast"/>
          <w:jc w:val="center"/>
        </w:trPr>
        <w:tc>
          <w:tcPr>
            <w:tcW w:w="1740" w:type="dxa"/>
            <w:tcBorders>
              <w:top w:val="single" w:color="auto" w:sz="4" w:space="0"/>
              <w:bottom w:val="single" w:color="auto" w:sz="4" w:space="0"/>
              <w:right w:val="single" w:color="auto" w:sz="4" w:space="0"/>
            </w:tcBorders>
            <w:noWrap w:val="0"/>
            <w:vAlign w:val="center"/>
          </w:tcPr>
          <w:p>
            <w:pPr>
              <w:snapToGrid w:val="0"/>
              <w:rPr>
                <w:rFonts w:hint="eastAsia" w:hAnsi="宋体"/>
                <w:b/>
                <w:sz w:val="28"/>
                <w:szCs w:val="28"/>
              </w:rPr>
            </w:pPr>
            <w:r>
              <w:rPr>
                <w:rFonts w:hint="eastAsia" w:hAnsi="宋体"/>
                <w:b/>
                <w:sz w:val="28"/>
                <w:szCs w:val="28"/>
              </w:rPr>
              <w:t>★</w:t>
            </w:r>
            <w:r>
              <w:rPr>
                <w:rFonts w:hint="eastAsia"/>
                <w:b/>
                <w:bCs/>
                <w:sz w:val="21"/>
                <w:szCs w:val="21"/>
              </w:rPr>
              <w:t>提供样机</w:t>
            </w:r>
          </w:p>
        </w:tc>
        <w:tc>
          <w:tcPr>
            <w:tcW w:w="6846" w:type="dxa"/>
            <w:tcBorders>
              <w:top w:val="single" w:color="auto" w:sz="4" w:space="0"/>
              <w:left w:val="single" w:color="auto" w:sz="4" w:space="0"/>
              <w:bottom w:val="single" w:color="auto" w:sz="4" w:space="0"/>
            </w:tcBorders>
            <w:noWrap w:val="0"/>
            <w:vAlign w:val="center"/>
          </w:tcPr>
          <w:p>
            <w:pPr>
              <w:snapToGrid w:val="0"/>
              <w:rPr>
                <w:rFonts w:hint="eastAsia"/>
                <w:sz w:val="21"/>
                <w:szCs w:val="21"/>
              </w:rPr>
            </w:pPr>
            <w:r>
              <w:rPr>
                <w:rFonts w:hint="eastAsia"/>
                <w:b/>
                <w:bCs/>
                <w:sz w:val="21"/>
                <w:szCs w:val="21"/>
              </w:rPr>
              <w:t>供应</w:t>
            </w:r>
            <w:r>
              <w:rPr>
                <w:rFonts w:hint="eastAsia" w:ascii="Verdana" w:hAnsi="Verdana"/>
                <w:b/>
                <w:bCs/>
                <w:sz w:val="21"/>
                <w:szCs w:val="21"/>
              </w:rPr>
              <w:t>商须在</w:t>
            </w:r>
            <w:r>
              <w:rPr>
                <w:rFonts w:hint="eastAsia" w:ascii="Verdana" w:hAnsi="Verdana"/>
                <w:b/>
                <w:bCs/>
                <w:sz w:val="21"/>
                <w:szCs w:val="21"/>
                <w:lang w:eastAsia="zh-CN"/>
              </w:rPr>
              <w:t>开标</w:t>
            </w:r>
            <w:r>
              <w:rPr>
                <w:rFonts w:hint="eastAsia" w:ascii="宋体" w:hAnsi="宋体" w:cs="宋体"/>
                <w:b/>
                <w:bCs/>
                <w:color w:val="auto"/>
                <w:szCs w:val="21"/>
                <w:highlight w:val="none"/>
              </w:rPr>
              <w:t>截止时间</w:t>
            </w:r>
            <w:r>
              <w:rPr>
                <w:rFonts w:hint="eastAsia" w:ascii="宋体" w:hAnsi="宋体" w:cs="宋体"/>
                <w:b/>
                <w:bCs/>
                <w:color w:val="auto"/>
                <w:szCs w:val="21"/>
                <w:highlight w:val="none"/>
                <w:lang w:eastAsia="zh-CN"/>
              </w:rPr>
              <w:t>前</w:t>
            </w:r>
            <w:r>
              <w:rPr>
                <w:rFonts w:hint="eastAsia" w:ascii="Verdana" w:hAnsi="Verdana"/>
                <w:b/>
                <w:bCs/>
                <w:sz w:val="21"/>
                <w:szCs w:val="21"/>
              </w:rPr>
              <w:t>提供所投高清交互型数字电视机顶盒样机</w:t>
            </w:r>
            <w:r>
              <w:rPr>
                <w:rFonts w:hint="eastAsia" w:ascii="Verdana" w:hAnsi="Verdana"/>
                <w:b/>
                <w:bCs/>
                <w:sz w:val="21"/>
                <w:szCs w:val="21"/>
                <w:lang w:val="en-US" w:eastAsia="zh-CN"/>
              </w:rPr>
              <w:t>2</w:t>
            </w:r>
            <w:r>
              <w:rPr>
                <w:rFonts w:hint="eastAsia" w:ascii="Verdana" w:hAnsi="Verdana"/>
                <w:b/>
                <w:bCs/>
                <w:sz w:val="21"/>
                <w:szCs w:val="21"/>
              </w:rPr>
              <w:t>台</w:t>
            </w:r>
            <w:r>
              <w:rPr>
                <w:rFonts w:hint="eastAsia" w:ascii="Verdana" w:hAnsi="Verdana"/>
                <w:b/>
                <w:bCs/>
                <w:sz w:val="21"/>
                <w:szCs w:val="21"/>
                <w:lang w:eastAsia="zh-CN"/>
              </w:rPr>
              <w:t>（</w:t>
            </w:r>
            <w:r>
              <w:rPr>
                <w:rFonts w:hint="eastAsia" w:ascii="Verdana" w:hAnsi="Verdana"/>
                <w:b/>
                <w:bCs/>
                <w:sz w:val="21"/>
                <w:szCs w:val="21"/>
                <w:lang w:val="en-US" w:eastAsia="zh-CN"/>
              </w:rPr>
              <w:t>1台为完整样机，1台为拆分好的样机），未提供样机的样品分为“0”分处理。</w:t>
            </w:r>
          </w:p>
        </w:tc>
      </w:tr>
    </w:tbl>
    <w:p>
      <w:pPr>
        <w:pStyle w:val="12"/>
        <w:snapToGrid w:val="0"/>
        <w:spacing w:beforeLines="0" w:afterLines="0" w:line="240" w:lineRule="auto"/>
        <w:jc w:val="center"/>
        <w:outlineLvl w:val="0"/>
        <w:rPr>
          <w:rFonts w:hint="eastAsia" w:ascii="黑体" w:hAnsi="宋体" w:eastAsia="黑体"/>
          <w:b/>
          <w:bCs/>
          <w:sz w:val="28"/>
          <w:szCs w:val="28"/>
        </w:rPr>
      </w:pPr>
      <w:r>
        <w:rPr>
          <w:rFonts w:ascii="宋体"/>
          <w:sz w:val="24"/>
        </w:rPr>
        <w:br w:type="page"/>
      </w:r>
    </w:p>
    <w:p>
      <w:pPr>
        <w:pStyle w:val="12"/>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t>第三章  投标人须知</w:t>
      </w: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r>
        <w:rPr>
          <w:rFonts w:ascii="黑体" w:hAnsi="宋体" w:eastAsia="黑体"/>
          <w:b/>
          <w:bCs/>
          <w:sz w:val="28"/>
          <w:szCs w:val="28"/>
        </w:rPr>
        <w:t>前附表</w:t>
      </w:r>
    </w:p>
    <w:p>
      <w:pPr>
        <w:pStyle w:val="12"/>
        <w:snapToGrid w:val="0"/>
        <w:spacing w:beforeLines="0" w:afterLines="0"/>
        <w:jc w:val="center"/>
        <w:outlineLvl w:val="0"/>
        <w:rPr>
          <w:rFonts w:ascii="黑体" w:hAnsi="宋体" w:eastAsia="黑体"/>
          <w:b/>
          <w:bCs/>
          <w:sz w:val="28"/>
          <w:szCs w:val="28"/>
        </w:rPr>
      </w:pP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0"/>
        <w:gridCol w:w="78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rPr>
            </w:pPr>
            <w:r>
              <w:rPr>
                <w:rFonts w:ascii="宋体" w:hAnsi="宋体"/>
                <w:szCs w:val="21"/>
              </w:rPr>
              <w:t>序号</w:t>
            </w:r>
          </w:p>
        </w:tc>
        <w:tc>
          <w:tcPr>
            <w:tcW w:w="782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rPr>
            </w:pPr>
            <w:r>
              <w:rPr>
                <w:rFonts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rPr>
            </w:pPr>
            <w:r>
              <w:rPr>
                <w:rFonts w:ascii="宋体" w:hAnsi="宋体"/>
                <w:szCs w:val="21"/>
              </w:rPr>
              <w:t>1</w:t>
            </w:r>
          </w:p>
        </w:tc>
        <w:tc>
          <w:tcPr>
            <w:tcW w:w="78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联合体投标：</w:t>
            </w:r>
            <w:r>
              <w:rPr>
                <w:rFonts w:hint="eastAsia" w:ascii="宋体" w:hAnsi="宋体"/>
                <w:szCs w:val="21"/>
                <w:bdr w:val="single" w:color="auto" w:sz="4" w:space="0"/>
              </w:rPr>
              <w:t>√</w:t>
            </w:r>
            <w:r>
              <w:rPr>
                <w:rFonts w:hint="eastAsia" w:ascii="宋体" w:hAnsi="宋体"/>
                <w:szCs w:val="21"/>
              </w:rPr>
              <w:t>不接受；</w:t>
            </w:r>
            <w:r>
              <w:rPr>
                <w:rFonts w:hint="eastAsia" w:ascii="宋体" w:hAnsi="宋体"/>
                <w:szCs w:val="21"/>
                <w:bdr w:val="single" w:color="auto" w:sz="4" w:space="0"/>
              </w:rPr>
              <w:t xml:space="preserve">  </w:t>
            </w:r>
            <w:r>
              <w:rPr>
                <w:rFonts w:hint="eastAsia" w:ascii="宋体" w:hAnsi="宋体"/>
                <w:szCs w:val="21"/>
              </w:rPr>
              <w:t>接受，最多</w:t>
            </w:r>
            <w:r>
              <w:rPr>
                <w:rFonts w:hint="eastAsia" w:ascii="宋体" w:hAnsi="宋体"/>
                <w:szCs w:val="21"/>
                <w:u w:val="single"/>
              </w:rPr>
              <w:t xml:space="preserve">  </w:t>
            </w:r>
            <w:r>
              <w:rPr>
                <w:rFonts w:hint="eastAsia" w:ascii="宋体" w:hAnsi="宋体"/>
                <w:szCs w:val="21"/>
              </w:rPr>
              <w:t>家</w:t>
            </w:r>
          </w:p>
          <w:p>
            <w:pPr>
              <w:spacing w:line="400" w:lineRule="exact"/>
              <w:rPr>
                <w:rFonts w:hint="eastAsia" w:ascii="宋体" w:hAnsi="宋体"/>
                <w:szCs w:val="21"/>
              </w:rPr>
            </w:pPr>
            <w:r>
              <w:rPr>
                <w:rFonts w:hint="eastAsia" w:ascii="宋体" w:hAnsi="宋体"/>
                <w:szCs w:val="21"/>
              </w:rPr>
              <w:t>如招标文件接收联合体投标，联合体各方均应符合《政府采购法》第二十二条第一款规定的关于供应商基本资格条件，联合体中至少应当有一方符合招标文件规定的特定条件。</w:t>
            </w:r>
          </w:p>
          <w:p>
            <w:pPr>
              <w:spacing w:line="400" w:lineRule="exact"/>
              <w:rPr>
                <w:rFonts w:hint="eastAsia" w:ascii="宋体" w:hAnsi="宋体"/>
                <w:szCs w:val="21"/>
              </w:rPr>
            </w:pPr>
            <w:r>
              <w:rPr>
                <w:rFonts w:hint="eastAsia" w:ascii="宋体" w:hAnsi="宋体"/>
                <w:szCs w:val="21"/>
              </w:rPr>
              <w:t>联合体各方之间应当签订共同投标协议，明确约定联合体各方承担的工作和相应责任，并将共同投标协议连同投标文件一并提交。</w:t>
            </w:r>
          </w:p>
          <w:p>
            <w:pPr>
              <w:spacing w:line="400" w:lineRule="exact"/>
              <w:rPr>
                <w:rFonts w:hint="eastAsia" w:ascii="宋体" w:hAnsi="宋体"/>
                <w:szCs w:val="21"/>
              </w:rPr>
            </w:pPr>
            <w:r>
              <w:rPr>
                <w:rFonts w:hint="eastAsia" w:ascii="宋体" w:hAnsi="宋体"/>
                <w:szCs w:val="21"/>
              </w:rPr>
              <w:t>联合体各方不得再以自己名义单独在同一项目中投标，也不得组成新的联合体参加同一项目投标。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rPr>
            </w:pPr>
            <w:r>
              <w:rPr>
                <w:rFonts w:ascii="宋体" w:hAnsi="宋体"/>
                <w:szCs w:val="21"/>
              </w:rPr>
              <w:t>2</w:t>
            </w:r>
          </w:p>
        </w:tc>
        <w:tc>
          <w:tcPr>
            <w:tcW w:w="7827"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spacing w:line="400" w:lineRule="exact"/>
              <w:rPr>
                <w:rFonts w:hint="eastAsia" w:ascii="宋体" w:hAnsi="宋体"/>
                <w:szCs w:val="21"/>
              </w:rPr>
            </w:pPr>
            <w:r>
              <w:rPr>
                <w:rFonts w:hint="eastAsia" w:ascii="宋体" w:hAnsi="宋体"/>
                <w:szCs w:val="21"/>
              </w:rPr>
              <w:t>专门面向中小微企业招标：</w:t>
            </w:r>
            <w:r>
              <w:rPr>
                <w:rFonts w:hint="eastAsia" w:ascii="宋体" w:hAnsi="宋体"/>
                <w:szCs w:val="21"/>
                <w:bdr w:val="single" w:color="auto" w:sz="4" w:space="0"/>
              </w:rPr>
              <w:t xml:space="preserve">  </w:t>
            </w:r>
            <w:r>
              <w:rPr>
                <w:rFonts w:hint="eastAsia" w:ascii="宋体" w:hAnsi="宋体"/>
                <w:szCs w:val="21"/>
              </w:rPr>
              <w:t>是；</w:t>
            </w:r>
            <w:r>
              <w:rPr>
                <w:rFonts w:hint="eastAsia" w:ascii="宋体" w:hAnsi="宋体"/>
                <w:szCs w:val="21"/>
                <w:bdr w:val="single" w:color="auto" w:sz="4" w:space="0"/>
              </w:rPr>
              <w:t>√</w:t>
            </w:r>
            <w:r>
              <w:rPr>
                <w:rFonts w:hint="eastAsia" w:ascii="宋体" w:hAnsi="宋体"/>
                <w:szCs w:val="21"/>
              </w:rPr>
              <w:t>否。非专门面向中小微企业招标项目，投标人为小微企业的，其投标价格给予6%的价格扣除后参与评审。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rPr>
            </w:pPr>
            <w:r>
              <w:rPr>
                <w:rFonts w:ascii="宋体" w:hAnsi="宋体"/>
                <w:szCs w:val="21"/>
              </w:rPr>
              <w:t>3</w:t>
            </w:r>
          </w:p>
        </w:tc>
        <w:tc>
          <w:tcPr>
            <w:tcW w:w="782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Cs w:val="21"/>
              </w:rPr>
            </w:pPr>
            <w:r>
              <w:rPr>
                <w:rFonts w:hint="eastAsia" w:ascii="宋体" w:hAnsi="宋体"/>
                <w:szCs w:val="21"/>
              </w:rPr>
              <w:t>现场踏勘：供应商可自主前往现场踏勘，采购人不统一组织。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rPr>
            </w:pPr>
            <w:r>
              <w:rPr>
                <w:rFonts w:ascii="宋体" w:hAnsi="宋体"/>
                <w:szCs w:val="21"/>
              </w:rPr>
              <w:t>4</w:t>
            </w:r>
          </w:p>
        </w:tc>
        <w:tc>
          <w:tcPr>
            <w:tcW w:w="7827" w:type="dxa"/>
            <w:tcBorders>
              <w:top w:val="single" w:color="auto" w:sz="4" w:space="0"/>
              <w:left w:val="single" w:color="auto" w:sz="4" w:space="0"/>
              <w:bottom w:val="single" w:color="auto" w:sz="4" w:space="0"/>
              <w:right w:val="single" w:color="auto" w:sz="4" w:space="0"/>
            </w:tcBorders>
            <w:noWrap w:val="0"/>
            <w:vAlign w:val="center"/>
          </w:tcPr>
          <w:p>
            <w:pPr>
              <w:numPr>
                <w:ilvl w:val="0"/>
                <w:numId w:val="12"/>
              </w:numPr>
              <w:autoSpaceDE w:val="0"/>
              <w:autoSpaceDN w:val="0"/>
              <w:textAlignment w:val="bottom"/>
              <w:rPr>
                <w:rFonts w:hint="eastAsia" w:ascii="宋体" w:hAnsi="宋体" w:cs="宋体"/>
                <w:color w:val="auto"/>
                <w:szCs w:val="21"/>
                <w:highlight w:val="none"/>
              </w:rPr>
            </w:pPr>
            <w:r>
              <w:rPr>
                <w:rFonts w:hint="eastAsia" w:ascii="宋体" w:hAnsi="宋体" w:cs="宋体"/>
                <w:color w:val="auto"/>
                <w:szCs w:val="21"/>
                <w:highlight w:val="none"/>
              </w:rPr>
              <w:t>投标文件组成与份数：</w:t>
            </w:r>
          </w:p>
          <w:p>
            <w:pPr>
              <w:numPr>
                <w:ilvl w:val="0"/>
                <w:numId w:val="12"/>
              </w:numPr>
              <w:autoSpaceDE w:val="0"/>
              <w:autoSpaceDN w:val="0"/>
              <w:textAlignment w:val="bottom"/>
              <w:rPr>
                <w:rFonts w:hint="eastAsia" w:ascii="宋体" w:hAnsi="宋体" w:cs="宋体"/>
                <w:color w:val="auto"/>
                <w:szCs w:val="21"/>
                <w:highlight w:val="none"/>
              </w:rPr>
            </w:pPr>
            <w:r>
              <w:rPr>
                <w:rFonts w:hint="eastAsia" w:ascii="宋体" w:hAnsi="宋体" w:cs="宋体"/>
                <w:color w:val="auto"/>
                <w:szCs w:val="21"/>
                <w:highlight w:val="none"/>
              </w:rPr>
              <w:t>上传到政府采购云平台的电子投标文件（含资格文件、商务技术文件、报价文件）1份。</w:t>
            </w:r>
          </w:p>
          <w:p>
            <w:pPr>
              <w:numPr>
                <w:ilvl w:val="0"/>
                <w:numId w:val="12"/>
              </w:numPr>
              <w:autoSpaceDE w:val="0"/>
              <w:autoSpaceDN w:val="0"/>
              <w:textAlignment w:val="bottom"/>
              <w:rPr>
                <w:rFonts w:hint="eastAsia" w:ascii="宋体" w:hAnsi="宋体" w:cs="宋体"/>
                <w:color w:val="auto"/>
                <w:szCs w:val="21"/>
                <w:highlight w:val="none"/>
              </w:rPr>
            </w:pPr>
            <w:r>
              <w:rPr>
                <w:rFonts w:hint="eastAsia" w:ascii="宋体" w:hAnsi="宋体" w:cs="宋体"/>
                <w:color w:val="auto"/>
                <w:szCs w:val="21"/>
                <w:highlight w:val="none"/>
              </w:rPr>
              <w:t>以U盘存储的电子备份投标文件（含资格文件、商务技术文件、报价文件）1份。</w:t>
            </w:r>
          </w:p>
          <w:p>
            <w:pPr>
              <w:autoSpaceDE w:val="0"/>
              <w:autoSpaceDN w:val="0"/>
              <w:snapToGrid w:val="0"/>
              <w:spacing w:line="400" w:lineRule="exact"/>
              <w:textAlignment w:val="bottom"/>
              <w:rPr>
                <w:rFonts w:ascii="宋体" w:hAnsi="宋体"/>
                <w:szCs w:val="21"/>
              </w:rPr>
            </w:pPr>
            <w:r>
              <w:rPr>
                <w:rFonts w:hint="eastAsia" w:ascii="宋体" w:hAnsi="宋体" w:cs="宋体"/>
                <w:color w:val="auto"/>
                <w:szCs w:val="21"/>
                <w:highlight w:val="none"/>
              </w:rPr>
              <w:t>纸质备份投标文件：资格、商务技术文件（正本1份，副本4份）、报价文件（正本1份，副本4份）。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rPr>
            </w:pPr>
            <w:r>
              <w:rPr>
                <w:rFonts w:hint="eastAsia" w:ascii="宋体" w:hAnsi="宋体"/>
                <w:bCs/>
                <w:szCs w:val="21"/>
              </w:rPr>
              <w:t>★</w:t>
            </w:r>
            <w:r>
              <w:rPr>
                <w:rFonts w:ascii="宋体" w:hAnsi="宋体"/>
                <w:szCs w:val="21"/>
              </w:rPr>
              <w:t>5</w:t>
            </w:r>
          </w:p>
        </w:tc>
        <w:tc>
          <w:tcPr>
            <w:tcW w:w="7827"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80"/>
                <w:tab w:val="left" w:pos="360"/>
              </w:tabs>
              <w:adjustRightInd w:val="0"/>
              <w:snapToGrid w:val="0"/>
              <w:spacing w:line="400" w:lineRule="exact"/>
              <w:jc w:val="left"/>
              <w:rPr>
                <w:rFonts w:hint="eastAsia" w:ascii="宋体" w:hAnsi="宋体"/>
                <w:szCs w:val="21"/>
              </w:rPr>
            </w:pPr>
            <w:r>
              <w:rPr>
                <w:rFonts w:hint="eastAsia" w:ascii="宋体" w:hAnsi="宋体"/>
                <w:szCs w:val="21"/>
              </w:rPr>
              <w:t>本次招标有关信息公告在</w:t>
            </w:r>
          </w:p>
          <w:p>
            <w:pPr>
              <w:widowControl/>
              <w:spacing w:line="400" w:lineRule="exact"/>
              <w:jc w:val="left"/>
              <w:rPr>
                <w:rFonts w:hint="eastAsia" w:ascii="宋体" w:hAnsi="宋体"/>
                <w:szCs w:val="21"/>
              </w:rPr>
            </w:pPr>
            <w:r>
              <w:rPr>
                <w:rFonts w:hint="eastAsia" w:ascii="宋体" w:hAnsi="宋体"/>
                <w:szCs w:val="21"/>
              </w:rPr>
              <w:t>宁海县公共资源交易信息网（</w:t>
            </w:r>
            <w:r>
              <w:rPr>
                <w:rFonts w:ascii="宋体" w:hAnsi="宋体"/>
                <w:szCs w:val="21"/>
              </w:rPr>
              <w:fldChar w:fldCharType="begin"/>
            </w:r>
            <w:r>
              <w:rPr>
                <w:rFonts w:ascii="宋体" w:hAnsi="宋体"/>
                <w:szCs w:val="21"/>
              </w:rPr>
              <w:instrText xml:space="preserve"> HYPERLINK "http://www.nhztb.gov.cn/" </w:instrText>
            </w:r>
            <w:r>
              <w:rPr>
                <w:rFonts w:ascii="宋体" w:hAnsi="宋体"/>
                <w:szCs w:val="21"/>
              </w:rPr>
              <w:fldChar w:fldCharType="separate"/>
            </w:r>
            <w:r>
              <w:rPr>
                <w:rFonts w:ascii="宋体" w:hAnsi="宋体"/>
                <w:szCs w:val="21"/>
              </w:rPr>
              <w:t>http://www.nhztb.gov.cn</w:t>
            </w:r>
            <w:r>
              <w:rPr>
                <w:rFonts w:ascii="宋体" w:hAnsi="宋体"/>
                <w:szCs w:val="21"/>
              </w:rPr>
              <w:fldChar w:fldCharType="end"/>
            </w:r>
            <w:r>
              <w:rPr>
                <w:rFonts w:hint="eastAsia" w:ascii="宋体" w:hAnsi="宋体"/>
                <w:szCs w:val="21"/>
              </w:rPr>
              <w:t>)</w:t>
            </w:r>
          </w:p>
          <w:p>
            <w:pPr>
              <w:widowControl/>
              <w:spacing w:line="400" w:lineRule="exact"/>
              <w:jc w:val="left"/>
              <w:rPr>
                <w:rFonts w:hint="eastAsia" w:ascii="宋体" w:hAnsi="宋体"/>
                <w:szCs w:val="21"/>
              </w:rPr>
            </w:pPr>
            <w:r>
              <w:rPr>
                <w:rFonts w:hint="eastAsia" w:ascii="宋体" w:hAnsi="宋体"/>
                <w:szCs w:val="21"/>
              </w:rPr>
              <w:t>宁波政府采购网（</w:t>
            </w:r>
            <w:r>
              <w:rPr>
                <w:rFonts w:ascii="宋体" w:hAnsi="宋体"/>
                <w:szCs w:val="21"/>
              </w:rPr>
              <w:fldChar w:fldCharType="begin"/>
            </w:r>
            <w:r>
              <w:rPr>
                <w:rFonts w:ascii="宋体" w:hAnsi="宋体"/>
                <w:szCs w:val="21"/>
              </w:rPr>
              <w:instrText xml:space="preserve"> HYPERLINK "http://www.nbzfcg.cn/" </w:instrText>
            </w:r>
            <w:r>
              <w:rPr>
                <w:rFonts w:ascii="宋体" w:hAnsi="宋体"/>
                <w:szCs w:val="21"/>
              </w:rPr>
              <w:fldChar w:fldCharType="separate"/>
            </w:r>
            <w:r>
              <w:rPr>
                <w:rFonts w:ascii="宋体" w:hAnsi="宋体"/>
                <w:szCs w:val="21"/>
              </w:rPr>
              <w:t>http://www.nbzfcg.cn</w:t>
            </w:r>
            <w:r>
              <w:rPr>
                <w:rFonts w:ascii="宋体" w:hAnsi="宋体"/>
                <w:szCs w:val="21"/>
              </w:rPr>
              <w:fldChar w:fldCharType="end"/>
            </w:r>
            <w:r>
              <w:rPr>
                <w:rFonts w:hint="eastAsia" w:ascii="宋体" w:hAnsi="宋体"/>
                <w:szCs w:val="21"/>
              </w:rPr>
              <w:t>）</w:t>
            </w:r>
          </w:p>
          <w:p>
            <w:pPr>
              <w:snapToGrid w:val="0"/>
              <w:spacing w:line="400" w:lineRule="exact"/>
              <w:rPr>
                <w:rFonts w:ascii="宋体" w:hAnsi="宋体"/>
                <w:szCs w:val="21"/>
              </w:rPr>
            </w:pPr>
            <w:r>
              <w:rPr>
                <w:rFonts w:hint="eastAsia" w:ascii="宋体" w:hAnsi="宋体"/>
                <w:szCs w:val="21"/>
              </w:rPr>
              <w:t>请供应商随时关注本项目自发布采购公告后后续可能出现的修改通知，澄清说明等，如有错过，后果自负。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bCs/>
                <w:szCs w:val="21"/>
              </w:rPr>
              <w:t>★</w:t>
            </w:r>
            <w:r>
              <w:rPr>
                <w:rFonts w:hint="eastAsia" w:ascii="宋体" w:hAnsi="宋体"/>
                <w:szCs w:val="21"/>
              </w:rPr>
              <w:t>6</w:t>
            </w:r>
          </w:p>
        </w:tc>
        <w:tc>
          <w:tcPr>
            <w:tcW w:w="78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szCs w:val="21"/>
              </w:rPr>
            </w:pPr>
            <w:r>
              <w:rPr>
                <w:rFonts w:hint="eastAsia" w:ascii="宋体" w:hAnsi="宋体"/>
                <w:szCs w:val="21"/>
              </w:rPr>
              <w:t>本招标文件中要求提供的原件也可用有效的公证件代替。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7</w:t>
            </w:r>
          </w:p>
        </w:tc>
        <w:tc>
          <w:tcPr>
            <w:tcW w:w="78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00" w:lineRule="exact"/>
              <w:textAlignment w:val="bottom"/>
              <w:rPr>
                <w:rFonts w:hint="eastAsia" w:ascii="宋体" w:hAnsi="宋体"/>
                <w:szCs w:val="21"/>
              </w:rPr>
            </w:pPr>
            <w:r>
              <w:rPr>
                <w:rFonts w:ascii="宋体" w:hAnsi="宋体"/>
                <w:szCs w:val="21"/>
              </w:rPr>
              <w:t>解释：本招标文件的解释权属于招标采购单位。</w:t>
            </w:r>
          </w:p>
        </w:tc>
      </w:tr>
    </w:tbl>
    <w:p>
      <w:pPr>
        <w:pStyle w:val="57"/>
        <w:shd w:val="clear" w:color="auto" w:fill="FFFFFF"/>
        <w:snapToGrid w:val="0"/>
        <w:spacing w:before="0" w:beforeAutospacing="0" w:after="0" w:afterAutospacing="0" w:line="400" w:lineRule="exact"/>
        <w:ind w:firstLine="480" w:firstLineChars="200"/>
        <w:contextualSpacing/>
        <w:rPr>
          <w:rFonts w:cs="Times New Roman" w:asciiTheme="minorEastAsia" w:hAnsiTheme="minorEastAsia" w:eastAsiaTheme="minorEastAsia"/>
          <w:kern w:val="2"/>
          <w:sz w:val="21"/>
          <w:szCs w:val="21"/>
        </w:rPr>
      </w:pPr>
      <w:r>
        <w:rPr>
          <w:rFonts w:hint="eastAsia"/>
        </w:rPr>
        <w:br w:type="page"/>
      </w:r>
    </w:p>
    <w:p>
      <w:pPr>
        <w:widowControl/>
        <w:spacing w:line="360" w:lineRule="auto"/>
        <w:jc w:val="left"/>
        <w:rPr>
          <w:rFonts w:hint="eastAsia" w:ascii="宋体" w:hAnsi="宋体"/>
          <w:b/>
          <w:color w:val="auto"/>
          <w:kern w:val="0"/>
          <w:highlight w:val="none"/>
        </w:rPr>
      </w:pPr>
      <w:r>
        <w:rPr>
          <w:rFonts w:hint="eastAsia" w:ascii="宋体" w:hAnsi="宋体"/>
          <w:b/>
          <w:color w:val="auto"/>
          <w:kern w:val="0"/>
          <w:highlight w:val="none"/>
        </w:rPr>
        <w:t>一、总则</w:t>
      </w:r>
    </w:p>
    <w:p>
      <w:pPr>
        <w:widowControl/>
        <w:spacing w:line="360" w:lineRule="auto"/>
        <w:jc w:val="left"/>
        <w:rPr>
          <w:rFonts w:hint="eastAsia" w:ascii="宋体" w:hAnsi="宋体"/>
          <w:color w:val="auto"/>
          <w:kern w:val="0"/>
          <w:highlight w:val="none"/>
        </w:rPr>
      </w:pPr>
      <w:r>
        <w:rPr>
          <w:rFonts w:hint="eastAsia" w:ascii="宋体" w:hAnsi="宋体"/>
          <w:color w:val="auto"/>
          <w:kern w:val="0"/>
          <w:highlight w:val="none"/>
        </w:rPr>
        <w:t>（一） 适用范围</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本招标文件适用于本项目的招标、投标、评标、定标、验收、合同履约、付款等行为（法律、法规另有规定的，从其规定）。</w:t>
      </w:r>
    </w:p>
    <w:p>
      <w:pPr>
        <w:widowControl/>
        <w:spacing w:line="360" w:lineRule="auto"/>
        <w:jc w:val="left"/>
        <w:rPr>
          <w:rFonts w:hint="eastAsia" w:ascii="宋体" w:hAnsi="宋体"/>
          <w:color w:val="auto"/>
          <w:kern w:val="0"/>
          <w:highlight w:val="none"/>
        </w:rPr>
      </w:pPr>
      <w:r>
        <w:rPr>
          <w:rFonts w:hint="eastAsia" w:ascii="宋体" w:hAnsi="宋体"/>
          <w:color w:val="auto"/>
          <w:kern w:val="0"/>
          <w:highlight w:val="none"/>
        </w:rPr>
        <w:t>（二）定义</w:t>
      </w:r>
    </w:p>
    <w:p>
      <w:pPr>
        <w:widowControl/>
        <w:snapToGrid w:val="0"/>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1、“招标</w:t>
      </w:r>
      <w:r>
        <w:rPr>
          <w:rFonts w:hint="eastAsia" w:ascii="宋体" w:hAnsi="宋体"/>
          <w:color w:val="auto"/>
          <w:kern w:val="0"/>
          <w:highlight w:val="none"/>
          <w:lang w:eastAsia="zh-CN"/>
        </w:rPr>
        <w:t>采购单位</w:t>
      </w:r>
      <w:r>
        <w:rPr>
          <w:rFonts w:hint="eastAsia" w:ascii="宋体" w:hAnsi="宋体"/>
          <w:color w:val="auto"/>
          <w:kern w:val="0"/>
          <w:highlight w:val="none"/>
        </w:rPr>
        <w:t>”系指组织本次招标的采购代理机构和采购人。</w:t>
      </w:r>
    </w:p>
    <w:p>
      <w:pPr>
        <w:widowControl/>
        <w:snapToGrid w:val="0"/>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2、“供应商”系指向采购人提交投标文件的单位或个人。</w:t>
      </w:r>
    </w:p>
    <w:p>
      <w:pPr>
        <w:widowControl/>
        <w:snapToGrid w:val="0"/>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3、“产品”系指供应商按招标文件规定，须向采购人提供的一切设备、保险、税金、备品备件、工具、手册及其它有关技术资料和材料。</w:t>
      </w:r>
    </w:p>
    <w:p>
      <w:pPr>
        <w:widowControl/>
        <w:snapToGrid w:val="0"/>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4、“服务”系指招标文件规定供应商须承担的安装、调试、技术协助、校准、培训、技术指导以及其他类似的义务。</w:t>
      </w:r>
    </w:p>
    <w:p>
      <w:pPr>
        <w:widowControl/>
        <w:snapToGrid w:val="0"/>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5、“项目”系指供应商按招标文件规定向采购人提供的产品和服务。</w:t>
      </w:r>
    </w:p>
    <w:p>
      <w:pPr>
        <w:widowControl/>
        <w:snapToGrid w:val="0"/>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6、“书面形式”包括信函、传真、电函等。</w:t>
      </w:r>
    </w:p>
    <w:p>
      <w:pPr>
        <w:widowControl/>
        <w:spacing w:line="360" w:lineRule="auto"/>
        <w:ind w:firstLine="420" w:firstLineChars="200"/>
        <w:jc w:val="left"/>
        <w:rPr>
          <w:rFonts w:hint="eastAsia" w:ascii="宋体" w:hAnsi="宋体"/>
          <w:b/>
          <w:color w:val="auto"/>
          <w:kern w:val="0"/>
          <w:highlight w:val="none"/>
        </w:rPr>
      </w:pPr>
      <w:r>
        <w:rPr>
          <w:rFonts w:hint="eastAsia" w:ascii="宋体" w:hAnsi="宋体"/>
          <w:color w:val="auto"/>
          <w:kern w:val="0"/>
          <w:highlight w:val="none"/>
        </w:rPr>
        <w:t>7、“★”系指实质性要求条款，供应商的投标对任何带“★”号的重要商务和技术条款的偏离和未作实质性响应都将直接导致投标无效。</w:t>
      </w:r>
    </w:p>
    <w:p>
      <w:pPr>
        <w:widowControl/>
        <w:spacing w:line="360" w:lineRule="auto"/>
        <w:jc w:val="left"/>
        <w:rPr>
          <w:rFonts w:hint="eastAsia" w:ascii="宋体" w:hAnsi="宋体"/>
          <w:color w:val="auto"/>
          <w:kern w:val="0"/>
          <w:highlight w:val="none"/>
        </w:rPr>
      </w:pPr>
      <w:r>
        <w:rPr>
          <w:rFonts w:hint="eastAsia" w:ascii="宋体" w:hAnsi="宋体"/>
          <w:color w:val="auto"/>
          <w:kern w:val="0"/>
          <w:highlight w:val="none"/>
        </w:rPr>
        <w:t>（三）招标方式</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本次招标采用公开招标方式进行。</w:t>
      </w:r>
    </w:p>
    <w:p>
      <w:pPr>
        <w:widowControl/>
        <w:spacing w:line="360" w:lineRule="auto"/>
        <w:jc w:val="left"/>
        <w:rPr>
          <w:rFonts w:hint="eastAsia" w:ascii="宋体" w:hAnsi="宋体"/>
          <w:color w:val="auto"/>
          <w:kern w:val="0"/>
          <w:highlight w:val="none"/>
        </w:rPr>
      </w:pPr>
      <w:r>
        <w:rPr>
          <w:rFonts w:hint="eastAsia" w:ascii="宋体" w:hAnsi="宋体"/>
          <w:color w:val="auto"/>
          <w:kern w:val="0"/>
          <w:highlight w:val="none"/>
        </w:rPr>
        <w:t>（四）投标委托</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如供应商派授权代表出席开标会议，授权代表须携带有效身份证件。如供应商代表不是法定代表人，须有法定代表人出具的授权委托书（正本用原件，副本用复印件，格式见第六章）。</w:t>
      </w:r>
    </w:p>
    <w:p>
      <w:pPr>
        <w:widowControl/>
        <w:spacing w:line="360" w:lineRule="auto"/>
        <w:jc w:val="left"/>
        <w:rPr>
          <w:rFonts w:hint="eastAsia" w:ascii="宋体" w:hAnsi="宋体"/>
          <w:color w:val="auto"/>
          <w:kern w:val="0"/>
          <w:highlight w:val="none"/>
        </w:rPr>
      </w:pPr>
      <w:r>
        <w:rPr>
          <w:rFonts w:hint="eastAsia" w:ascii="宋体" w:hAnsi="宋体"/>
          <w:color w:val="auto"/>
          <w:kern w:val="0"/>
          <w:highlight w:val="none"/>
        </w:rPr>
        <w:t>（五）投标费用</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不论投标结果如何，供应商均应自行承担所有与投标有关的全部费用（招标文件有其他规定除外）。</w:t>
      </w:r>
    </w:p>
    <w:p>
      <w:pPr>
        <w:widowControl/>
        <w:spacing w:line="360" w:lineRule="auto"/>
        <w:jc w:val="left"/>
        <w:rPr>
          <w:rFonts w:hint="eastAsia" w:ascii="宋体" w:hAnsi="宋体"/>
          <w:color w:val="auto"/>
          <w:kern w:val="0"/>
          <w:highlight w:val="none"/>
        </w:rPr>
      </w:pPr>
      <w:r>
        <w:rPr>
          <w:rFonts w:hint="eastAsia" w:ascii="宋体" w:hAnsi="宋体"/>
          <w:color w:val="auto"/>
          <w:kern w:val="0"/>
          <w:highlight w:val="none"/>
        </w:rPr>
        <w:t>（六）联合体投标</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本项目不接受联合体投标。</w:t>
      </w:r>
    </w:p>
    <w:p>
      <w:pPr>
        <w:widowControl/>
        <w:spacing w:line="360" w:lineRule="auto"/>
        <w:jc w:val="left"/>
        <w:rPr>
          <w:rFonts w:hint="eastAsia" w:ascii="宋体" w:hAnsi="宋体"/>
          <w:color w:val="auto"/>
          <w:kern w:val="0"/>
          <w:highlight w:val="none"/>
        </w:rPr>
      </w:pPr>
      <w:r>
        <w:rPr>
          <w:rFonts w:hint="eastAsia" w:ascii="宋体" w:hAnsi="宋体"/>
          <w:color w:val="auto"/>
          <w:kern w:val="0"/>
          <w:highlight w:val="none"/>
        </w:rPr>
        <w:t>（七）转包与分包</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本项目不允许转包；未经采购人同意，不允许分包。</w:t>
      </w:r>
    </w:p>
    <w:p>
      <w:pPr>
        <w:widowControl/>
        <w:spacing w:line="360" w:lineRule="auto"/>
        <w:jc w:val="left"/>
        <w:rPr>
          <w:rFonts w:hint="eastAsia" w:ascii="宋体" w:hAnsi="宋体"/>
          <w:color w:val="auto"/>
          <w:kern w:val="0"/>
          <w:highlight w:val="none"/>
        </w:rPr>
      </w:pPr>
      <w:r>
        <w:rPr>
          <w:rFonts w:hint="eastAsia" w:ascii="宋体" w:hAnsi="宋体"/>
          <w:color w:val="auto"/>
          <w:kern w:val="0"/>
          <w:highlight w:val="none"/>
        </w:rPr>
        <w:t>（八）特别说明：</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1、提供相同品牌产品且通过资格审查、符合性审查的不同供应商参加同一合同项下投标的，按一家供应商计算。</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若采用综合评分法进行评审的，评审后得分最高的同品牌供应商获得中标人推荐资格；评审得分相同的，由评标委员会按照招标文件规定的方式确定一个供应商获得中标人的推荐资格，招标文件未规定的采取随机抽取的方式确定，其他同品牌供应商不作为中标候选人。</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若采用最低评标价法进行评审的，以报价最低的供应商参加评审，报价相同的，由评标委员会按照招标文件规定的方式确定一个供应商获得中标人的推荐资格，招标文件未规定的采取随机抽取的方式确定，其他投标无效。</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 xml:space="preserve"> 非单一产品采购项目，供应商使用相同制造产品（相同制造产品是指招标文件中指定的“核心产品”）作为其项目的一部分，按一家供应商认定。</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2、供应商在投标活动中提供任何虚假材料,其投标无效，并报监管部门查处；中标后发现的,中标人须依照相关规定赔偿采购人，且民事赔偿并不免除违法供应商的行政与刑事责任。</w:t>
      </w:r>
    </w:p>
    <w:p>
      <w:pPr>
        <w:widowControl/>
        <w:snapToGrid w:val="0"/>
        <w:spacing w:line="360" w:lineRule="auto"/>
        <w:ind w:left="2" w:leftChars="1" w:firstLine="420" w:firstLineChars="200"/>
        <w:jc w:val="left"/>
        <w:rPr>
          <w:rFonts w:hint="eastAsia" w:ascii="宋体" w:hAnsi="宋体"/>
          <w:color w:val="auto"/>
          <w:highlight w:val="none"/>
        </w:rPr>
      </w:pPr>
      <w:r>
        <w:rPr>
          <w:rFonts w:hint="eastAsia" w:ascii="宋体" w:hAnsi="宋体"/>
          <w:color w:val="auto"/>
          <w:highlight w:val="none"/>
        </w:rPr>
        <w:t xml:space="preserve">3、招标文件的澄清与修改 </w:t>
      </w:r>
    </w:p>
    <w:p>
      <w:pPr>
        <w:widowControl/>
        <w:snapToGrid w:val="0"/>
        <w:spacing w:line="360" w:lineRule="auto"/>
        <w:ind w:left="2" w:leftChars="1" w:firstLine="420" w:firstLineChars="200"/>
        <w:jc w:val="left"/>
        <w:rPr>
          <w:rFonts w:hint="eastAsia" w:ascii="宋体" w:hAnsi="宋体"/>
          <w:color w:val="auto"/>
          <w:highlight w:val="none"/>
        </w:rPr>
      </w:pPr>
      <w:r>
        <w:rPr>
          <w:rFonts w:hint="eastAsia" w:ascii="宋体" w:hAnsi="宋体"/>
          <w:color w:val="auto"/>
          <w:highlight w:val="none"/>
        </w:rPr>
        <w:t>（1）采购人或者采购代理机构对招标文件进行必要的澄清或者修改的，澄清或者修改在原公告发布媒体上发布澄清公告。澄清或者修改的内容可能影响投标文件编制的，澄清公告</w:t>
      </w:r>
      <w:r>
        <w:rPr>
          <w:rFonts w:hint="eastAsia" w:ascii="宋体" w:hAnsi="宋体"/>
          <w:color w:val="auto"/>
          <w:kern w:val="1"/>
          <w:highlight w:val="none"/>
        </w:rPr>
        <w:t>在投标截止时间至少15日前发出；</w:t>
      </w:r>
      <w:r>
        <w:rPr>
          <w:rFonts w:hint="eastAsia" w:ascii="宋体" w:hAnsi="宋体"/>
          <w:color w:val="auto"/>
          <w:highlight w:val="none"/>
        </w:rPr>
        <w:t>不足15日的，顺延提交投标文件的截止时间。</w:t>
      </w:r>
    </w:p>
    <w:p>
      <w:pPr>
        <w:widowControl/>
        <w:snapToGrid w:val="0"/>
        <w:spacing w:line="360" w:lineRule="auto"/>
        <w:ind w:left="2" w:leftChars="1" w:firstLine="420" w:firstLineChars="200"/>
        <w:jc w:val="left"/>
        <w:rPr>
          <w:rFonts w:hint="eastAsia" w:ascii="宋体" w:hAnsi="宋体"/>
          <w:color w:val="auto"/>
          <w:highlight w:val="none"/>
        </w:rPr>
      </w:pPr>
      <w:r>
        <w:rPr>
          <w:rFonts w:hint="eastAsia" w:ascii="宋体" w:hAnsi="宋体"/>
          <w:color w:val="auto"/>
          <w:highlight w:val="none"/>
        </w:rPr>
        <w:t>（2）澄清公告为招标文件的组成部分，一经在网站发布，视同已通知所有招标文件的收受人，不再采用其它方式传达相关信息, 若因未能及时了解到上述网站上发布的相关信息而导致的一切后果自行承担。</w:t>
      </w:r>
    </w:p>
    <w:p>
      <w:pPr>
        <w:widowControl/>
        <w:snapToGrid w:val="0"/>
        <w:spacing w:line="360" w:lineRule="auto"/>
        <w:ind w:left="2" w:leftChars="1" w:firstLine="420" w:firstLineChars="200"/>
        <w:jc w:val="left"/>
        <w:rPr>
          <w:rFonts w:hint="eastAsia" w:ascii="宋体" w:hAnsi="宋体"/>
          <w:color w:val="auto"/>
          <w:highlight w:val="none"/>
        </w:rPr>
      </w:pPr>
      <w:r>
        <w:rPr>
          <w:rFonts w:hint="eastAsia" w:ascii="宋体" w:hAnsi="宋体"/>
          <w:color w:val="auto"/>
          <w:highlight w:val="none"/>
        </w:rPr>
        <w:t>（3）招标文件澄清、答复、修改、补充的内容为招标文件的组成部分。当招标文件与招标文件的答复、澄清、修改、补充通知就同一内容的表述不一致时，以最后发出的澄清公告为准。</w:t>
      </w:r>
    </w:p>
    <w:p>
      <w:pPr>
        <w:widowControl/>
        <w:snapToGrid w:val="0"/>
        <w:spacing w:line="360" w:lineRule="auto"/>
        <w:ind w:left="2" w:leftChars="1" w:firstLine="420" w:firstLineChars="200"/>
        <w:jc w:val="left"/>
        <w:rPr>
          <w:rFonts w:hint="eastAsia" w:ascii="宋体" w:hAnsi="宋体"/>
          <w:color w:val="auto"/>
          <w:highlight w:val="none"/>
        </w:rPr>
      </w:pPr>
      <w:r>
        <w:rPr>
          <w:rFonts w:hint="eastAsia" w:ascii="宋体" w:hAnsi="宋体"/>
          <w:color w:val="auto"/>
          <w:highlight w:val="none"/>
        </w:rPr>
        <w:t>（4）招标文件的澄清、答复、修改或补充都应该通过本代理机构以法定形式发布，采购人非通过本机构，不得擅自澄清、答复、修改或补充招标文件。</w:t>
      </w:r>
    </w:p>
    <w:p>
      <w:pPr>
        <w:widowControl/>
        <w:snapToGrid w:val="0"/>
        <w:spacing w:line="360" w:lineRule="auto"/>
        <w:ind w:left="2" w:leftChars="1" w:firstLine="420" w:firstLineChars="200"/>
        <w:jc w:val="left"/>
        <w:rPr>
          <w:rFonts w:hint="eastAsia" w:ascii="宋体" w:hAnsi="宋体"/>
          <w:color w:val="auto"/>
          <w:highlight w:val="none"/>
        </w:rPr>
      </w:pPr>
      <w:r>
        <w:rPr>
          <w:rFonts w:hint="eastAsia" w:ascii="宋体" w:hAnsi="宋体"/>
          <w:color w:val="auto"/>
          <w:highlight w:val="none"/>
        </w:rPr>
        <w:t>4、关于分公司投标</w:t>
      </w:r>
    </w:p>
    <w:p>
      <w:pPr>
        <w:widowControl/>
        <w:snapToGrid w:val="0"/>
        <w:spacing w:line="360" w:lineRule="auto"/>
        <w:ind w:left="2" w:leftChars="1" w:firstLine="420" w:firstLineChars="200"/>
        <w:jc w:val="left"/>
        <w:rPr>
          <w:rFonts w:hint="eastAsia" w:ascii="宋体" w:hAnsi="宋体"/>
          <w:color w:val="auto"/>
          <w:highlight w:val="none"/>
        </w:rPr>
      </w:pPr>
      <w:r>
        <w:rPr>
          <w:rFonts w:hint="eastAsia" w:ascii="宋体" w:hAnsi="宋体"/>
          <w:color w:val="auto"/>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widowControl/>
        <w:snapToGrid w:val="0"/>
        <w:spacing w:line="360" w:lineRule="auto"/>
        <w:ind w:left="2" w:leftChars="1" w:firstLine="420" w:firstLineChars="200"/>
        <w:jc w:val="left"/>
        <w:rPr>
          <w:rFonts w:hint="eastAsia" w:ascii="宋体" w:hAnsi="宋体"/>
          <w:color w:val="auto"/>
          <w:highlight w:val="none"/>
        </w:rPr>
      </w:pPr>
      <w:r>
        <w:rPr>
          <w:rFonts w:hint="eastAsia" w:ascii="宋体" w:hAnsi="宋体"/>
          <w:color w:val="auto"/>
          <w:highlight w:val="none"/>
        </w:rPr>
        <w:t>5、关于知识产权</w:t>
      </w:r>
    </w:p>
    <w:p>
      <w:pPr>
        <w:widowControl/>
        <w:snapToGrid w:val="0"/>
        <w:spacing w:line="360" w:lineRule="auto"/>
        <w:ind w:left="2" w:leftChars="1" w:firstLine="420" w:firstLineChars="200"/>
        <w:jc w:val="left"/>
        <w:rPr>
          <w:rFonts w:hint="eastAsia" w:ascii="宋体" w:hAnsi="宋体"/>
          <w:color w:val="auto"/>
          <w:highlight w:val="none"/>
        </w:rPr>
      </w:pPr>
      <w:r>
        <w:rPr>
          <w:rFonts w:hint="eastAsia" w:ascii="宋体" w:hAnsi="宋体"/>
          <w:color w:val="auto"/>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widowControl/>
        <w:snapToGrid w:val="0"/>
        <w:spacing w:line="360" w:lineRule="auto"/>
        <w:ind w:left="2" w:leftChars="1" w:firstLine="420" w:firstLineChars="200"/>
        <w:jc w:val="left"/>
        <w:rPr>
          <w:rFonts w:hint="eastAsia" w:ascii="宋体" w:hAnsi="宋体"/>
          <w:color w:val="auto"/>
          <w:highlight w:val="none"/>
        </w:rPr>
      </w:pPr>
      <w:r>
        <w:rPr>
          <w:rFonts w:hint="eastAsia" w:ascii="宋体" w:hAnsi="宋体"/>
          <w:color w:val="auto"/>
          <w:highlight w:val="none"/>
        </w:rPr>
        <w:t>（2）投标报价应包含所有应向所有权人支付的专利权、商标权或其它知识产权的一切相关费用。</w:t>
      </w:r>
    </w:p>
    <w:p>
      <w:pPr>
        <w:widowControl/>
        <w:snapToGrid w:val="0"/>
        <w:spacing w:line="360" w:lineRule="auto"/>
        <w:ind w:left="2" w:leftChars="1" w:firstLine="420" w:firstLineChars="200"/>
        <w:jc w:val="left"/>
        <w:rPr>
          <w:rFonts w:hint="eastAsia" w:ascii="宋体" w:hAnsi="宋体"/>
          <w:color w:val="auto"/>
          <w:highlight w:val="none"/>
        </w:rPr>
      </w:pPr>
      <w:r>
        <w:rPr>
          <w:rFonts w:hint="eastAsia" w:ascii="宋体" w:hAnsi="宋体"/>
          <w:color w:val="auto"/>
          <w:highlight w:val="none"/>
        </w:rPr>
        <w:t>（3）系统软件、通用软件必须是具有在中国境内的合法使用权或版权的正版软件，涉及到第三方提出侵权或知识产权的起诉及支付版税等费用由供应商承担所有责任及费用。</w:t>
      </w:r>
    </w:p>
    <w:p>
      <w:pPr>
        <w:widowControl/>
        <w:snapToGrid w:val="0"/>
        <w:spacing w:line="360" w:lineRule="auto"/>
        <w:ind w:left="2" w:leftChars="1" w:firstLine="420" w:firstLineChars="200"/>
        <w:jc w:val="left"/>
        <w:rPr>
          <w:rFonts w:hint="eastAsia" w:ascii="宋体" w:hAnsi="宋体"/>
          <w:color w:val="auto"/>
          <w:highlight w:val="none"/>
        </w:rPr>
      </w:pPr>
      <w:r>
        <w:rPr>
          <w:rFonts w:hint="eastAsia" w:ascii="宋体" w:hAnsi="宋体"/>
          <w:color w:val="auto"/>
          <w:highlight w:val="none"/>
        </w:rPr>
        <w:t>6、供应商的风险</w:t>
      </w:r>
    </w:p>
    <w:p>
      <w:pPr>
        <w:widowControl/>
        <w:snapToGrid w:val="0"/>
        <w:spacing w:line="360" w:lineRule="auto"/>
        <w:ind w:left="2" w:leftChars="1" w:firstLine="420" w:firstLineChars="200"/>
        <w:jc w:val="left"/>
        <w:rPr>
          <w:rFonts w:hint="eastAsia" w:ascii="宋体" w:hAnsi="宋体"/>
          <w:color w:val="auto"/>
          <w:highlight w:val="none"/>
        </w:rPr>
      </w:pPr>
      <w:r>
        <w:rPr>
          <w:rFonts w:hint="eastAsia" w:ascii="宋体" w:hAnsi="宋体"/>
          <w:color w:val="auto"/>
          <w:highlight w:val="none"/>
        </w:rPr>
        <w:t>（1）供应商应详细阅读招标文件中的全部内容和要求，按照招标文件的要求提交投标文件，没有按照招标文件要求提供投标文件和资料导致的风险由供应商承担,并对所提供的全部资料的真实性承担法律责任。</w:t>
      </w:r>
    </w:p>
    <w:p>
      <w:pPr>
        <w:widowControl/>
        <w:snapToGrid w:val="0"/>
        <w:spacing w:line="360" w:lineRule="auto"/>
        <w:ind w:left="2" w:leftChars="1" w:firstLine="420" w:firstLineChars="200"/>
        <w:jc w:val="left"/>
        <w:rPr>
          <w:rFonts w:hint="eastAsia" w:ascii="宋体" w:hAnsi="宋体"/>
          <w:color w:val="auto"/>
          <w:highlight w:val="none"/>
        </w:rPr>
      </w:pPr>
      <w:r>
        <w:rPr>
          <w:rFonts w:hint="eastAsia" w:ascii="宋体" w:hAnsi="宋体"/>
          <w:color w:val="auto"/>
          <w:highlight w:val="none"/>
        </w:rPr>
        <w:t>（2）无论因何种原因导致本次采购活动终止致供应商损失的，相关责任人均不承担任何责任。</w:t>
      </w:r>
    </w:p>
    <w:p>
      <w:pPr>
        <w:widowControl/>
        <w:snapToGrid w:val="0"/>
        <w:spacing w:line="360" w:lineRule="auto"/>
        <w:ind w:left="2" w:leftChars="1" w:firstLine="420" w:firstLineChars="200"/>
        <w:jc w:val="left"/>
        <w:rPr>
          <w:rFonts w:hint="eastAsia" w:ascii="宋体" w:hAnsi="宋体"/>
          <w:b/>
          <w:color w:val="auto"/>
          <w:highlight w:val="none"/>
        </w:rPr>
      </w:pPr>
      <w:r>
        <w:rPr>
          <w:rFonts w:hint="eastAsia" w:ascii="宋体" w:hAnsi="宋体"/>
          <w:color w:val="auto"/>
          <w:highlight w:val="none"/>
        </w:rPr>
        <w:t>7、解释：本招标文件的解释权属于采购人。</w:t>
      </w:r>
    </w:p>
    <w:p>
      <w:pPr>
        <w:widowControl/>
        <w:spacing w:line="360" w:lineRule="auto"/>
        <w:jc w:val="left"/>
        <w:rPr>
          <w:rFonts w:hint="eastAsia" w:ascii="宋体" w:hAnsi="宋体"/>
          <w:color w:val="auto"/>
          <w:kern w:val="0"/>
          <w:highlight w:val="none"/>
        </w:rPr>
      </w:pPr>
      <w:bookmarkStart w:id="27" w:name="_Toc13650"/>
      <w:r>
        <w:rPr>
          <w:rFonts w:hint="eastAsia" w:ascii="宋体" w:hAnsi="宋体"/>
          <w:color w:val="auto"/>
          <w:kern w:val="0"/>
          <w:highlight w:val="none"/>
        </w:rPr>
        <w:t>（九）质疑和投诉</w:t>
      </w:r>
      <w:bookmarkEnd w:id="27"/>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1、供应商认为招标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2、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3、供应商提出质疑应当提交质疑函和必要的证明材料，质疑函应当面以书面形式提出，质疑函格式和内容须符合财政部《质疑函范本》要求，供应商可到浙江政府采购网下载专区下载。</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有关联系方式。</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5、供应商对采购人或采购代理机构的质疑答复不满意或者采购人或采购代理机构未在规定时间内作出答复的，可以在答复期满后十五个工作日内向同级采购监管部门投诉。质疑函范本、投诉书范本请到浙江政府采购网下载专区下载。</w:t>
      </w:r>
    </w:p>
    <w:p>
      <w:pPr>
        <w:widowControl/>
        <w:spacing w:line="360" w:lineRule="auto"/>
        <w:jc w:val="left"/>
        <w:rPr>
          <w:rFonts w:hint="eastAsia" w:ascii="宋体" w:hAnsi="宋体"/>
          <w:b/>
          <w:color w:val="auto"/>
          <w:kern w:val="0"/>
          <w:highlight w:val="none"/>
        </w:rPr>
      </w:pPr>
      <w:r>
        <w:rPr>
          <w:rFonts w:hint="eastAsia" w:ascii="宋体" w:hAnsi="宋体"/>
          <w:b/>
          <w:color w:val="auto"/>
          <w:kern w:val="0"/>
          <w:highlight w:val="none"/>
        </w:rPr>
        <w:t>二、招标文件</w:t>
      </w:r>
    </w:p>
    <w:p>
      <w:pPr>
        <w:widowControl/>
        <w:spacing w:line="360" w:lineRule="auto"/>
        <w:jc w:val="left"/>
        <w:rPr>
          <w:rFonts w:hint="eastAsia" w:ascii="宋体" w:hAnsi="宋体"/>
          <w:color w:val="auto"/>
          <w:kern w:val="0"/>
          <w:highlight w:val="none"/>
        </w:rPr>
      </w:pPr>
      <w:r>
        <w:rPr>
          <w:rFonts w:hint="eastAsia" w:ascii="宋体" w:hAnsi="宋体"/>
          <w:color w:val="auto"/>
          <w:kern w:val="0"/>
          <w:highlight w:val="none"/>
        </w:rPr>
        <w:t>（一）招标文件的构成。本招标文件由以下部份组成：</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1、公开招标公告</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2、采购需求</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3、供应商须知</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4、评标办法及评分标准</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5、政府采购合同主要条款</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6、投标文件格式</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7、本项目招标文件的澄清、答复、修改、补充的内容</w:t>
      </w:r>
    </w:p>
    <w:p>
      <w:pPr>
        <w:widowControl/>
        <w:spacing w:line="360" w:lineRule="auto"/>
        <w:jc w:val="left"/>
        <w:rPr>
          <w:rFonts w:hint="eastAsia" w:ascii="宋体" w:hAnsi="宋体"/>
          <w:color w:val="auto"/>
          <w:kern w:val="0"/>
          <w:highlight w:val="none"/>
        </w:rPr>
      </w:pPr>
      <w:r>
        <w:rPr>
          <w:rFonts w:hint="eastAsia" w:ascii="宋体" w:hAnsi="宋体"/>
          <w:color w:val="auto"/>
          <w:kern w:val="0"/>
          <w:highlight w:val="none"/>
        </w:rPr>
        <w:t>（二）供应商的风险</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供应商没有按照招标文件要求提供全部资料，或者供应商没有对招标文件在各方面作出实质性响应是供应商的风险，并可能导致其投标被拒绝。</w:t>
      </w:r>
    </w:p>
    <w:p>
      <w:pPr>
        <w:widowControl/>
        <w:spacing w:line="360" w:lineRule="auto"/>
        <w:jc w:val="left"/>
        <w:rPr>
          <w:rFonts w:hint="eastAsia" w:ascii="宋体" w:hAnsi="宋体"/>
          <w:b/>
          <w:color w:val="auto"/>
          <w:kern w:val="0"/>
          <w:highlight w:val="none"/>
        </w:rPr>
      </w:pPr>
      <w:r>
        <w:rPr>
          <w:rFonts w:hint="eastAsia" w:ascii="宋体" w:hAnsi="宋体"/>
          <w:b/>
          <w:color w:val="auto"/>
          <w:kern w:val="0"/>
          <w:highlight w:val="none"/>
        </w:rPr>
        <w:t>三、投标文件的编制</w:t>
      </w:r>
    </w:p>
    <w:p>
      <w:pPr>
        <w:widowControl/>
        <w:spacing w:line="360" w:lineRule="auto"/>
        <w:jc w:val="left"/>
        <w:rPr>
          <w:rFonts w:hint="eastAsia" w:ascii="宋体" w:hAnsi="宋体"/>
          <w:color w:val="auto"/>
          <w:kern w:val="0"/>
          <w:highlight w:val="none"/>
        </w:rPr>
      </w:pPr>
      <w:r>
        <w:rPr>
          <w:rFonts w:hint="eastAsia" w:ascii="宋体" w:hAnsi="宋体"/>
          <w:color w:val="auto"/>
          <w:kern w:val="0"/>
          <w:highlight w:val="none"/>
        </w:rPr>
        <w:t>（一）投标文件的组成</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投标文件由资格文件、商务技术文件和报价文件三部分组成。</w:t>
      </w:r>
      <w:r>
        <w:rPr>
          <w:rFonts w:hint="eastAsia" w:ascii="宋体" w:hAnsi="宋体"/>
          <w:b/>
          <w:color w:val="auto"/>
          <w:kern w:val="0"/>
          <w:highlight w:val="none"/>
        </w:rPr>
        <w:t>（纸质备份投标文件：资格文件、商务技术文件二部分可一起装订成册，报价文件须单独装订成册）</w:t>
      </w:r>
    </w:p>
    <w:p>
      <w:pPr>
        <w:snapToGrid w:val="0"/>
        <w:spacing w:line="360" w:lineRule="auto"/>
        <w:ind w:left="210" w:leftChars="100"/>
        <w:jc w:val="left"/>
        <w:rPr>
          <w:rFonts w:hint="eastAsia" w:ascii="宋体" w:hAnsi="宋体"/>
          <w:b/>
          <w:color w:val="auto"/>
          <w:kern w:val="0"/>
          <w:highlight w:val="none"/>
        </w:rPr>
      </w:pPr>
      <w:r>
        <w:rPr>
          <w:rFonts w:hint="eastAsia" w:ascii="宋体" w:hAnsi="宋体"/>
          <w:b/>
          <w:color w:val="auto"/>
          <w:kern w:val="0"/>
          <w:highlight w:val="none"/>
        </w:rPr>
        <w:t>1、资格文件：</w:t>
      </w:r>
    </w:p>
    <w:p>
      <w:pPr>
        <w:widowControl/>
        <w:numPr>
          <w:ilvl w:val="0"/>
          <w:numId w:val="13"/>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供应商资格声明函（格式见附件）；</w:t>
      </w:r>
    </w:p>
    <w:p>
      <w:pPr>
        <w:widowControl/>
        <w:numPr>
          <w:ilvl w:val="0"/>
          <w:numId w:val="13"/>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有效的企业法人营业执照（或事业法人登记证）、其他组织（个体工商户）的营业执照或者民办非企业单位登记证书复印件；投标供应商如果有名称变更的，应提供由行政主管部门出具的变更证明文件。若以不具有独立承担民事责任能力的分支机构投标，须取得具有法人资格的总公司的授权书，并提供总公司营业执照副本复印件；</w:t>
      </w:r>
    </w:p>
    <w:p>
      <w:pPr>
        <w:widowControl/>
        <w:numPr>
          <w:ilvl w:val="0"/>
          <w:numId w:val="13"/>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供应商特定资格条件的证明文件：详见“第一章  公开招标公告 二、申请人的资格要求：3.本项目的特定资格要求”；</w:t>
      </w:r>
    </w:p>
    <w:p>
      <w:p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（4）招标文件要求的其他资格条件证明材料（如有）；</w:t>
      </w:r>
    </w:p>
    <w:p>
      <w:pPr>
        <w:snapToGrid w:val="0"/>
        <w:spacing w:line="360" w:lineRule="auto"/>
        <w:ind w:left="210" w:leftChars="100"/>
        <w:jc w:val="left"/>
        <w:rPr>
          <w:rFonts w:hint="eastAsia" w:ascii="宋体" w:hAnsi="宋体"/>
          <w:b/>
          <w:color w:val="auto"/>
          <w:kern w:val="0"/>
          <w:highlight w:val="none"/>
        </w:rPr>
      </w:pPr>
      <w:r>
        <w:rPr>
          <w:rFonts w:hint="eastAsia" w:ascii="宋体" w:hAnsi="宋体"/>
          <w:b/>
          <w:color w:val="auto"/>
          <w:kern w:val="0"/>
          <w:highlight w:val="none"/>
        </w:rPr>
        <w:t>2、商务技术文件</w:t>
      </w:r>
    </w:p>
    <w:p>
      <w:pPr>
        <w:widowControl/>
        <w:numPr>
          <w:ilvl w:val="0"/>
          <w:numId w:val="14"/>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符合性自查表（格式见附件）；</w:t>
      </w:r>
    </w:p>
    <w:p>
      <w:pPr>
        <w:widowControl/>
        <w:numPr>
          <w:ilvl w:val="0"/>
          <w:numId w:val="14"/>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供应商响应表（格式见附件）；</w:t>
      </w:r>
    </w:p>
    <w:p>
      <w:pPr>
        <w:widowControl/>
        <w:numPr>
          <w:ilvl w:val="0"/>
          <w:numId w:val="14"/>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技术部分：针对本项目第二章采购需求及第四章评分标准中的条款拟定各种方案，格式自拟；</w:t>
      </w:r>
    </w:p>
    <w:p>
      <w:pPr>
        <w:widowControl/>
        <w:numPr>
          <w:ilvl w:val="0"/>
          <w:numId w:val="14"/>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投标函（格式见附件）；</w:t>
      </w:r>
    </w:p>
    <w:p>
      <w:pPr>
        <w:widowControl/>
        <w:numPr>
          <w:ilvl w:val="0"/>
          <w:numId w:val="14"/>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法定代表人身份证明或法定代表人授权委托书（格式见附件）；</w:t>
      </w:r>
    </w:p>
    <w:p>
      <w:pPr>
        <w:widowControl/>
        <w:numPr>
          <w:ilvl w:val="0"/>
          <w:numId w:val="14"/>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技术（服务）条款偏离表（格式见附件）；</w:t>
      </w:r>
      <w:r>
        <w:rPr>
          <w:rFonts w:hint="eastAsia" w:ascii="宋体" w:hAnsi="宋体"/>
          <w:color w:val="auto"/>
          <w:kern w:val="0"/>
          <w:highlight w:val="none"/>
        </w:rPr>
        <w:tab/>
      </w:r>
    </w:p>
    <w:p>
      <w:pPr>
        <w:widowControl/>
        <w:numPr>
          <w:ilvl w:val="0"/>
          <w:numId w:val="14"/>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商务条款偏离表（格式见附件）；</w:t>
      </w:r>
    </w:p>
    <w:p>
      <w:pPr>
        <w:widowControl/>
        <w:numPr>
          <w:ilvl w:val="0"/>
          <w:numId w:val="14"/>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供应商情况一览表（格式见附件）；</w:t>
      </w:r>
    </w:p>
    <w:p>
      <w:pPr>
        <w:widowControl/>
        <w:numPr>
          <w:ilvl w:val="0"/>
          <w:numId w:val="14"/>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企业业绩表（格式见附件）；</w:t>
      </w:r>
    </w:p>
    <w:p>
      <w:pPr>
        <w:widowControl/>
        <w:numPr>
          <w:ilvl w:val="0"/>
          <w:numId w:val="14"/>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第四章评标办法及评分标准中需提供的其他相关资质证书及合同复印件加盖公章；</w:t>
      </w:r>
    </w:p>
    <w:p>
      <w:pPr>
        <w:widowControl/>
        <w:numPr>
          <w:ilvl w:val="0"/>
          <w:numId w:val="14"/>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lang w:eastAsia="zh-CN"/>
        </w:rPr>
        <w:t>承诺函（格式见附件）；</w:t>
      </w:r>
    </w:p>
    <w:p>
      <w:pPr>
        <w:widowControl/>
        <w:numPr>
          <w:ilvl w:val="0"/>
          <w:numId w:val="14"/>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供应商认为有需要提供的其它证明资料。</w:t>
      </w:r>
    </w:p>
    <w:p>
      <w:pPr>
        <w:snapToGrid w:val="0"/>
        <w:spacing w:line="360" w:lineRule="auto"/>
        <w:ind w:left="210" w:leftChars="100"/>
        <w:jc w:val="left"/>
        <w:rPr>
          <w:rFonts w:hint="eastAsia" w:ascii="宋体" w:hAnsi="宋体"/>
          <w:b/>
          <w:color w:val="auto"/>
          <w:kern w:val="0"/>
          <w:highlight w:val="none"/>
        </w:rPr>
      </w:pPr>
      <w:r>
        <w:rPr>
          <w:rFonts w:hint="eastAsia" w:ascii="宋体" w:hAnsi="宋体"/>
          <w:b/>
          <w:color w:val="auto"/>
          <w:kern w:val="0"/>
          <w:highlight w:val="none"/>
        </w:rPr>
        <w:t>3、报价文件：</w:t>
      </w:r>
    </w:p>
    <w:p>
      <w:pPr>
        <w:widowControl/>
        <w:numPr>
          <w:ilvl w:val="0"/>
          <w:numId w:val="15"/>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开标一览表（格式见附件）；</w:t>
      </w:r>
    </w:p>
    <w:p>
      <w:pPr>
        <w:widowControl/>
        <w:numPr>
          <w:ilvl w:val="0"/>
          <w:numId w:val="15"/>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投标报价明细表（格式见附件）；</w:t>
      </w:r>
    </w:p>
    <w:p>
      <w:pPr>
        <w:widowControl/>
        <w:numPr>
          <w:ilvl w:val="0"/>
          <w:numId w:val="15"/>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中小企业声明函（如有，格式见附件）；</w:t>
      </w:r>
    </w:p>
    <w:p>
      <w:pPr>
        <w:widowControl/>
        <w:numPr>
          <w:ilvl w:val="0"/>
          <w:numId w:val="15"/>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残疾人福利性单位声明函（如有）（格式见附件）；</w:t>
      </w:r>
    </w:p>
    <w:p>
      <w:pPr>
        <w:widowControl/>
        <w:numPr>
          <w:ilvl w:val="0"/>
          <w:numId w:val="15"/>
        </w:numPr>
        <w:snapToGrid w:val="0"/>
        <w:spacing w:line="360" w:lineRule="auto"/>
        <w:ind w:left="210" w:leftChars="100"/>
        <w:jc w:val="left"/>
        <w:rPr>
          <w:rFonts w:hint="eastAsia" w:ascii="宋体" w:hAnsi="宋体"/>
          <w:color w:val="auto"/>
          <w:kern w:val="0"/>
          <w:highlight w:val="none"/>
        </w:rPr>
      </w:pPr>
      <w:r>
        <w:rPr>
          <w:rFonts w:hint="eastAsia" w:ascii="宋体" w:hAnsi="宋体"/>
          <w:color w:val="auto"/>
          <w:kern w:val="0"/>
          <w:highlight w:val="none"/>
        </w:rPr>
        <w:t>供应商针对报价需要说明的其他文件和说明（格式见附件）。</w:t>
      </w:r>
    </w:p>
    <w:p>
      <w:pPr>
        <w:widowControl/>
        <w:spacing w:line="360" w:lineRule="auto"/>
        <w:ind w:firstLine="422" w:firstLineChars="200"/>
        <w:jc w:val="left"/>
        <w:rPr>
          <w:rFonts w:hint="eastAsia" w:ascii="宋体" w:hAnsi="宋体"/>
          <w:b/>
          <w:color w:val="auto"/>
          <w:kern w:val="0"/>
          <w:highlight w:val="none"/>
        </w:rPr>
      </w:pPr>
      <w:r>
        <w:rPr>
          <w:rFonts w:hint="eastAsia" w:ascii="宋体" w:hAnsi="宋体"/>
          <w:b/>
          <w:color w:val="auto"/>
          <w:kern w:val="0"/>
          <w:highlight w:val="none"/>
        </w:rPr>
        <w:t>★ 注：法定代表人授权委托书必须由法定代表人签署（签名或印章）并加盖单位公章；供应商资格声明函、投标函、开标一览表必须由法定代表人或授权代表签署（签名或印章）并加盖单位公章。</w:t>
      </w:r>
    </w:p>
    <w:p>
      <w:pPr>
        <w:spacing w:line="360" w:lineRule="auto"/>
        <w:rPr>
          <w:rFonts w:hint="eastAsia" w:ascii="宋体" w:hAnsi="宋体"/>
          <w:color w:val="auto"/>
          <w:highlight w:val="none"/>
        </w:rPr>
      </w:pPr>
      <w:r>
        <w:rPr>
          <w:rFonts w:hint="eastAsia" w:ascii="宋体" w:hAnsi="宋体"/>
          <w:color w:val="auto"/>
          <w:highlight w:val="none"/>
        </w:rPr>
        <w:t>（二）投标文件的语言及计量</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★1、投标文件以及供应商与采购人就有关投标事宜的所有来往函电，均应以中文汉语书写。除签名、盖章、专用名称等特殊情形外，以中文汉语以外的文字表述的投标文件视同未提供。</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★2、投标计量单位，招标文件已有明确规定的，使用招标文件规定的计量单位；招标文件没有规定的，应采用中华人民共和国法定计量单位（货币单位：人民币元），否则视同未响应。</w:t>
      </w:r>
    </w:p>
    <w:p>
      <w:pPr>
        <w:widowControl/>
        <w:spacing w:line="360" w:lineRule="auto"/>
        <w:jc w:val="left"/>
        <w:rPr>
          <w:rFonts w:hint="eastAsia" w:ascii="宋体" w:hAnsi="宋体"/>
          <w:color w:val="auto"/>
          <w:kern w:val="0"/>
          <w:highlight w:val="none"/>
        </w:rPr>
      </w:pPr>
      <w:r>
        <w:rPr>
          <w:rFonts w:hint="eastAsia" w:ascii="宋体" w:hAnsi="宋体"/>
          <w:color w:val="auto"/>
          <w:kern w:val="0"/>
          <w:highlight w:val="none"/>
        </w:rPr>
        <w:t>（三）投标报价</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1、投标报价应按招标文件中相关附表格式填写。</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★2、投标报价是履行合同的最终价格，具体详见第三章 供应商须知。</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★3、投标文件只允许有一个报价，有选择的或有条件的报价将不予接受。</w:t>
      </w:r>
    </w:p>
    <w:p>
      <w:pPr>
        <w:widowControl/>
        <w:spacing w:line="360" w:lineRule="auto"/>
        <w:jc w:val="left"/>
        <w:rPr>
          <w:rFonts w:hint="eastAsia" w:ascii="宋体" w:hAnsi="宋体"/>
          <w:color w:val="auto"/>
          <w:kern w:val="0"/>
          <w:highlight w:val="none"/>
        </w:rPr>
      </w:pPr>
      <w:r>
        <w:rPr>
          <w:rFonts w:hint="eastAsia" w:ascii="宋体" w:hAnsi="宋体"/>
          <w:color w:val="auto"/>
          <w:kern w:val="0"/>
          <w:highlight w:val="none"/>
        </w:rPr>
        <w:t>（四）投标文件的有效期</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★1、自投标截止日起90 天投标文件应保持有效。</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2、在特殊情况下，采购人可与供应商协商延长投标书的有效期，这种要求和答复均以书面形式进行。</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 xml:space="preserve">3、供应商同意延长有效期的，不能修改投标文件。 </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4、中标人的投标文件自开标之日起至合同履行完毕止均应保持有效。</w:t>
      </w:r>
    </w:p>
    <w:p>
      <w:pPr>
        <w:widowControl/>
        <w:spacing w:line="360" w:lineRule="auto"/>
        <w:jc w:val="left"/>
        <w:rPr>
          <w:rFonts w:hint="eastAsia" w:ascii="宋体" w:hAnsi="宋体"/>
          <w:color w:val="auto"/>
          <w:kern w:val="0"/>
          <w:highlight w:val="none"/>
        </w:rPr>
      </w:pPr>
      <w:r>
        <w:rPr>
          <w:rFonts w:hint="eastAsia" w:ascii="宋体" w:hAnsi="宋体"/>
          <w:color w:val="auto"/>
          <w:kern w:val="0"/>
          <w:highlight w:val="none"/>
        </w:rPr>
        <w:t>（五）投标文件的签署和份数</w:t>
      </w:r>
    </w:p>
    <w:p>
      <w:pPr>
        <w:widowControl/>
        <w:spacing w:line="360" w:lineRule="auto"/>
        <w:ind w:firstLine="525" w:firstLineChars="250"/>
        <w:jc w:val="left"/>
        <w:rPr>
          <w:rFonts w:hint="eastAsia" w:ascii="宋体" w:hAnsi="宋体"/>
          <w:color w:val="auto"/>
          <w:kern w:val="0"/>
          <w:highlight w:val="none"/>
        </w:rPr>
      </w:pPr>
      <w:r>
        <w:rPr>
          <w:rFonts w:hint="eastAsia" w:ascii="宋体" w:hAnsi="宋体"/>
          <w:color w:val="auto"/>
          <w:kern w:val="0"/>
          <w:highlight w:val="none"/>
        </w:rPr>
        <w:t>1、供应商应按本招标文件规定的格式和顺序编制、装订投标文件，投标文件要求有目录并标注页码，投标文件内容不完整、编排混乱导致投标文件被误读、漏读或者查找不到相关内容的，是供应商的责任。</w:t>
      </w:r>
    </w:p>
    <w:p>
      <w:pPr>
        <w:widowControl/>
        <w:spacing w:line="360" w:lineRule="auto"/>
        <w:ind w:firstLine="525" w:firstLineChars="250"/>
        <w:jc w:val="left"/>
        <w:rPr>
          <w:rFonts w:hint="eastAsia" w:ascii="宋体" w:hAnsi="宋体"/>
          <w:color w:val="auto"/>
          <w:kern w:val="0"/>
          <w:highlight w:val="none"/>
        </w:rPr>
      </w:pPr>
      <w:r>
        <w:rPr>
          <w:rFonts w:hint="eastAsia" w:ascii="宋体" w:hAnsi="宋体"/>
          <w:color w:val="auto"/>
          <w:kern w:val="0"/>
          <w:highlight w:val="none"/>
        </w:rPr>
        <w:t>2、投标文件的份数：</w:t>
      </w:r>
    </w:p>
    <w:p>
      <w:pPr>
        <w:widowControl/>
        <w:spacing w:line="360" w:lineRule="auto"/>
        <w:ind w:firstLine="525" w:firstLineChars="250"/>
        <w:jc w:val="left"/>
        <w:rPr>
          <w:rFonts w:hint="eastAsia" w:ascii="宋体" w:hAnsi="宋体"/>
          <w:color w:val="auto"/>
          <w:kern w:val="0"/>
          <w:highlight w:val="none"/>
        </w:rPr>
      </w:pPr>
      <w:r>
        <w:rPr>
          <w:rFonts w:hint="eastAsia" w:ascii="宋体" w:hAnsi="宋体"/>
          <w:color w:val="auto"/>
          <w:kern w:val="0"/>
          <w:highlight w:val="none"/>
        </w:rPr>
        <w:t>本项目实行网上投标，供应商应准备以下投标文件：</w:t>
      </w:r>
    </w:p>
    <w:p>
      <w:pPr>
        <w:widowControl/>
        <w:spacing w:line="360" w:lineRule="auto"/>
        <w:ind w:firstLine="525" w:firstLineChars="250"/>
        <w:jc w:val="left"/>
        <w:rPr>
          <w:rFonts w:hint="eastAsia" w:ascii="宋体" w:hAnsi="宋体"/>
          <w:color w:val="auto"/>
          <w:kern w:val="0"/>
          <w:highlight w:val="none"/>
        </w:rPr>
      </w:pPr>
      <w:r>
        <w:rPr>
          <w:rFonts w:hint="eastAsia" w:ascii="宋体" w:hAnsi="宋体"/>
          <w:color w:val="auto"/>
          <w:kern w:val="0"/>
          <w:highlight w:val="none"/>
        </w:rPr>
        <w:t>（1）上传到政府采购云平台的电子投标文件（含资格文件、商务技术文件、报价文件）1份。</w:t>
      </w:r>
    </w:p>
    <w:p>
      <w:pPr>
        <w:widowControl/>
        <w:spacing w:line="360" w:lineRule="auto"/>
        <w:ind w:firstLine="525" w:firstLineChars="250"/>
        <w:jc w:val="left"/>
        <w:rPr>
          <w:rFonts w:hint="eastAsia" w:ascii="宋体" w:hAnsi="宋体"/>
          <w:color w:val="auto"/>
          <w:kern w:val="0"/>
          <w:highlight w:val="none"/>
        </w:rPr>
      </w:pPr>
      <w:r>
        <w:rPr>
          <w:rFonts w:hint="eastAsia" w:ascii="宋体" w:hAnsi="宋体"/>
          <w:color w:val="auto"/>
          <w:kern w:val="0"/>
          <w:highlight w:val="none"/>
        </w:rPr>
        <w:t>（2）以U盘存储的电子备份投标文件（含资格文件、商务技术文件、报价文件）1份。</w:t>
      </w:r>
    </w:p>
    <w:p>
      <w:pPr>
        <w:widowControl/>
        <w:spacing w:line="360" w:lineRule="auto"/>
        <w:ind w:firstLine="525" w:firstLineChars="250"/>
        <w:jc w:val="left"/>
        <w:rPr>
          <w:rFonts w:hint="eastAsia" w:ascii="宋体" w:hAnsi="宋体"/>
          <w:color w:val="auto"/>
          <w:kern w:val="0"/>
          <w:highlight w:val="none"/>
        </w:rPr>
      </w:pPr>
      <w:r>
        <w:rPr>
          <w:rFonts w:hint="eastAsia" w:ascii="宋体" w:hAnsi="宋体"/>
          <w:color w:val="auto"/>
          <w:kern w:val="0"/>
          <w:highlight w:val="none"/>
        </w:rPr>
        <w:t xml:space="preserve">（3）纸质备份投标文件：资格、商务技术文件（正本1份，副本4份）、报价文件（正本1份，副本4份）。 </w:t>
      </w:r>
    </w:p>
    <w:p>
      <w:pPr>
        <w:widowControl/>
        <w:spacing w:line="360" w:lineRule="auto"/>
        <w:ind w:firstLine="525" w:firstLineChars="250"/>
        <w:jc w:val="left"/>
        <w:rPr>
          <w:rFonts w:hint="eastAsia" w:ascii="宋体" w:hAnsi="宋体"/>
          <w:color w:val="auto"/>
          <w:kern w:val="0"/>
          <w:highlight w:val="none"/>
        </w:rPr>
      </w:pPr>
      <w:r>
        <w:rPr>
          <w:rFonts w:hint="eastAsia" w:ascii="宋体" w:hAnsi="宋体"/>
          <w:color w:val="auto"/>
          <w:kern w:val="0"/>
          <w:highlight w:val="none"/>
        </w:rPr>
        <w:t>3、电子投标文件：</w:t>
      </w:r>
    </w:p>
    <w:p>
      <w:pPr>
        <w:widowControl/>
        <w:spacing w:line="360" w:lineRule="auto"/>
        <w:ind w:firstLine="525" w:firstLineChars="250"/>
        <w:jc w:val="left"/>
        <w:rPr>
          <w:rFonts w:hint="eastAsia" w:ascii="宋体" w:hAnsi="宋体"/>
          <w:color w:val="auto"/>
          <w:kern w:val="0"/>
          <w:highlight w:val="none"/>
        </w:rPr>
      </w:pPr>
      <w:r>
        <w:rPr>
          <w:rFonts w:hint="eastAsia" w:ascii="宋体" w:hAnsi="宋体"/>
          <w:color w:val="auto"/>
          <w:kern w:val="0"/>
          <w:highlight w:val="none"/>
        </w:rPr>
        <w:t>3.1供应商应根据政府采购云平台的要求及本招标文件规定的格式和顺序编制电子投标文件并进行关联定位。</w:t>
      </w:r>
    </w:p>
    <w:p>
      <w:pPr>
        <w:widowControl/>
        <w:spacing w:line="360" w:lineRule="auto"/>
        <w:ind w:firstLine="525" w:firstLineChars="250"/>
        <w:jc w:val="left"/>
        <w:rPr>
          <w:rFonts w:hint="eastAsia" w:ascii="宋体" w:hAnsi="宋体"/>
          <w:color w:val="auto"/>
          <w:kern w:val="0"/>
          <w:highlight w:val="none"/>
        </w:rPr>
      </w:pPr>
      <w:r>
        <w:rPr>
          <w:rFonts w:hint="eastAsia" w:ascii="宋体" w:hAnsi="宋体"/>
          <w:color w:val="auto"/>
          <w:kern w:val="0"/>
          <w:highlight w:val="none"/>
        </w:rPr>
        <w:t>4、纸质备份投标文件：</w:t>
      </w:r>
    </w:p>
    <w:p>
      <w:pPr>
        <w:widowControl/>
        <w:spacing w:line="360" w:lineRule="auto"/>
        <w:ind w:firstLine="525" w:firstLineChars="250"/>
        <w:jc w:val="left"/>
        <w:rPr>
          <w:rFonts w:hint="eastAsia" w:ascii="宋体" w:hAnsi="宋体"/>
          <w:color w:val="auto"/>
          <w:kern w:val="0"/>
          <w:highlight w:val="none"/>
        </w:rPr>
      </w:pPr>
      <w:r>
        <w:rPr>
          <w:rFonts w:hint="eastAsia" w:ascii="宋体" w:hAnsi="宋体"/>
          <w:color w:val="auto"/>
          <w:kern w:val="0"/>
          <w:highlight w:val="none"/>
        </w:rPr>
        <w:t>4.1投标文件应按招标文件要求由资格文件、商务技术文件和报价文件三部分组成。资格文件、商务技术文件二部分可一起装订成册，报价文件须单独装订成册。投标文件的封面应注明“正本”、“副本”字样。</w:t>
      </w:r>
    </w:p>
    <w:p>
      <w:pPr>
        <w:widowControl/>
        <w:spacing w:line="360" w:lineRule="auto"/>
        <w:ind w:firstLine="525" w:firstLineChars="250"/>
        <w:jc w:val="left"/>
        <w:rPr>
          <w:rFonts w:hint="eastAsia" w:ascii="宋体" w:hAnsi="宋体"/>
          <w:color w:val="auto"/>
          <w:kern w:val="0"/>
          <w:highlight w:val="none"/>
        </w:rPr>
      </w:pPr>
      <w:r>
        <w:rPr>
          <w:rFonts w:hint="eastAsia" w:ascii="宋体" w:hAnsi="宋体"/>
          <w:color w:val="auto"/>
          <w:kern w:val="0"/>
          <w:highlight w:val="none"/>
        </w:rPr>
        <w:t>4.2若有多个标项，资格文件、商务技术文件二部分可装订成一册，报价文件应按标项分别装订、密封、包装，未按规定装订、密封、包装的投标文件将被拒绝。</w:t>
      </w:r>
    </w:p>
    <w:p>
      <w:pPr>
        <w:widowControl/>
        <w:spacing w:line="360" w:lineRule="auto"/>
        <w:ind w:firstLine="525" w:firstLineChars="250"/>
        <w:jc w:val="left"/>
        <w:rPr>
          <w:rFonts w:hint="eastAsia" w:ascii="宋体" w:hAnsi="宋体"/>
          <w:color w:val="auto"/>
          <w:kern w:val="0"/>
          <w:highlight w:val="none"/>
        </w:rPr>
      </w:pPr>
      <w:r>
        <w:rPr>
          <w:rFonts w:hint="eastAsia" w:ascii="宋体" w:hAnsi="宋体"/>
          <w:color w:val="auto"/>
          <w:kern w:val="0"/>
          <w:highlight w:val="none"/>
        </w:rPr>
        <w:t>4.3投标文件的正本需打印或用不褪色的墨水填写，投标文件正本除本《供应商须知》中规定的可提供复印件外均须提供原件。副本可以为正本的复印件，投标文件正、副本内容不一致的，以正本为准。</w:t>
      </w:r>
    </w:p>
    <w:p>
      <w:pPr>
        <w:widowControl/>
        <w:spacing w:line="360" w:lineRule="auto"/>
        <w:ind w:firstLine="525" w:firstLineChars="250"/>
        <w:jc w:val="left"/>
        <w:rPr>
          <w:rFonts w:hint="eastAsia" w:ascii="宋体" w:hAnsi="宋体"/>
          <w:color w:val="auto"/>
          <w:kern w:val="0"/>
          <w:highlight w:val="none"/>
        </w:rPr>
      </w:pPr>
      <w:r>
        <w:rPr>
          <w:rFonts w:hint="eastAsia" w:ascii="宋体" w:hAnsi="宋体"/>
          <w:color w:val="auto"/>
          <w:kern w:val="0"/>
          <w:highlight w:val="none"/>
        </w:rPr>
        <w:t>4.4投标文件不得涂改，若有修改错漏处，须加盖单位公章或者法定代表人或授权委托人签名或盖章。投标文件因字迹潦草或表达不清所引起的后果由供应商负责。</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4.5投标文件须由供应商在规定位置盖章并由法定代表人或法定代表人的授权委托人签署，供应商应写全称。</w:t>
      </w:r>
    </w:p>
    <w:p>
      <w:pPr>
        <w:widowControl/>
        <w:spacing w:line="360" w:lineRule="auto"/>
        <w:jc w:val="left"/>
        <w:rPr>
          <w:rFonts w:hint="eastAsia" w:ascii="宋体" w:hAnsi="宋体"/>
          <w:color w:val="auto"/>
          <w:kern w:val="0"/>
          <w:highlight w:val="none"/>
        </w:rPr>
      </w:pPr>
      <w:r>
        <w:rPr>
          <w:rFonts w:hint="eastAsia" w:ascii="宋体" w:hAnsi="宋体"/>
          <w:color w:val="auto"/>
          <w:kern w:val="0"/>
          <w:highlight w:val="none"/>
        </w:rPr>
        <w:t>（六）投标文件的包装、递交、修改和撤回</w:t>
      </w:r>
    </w:p>
    <w:p>
      <w:pPr>
        <w:widowControl/>
        <w:snapToGrid w:val="0"/>
        <w:spacing w:line="360" w:lineRule="auto"/>
        <w:ind w:firstLine="420"/>
        <w:jc w:val="left"/>
        <w:rPr>
          <w:rFonts w:hint="eastAsia" w:ascii="宋体" w:hAnsi="宋体"/>
          <w:color w:val="auto"/>
          <w:kern w:val="0"/>
          <w:highlight w:val="none"/>
        </w:rPr>
      </w:pPr>
      <w:r>
        <w:rPr>
          <w:rFonts w:hint="eastAsia" w:ascii="宋体" w:hAnsi="宋体"/>
          <w:color w:val="auto"/>
          <w:kern w:val="0"/>
          <w:highlight w:val="none"/>
        </w:rPr>
        <w:t>1、以U盘存储的电子备份投标文件用封袋密封后递交。</w:t>
      </w:r>
    </w:p>
    <w:p>
      <w:pPr>
        <w:widowControl/>
        <w:snapToGrid w:val="0"/>
        <w:spacing w:line="360" w:lineRule="auto"/>
        <w:ind w:firstLine="420"/>
        <w:jc w:val="left"/>
        <w:rPr>
          <w:rFonts w:hint="eastAsia" w:ascii="宋体" w:hAnsi="宋体"/>
          <w:color w:val="auto"/>
          <w:kern w:val="0"/>
          <w:highlight w:val="none"/>
        </w:rPr>
      </w:pPr>
      <w:r>
        <w:rPr>
          <w:rFonts w:hint="eastAsia" w:ascii="宋体" w:hAnsi="宋体"/>
          <w:color w:val="auto"/>
          <w:kern w:val="0"/>
          <w:highlight w:val="none"/>
        </w:rPr>
        <w:t>2、纸质备份投标文件，要求分别按资格、商务技术文件和报价文件二部分分开包装。</w:t>
      </w:r>
    </w:p>
    <w:p>
      <w:pPr>
        <w:widowControl/>
        <w:snapToGrid w:val="0"/>
        <w:spacing w:line="360" w:lineRule="auto"/>
        <w:ind w:firstLine="420"/>
        <w:jc w:val="left"/>
        <w:rPr>
          <w:rFonts w:hint="eastAsia" w:ascii="宋体" w:hAnsi="宋体"/>
          <w:color w:val="auto"/>
          <w:kern w:val="0"/>
          <w:highlight w:val="none"/>
        </w:rPr>
      </w:pPr>
      <w:r>
        <w:rPr>
          <w:rFonts w:hint="eastAsia" w:ascii="宋体" w:hAnsi="宋体"/>
          <w:color w:val="auto"/>
          <w:kern w:val="0"/>
          <w:highlight w:val="none"/>
        </w:rPr>
        <w:t>3、投标文件的包装封面上应注明供应商名称、供应商地址、投标文件名称(电子备份投标文件/资格文件/商务技术文件/报价文件/资格、商务技术文件)、投标项目名称、项目编号、标项号，并加盖供应商公章。</w:t>
      </w:r>
    </w:p>
    <w:p>
      <w:pPr>
        <w:widowControl/>
        <w:snapToGrid w:val="0"/>
        <w:spacing w:line="360" w:lineRule="auto"/>
        <w:ind w:firstLine="420"/>
        <w:jc w:val="left"/>
        <w:rPr>
          <w:rFonts w:hint="eastAsia" w:ascii="宋体" w:hAnsi="宋体"/>
          <w:color w:val="auto"/>
          <w:kern w:val="0"/>
          <w:highlight w:val="none"/>
        </w:rPr>
      </w:pPr>
      <w:r>
        <w:rPr>
          <w:rFonts w:hint="eastAsia" w:ascii="宋体" w:hAnsi="宋体"/>
          <w:color w:val="auto"/>
          <w:kern w:val="0"/>
          <w:highlight w:val="none"/>
        </w:rPr>
        <w:t>4、未按规定密封或标记的投标文件将被拒绝，由此造成投标文件被误投或提前拆封的风险由供应商承担。</w:t>
      </w:r>
    </w:p>
    <w:p>
      <w:pPr>
        <w:widowControl/>
        <w:snapToGrid w:val="0"/>
        <w:spacing w:line="360" w:lineRule="auto"/>
        <w:ind w:firstLine="420"/>
        <w:jc w:val="left"/>
        <w:rPr>
          <w:rFonts w:hint="eastAsia" w:ascii="宋体" w:hAnsi="宋体"/>
          <w:color w:val="auto"/>
          <w:kern w:val="0"/>
          <w:highlight w:val="none"/>
        </w:rPr>
      </w:pPr>
      <w:r>
        <w:rPr>
          <w:rFonts w:hint="eastAsia" w:ascii="宋体" w:hAnsi="宋体"/>
          <w:color w:val="auto"/>
          <w:kern w:val="0"/>
          <w:highlight w:val="none"/>
        </w:rPr>
        <w:t>5、供应商在投标截止时间之前，可以对已提交的电子备份投标文件和纸质备份投标文件进行修改或撤回，并书面通知招标采购单位；投标截止时间后，供应商不得撤回、修改投标文件。修改后重新递交的电子备份投标文件和纸质备份投标文件应当按本招标文件的要求签署、盖章和密封。</w:t>
      </w:r>
    </w:p>
    <w:p>
      <w:pPr>
        <w:widowControl/>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6、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widowControl/>
        <w:spacing w:line="360" w:lineRule="auto"/>
        <w:jc w:val="left"/>
        <w:rPr>
          <w:rFonts w:hint="eastAsia" w:ascii="宋体" w:hAnsi="宋体"/>
          <w:b/>
          <w:color w:val="auto"/>
          <w:kern w:val="0"/>
          <w:highlight w:val="none"/>
        </w:rPr>
      </w:pPr>
      <w:r>
        <w:rPr>
          <w:rFonts w:hint="eastAsia" w:ascii="宋体" w:hAnsi="宋体"/>
          <w:b/>
          <w:color w:val="auto"/>
          <w:kern w:val="0"/>
          <w:highlight w:val="none"/>
        </w:rPr>
        <w:t>四、特别说明</w:t>
      </w:r>
    </w:p>
    <w:p>
      <w:pPr>
        <w:widowControl w:val="0"/>
        <w:spacing w:line="336" w:lineRule="auto"/>
        <w:ind w:firstLine="420"/>
        <w:jc w:val="left"/>
        <w:rPr>
          <w:rFonts w:hint="eastAsia" w:ascii="宋体" w:hAnsi="宋体" w:eastAsia="宋体" w:cs="宋体"/>
          <w:color w:val="auto"/>
          <w:kern w:val="2"/>
          <w:szCs w:val="21"/>
          <w:highlight w:val="none"/>
          <w:lang w:bidi="ar"/>
        </w:rPr>
      </w:pPr>
      <w:r>
        <w:rPr>
          <w:rFonts w:hint="eastAsia" w:ascii="宋体" w:hAnsi="宋体" w:eastAsia="宋体" w:cs="宋体"/>
          <w:color w:val="auto"/>
          <w:kern w:val="2"/>
          <w:szCs w:val="21"/>
          <w:highlight w:val="none"/>
          <w:lang w:bidi="ar"/>
        </w:rPr>
        <w:t>1、本项目</w:t>
      </w:r>
      <w:r>
        <w:rPr>
          <w:rFonts w:hint="eastAsia" w:ascii="宋体" w:hAnsi="宋体" w:eastAsia="宋体" w:cs="宋体"/>
          <w:color w:val="auto"/>
          <w:kern w:val="2"/>
          <w:szCs w:val="21"/>
          <w:highlight w:val="none"/>
          <w:u w:val="single"/>
          <w:lang w:bidi="ar"/>
        </w:rPr>
        <w:t xml:space="preserve"> 非 </w:t>
      </w:r>
      <w:r>
        <w:rPr>
          <w:rFonts w:hint="eastAsia" w:ascii="宋体" w:hAnsi="宋体" w:eastAsia="宋体" w:cs="宋体"/>
          <w:color w:val="auto"/>
          <w:kern w:val="2"/>
          <w:szCs w:val="21"/>
          <w:highlight w:val="none"/>
          <w:lang w:bidi="ar"/>
        </w:rPr>
        <w:t>专门面向中小企业采购。</w:t>
      </w:r>
    </w:p>
    <w:p>
      <w:pPr>
        <w:widowControl w:val="0"/>
        <w:spacing w:line="336" w:lineRule="auto"/>
        <w:ind w:firstLine="420"/>
        <w:jc w:val="left"/>
        <w:rPr>
          <w:rFonts w:hint="eastAsia" w:ascii="宋体" w:hAnsi="宋体" w:eastAsia="宋体" w:cs="宋体"/>
          <w:color w:val="auto"/>
          <w:kern w:val="2"/>
          <w:szCs w:val="21"/>
          <w:highlight w:val="none"/>
          <w:lang w:bidi="ar"/>
        </w:rPr>
      </w:pPr>
      <w:r>
        <w:rPr>
          <w:rFonts w:hint="eastAsia" w:ascii="宋体" w:hAnsi="宋体" w:eastAsia="宋体" w:cs="宋体"/>
          <w:color w:val="auto"/>
          <w:kern w:val="2"/>
          <w:szCs w:val="21"/>
          <w:highlight w:val="none"/>
          <w:lang w:bidi="ar"/>
        </w:rPr>
        <w:t>2、本项目对应的中小企业划分标准所属行业：</w:t>
      </w:r>
      <w:r>
        <w:rPr>
          <w:rFonts w:hint="eastAsia" w:ascii="宋体" w:hAnsi="宋体" w:eastAsia="宋体" w:cs="宋体"/>
          <w:b/>
          <w:bCs/>
          <w:color w:val="auto"/>
          <w:kern w:val="2"/>
          <w:szCs w:val="21"/>
          <w:highlight w:val="none"/>
          <w:u w:val="single"/>
          <w:lang w:bidi="ar"/>
        </w:rPr>
        <w:t>其他未列明行业</w:t>
      </w:r>
      <w:r>
        <w:rPr>
          <w:rFonts w:hint="eastAsia" w:ascii="宋体" w:hAnsi="宋体" w:eastAsia="宋体" w:cs="宋体"/>
          <w:color w:val="auto"/>
          <w:kern w:val="2"/>
          <w:szCs w:val="21"/>
          <w:highlight w:val="none"/>
          <w:lang w:bidi="ar"/>
        </w:rPr>
        <w:t xml:space="preserve">。 </w:t>
      </w:r>
    </w:p>
    <w:p>
      <w:pPr>
        <w:widowControl w:val="0"/>
        <w:spacing w:line="336" w:lineRule="auto"/>
        <w:ind w:firstLine="42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3、小微企业是指中华人民共和国境内依法设立，依据国务院批准的中小企业划分标准确定的小型企业和微型企业，但与大企业的负责人为同一人，或者与大企业存在直接控股、管理关系的除外。</w:t>
      </w:r>
    </w:p>
    <w:p>
      <w:pPr>
        <w:widowControl w:val="0"/>
        <w:spacing w:line="336" w:lineRule="auto"/>
        <w:ind w:firstLine="42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符合中小企业划分标准的个体工商户，在政府采购活动中视同中小企业。</w:t>
      </w:r>
    </w:p>
    <w:p>
      <w:pPr>
        <w:widowControl w:val="0"/>
        <w:spacing w:line="336" w:lineRule="auto"/>
        <w:ind w:firstLine="42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国务院批准的中小企业划分标准：具体见工信部联企业[2011]300号。</w:t>
      </w:r>
    </w:p>
    <w:p>
      <w:pPr>
        <w:widowControl w:val="0"/>
        <w:spacing w:line="336" w:lineRule="auto"/>
        <w:ind w:firstLine="42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4、在政府采购活动中，供应商提供的货物、工程或者服务符合下列情形的，可享受小型、微型企业（以下简称小微企业）的价格扣除：</w:t>
      </w:r>
    </w:p>
    <w:p>
      <w:pPr>
        <w:widowControl w:val="0"/>
        <w:spacing w:line="336" w:lineRule="auto"/>
        <w:ind w:firstLine="42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（1）在货物采购项目中，货物由小微企业制造，即货物由小微企业生产且使用该小微企业商号或者注册商标；</w:t>
      </w:r>
    </w:p>
    <w:p>
      <w:pPr>
        <w:widowControl w:val="0"/>
        <w:spacing w:line="336" w:lineRule="auto"/>
        <w:ind w:firstLine="42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（2）在工程采购项目中，工程由小微企业承建，即工程施工单位为小微企业；</w:t>
      </w:r>
    </w:p>
    <w:p>
      <w:pPr>
        <w:widowControl w:val="0"/>
        <w:spacing w:line="336" w:lineRule="auto"/>
        <w:ind w:firstLine="42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（3）在服务采购项目中，服务由小微企业承接，即提供服务的人员为小微企业依照《中华人民共和国劳动合同法》订立劳动合同的从业人员。</w:t>
      </w:r>
    </w:p>
    <w:p>
      <w:pPr>
        <w:widowControl w:val="0"/>
        <w:spacing w:line="336" w:lineRule="auto"/>
        <w:ind w:firstLine="42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以联合体形式参加政府采购活动，联合体各方均为小微企业的，联合体视同小微企业。</w:t>
      </w:r>
    </w:p>
    <w:p>
      <w:pPr>
        <w:widowControl w:val="0"/>
        <w:spacing w:line="336" w:lineRule="auto"/>
        <w:ind w:firstLine="42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5、在货物采购项目中，供应商提供的货物既有中小企业制造货物，也有大型企业制造货物的，不享受的小微企业价格扣除。</w:t>
      </w:r>
    </w:p>
    <w:p>
      <w:pPr>
        <w:widowControl w:val="0"/>
        <w:spacing w:line="336" w:lineRule="auto"/>
        <w:ind w:firstLine="42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6、本项目对符合《政府采购促进中小企业发展管理办法》（财库﹝2020﹞46号）规定的小微企业报价给予 6%（工程项目为 3%）的扣除，用扣除后的价格参加评审。</w:t>
      </w:r>
    </w:p>
    <w:p>
      <w:pPr>
        <w:widowControl w:val="0"/>
        <w:spacing w:line="336" w:lineRule="auto"/>
        <w:ind w:firstLine="42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2%（工程项目为 1%）的扣除，用扣除后的价格参加评审。组成联合体或者接受分包的小微企业与联合体内其他企业、分包企业之间存在直接控股、管理关系的，不享受价格扣除优惠政策。</w:t>
      </w:r>
    </w:p>
    <w:p>
      <w:pPr>
        <w:widowControl w:val="0"/>
        <w:spacing w:line="336" w:lineRule="auto"/>
        <w:ind w:firstLine="42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7、小微企业应按照招标文件格式要求提供《中小企业声明函》。</w:t>
      </w:r>
    </w:p>
    <w:p>
      <w:pPr>
        <w:widowControl w:val="0"/>
        <w:spacing w:line="336" w:lineRule="auto"/>
        <w:ind w:firstLine="42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widowControl w:val="0"/>
        <w:spacing w:line="336" w:lineRule="auto"/>
        <w:ind w:firstLine="42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9、根据《关于促进残疾人就业政府采购政策的通知》（财库[2017]141号）规定，在政府采购活动中，残疾人福利性单位视同小型、微型企业。残疾人福利性单位参加政府采购活动时，提供《残疾人福利性单位声明函》。</w:t>
      </w:r>
    </w:p>
    <w:p>
      <w:pPr>
        <w:widowControl w:val="0"/>
        <w:spacing w:line="336" w:lineRule="auto"/>
        <w:ind w:firstLine="42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10、按规定享受扶持政策获得政府采购合同的，小微企业不得将合同分包给大中型企业，中型企业不得将合同分包给大型企业。</w:t>
      </w:r>
    </w:p>
    <w:p>
      <w:pPr>
        <w:pStyle w:val="12"/>
        <w:widowControl/>
        <w:snapToGrid w:val="0"/>
        <w:spacing w:before="0" w:beforeLines="0" w:after="0" w:afterLines="0" w:line="360" w:lineRule="auto"/>
        <w:ind w:firstLine="420"/>
        <w:jc w:val="left"/>
        <w:rPr>
          <w:rFonts w:hint="eastAsia" w:hAnsi="宋体" w:eastAsia="宋体" w:cs="宋体"/>
          <w:color w:val="auto"/>
          <w:szCs w:val="21"/>
          <w:highlight w:val="none"/>
          <w:lang w:val="zh-CN"/>
        </w:rPr>
      </w:pPr>
      <w:r>
        <w:rPr>
          <w:rFonts w:hint="eastAsia" w:hAnsi="宋体" w:eastAsia="宋体" w:cs="宋体"/>
          <w:color w:val="auto"/>
          <w:szCs w:val="21"/>
          <w:highlight w:val="none"/>
        </w:rPr>
        <w:t>11、供应商按照《政府采购促进中小企业发展管理办法》（财库﹝2020﹞46号）规定提供声明函内容不实的，属于提供虚假材料谋取中标、成交，依照《中华人民共和国政府采购法》等国家有关规定追究相应责任。</w:t>
      </w:r>
    </w:p>
    <w:p>
      <w:pPr>
        <w:pStyle w:val="57"/>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r>
        <w:rPr>
          <w:rFonts w:hint="eastAsia" w:ascii="宋体" w:hAnsi="宋体" w:cs="宋体"/>
          <w:color w:val="auto"/>
          <w:kern w:val="2"/>
          <w:sz w:val="21"/>
          <w:szCs w:val="21"/>
          <w:highlight w:val="none"/>
          <w:lang w:bidi="ar"/>
        </w:rPr>
        <w:br w:type="page"/>
      </w: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t>第四章  评标办法及评标标准</w:t>
      </w:r>
    </w:p>
    <w:p>
      <w:pPr>
        <w:pStyle w:val="12"/>
        <w:snapToGrid w:val="0"/>
        <w:spacing w:beforeLines="0" w:afterLines="0"/>
        <w:jc w:val="center"/>
        <w:outlineLvl w:val="0"/>
        <w:rPr>
          <w:rFonts w:ascii="黑体" w:hAnsi="宋体" w:eastAsia="黑体"/>
          <w:b/>
          <w:bCs/>
          <w:sz w:val="28"/>
          <w:szCs w:val="28"/>
        </w:rPr>
      </w:pPr>
    </w:p>
    <w:p>
      <w:pPr>
        <w:widowControl/>
        <w:autoSpaceDE w:val="0"/>
        <w:spacing w:line="360" w:lineRule="auto"/>
        <w:ind w:firstLine="422" w:firstLineChars="200"/>
        <w:jc w:val="left"/>
        <w:rPr>
          <w:rFonts w:hint="eastAsia" w:ascii="宋体" w:hAnsi="宋体" w:cs="宋体"/>
          <w:b/>
          <w:color w:val="auto"/>
          <w:kern w:val="0"/>
          <w:szCs w:val="21"/>
          <w:highlight w:val="none"/>
        </w:rPr>
      </w:pPr>
      <w:bookmarkStart w:id="28" w:name="_Toc250837977"/>
      <w:bookmarkStart w:id="29" w:name="_Toc203406683"/>
      <w:bookmarkStart w:id="30" w:name="_Toc202897570"/>
      <w:bookmarkStart w:id="31" w:name="_Toc208222299"/>
      <w:bookmarkStart w:id="32" w:name="_Toc263083254"/>
      <w:bookmarkStart w:id="33" w:name="_Toc243312838"/>
      <w:bookmarkStart w:id="34" w:name="_Toc471938831"/>
      <w:bookmarkStart w:id="35" w:name="_Toc246663002"/>
      <w:r>
        <w:rPr>
          <w:rFonts w:hint="eastAsia" w:ascii="宋体" w:hAnsi="宋体" w:cs="宋体"/>
          <w:b/>
          <w:color w:val="auto"/>
          <w:kern w:val="0"/>
          <w:szCs w:val="21"/>
          <w:highlight w:val="none"/>
          <w:lang w:bidi="ar"/>
        </w:rPr>
        <w:t>本办法严格遵照《中华人民共和国政府采购法》、《政府采购货物和服务招标投标管理办法》，结合项目所在地政府有关政府采购规定和项目的实际情况制定。本次采购为非专门面向中小企业，本次评标将对中小企业声明函满足招标文件要求的小型和微型企业产品的价格给予6%的扣除，对联合体投标（如有）中小企业声明函满足招标文件要求的小型和微型企业产品的价格给予2%的扣除，用扣除后的价格参与评审。</w:t>
      </w:r>
    </w:p>
    <w:p>
      <w:pPr>
        <w:widowControl/>
        <w:autoSpaceDE w:val="0"/>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一、开标准备</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采购代理机构将在规定的时间和地点进行开标，供应商的法定代表人或其授权代表可参加开标会。供应商的法定代表人或其授权代表未参加开标会的，视同放弃开标监督权利、认可开标结果。</w:t>
      </w:r>
    </w:p>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b/>
          <w:color w:val="auto"/>
          <w:kern w:val="0"/>
          <w:szCs w:val="21"/>
          <w:highlight w:val="none"/>
          <w:lang w:bidi="ar"/>
        </w:rPr>
        <w:t>二、开标程序：</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1、电子招投标开标程序：</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第一阶段：</w:t>
      </w:r>
    </w:p>
    <w:p>
      <w:pPr>
        <w:widowControl/>
        <w:numPr>
          <w:ilvl w:val="0"/>
          <w:numId w:val="16"/>
        </w:numPr>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投标截止时间后，供应商登录政府采购云平台，用“项目采购-开标评标”功能对电子投标文件进行在线解密，在线解密电子投标文件时间为开标时间后30分钟内。</w:t>
      </w:r>
    </w:p>
    <w:p>
      <w:pPr>
        <w:widowControl/>
        <w:numPr>
          <w:ilvl w:val="0"/>
          <w:numId w:val="16"/>
        </w:numPr>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在政府采购云平台开启已解密供应商的“资格文件、商务技术文件”，并做开标记录；</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第二阶段：</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（1）在政府采购云平台宣告第一阶段评审无效供应商名单及理由；</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（2）公布经第一阶段评审符合招标文件要求的供应商的商务技术得分情况；</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（3）在政府采购云平台开启除第一阶段无效标外的供应商的“报价文件”，并做开标记录；</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（4）在政府采购云平台公布评审结果。</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（5）开标会议结束。</w:t>
      </w:r>
    </w:p>
    <w:p>
      <w:pPr>
        <w:widowControl/>
        <w:numPr>
          <w:ilvl w:val="0"/>
          <w:numId w:val="17"/>
        </w:numPr>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线下开标程序：</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第一阶段：</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（1）开标会由采购代理机构主持，主持人宣布开标会议开始；</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（2）主持人介绍参加开标会的人员名单； </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（3）主持人宣布评标期间的有关事项，告知应当回避的情形,提请有关人员回避；</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（4）由供应商或其当场推荐的代表检查资格、商务技术文件密封的完整性；</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（5）按各供应商提交投标文件时间的先后顺序打开投标文件的资格、商务技术文件外包装，清点投标文件正本、副本数量，并做开标记录；</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第二阶段：</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（1）由主持人公布第一阶段评审无效供应商名单及理由；</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（2）公布经第一阶段评审符合招标文件要求的供应商的商务技术得分情况；</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（3）由供应商或其当场推荐的代表检查报价文件密封的完整性；</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（4）再开启报价文件，由主持人宣读《开标一览表》中的供应商名称及在其投标文件中承诺的投标报价、交货期（服务期限）等投标内容，以及采购代理机构认为有必要宣读的其他内容；</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（5）采购代理机构做开标记录, 同时由记录人、监督人当场签字确认；</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（6）主持人公布评审结果。</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（7）开标会议结束。</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3、特别说明：政府采购云平台如对电子化开标及评审程序有调整的，按调整后的程序操作。</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本项目原则上采用政采云电子招投标开标程序，但有下情形之一的，按以下情况处理：</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（1）若有供应商在规定时间内无法解密或解密失败，代理机构将开启该供应商递交的以U盘存储的电子备份投标文件，上传至政采云平台项目采购模块，以完成开标，电子投标文件自动失效。</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（2）若因政府采购云平台原因无法读取或电子开评标无法正常进行，代理机构将开启所有供应商递交的纸质备份投标文件，以完成开标，电子投标文件及以U盘存储的电子备份投标文件自动失效。</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（3）采购过程中出现以下情形，导致电子交易平台无法正常运行，或者无法保证电子交易的公平、公正和安全时，采购人（或代理机构）可中止电子交易活动：</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3.1电子交易平台发生故障而无法登录访问的； </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3.2电子交易平台应用或数据库出现错误，不能进行正常操作的；</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3.3电子交易平台发现严重安全漏洞，有潜在泄密危险的；</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3.4病毒发作导致不能进行正常操作的； </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3.5其他无法保证电子交易的公平、公正和安全的情况。</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出现前款规定情形，不影响采购公平、公正性的，采购人（或代理机构）可以待上述情形消除后继续组织电子交易活动，也可以决定某些环节以纸质形式进行。</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（4）未开启的备份投标文件现场予以退还。</w:t>
      </w:r>
    </w:p>
    <w:p>
      <w:pPr>
        <w:widowControl/>
        <w:autoSpaceDE w:val="0"/>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三、评标委员会</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（一）本次招标依法组建评标委员会。</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二）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（三）评审专家有下列情形之一的，受到邀请应主动提出回避，采购当事人也可以要求该评审专家回避：</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1、本人、配偶或直系亲属3年内曾在参加该采购项目的供应商中任职（包括一般工作）或担任顾问，或与参加该采购项目的供应商发生过法律纠纷；</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2、任职单位与采购人或参加该采购项目供应商存在行政隶属关系；</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3、曾经参加过该采购项目的进口产品或招标文件、采购需求、采购方式的论证和咨询服务工作；</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4、是参加该采购项目供应商的上级主管部门、控股或参股单位的工作人员，或与该供应商存在其他经济利益关系；</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5、评审委员会成员之间具有配偶、近亲属关系；</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6、法律、法规、规章规定应当回避以及其他可能影响公正评审的。</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（四）评标委员会判断投标文件的有效性、合格性和响应情况，仅依据供应商所递交一切文件的真实表述，不受与本项目无直接关联的外部信息、传言而影响自身的专业判断。</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widowControl/>
        <w:autoSpaceDE w:val="0"/>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四、评标方法</w:t>
      </w:r>
    </w:p>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（一）本次采购项目的评标方法为：综合评分法。</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采用综合评分法的，评标结果按评审后得分由高到低顺序推荐3名及以上中标候选人。得分相同的，按投标报价由低到高顺序排列。得分且投标报价相同的并列，则抽签决定。</w:t>
      </w:r>
    </w:p>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（二）投标文件的澄清</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1、对于投标文件中含义不明确、同类问题表述不一致或者有明显文字和计算错误的内容，评标委员会应当以书面形式要求供应商作出必要的澄清、说明或者补正。</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2、供应商的澄清、说明或者补正应当采用书面形式（或扫描件上传政采云平台），并加盖公章，或者由法定代表人或其授权的代表签名或盖章。供应商的澄清、说明或者补正不得超出投标文件的范围或者改变投标文件的实质性内容。</w:t>
      </w:r>
    </w:p>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（三）投标文件错误修正原则</w:t>
      </w:r>
    </w:p>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投标文件如果出现计算或表达上的错误，修正错误的原则如下：</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1、投标文件中开标一览表（报价表）内容与投标文件中相应内容不一致的，以开标一览表（报价表）为准；</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2、大写金额和小写金额不一致的，以大写金额为准；</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3、单价金额小数点或者百分比有明显错位的，以开标一览表的总价为准，并修改单价；</w:t>
      </w:r>
    </w:p>
    <w:p>
      <w:pPr>
        <w:widowControl/>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4、总价金额与按单价汇总金额不一致的，以单价金额计算结果为准。</w:t>
      </w:r>
    </w:p>
    <w:p>
      <w:pPr>
        <w:widowControl/>
        <w:numPr>
          <w:ilvl w:val="0"/>
          <w:numId w:val="18"/>
        </w:numPr>
        <w:autoSpaceDE w:val="0"/>
        <w:spacing w:line="360" w:lineRule="auto"/>
        <w:ind w:firstLine="415" w:firstLineChars="198"/>
        <w:rPr>
          <w:rFonts w:hint="eastAsia" w:ascii="宋体" w:hAnsi="宋体" w:cs="宋体"/>
          <w:color w:val="auto"/>
          <w:szCs w:val="21"/>
          <w:highlight w:val="none"/>
        </w:rPr>
      </w:pPr>
      <w:r>
        <w:rPr>
          <w:rFonts w:hint="eastAsia" w:ascii="宋体" w:hAnsi="宋体" w:cs="宋体"/>
          <w:color w:val="auto"/>
          <w:szCs w:val="21"/>
          <w:highlight w:val="none"/>
          <w:lang w:bidi="ar"/>
        </w:rPr>
        <w:t>政采云平台填报的开标一览表中的价格与上传的报价文件中开标一览表的报价不一致的，以上传的报价文件为准。</w:t>
      </w:r>
    </w:p>
    <w:p>
      <w:pPr>
        <w:widowControl/>
        <w:autoSpaceDE w:val="0"/>
        <w:spacing w:line="360" w:lineRule="auto"/>
        <w:ind w:left="17" w:leftChars="8" w:firstLine="396" w:firstLineChars="189"/>
        <w:rPr>
          <w:rFonts w:hint="eastAsia" w:ascii="宋体" w:hAnsi="宋体" w:cs="宋体"/>
          <w:color w:val="auto"/>
          <w:szCs w:val="21"/>
          <w:highlight w:val="none"/>
        </w:rPr>
      </w:pPr>
      <w:r>
        <w:rPr>
          <w:rFonts w:hint="eastAsia" w:ascii="宋体" w:hAnsi="宋体" w:cs="宋体"/>
          <w:color w:val="auto"/>
          <w:szCs w:val="21"/>
          <w:highlight w:val="none"/>
          <w:lang w:bidi="ar"/>
        </w:rPr>
        <w:t>同时出现两种以上不一致的，按照前款规定的顺序修正。修正后的报价按照投标文件澄清第二款的规定经供应商确认后产生约束力，供应商不确认的，其投标无效。</w:t>
      </w:r>
    </w:p>
    <w:p>
      <w:pPr>
        <w:widowControl/>
        <w:numPr>
          <w:ilvl w:val="0"/>
          <w:numId w:val="19"/>
        </w:numPr>
        <w:autoSpaceDE w:val="0"/>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评标程序</w:t>
      </w:r>
    </w:p>
    <w:p>
      <w:pPr>
        <w:widowControl/>
        <w:autoSpaceDE w:val="0"/>
        <w:spacing w:line="360" w:lineRule="auto"/>
        <w:ind w:firstLine="422" w:firstLineChars="200"/>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（一）资格条件审查</w:t>
      </w:r>
    </w:p>
    <w:p>
      <w:pPr>
        <w:widowControl/>
        <w:autoSpaceDE w:val="0"/>
        <w:spacing w:line="360" w:lineRule="auto"/>
        <w:ind w:firstLine="522" w:firstLineChars="249"/>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由采购人或采购代理机构对供应商的资格进行审查。</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tcBorders>
              <w:top w:val="single" w:color="auto" w:sz="4" w:space="0"/>
              <w:left w:val="single" w:color="auto" w:sz="4" w:space="0"/>
              <w:bottom w:val="single" w:color="auto" w:sz="4" w:space="0"/>
              <w:right w:val="single" w:color="auto" w:sz="4" w:space="0"/>
            </w:tcBorders>
            <w:noWrap w:val="0"/>
            <w:vAlign w:val="top"/>
          </w:tcPr>
          <w:p>
            <w:pPr>
              <w:autoSpaceDE w:val="0"/>
              <w:spacing w:line="336" w:lineRule="auto"/>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审查类别</w:t>
            </w:r>
          </w:p>
        </w:tc>
        <w:tc>
          <w:tcPr>
            <w:tcW w:w="6794" w:type="dxa"/>
            <w:tcBorders>
              <w:top w:val="single" w:color="auto" w:sz="4" w:space="0"/>
              <w:left w:val="nil"/>
              <w:bottom w:val="single" w:color="auto" w:sz="4" w:space="0"/>
              <w:right w:val="single" w:color="auto" w:sz="4" w:space="0"/>
            </w:tcBorders>
            <w:noWrap w:val="0"/>
            <w:vAlign w:val="top"/>
          </w:tcPr>
          <w:p>
            <w:pPr>
              <w:autoSpaceDE w:val="0"/>
              <w:spacing w:line="336" w:lineRule="auto"/>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tcBorders>
              <w:top w:val="nil"/>
              <w:left w:val="single" w:color="auto" w:sz="4" w:space="0"/>
              <w:bottom w:val="single" w:color="auto" w:sz="4" w:space="0"/>
              <w:right w:val="single" w:color="auto" w:sz="4" w:space="0"/>
            </w:tcBorders>
            <w:noWrap w:val="0"/>
            <w:vAlign w:val="center"/>
          </w:tcPr>
          <w:p>
            <w:pPr>
              <w:autoSpaceDE w:val="0"/>
              <w:spacing w:line="336"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资格条件审查</w:t>
            </w:r>
          </w:p>
        </w:tc>
        <w:tc>
          <w:tcPr>
            <w:tcW w:w="6794" w:type="dxa"/>
            <w:tcBorders>
              <w:top w:val="single" w:color="auto" w:sz="4" w:space="0"/>
              <w:left w:val="nil"/>
              <w:bottom w:val="single" w:color="auto" w:sz="4" w:space="0"/>
              <w:right w:val="single" w:color="auto" w:sz="4" w:space="0"/>
            </w:tcBorders>
            <w:noWrap w:val="0"/>
            <w:vAlign w:val="top"/>
          </w:tcPr>
          <w:p>
            <w:pPr>
              <w:numPr>
                <w:ilvl w:val="0"/>
                <w:numId w:val="20"/>
              </w:numPr>
              <w:autoSpaceDE w:val="0"/>
              <w:spacing w:line="336"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4" w:type="dxa"/>
            <w:tcBorders>
              <w:top w:val="single" w:color="auto" w:sz="4" w:space="0"/>
              <w:left w:val="nil"/>
              <w:bottom w:val="single" w:color="auto" w:sz="4" w:space="0"/>
              <w:right w:val="single" w:color="auto" w:sz="4" w:space="0"/>
            </w:tcBorders>
            <w:noWrap w:val="0"/>
            <w:vAlign w:val="top"/>
          </w:tcPr>
          <w:p>
            <w:pPr>
              <w:numPr>
                <w:ilvl w:val="0"/>
                <w:numId w:val="20"/>
              </w:numPr>
              <w:autoSpaceDE w:val="0"/>
              <w:spacing w:line="336"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落实政府采购政策需满足的资格要求：无。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4" w:type="dxa"/>
            <w:tcBorders>
              <w:top w:val="single" w:color="auto" w:sz="4" w:space="0"/>
              <w:left w:val="nil"/>
              <w:bottom w:val="single" w:color="auto" w:sz="4" w:space="0"/>
              <w:right w:val="single" w:color="auto" w:sz="4" w:space="0"/>
            </w:tcBorders>
            <w:noWrap w:val="0"/>
            <w:vAlign w:val="top"/>
          </w:tcPr>
          <w:p>
            <w:pPr>
              <w:autoSpaceDE w:val="0"/>
              <w:spacing w:line="336"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（三）特定资格条件：详见“第一章  公开招标公告 二、申请人的资格要求：3.本项目的特定资格要求”；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4" w:type="dxa"/>
            <w:tcBorders>
              <w:top w:val="single" w:color="auto" w:sz="4" w:space="0"/>
              <w:left w:val="nil"/>
              <w:bottom w:val="single" w:color="auto" w:sz="4" w:space="0"/>
              <w:right w:val="single" w:color="auto" w:sz="4" w:space="0"/>
            </w:tcBorders>
            <w:noWrap w:val="0"/>
            <w:vAlign w:val="top"/>
          </w:tcPr>
          <w:p>
            <w:pPr>
              <w:autoSpaceDE w:val="0"/>
              <w:spacing w:line="336"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（四）本项目不接受联合体投标；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4" w:type="dxa"/>
            <w:tcBorders>
              <w:top w:val="single" w:color="auto" w:sz="4" w:space="0"/>
              <w:left w:val="nil"/>
              <w:bottom w:val="single" w:color="auto" w:sz="4" w:space="0"/>
              <w:right w:val="single" w:color="auto" w:sz="4" w:space="0"/>
            </w:tcBorders>
            <w:noWrap w:val="0"/>
            <w:vAlign w:val="top"/>
          </w:tcPr>
          <w:p>
            <w:pPr>
              <w:autoSpaceDE w:val="0"/>
              <w:spacing w:line="336"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（五）招标文件要求的其他资格条件（如有）。</w:t>
            </w:r>
          </w:p>
        </w:tc>
      </w:tr>
    </w:tbl>
    <w:p>
      <w:pPr>
        <w:widowControl/>
        <w:autoSpaceDE w:val="0"/>
        <w:spacing w:line="360" w:lineRule="auto"/>
        <w:ind w:firstLine="422" w:firstLineChars="200"/>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（二）符合性审查</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评标委员会应当对符合资格的供应商的投标文件进行符合性审查，以确定其是否满足招标文件的实质性要求。</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4" w:hRule="atLeast"/>
        </w:trPr>
        <w:tc>
          <w:tcPr>
            <w:tcW w:w="1523" w:type="dxa"/>
            <w:tcBorders>
              <w:top w:val="single" w:color="auto" w:sz="4" w:space="0"/>
              <w:left w:val="single" w:color="auto" w:sz="4" w:space="0"/>
              <w:bottom w:val="single" w:color="auto" w:sz="4" w:space="0"/>
              <w:right w:val="single" w:color="auto" w:sz="4" w:space="0"/>
            </w:tcBorders>
            <w:noWrap w:val="0"/>
            <w:vAlign w:val="top"/>
          </w:tcPr>
          <w:p>
            <w:pPr>
              <w:widowControl/>
              <w:autoSpaceDE w:val="0"/>
              <w:spacing w:line="360" w:lineRule="auto"/>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审查类别</w:t>
            </w:r>
          </w:p>
        </w:tc>
        <w:tc>
          <w:tcPr>
            <w:tcW w:w="6792" w:type="dxa"/>
            <w:tcBorders>
              <w:top w:val="single" w:color="auto" w:sz="4" w:space="0"/>
              <w:left w:val="nil"/>
              <w:bottom w:val="single" w:color="auto" w:sz="4" w:space="0"/>
              <w:right w:val="single" w:color="auto" w:sz="4" w:space="0"/>
            </w:tcBorders>
            <w:noWrap w:val="0"/>
            <w:vAlign w:val="top"/>
          </w:tcPr>
          <w:p>
            <w:pPr>
              <w:widowControl/>
              <w:autoSpaceDE w:val="0"/>
              <w:spacing w:line="360" w:lineRule="auto"/>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restart"/>
            <w:tcBorders>
              <w:top w:val="nil"/>
              <w:left w:val="single" w:color="auto" w:sz="4" w:space="0"/>
              <w:bottom w:val="single" w:color="auto" w:sz="4" w:space="0"/>
              <w:right w:val="single" w:color="auto" w:sz="4" w:space="0"/>
            </w:tcBorders>
            <w:noWrap w:val="0"/>
            <w:vAlign w:val="center"/>
          </w:tcPr>
          <w:p>
            <w:pPr>
              <w:widowControl/>
              <w:autoSpaceDE w:val="0"/>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符合性审查</w:t>
            </w:r>
          </w:p>
          <w:p>
            <w:pPr>
              <w:widowControl/>
              <w:autoSpaceDE w:val="0"/>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（商务技术文件）</w:t>
            </w: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（一）投标函已提交并符合招标文件要求；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（二）按照招标文件规定要求签署或盖章；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（三）投标文件有法定代表人签署本人姓名（或印盖本人姓名章），或签署人提供有效的法定代表人授权委托书且授权委托书填写项目齐全的；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（四）投标文件项目齐全；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（五）投标文件标明的响应或偏离与事实相符且无虚假投标的；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（六）投标文件的实质性内容使用中文表述且意思表述明确，前后无矛盾且使用计量单位符合招标文件要求的；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（七）带“★”的条款满足招标文件要求、已实质性响应招标文件要求且投标文件无采购人不能接受的附加条件的；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（八）允许偏离的技术、性能指标或者辅助功能项目发生负偏离未达10项（含）以上的；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（九）投标技术方案明确，不存在一个或一个以上备选（替代）投标人案的；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（十）商务技术文件中未出现报价或单价的；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（十一）不存在法律、法规和招标文件规定的其他无效情形；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（十二）不存在投标文件的有效期不满足招标文件要求情形；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restart"/>
            <w:tcBorders>
              <w:top w:val="nil"/>
              <w:left w:val="single" w:color="auto" w:sz="4" w:space="0"/>
              <w:bottom w:val="single" w:color="auto" w:sz="4" w:space="0"/>
              <w:right w:val="single" w:color="auto" w:sz="4" w:space="0"/>
            </w:tcBorders>
            <w:noWrap w:val="0"/>
            <w:vAlign w:val="center"/>
          </w:tcPr>
          <w:p>
            <w:pPr>
              <w:widowControl/>
              <w:autoSpaceDE w:val="0"/>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符合性审查</w:t>
            </w:r>
          </w:p>
          <w:p>
            <w:pPr>
              <w:widowControl/>
              <w:autoSpaceDE w:val="0"/>
              <w:spacing w:line="360" w:lineRule="auto"/>
              <w:ind w:firstLine="210" w:firstLineChars="100"/>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（报价文件）</w:t>
            </w: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（一）按照招标文件规定要求签署或盖章；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（二）投标文件项目齐全；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（三）采用人民币报价或者按照招标文件标明的币种报价的；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（四）不存在报价超出最高限价，或者超出采购预算金额，采购人不能支付的情形。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（五）不存在投标报价具有选择性的情形；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（六）投标报价中未出现重大缺项、漏项；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（七）不存在评标委员会认为供应商的报价明显低于其他通过符合性审查供应商的报价，有可能影响产品质量或者不能诚信履约的且不能在评标现场合理时间内提供相关证明材料说明其报价的合理性的情形；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（八）投标文件（报价文件）内容与投标文件（商务技术文件）内容不存在重大差异的；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6792" w:type="dxa"/>
            <w:tcBorders>
              <w:top w:val="single" w:color="auto" w:sz="4" w:space="0"/>
              <w:left w:val="nil"/>
              <w:bottom w:val="single" w:color="auto" w:sz="4" w:space="0"/>
              <w:right w:val="single" w:color="auto" w:sz="4" w:space="0"/>
            </w:tcBorders>
            <w:noWrap w:val="0"/>
            <w:vAlign w:val="center"/>
          </w:tcPr>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（九）不存在法律、法规和招标文件规定的其他无效情形；</w:t>
            </w:r>
          </w:p>
        </w:tc>
      </w:tr>
    </w:tbl>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lang w:bidi="ar"/>
        </w:rPr>
        <w:t>（三）投标无效的情形</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没有响应招标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widowControl/>
        <w:numPr>
          <w:ilvl w:val="0"/>
          <w:numId w:val="21"/>
        </w:numPr>
        <w:autoSpaceDE w:val="0"/>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在资格审查时，如发现下列情形之一的，将被视为无效投标文件：</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1、资格证明文件不全的或者不符合招标文件标明的资格要求的；</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2、供应商资格声明函无法定代表人或授权代表签名或盖章；</w:t>
      </w:r>
    </w:p>
    <w:p>
      <w:pPr>
        <w:widowControl/>
        <w:autoSpaceDE w:val="0"/>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B、在符合性审查（商务技术文件）时，如发现下列情形之一的，将被视为无效投标文件：</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1、未提交投标函或投标函内容不符合招标文件要求；</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2、未按照招标文件规定要求签署或盖章；</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3、投标文件无法定代表人签署本人姓名（或印盖本人姓名章），或签署人未提供有效的法定代表人授权委托书或授权委托书填写项目不齐全的； </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4、投标文件项目不齐全；</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5、投标文件标明的响应或偏离与事实不符或虚假投标的；</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6、投标文件的实质性内容未使用中文表述、意思表述不明确、前后矛盾或者使用计量单位不符合招标文件要求的（经评标委员会认定并允许其当场更正的笔误除外）；</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7、带“★”的条款不能满足招标文件要求、未实质性响应招标文件要求或者投标文件有采购人不能接受的附加条件的；</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8、允许偏离的技术、性能指标或者辅助功能项目发生负偏离未达10项（含）以上的；</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1"/>
          <w:szCs w:val="21"/>
          <w:highlight w:val="none"/>
          <w:lang w:bidi="ar"/>
        </w:rPr>
        <w:t>9、</w:t>
      </w:r>
      <w:r>
        <w:rPr>
          <w:rFonts w:hint="eastAsia" w:ascii="宋体" w:hAnsi="宋体" w:cs="宋体"/>
          <w:color w:val="auto"/>
          <w:kern w:val="0"/>
          <w:szCs w:val="21"/>
          <w:highlight w:val="none"/>
          <w:lang w:bidi="ar"/>
        </w:rPr>
        <w:t>投标技术方案不明确，存在一个或一个以上备选（替代）投标人案的；</w:t>
      </w:r>
    </w:p>
    <w:p>
      <w:pPr>
        <w:widowControl/>
        <w:autoSpaceDE w:val="0"/>
        <w:spacing w:line="360" w:lineRule="auto"/>
        <w:ind w:firstLine="420"/>
        <w:jc w:val="left"/>
        <w:rPr>
          <w:rFonts w:hint="eastAsia" w:ascii="宋体" w:hAnsi="宋体" w:cs="宋体"/>
          <w:color w:val="auto"/>
          <w:kern w:val="1"/>
          <w:szCs w:val="21"/>
          <w:highlight w:val="none"/>
        </w:rPr>
      </w:pPr>
      <w:r>
        <w:rPr>
          <w:rFonts w:hint="eastAsia" w:ascii="宋体" w:hAnsi="宋体" w:cs="宋体"/>
          <w:color w:val="auto"/>
          <w:kern w:val="1"/>
          <w:szCs w:val="21"/>
          <w:highlight w:val="none"/>
          <w:lang w:bidi="ar"/>
        </w:rPr>
        <w:t>10、商务技术文件中出现报价或单价的；</w:t>
      </w:r>
    </w:p>
    <w:p>
      <w:pPr>
        <w:widowControl/>
        <w:autoSpaceDE w:val="0"/>
        <w:spacing w:line="360" w:lineRule="auto"/>
        <w:ind w:firstLine="420"/>
        <w:jc w:val="left"/>
        <w:rPr>
          <w:rFonts w:hint="eastAsia" w:ascii="宋体" w:hAnsi="宋体" w:cs="宋体"/>
          <w:color w:val="auto"/>
          <w:kern w:val="1"/>
          <w:szCs w:val="21"/>
          <w:highlight w:val="none"/>
        </w:rPr>
      </w:pPr>
      <w:r>
        <w:rPr>
          <w:rFonts w:hint="eastAsia" w:ascii="宋体" w:hAnsi="宋体" w:cs="宋体"/>
          <w:color w:val="auto"/>
          <w:kern w:val="1"/>
          <w:szCs w:val="21"/>
          <w:highlight w:val="none"/>
          <w:lang w:bidi="ar"/>
        </w:rPr>
        <w:t>11、法律、法规和招标文件规定的其他无效情形；</w:t>
      </w:r>
    </w:p>
    <w:p>
      <w:pPr>
        <w:widowControl/>
        <w:autoSpaceDE w:val="0"/>
        <w:spacing w:line="360" w:lineRule="auto"/>
        <w:ind w:firstLine="420"/>
        <w:jc w:val="left"/>
        <w:rPr>
          <w:rFonts w:hint="eastAsia" w:ascii="宋体" w:hAnsi="宋体" w:cs="宋体"/>
          <w:color w:val="auto"/>
          <w:kern w:val="1"/>
          <w:szCs w:val="21"/>
          <w:highlight w:val="none"/>
        </w:rPr>
      </w:pPr>
      <w:r>
        <w:rPr>
          <w:rFonts w:hint="eastAsia" w:ascii="宋体" w:hAnsi="宋体" w:cs="宋体"/>
          <w:color w:val="auto"/>
          <w:kern w:val="1"/>
          <w:szCs w:val="21"/>
          <w:highlight w:val="none"/>
          <w:lang w:bidi="ar"/>
        </w:rPr>
        <w:t>12、投标文件的有效期不满足招标文件要求。</w:t>
      </w:r>
    </w:p>
    <w:p>
      <w:pPr>
        <w:widowControl/>
        <w:autoSpaceDE w:val="0"/>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C、在符合性审查（报价文件）时，如发现下列情形之一的，将被视为无效投标文件：</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1、未按照招标文件规定要求签署或盖章；</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2、投标文件项目不齐全；</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3、未采用人民币报价或者未按照招标文件标明的币种报价的；</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4、报价超出最高限价，或者超出采购预算金额，采购人不能支付的；</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5、投标报价具有选择性的；</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6、投标报价中出现重大缺项、漏项；</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7、评标委员会认为供应商的报价明显低于其他通过符合性审查供应商的报价，有可能影响产品质量或者不能诚信履约的，且不能在评标现场合理时间内提供相关证明材料说明其报价的合理性的；</w:t>
      </w:r>
    </w:p>
    <w:p>
      <w:pPr>
        <w:widowControl/>
        <w:autoSpaceDE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8、投标文件（报价文件）内容与投标文件（商务技术文件）内容有重大差异的；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lang w:bidi="ar"/>
        </w:rPr>
        <w:t>9、法律、法规和招标文件规定的其他无效情形</w:t>
      </w:r>
      <w:r>
        <w:rPr>
          <w:rFonts w:hint="eastAsia" w:ascii="宋体" w:hAnsi="宋体" w:cs="宋体"/>
          <w:color w:val="auto"/>
          <w:kern w:val="1"/>
          <w:szCs w:val="21"/>
          <w:highlight w:val="none"/>
          <w:lang w:bidi="ar"/>
        </w:rPr>
        <w:t>。</w:t>
      </w:r>
    </w:p>
    <w:p>
      <w:pPr>
        <w:pStyle w:val="5"/>
        <w:spacing w:before="0" w:after="0" w:line="480" w:lineRule="exact"/>
        <w:contextualSpacing/>
        <w:rPr>
          <w:rFonts w:ascii="宋体" w:hAnsi="宋体" w:eastAsia="宋体"/>
          <w:b w:val="0"/>
          <w:sz w:val="21"/>
          <w:szCs w:val="21"/>
        </w:rPr>
      </w:pPr>
      <w:r>
        <w:rPr>
          <w:rFonts w:hint="eastAsia" w:cs="宋体"/>
          <w:b/>
          <w:color w:val="auto"/>
          <w:szCs w:val="21"/>
          <w:highlight w:val="none"/>
          <w:lang w:eastAsia="zh-CN"/>
        </w:rPr>
        <w:t>（四）、</w:t>
      </w:r>
      <w:r>
        <w:rPr>
          <w:rFonts w:hint="eastAsia" w:ascii="宋体" w:hAnsi="宋体" w:cs="宋体"/>
          <w:b/>
          <w:color w:val="auto"/>
          <w:szCs w:val="21"/>
          <w:highlight w:val="none"/>
        </w:rPr>
        <w:t>评分标准（兼评委打分表）</w:t>
      </w:r>
      <w:bookmarkEnd w:id="28"/>
      <w:bookmarkEnd w:id="29"/>
      <w:bookmarkEnd w:id="30"/>
      <w:bookmarkEnd w:id="31"/>
      <w:bookmarkEnd w:id="32"/>
      <w:bookmarkEnd w:id="33"/>
      <w:bookmarkEnd w:id="34"/>
      <w:bookmarkEnd w:id="35"/>
    </w:p>
    <w:tbl>
      <w:tblPr>
        <w:tblStyle w:val="25"/>
        <w:tblW w:w="10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324"/>
        <w:gridCol w:w="7206"/>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80" w:type="dxa"/>
            <w:noWrap w:val="0"/>
            <w:vAlign w:val="center"/>
          </w:tcPr>
          <w:p>
            <w:pPr>
              <w:spacing w:line="340" w:lineRule="exact"/>
              <w:jc w:val="center"/>
              <w:rPr>
                <w:rFonts w:ascii="宋体"/>
                <w:b/>
                <w:szCs w:val="21"/>
              </w:rPr>
            </w:pPr>
            <w:r>
              <w:rPr>
                <w:rFonts w:hint="eastAsia" w:ascii="宋体" w:hAnsi="宋体"/>
                <w:b/>
                <w:szCs w:val="21"/>
              </w:rPr>
              <w:t>内容</w:t>
            </w:r>
          </w:p>
        </w:tc>
        <w:tc>
          <w:tcPr>
            <w:tcW w:w="1324" w:type="dxa"/>
            <w:noWrap w:val="0"/>
            <w:vAlign w:val="center"/>
          </w:tcPr>
          <w:p>
            <w:pPr>
              <w:spacing w:line="340" w:lineRule="exact"/>
              <w:jc w:val="center"/>
              <w:rPr>
                <w:rFonts w:ascii="宋体"/>
                <w:b/>
                <w:szCs w:val="21"/>
              </w:rPr>
            </w:pPr>
            <w:r>
              <w:rPr>
                <w:rFonts w:hint="eastAsia" w:ascii="宋体" w:hAnsi="宋体"/>
                <w:b/>
                <w:szCs w:val="21"/>
              </w:rPr>
              <w:t>项目</w:t>
            </w:r>
          </w:p>
        </w:tc>
        <w:tc>
          <w:tcPr>
            <w:tcW w:w="7206" w:type="dxa"/>
            <w:noWrap w:val="0"/>
            <w:vAlign w:val="center"/>
          </w:tcPr>
          <w:p>
            <w:pPr>
              <w:spacing w:line="340" w:lineRule="exact"/>
              <w:jc w:val="center"/>
              <w:rPr>
                <w:rFonts w:ascii="宋体"/>
                <w:b/>
                <w:szCs w:val="21"/>
              </w:rPr>
            </w:pPr>
            <w:r>
              <w:rPr>
                <w:rFonts w:hint="eastAsia" w:ascii="宋体" w:hAnsi="宋体"/>
                <w:b/>
                <w:szCs w:val="21"/>
              </w:rPr>
              <w:t>评分标准</w:t>
            </w:r>
          </w:p>
        </w:tc>
        <w:tc>
          <w:tcPr>
            <w:tcW w:w="834" w:type="dxa"/>
            <w:noWrap w:val="0"/>
            <w:vAlign w:val="center"/>
          </w:tcPr>
          <w:p>
            <w:pPr>
              <w:spacing w:line="340" w:lineRule="exact"/>
              <w:jc w:val="center"/>
              <w:rPr>
                <w:rFonts w:asci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080" w:type="dxa"/>
            <w:vMerge w:val="restart"/>
            <w:noWrap w:val="0"/>
            <w:vAlign w:val="center"/>
          </w:tcPr>
          <w:p>
            <w:pPr>
              <w:spacing w:line="340" w:lineRule="exact"/>
              <w:jc w:val="center"/>
              <w:rPr>
                <w:rFonts w:ascii="宋体"/>
                <w:szCs w:val="21"/>
              </w:rPr>
            </w:pPr>
            <w:r>
              <w:rPr>
                <w:rFonts w:hint="eastAsia" w:ascii="宋体" w:hAnsi="宋体"/>
                <w:szCs w:val="21"/>
              </w:rPr>
              <w:t>技术、商务部分</w:t>
            </w:r>
          </w:p>
          <w:p>
            <w:pPr>
              <w:spacing w:line="340" w:lineRule="exact"/>
              <w:jc w:val="center"/>
              <w:rPr>
                <w:rFonts w:ascii="宋体"/>
                <w:szCs w:val="21"/>
              </w:rPr>
            </w:pPr>
            <w:r>
              <w:rPr>
                <w:rFonts w:ascii="宋体" w:hAnsi="宋体"/>
                <w:szCs w:val="21"/>
              </w:rPr>
              <w:t>45</w:t>
            </w:r>
            <w:r>
              <w:rPr>
                <w:rFonts w:hint="eastAsia" w:ascii="宋体" w:hAnsi="宋体"/>
                <w:szCs w:val="21"/>
              </w:rPr>
              <w:t>分</w:t>
            </w:r>
          </w:p>
        </w:tc>
        <w:tc>
          <w:tcPr>
            <w:tcW w:w="1324" w:type="dxa"/>
            <w:vMerge w:val="restart"/>
            <w:noWrap w:val="0"/>
            <w:vAlign w:val="center"/>
          </w:tcPr>
          <w:p>
            <w:pPr>
              <w:spacing w:line="340" w:lineRule="exact"/>
              <w:jc w:val="center"/>
              <w:rPr>
                <w:rFonts w:ascii="宋体"/>
                <w:szCs w:val="21"/>
              </w:rPr>
            </w:pPr>
            <w:r>
              <w:rPr>
                <w:rFonts w:hint="eastAsia" w:ascii="宋体" w:hAnsi="宋体"/>
                <w:szCs w:val="21"/>
              </w:rPr>
              <w:t>业绩、实力、及技术指标</w:t>
            </w:r>
          </w:p>
          <w:p>
            <w:pPr>
              <w:spacing w:line="340" w:lineRule="exact"/>
              <w:jc w:val="both"/>
              <w:rPr>
                <w:rFonts w:ascii="宋体"/>
                <w:szCs w:val="21"/>
              </w:rPr>
            </w:pPr>
          </w:p>
        </w:tc>
        <w:tc>
          <w:tcPr>
            <w:tcW w:w="7206" w:type="dxa"/>
            <w:noWrap w:val="0"/>
            <w:vAlign w:val="center"/>
          </w:tcPr>
          <w:p>
            <w:pPr>
              <w:spacing w:line="300" w:lineRule="exact"/>
              <w:jc w:val="left"/>
              <w:rPr>
                <w:szCs w:val="21"/>
              </w:rPr>
            </w:pPr>
            <w:r>
              <w:rPr>
                <w:rFonts w:hint="eastAsia"/>
                <w:szCs w:val="21"/>
              </w:rPr>
              <w:t>机顶盒主机硬件技术偏离：不允许负偏离，每正偏离</w:t>
            </w:r>
            <w:r>
              <w:rPr>
                <w:szCs w:val="21"/>
              </w:rPr>
              <w:t>1</w:t>
            </w:r>
            <w:r>
              <w:rPr>
                <w:rFonts w:hint="eastAsia"/>
                <w:szCs w:val="21"/>
              </w:rPr>
              <w:t>项的加</w:t>
            </w:r>
            <w:r>
              <w:rPr>
                <w:rFonts w:hint="eastAsia"/>
                <w:szCs w:val="21"/>
                <w:lang w:val="en-US" w:eastAsia="zh-CN"/>
              </w:rPr>
              <w:t>1</w:t>
            </w:r>
            <w:r>
              <w:rPr>
                <w:rFonts w:hint="eastAsia"/>
                <w:szCs w:val="21"/>
              </w:rPr>
              <w:t>分，最多加</w:t>
            </w:r>
            <w:r>
              <w:rPr>
                <w:rFonts w:hint="eastAsia"/>
                <w:szCs w:val="21"/>
                <w:lang w:val="en-US" w:eastAsia="zh-CN"/>
              </w:rPr>
              <w:t>4</w:t>
            </w:r>
            <w:r>
              <w:rPr>
                <w:rFonts w:hint="eastAsia"/>
                <w:szCs w:val="21"/>
              </w:rPr>
              <w:t>分。</w:t>
            </w:r>
          </w:p>
        </w:tc>
        <w:tc>
          <w:tcPr>
            <w:tcW w:w="834" w:type="dxa"/>
            <w:noWrap w:val="0"/>
            <w:vAlign w:val="center"/>
          </w:tcPr>
          <w:p>
            <w:pPr>
              <w:spacing w:line="340" w:lineRule="exact"/>
              <w:jc w:val="center"/>
              <w:rPr>
                <w:rFonts w:ascii="宋体"/>
                <w:szCs w:val="21"/>
              </w:rPr>
            </w:pPr>
            <w:r>
              <w:rPr>
                <w:rFonts w:hint="eastAsia" w:ascii="宋体" w:hAnsi="宋体"/>
                <w:szCs w:val="21"/>
                <w:lang w:val="en-US" w:eastAsia="zh-CN"/>
              </w:rPr>
              <w:t>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080" w:type="dxa"/>
            <w:vMerge w:val="continue"/>
            <w:noWrap w:val="0"/>
            <w:vAlign w:val="center"/>
          </w:tcPr>
          <w:p>
            <w:pPr>
              <w:spacing w:line="340" w:lineRule="exact"/>
              <w:jc w:val="center"/>
              <w:rPr>
                <w:rFonts w:ascii="宋体" w:hAnsi="宋体"/>
                <w:szCs w:val="21"/>
              </w:rPr>
            </w:pPr>
          </w:p>
        </w:tc>
        <w:tc>
          <w:tcPr>
            <w:tcW w:w="1324" w:type="dxa"/>
            <w:vMerge w:val="continue"/>
            <w:noWrap w:val="0"/>
            <w:vAlign w:val="center"/>
          </w:tcPr>
          <w:p>
            <w:pPr>
              <w:spacing w:line="340" w:lineRule="exact"/>
              <w:jc w:val="both"/>
              <w:rPr>
                <w:rFonts w:ascii="宋体"/>
                <w:szCs w:val="21"/>
              </w:rPr>
            </w:pPr>
          </w:p>
        </w:tc>
        <w:tc>
          <w:tcPr>
            <w:tcW w:w="7206" w:type="dxa"/>
            <w:noWrap w:val="0"/>
            <w:vAlign w:val="center"/>
          </w:tcPr>
          <w:p>
            <w:pPr>
              <w:spacing w:line="300" w:lineRule="exact"/>
              <w:jc w:val="left"/>
              <w:rPr>
                <w:rFonts w:hint="eastAsia" w:ascii="Times New Roman" w:hAnsi="Times New Roman" w:eastAsia="宋体" w:cs="Times New Roman"/>
                <w:kern w:val="2"/>
                <w:sz w:val="21"/>
                <w:szCs w:val="21"/>
                <w:lang w:val="en-US" w:eastAsia="zh-CN" w:bidi="ar-SA"/>
              </w:rPr>
            </w:pPr>
            <w:r>
              <w:rPr>
                <w:rFonts w:hint="eastAsia"/>
                <w:szCs w:val="21"/>
              </w:rPr>
              <w:t>根据投标人提供投标同芯片方案机顶盒自</w:t>
            </w:r>
            <w:r>
              <w:rPr>
                <w:szCs w:val="21"/>
              </w:rPr>
              <w:t>20</w:t>
            </w:r>
            <w:r>
              <w:rPr>
                <w:rFonts w:hint="eastAsia"/>
                <w:szCs w:val="21"/>
                <w:lang w:val="en-US" w:eastAsia="zh-CN"/>
              </w:rPr>
              <w:t>20</w:t>
            </w:r>
            <w:r>
              <w:rPr>
                <w:rFonts w:hint="eastAsia"/>
                <w:szCs w:val="21"/>
              </w:rPr>
              <w:t>年</w:t>
            </w:r>
            <w:r>
              <w:rPr>
                <w:szCs w:val="21"/>
              </w:rPr>
              <w:t>1</w:t>
            </w:r>
            <w:r>
              <w:rPr>
                <w:rFonts w:hint="eastAsia"/>
                <w:szCs w:val="21"/>
              </w:rPr>
              <w:t>月</w:t>
            </w:r>
            <w:r>
              <w:rPr>
                <w:szCs w:val="21"/>
              </w:rPr>
              <w:t>1</w:t>
            </w:r>
            <w:r>
              <w:rPr>
                <w:rFonts w:hint="eastAsia"/>
                <w:szCs w:val="21"/>
              </w:rPr>
              <w:t>日至本招标公告发布日为国内广电运营商实际供货数量情况，</w:t>
            </w:r>
            <w:r>
              <w:rPr>
                <w:szCs w:val="21"/>
              </w:rPr>
              <w:t>15</w:t>
            </w:r>
            <w:r>
              <w:rPr>
                <w:rFonts w:hint="eastAsia"/>
                <w:szCs w:val="21"/>
              </w:rPr>
              <w:t>万台（含）至</w:t>
            </w:r>
            <w:r>
              <w:rPr>
                <w:szCs w:val="21"/>
              </w:rPr>
              <w:t>20</w:t>
            </w:r>
            <w:r>
              <w:rPr>
                <w:rFonts w:hint="eastAsia"/>
                <w:szCs w:val="21"/>
              </w:rPr>
              <w:t>万台（不含）得</w:t>
            </w:r>
            <w:r>
              <w:rPr>
                <w:rFonts w:hint="eastAsia"/>
                <w:szCs w:val="21"/>
                <w:lang w:val="en-US" w:eastAsia="zh-CN"/>
              </w:rPr>
              <w:t>2</w:t>
            </w:r>
            <w:r>
              <w:rPr>
                <w:rFonts w:hint="eastAsia"/>
                <w:szCs w:val="21"/>
              </w:rPr>
              <w:t>分，</w:t>
            </w:r>
            <w:r>
              <w:rPr>
                <w:szCs w:val="21"/>
              </w:rPr>
              <w:t>20</w:t>
            </w:r>
            <w:r>
              <w:rPr>
                <w:rFonts w:hint="eastAsia"/>
                <w:szCs w:val="21"/>
              </w:rPr>
              <w:t>万台（含）至</w:t>
            </w:r>
            <w:r>
              <w:rPr>
                <w:szCs w:val="21"/>
              </w:rPr>
              <w:t>25</w:t>
            </w:r>
            <w:r>
              <w:rPr>
                <w:rFonts w:hint="eastAsia"/>
                <w:szCs w:val="21"/>
              </w:rPr>
              <w:t>万台（不含）得</w:t>
            </w:r>
            <w:r>
              <w:rPr>
                <w:rFonts w:hint="eastAsia"/>
                <w:szCs w:val="21"/>
                <w:lang w:val="en-US" w:eastAsia="zh-CN"/>
              </w:rPr>
              <w:t>3</w:t>
            </w:r>
            <w:r>
              <w:rPr>
                <w:rFonts w:hint="eastAsia"/>
                <w:szCs w:val="21"/>
              </w:rPr>
              <w:t>分，</w:t>
            </w:r>
            <w:r>
              <w:rPr>
                <w:szCs w:val="21"/>
              </w:rPr>
              <w:t>25</w:t>
            </w:r>
            <w:r>
              <w:rPr>
                <w:rFonts w:hint="eastAsia"/>
                <w:szCs w:val="21"/>
              </w:rPr>
              <w:t>万台（含）至</w:t>
            </w:r>
            <w:r>
              <w:rPr>
                <w:szCs w:val="21"/>
              </w:rPr>
              <w:t>30</w:t>
            </w:r>
            <w:r>
              <w:rPr>
                <w:rFonts w:hint="eastAsia"/>
                <w:szCs w:val="21"/>
              </w:rPr>
              <w:t>万台（不含）得</w:t>
            </w:r>
            <w:r>
              <w:rPr>
                <w:rFonts w:hint="eastAsia"/>
                <w:szCs w:val="21"/>
                <w:lang w:val="en-US" w:eastAsia="zh-CN"/>
              </w:rPr>
              <w:t>4</w:t>
            </w:r>
            <w:r>
              <w:rPr>
                <w:rFonts w:hint="eastAsia"/>
                <w:szCs w:val="21"/>
              </w:rPr>
              <w:t>分，</w:t>
            </w:r>
            <w:r>
              <w:rPr>
                <w:szCs w:val="21"/>
              </w:rPr>
              <w:t>30</w:t>
            </w:r>
            <w:r>
              <w:rPr>
                <w:rFonts w:hint="eastAsia"/>
                <w:szCs w:val="21"/>
              </w:rPr>
              <w:t>万台及以上得</w:t>
            </w:r>
            <w:r>
              <w:rPr>
                <w:rFonts w:hint="eastAsia"/>
                <w:szCs w:val="21"/>
                <w:lang w:val="en-US" w:eastAsia="zh-CN"/>
              </w:rPr>
              <w:t>5</w:t>
            </w:r>
            <w:r>
              <w:rPr>
                <w:rFonts w:hint="eastAsia"/>
                <w:szCs w:val="21"/>
              </w:rPr>
              <w:t>分。不足</w:t>
            </w:r>
            <w:r>
              <w:rPr>
                <w:szCs w:val="21"/>
              </w:rPr>
              <w:t>15</w:t>
            </w:r>
            <w:r>
              <w:rPr>
                <w:rFonts w:hint="eastAsia"/>
                <w:szCs w:val="21"/>
              </w:rPr>
              <w:t>万台的本项不得分。</w:t>
            </w:r>
            <w:r>
              <w:rPr>
                <w:szCs w:val="21"/>
              </w:rPr>
              <w:t>(</w:t>
            </w:r>
            <w:r>
              <w:rPr>
                <w:rFonts w:hint="eastAsia" w:ascii="宋体" w:hAnsi="宋体"/>
                <w:szCs w:val="21"/>
              </w:rPr>
              <w:t>提供合同复印件按时间顺序加盖公章</w:t>
            </w:r>
            <w:r>
              <w:rPr>
                <w:rFonts w:hint="eastAsia" w:ascii="宋体" w:hAnsi="宋体" w:cs="宋体"/>
                <w:szCs w:val="21"/>
              </w:rPr>
              <w:t>编入投标文件,</w:t>
            </w:r>
            <w:r>
              <w:rPr>
                <w:rFonts w:ascii="宋体" w:hAnsi="宋体"/>
                <w:szCs w:val="21"/>
              </w:rPr>
              <w:t>开标时提供原件</w:t>
            </w:r>
            <w:r>
              <w:rPr>
                <w:rFonts w:hint="eastAsia" w:ascii="宋体" w:hAnsi="宋体"/>
                <w:szCs w:val="21"/>
              </w:rPr>
              <w:t>，两者缺一不可，保持一致，否则不得分</w:t>
            </w:r>
            <w:r>
              <w:rPr>
                <w:rFonts w:hint="eastAsia"/>
                <w:szCs w:val="21"/>
              </w:rPr>
              <w:t>）</w:t>
            </w:r>
          </w:p>
        </w:tc>
        <w:tc>
          <w:tcPr>
            <w:tcW w:w="834" w:type="dxa"/>
            <w:noWrap w:val="0"/>
            <w:vAlign w:val="center"/>
          </w:tcPr>
          <w:p>
            <w:pPr>
              <w:spacing w:line="340" w:lineRule="exact"/>
              <w:jc w:val="center"/>
              <w:rPr>
                <w:rFonts w:hint="eastAsia" w:ascii="宋体" w:hAnsi="Times New Roman" w:eastAsia="宋体" w:cs="Times New Roman"/>
                <w:kern w:val="2"/>
                <w:sz w:val="21"/>
                <w:szCs w:val="21"/>
                <w:lang w:val="en-US" w:eastAsia="zh-CN" w:bidi="ar-SA"/>
              </w:rPr>
            </w:pPr>
            <w:r>
              <w:rPr>
                <w:rFonts w:hint="eastAsia" w:ascii="宋体" w:hAnsi="宋体"/>
                <w:szCs w:val="21"/>
                <w:lang w:val="en-US" w:eastAsia="zh-CN"/>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80" w:type="dxa"/>
            <w:vMerge w:val="continue"/>
            <w:noWrap w:val="0"/>
            <w:vAlign w:val="center"/>
          </w:tcPr>
          <w:p>
            <w:pPr>
              <w:spacing w:line="340" w:lineRule="exact"/>
              <w:jc w:val="center"/>
              <w:rPr>
                <w:rFonts w:ascii="宋体"/>
                <w:szCs w:val="21"/>
              </w:rPr>
            </w:pPr>
          </w:p>
        </w:tc>
        <w:tc>
          <w:tcPr>
            <w:tcW w:w="1324" w:type="dxa"/>
            <w:vMerge w:val="continue"/>
            <w:noWrap w:val="0"/>
            <w:vAlign w:val="center"/>
          </w:tcPr>
          <w:p>
            <w:pPr>
              <w:spacing w:line="340" w:lineRule="exact"/>
              <w:jc w:val="center"/>
              <w:rPr>
                <w:rFonts w:ascii="宋体"/>
                <w:szCs w:val="21"/>
              </w:rPr>
            </w:pPr>
          </w:p>
        </w:tc>
        <w:tc>
          <w:tcPr>
            <w:tcW w:w="7206" w:type="dxa"/>
            <w:noWrap w:val="0"/>
            <w:vAlign w:val="center"/>
          </w:tcPr>
          <w:p>
            <w:pPr>
              <w:spacing w:line="300" w:lineRule="exact"/>
              <w:jc w:val="left"/>
              <w:rPr>
                <w:szCs w:val="21"/>
              </w:rPr>
            </w:pPr>
            <w:r>
              <w:rPr>
                <w:rFonts w:hint="eastAsia" w:ascii="宋体" w:hAnsi="宋体" w:cs="宋体"/>
                <w:color w:val="000000"/>
                <w:kern w:val="0"/>
                <w:sz w:val="21"/>
                <w:szCs w:val="21"/>
              </w:rPr>
              <w:t>市监部门颁发的守合同重信用得</w:t>
            </w:r>
            <w:r>
              <w:rPr>
                <w:rFonts w:hint="eastAsia" w:ascii="宋体" w:hAnsi="宋体" w:cs="宋体"/>
                <w:color w:val="000000"/>
                <w:kern w:val="0"/>
                <w:sz w:val="21"/>
                <w:szCs w:val="21"/>
                <w:lang w:val="en-US" w:eastAsia="zh-CN"/>
              </w:rPr>
              <w:t>3</w:t>
            </w:r>
            <w:r>
              <w:rPr>
                <w:rFonts w:hint="eastAsia" w:ascii="宋体" w:hAnsi="宋体" w:cs="宋体"/>
                <w:color w:val="000000"/>
                <w:kern w:val="0"/>
                <w:sz w:val="21"/>
                <w:szCs w:val="21"/>
              </w:rPr>
              <w:t>分（提供相关证明复印件加盖公章编入投标文件,</w:t>
            </w:r>
            <w:r>
              <w:rPr>
                <w:rFonts w:ascii="宋体" w:hAnsi="宋体" w:cs="宋体"/>
                <w:color w:val="000000"/>
                <w:kern w:val="0"/>
                <w:sz w:val="21"/>
                <w:szCs w:val="21"/>
              </w:rPr>
              <w:t>开标时提供原件</w:t>
            </w:r>
            <w:r>
              <w:rPr>
                <w:rFonts w:hint="eastAsia" w:ascii="宋体" w:hAnsi="宋体" w:cs="宋体"/>
                <w:color w:val="000000"/>
                <w:kern w:val="0"/>
                <w:sz w:val="21"/>
                <w:szCs w:val="21"/>
              </w:rPr>
              <w:t>，两者缺一不可，保持一致，否则不得分）。</w:t>
            </w:r>
          </w:p>
        </w:tc>
        <w:tc>
          <w:tcPr>
            <w:tcW w:w="834" w:type="dxa"/>
            <w:noWrap w:val="0"/>
            <w:vAlign w:val="center"/>
          </w:tcPr>
          <w:p>
            <w:pPr>
              <w:widowControl/>
              <w:spacing w:line="340" w:lineRule="exact"/>
              <w:jc w:val="center"/>
              <w:rPr>
                <w:rFonts w:ascii="宋体"/>
                <w:szCs w:val="21"/>
              </w:rPr>
            </w:pPr>
            <w:r>
              <w:rPr>
                <w:rFonts w:hint="eastAsia" w:ascii="宋体" w:hAnsi="宋体"/>
                <w:szCs w:val="21"/>
                <w:lang w:val="en-US" w:eastAsia="zh-CN"/>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0" w:type="dxa"/>
            <w:vMerge w:val="continue"/>
            <w:noWrap w:val="0"/>
            <w:vAlign w:val="center"/>
          </w:tcPr>
          <w:p>
            <w:pPr>
              <w:spacing w:line="340" w:lineRule="exact"/>
              <w:jc w:val="center"/>
              <w:rPr>
                <w:rFonts w:ascii="宋体"/>
                <w:szCs w:val="21"/>
              </w:rPr>
            </w:pPr>
          </w:p>
        </w:tc>
        <w:tc>
          <w:tcPr>
            <w:tcW w:w="1324" w:type="dxa"/>
            <w:vMerge w:val="continue"/>
            <w:noWrap w:val="0"/>
            <w:vAlign w:val="center"/>
          </w:tcPr>
          <w:p>
            <w:pPr>
              <w:spacing w:line="340" w:lineRule="exact"/>
              <w:jc w:val="center"/>
              <w:rPr>
                <w:rFonts w:ascii="宋体"/>
                <w:szCs w:val="21"/>
              </w:rPr>
            </w:pPr>
          </w:p>
        </w:tc>
        <w:tc>
          <w:tcPr>
            <w:tcW w:w="7206" w:type="dxa"/>
            <w:noWrap w:val="0"/>
            <w:vAlign w:val="center"/>
          </w:tcPr>
          <w:p>
            <w:pPr>
              <w:spacing w:line="300" w:lineRule="exact"/>
              <w:jc w:val="left"/>
              <w:rPr>
                <w:szCs w:val="21"/>
              </w:rPr>
            </w:pPr>
            <w:r>
              <w:rPr>
                <w:rFonts w:hint="eastAsia"/>
                <w:szCs w:val="21"/>
              </w:rPr>
              <w:t>根据</w:t>
            </w:r>
            <w:r>
              <w:rPr>
                <w:rFonts w:hint="eastAsia" w:hAnsi="宋体" w:cs="宋体"/>
              </w:rPr>
              <w:t>会计事务所出具的</w:t>
            </w:r>
            <w:r>
              <w:rPr>
                <w:szCs w:val="21"/>
              </w:rPr>
              <w:t>20</w:t>
            </w:r>
            <w:r>
              <w:rPr>
                <w:rFonts w:hint="eastAsia"/>
                <w:szCs w:val="21"/>
                <w:lang w:val="en-US" w:eastAsia="zh-CN"/>
              </w:rPr>
              <w:t>19</w:t>
            </w:r>
            <w:r>
              <w:rPr>
                <w:rFonts w:hint="eastAsia"/>
                <w:szCs w:val="21"/>
              </w:rPr>
              <w:t>或</w:t>
            </w:r>
            <w:r>
              <w:rPr>
                <w:szCs w:val="21"/>
              </w:rPr>
              <w:t>20</w:t>
            </w:r>
            <w:r>
              <w:rPr>
                <w:rFonts w:hint="eastAsia"/>
                <w:szCs w:val="21"/>
                <w:lang w:val="en-US" w:eastAsia="zh-CN"/>
              </w:rPr>
              <w:t>20</w:t>
            </w:r>
            <w:r>
              <w:rPr>
                <w:rFonts w:hint="eastAsia"/>
                <w:szCs w:val="21"/>
              </w:rPr>
              <w:t>会计年度的</w:t>
            </w:r>
            <w:r>
              <w:rPr>
                <w:rFonts w:hint="eastAsia" w:ascii="宋体" w:hAnsi="宋体"/>
                <w:szCs w:val="21"/>
              </w:rPr>
              <w:t>审计报告</w:t>
            </w:r>
            <w:r>
              <w:rPr>
                <w:rFonts w:hint="eastAsia"/>
                <w:szCs w:val="21"/>
              </w:rPr>
              <w:t>的财务状况由专家酌情打分。最高得3分</w:t>
            </w:r>
            <w:r>
              <w:rPr>
                <w:rFonts w:hint="eastAsia" w:ascii="宋体" w:hAnsi="宋体"/>
                <w:szCs w:val="21"/>
              </w:rPr>
              <w:t>。</w:t>
            </w:r>
            <w:r>
              <w:rPr>
                <w:szCs w:val="21"/>
              </w:rPr>
              <w:t>(</w:t>
            </w:r>
            <w:r>
              <w:rPr>
                <w:rFonts w:hint="eastAsia" w:ascii="宋体" w:hAnsi="宋体"/>
                <w:szCs w:val="21"/>
              </w:rPr>
              <w:t>提供审计报告复印件加盖公章</w:t>
            </w:r>
            <w:r>
              <w:rPr>
                <w:rFonts w:hint="eastAsia" w:ascii="宋体" w:hAnsi="宋体" w:cs="宋体"/>
                <w:szCs w:val="21"/>
              </w:rPr>
              <w:t>编入投标文件,</w:t>
            </w:r>
            <w:r>
              <w:rPr>
                <w:rFonts w:ascii="宋体" w:hAnsi="宋体"/>
                <w:szCs w:val="21"/>
              </w:rPr>
              <w:t>开标时提供原件</w:t>
            </w:r>
            <w:r>
              <w:rPr>
                <w:rFonts w:hint="eastAsia" w:ascii="宋体" w:hAnsi="宋体"/>
                <w:szCs w:val="21"/>
              </w:rPr>
              <w:t>，两者缺一不可，保持一致，否则不得分</w:t>
            </w:r>
            <w:r>
              <w:rPr>
                <w:rFonts w:hint="eastAsia"/>
                <w:szCs w:val="21"/>
              </w:rPr>
              <w:t>）。</w:t>
            </w:r>
          </w:p>
        </w:tc>
        <w:tc>
          <w:tcPr>
            <w:tcW w:w="834" w:type="dxa"/>
            <w:noWrap w:val="0"/>
            <w:vAlign w:val="center"/>
          </w:tcPr>
          <w:p>
            <w:pPr>
              <w:widowControl/>
              <w:spacing w:line="340" w:lineRule="exact"/>
              <w:jc w:val="center"/>
              <w:rPr>
                <w:rFonts w:ascii="宋体"/>
                <w:szCs w:val="21"/>
              </w:rPr>
            </w:pPr>
            <w:r>
              <w:rPr>
                <w:rFonts w:ascii="宋体" w:hAnsi="宋体"/>
                <w:szCs w:val="21"/>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80" w:type="dxa"/>
            <w:vMerge w:val="continue"/>
            <w:noWrap w:val="0"/>
            <w:vAlign w:val="center"/>
          </w:tcPr>
          <w:p>
            <w:pPr>
              <w:spacing w:line="340" w:lineRule="exact"/>
              <w:jc w:val="center"/>
              <w:rPr>
                <w:rFonts w:ascii="宋体"/>
                <w:szCs w:val="21"/>
              </w:rPr>
            </w:pPr>
          </w:p>
        </w:tc>
        <w:tc>
          <w:tcPr>
            <w:tcW w:w="1324" w:type="dxa"/>
            <w:vMerge w:val="continue"/>
            <w:noWrap w:val="0"/>
            <w:vAlign w:val="center"/>
          </w:tcPr>
          <w:p>
            <w:pPr>
              <w:spacing w:line="340" w:lineRule="exact"/>
              <w:jc w:val="center"/>
              <w:rPr>
                <w:rFonts w:ascii="宋体"/>
                <w:szCs w:val="21"/>
              </w:rPr>
            </w:pPr>
          </w:p>
        </w:tc>
        <w:tc>
          <w:tcPr>
            <w:tcW w:w="7206" w:type="dxa"/>
            <w:noWrap w:val="0"/>
            <w:vAlign w:val="center"/>
          </w:tcPr>
          <w:p>
            <w:pPr>
              <w:spacing w:line="300" w:lineRule="exact"/>
              <w:jc w:val="left"/>
              <w:rPr>
                <w:szCs w:val="21"/>
              </w:rPr>
            </w:pPr>
            <w:r>
              <w:rPr>
                <w:rFonts w:hint="eastAsia"/>
                <w:szCs w:val="21"/>
              </w:rPr>
              <w:t>根据所投品牌型号机顶盒与永新视博</w:t>
            </w:r>
            <w:r>
              <w:rPr>
                <w:szCs w:val="21"/>
              </w:rPr>
              <w:t>CA</w:t>
            </w:r>
            <w:r>
              <w:rPr>
                <w:rFonts w:hint="eastAsia"/>
                <w:szCs w:val="21"/>
              </w:rPr>
              <w:t>、杜比</w:t>
            </w:r>
            <w:r>
              <w:rPr>
                <w:szCs w:val="21"/>
              </w:rPr>
              <w:t>DOLBY</w:t>
            </w:r>
            <w:r>
              <w:rPr>
                <w:rFonts w:hint="eastAsia"/>
                <w:szCs w:val="21"/>
              </w:rPr>
              <w:t>、</w:t>
            </w:r>
            <w:r>
              <w:rPr>
                <w:szCs w:val="21"/>
              </w:rPr>
              <w:t>HDMI</w:t>
            </w:r>
            <w:r>
              <w:rPr>
                <w:rFonts w:hint="eastAsia"/>
                <w:szCs w:val="21"/>
              </w:rPr>
              <w:t>等软件认证情况打分：全部通过得</w:t>
            </w:r>
            <w:r>
              <w:rPr>
                <w:rFonts w:hint="eastAsia"/>
                <w:szCs w:val="21"/>
                <w:lang w:val="en-US" w:eastAsia="zh-CN"/>
              </w:rPr>
              <w:t>5</w:t>
            </w:r>
            <w:r>
              <w:rPr>
                <w:rFonts w:hint="eastAsia"/>
                <w:szCs w:val="21"/>
              </w:rPr>
              <w:t>分，通过二个得</w:t>
            </w:r>
            <w:r>
              <w:rPr>
                <w:rFonts w:hint="eastAsia"/>
                <w:szCs w:val="21"/>
                <w:lang w:val="en-US" w:eastAsia="zh-CN"/>
              </w:rPr>
              <w:t>3</w:t>
            </w:r>
            <w:r>
              <w:rPr>
                <w:rFonts w:hint="eastAsia"/>
                <w:szCs w:val="21"/>
              </w:rPr>
              <w:t>分，通过一个得</w:t>
            </w:r>
            <w:r>
              <w:rPr>
                <w:szCs w:val="21"/>
              </w:rPr>
              <w:t>1</w:t>
            </w:r>
            <w:r>
              <w:rPr>
                <w:rFonts w:hint="eastAsia"/>
                <w:szCs w:val="21"/>
              </w:rPr>
              <w:t>分。</w:t>
            </w:r>
          </w:p>
        </w:tc>
        <w:tc>
          <w:tcPr>
            <w:tcW w:w="834" w:type="dxa"/>
            <w:noWrap w:val="0"/>
            <w:vAlign w:val="center"/>
          </w:tcPr>
          <w:p>
            <w:pPr>
              <w:spacing w:line="340" w:lineRule="exact"/>
              <w:jc w:val="center"/>
              <w:rPr>
                <w:rFonts w:ascii="宋体"/>
                <w:szCs w:val="21"/>
              </w:rPr>
            </w:pPr>
            <w:r>
              <w:rPr>
                <w:rFonts w:hint="eastAsia" w:ascii="宋体" w:hAnsi="宋体"/>
                <w:szCs w:val="21"/>
                <w:lang w:val="en-US" w:eastAsia="zh-CN"/>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80" w:type="dxa"/>
            <w:vMerge w:val="continue"/>
            <w:noWrap w:val="0"/>
            <w:vAlign w:val="center"/>
          </w:tcPr>
          <w:p>
            <w:pPr>
              <w:spacing w:line="340" w:lineRule="exact"/>
              <w:jc w:val="center"/>
              <w:rPr>
                <w:rFonts w:ascii="宋体"/>
                <w:szCs w:val="21"/>
              </w:rPr>
            </w:pPr>
          </w:p>
        </w:tc>
        <w:tc>
          <w:tcPr>
            <w:tcW w:w="1324" w:type="dxa"/>
            <w:vMerge w:val="restart"/>
            <w:noWrap w:val="0"/>
            <w:vAlign w:val="center"/>
          </w:tcPr>
          <w:p>
            <w:pPr>
              <w:spacing w:line="340" w:lineRule="exact"/>
              <w:jc w:val="center"/>
              <w:rPr>
                <w:rFonts w:hint="eastAsia" w:ascii="宋体" w:eastAsia="宋体"/>
                <w:szCs w:val="21"/>
                <w:lang w:eastAsia="zh-CN"/>
              </w:rPr>
            </w:pPr>
            <w:r>
              <w:rPr>
                <w:rFonts w:hint="eastAsia" w:ascii="宋体"/>
                <w:szCs w:val="21"/>
                <w:lang w:eastAsia="zh-CN"/>
              </w:rPr>
              <w:t>样品</w:t>
            </w:r>
          </w:p>
        </w:tc>
        <w:tc>
          <w:tcPr>
            <w:tcW w:w="7206" w:type="dxa"/>
            <w:noWrap w:val="0"/>
            <w:vAlign w:val="top"/>
          </w:tcPr>
          <w:p>
            <w:pPr>
              <w:spacing w:line="300" w:lineRule="exact"/>
              <w:jc w:val="left"/>
              <w:rPr>
                <w:szCs w:val="21"/>
              </w:rPr>
            </w:pPr>
            <w:r>
              <w:rPr>
                <w:rFonts w:hint="eastAsia"/>
                <w:szCs w:val="21"/>
              </w:rPr>
              <w:t>根据样品外观散热设计合理性打分</w:t>
            </w:r>
            <w:r>
              <w:rPr>
                <w:rFonts w:hint="eastAsia" w:ascii="宋体" w:hAnsi="宋体" w:eastAsia="宋体" w:cs="Times New Roman"/>
                <w:color w:val="auto"/>
                <w:kern w:val="2"/>
                <w:sz w:val="21"/>
                <w:szCs w:val="21"/>
                <w:highlight w:val="none"/>
                <w:lang w:val="en-US" w:eastAsia="zh-CN" w:bidi="ar-SA"/>
              </w:rPr>
              <w:t>等进行综合评议。</w:t>
            </w:r>
          </w:p>
        </w:tc>
        <w:tc>
          <w:tcPr>
            <w:tcW w:w="834" w:type="dxa"/>
            <w:noWrap w:val="0"/>
            <w:vAlign w:val="center"/>
          </w:tcPr>
          <w:p>
            <w:pPr>
              <w:spacing w:line="340" w:lineRule="exact"/>
              <w:jc w:val="center"/>
              <w:rPr>
                <w:rFonts w:ascii="宋体"/>
                <w:szCs w:val="21"/>
              </w:rPr>
            </w:pPr>
            <w:r>
              <w:rPr>
                <w:rFonts w:hint="eastAsia" w:ascii="宋体" w:hAnsi="宋体"/>
                <w:szCs w:val="21"/>
                <w:lang w:val="en-US" w:eastAsia="zh-CN"/>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80" w:type="dxa"/>
            <w:vMerge w:val="continue"/>
            <w:noWrap w:val="0"/>
            <w:vAlign w:val="center"/>
          </w:tcPr>
          <w:p>
            <w:pPr>
              <w:spacing w:line="340" w:lineRule="exact"/>
              <w:jc w:val="center"/>
              <w:rPr>
                <w:rFonts w:ascii="宋体"/>
                <w:szCs w:val="21"/>
              </w:rPr>
            </w:pPr>
          </w:p>
        </w:tc>
        <w:tc>
          <w:tcPr>
            <w:tcW w:w="1324" w:type="dxa"/>
            <w:vMerge w:val="continue"/>
            <w:noWrap w:val="0"/>
            <w:vAlign w:val="center"/>
          </w:tcPr>
          <w:p>
            <w:pPr>
              <w:spacing w:line="340" w:lineRule="exact"/>
              <w:jc w:val="center"/>
              <w:rPr>
                <w:rFonts w:ascii="宋体"/>
                <w:szCs w:val="21"/>
              </w:rPr>
            </w:pPr>
          </w:p>
        </w:tc>
        <w:tc>
          <w:tcPr>
            <w:tcW w:w="7206" w:type="dxa"/>
            <w:noWrap w:val="0"/>
            <w:vAlign w:val="center"/>
          </w:tcPr>
          <w:p>
            <w:pPr>
              <w:spacing w:line="300" w:lineRule="exact"/>
              <w:jc w:val="left"/>
              <w:rPr>
                <w:rFonts w:hint="eastAsia" w:ascii="Times New Roman" w:hAnsi="Times New Roman" w:eastAsia="宋体" w:cs="Times New Roman"/>
                <w:kern w:val="2"/>
                <w:sz w:val="21"/>
                <w:szCs w:val="21"/>
                <w:lang w:val="en-US" w:eastAsia="zh-CN" w:bidi="ar-SA"/>
              </w:rPr>
            </w:pPr>
            <w:r>
              <w:rPr>
                <w:rFonts w:hint="eastAsia"/>
                <w:szCs w:val="21"/>
              </w:rPr>
              <w:t>根据样品电源内部电路的抗雷击、浪涌设计</w:t>
            </w:r>
            <w:r>
              <w:rPr>
                <w:rFonts w:hint="eastAsia" w:ascii="宋体" w:hAnsi="宋体" w:eastAsia="宋体" w:cs="Times New Roman"/>
                <w:color w:val="auto"/>
                <w:kern w:val="2"/>
                <w:sz w:val="21"/>
                <w:szCs w:val="21"/>
                <w:highlight w:val="none"/>
                <w:lang w:val="en-US" w:eastAsia="zh-CN" w:bidi="ar-SA"/>
              </w:rPr>
              <w:t>等进行综合评议。</w:t>
            </w:r>
          </w:p>
        </w:tc>
        <w:tc>
          <w:tcPr>
            <w:tcW w:w="834" w:type="dxa"/>
            <w:noWrap w:val="0"/>
            <w:vAlign w:val="center"/>
          </w:tcPr>
          <w:p>
            <w:pPr>
              <w:spacing w:line="340" w:lineRule="exact"/>
              <w:jc w:val="center"/>
              <w:rPr>
                <w:rFonts w:hint="eastAsia" w:ascii="宋体" w:hAnsi="Times New Roman" w:eastAsia="宋体" w:cs="Times New Roman"/>
                <w:kern w:val="2"/>
                <w:sz w:val="21"/>
                <w:szCs w:val="21"/>
                <w:lang w:val="en-US" w:eastAsia="zh-CN" w:bidi="ar-SA"/>
              </w:rPr>
            </w:pPr>
            <w:r>
              <w:rPr>
                <w:rFonts w:hint="eastAsia" w:ascii="宋体" w:hAnsi="宋体"/>
                <w:szCs w:val="21"/>
                <w:lang w:val="en-US" w:eastAsia="zh-CN"/>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spacing w:line="340" w:lineRule="exact"/>
              <w:jc w:val="center"/>
              <w:rPr>
                <w:rFonts w:ascii="宋体"/>
                <w:szCs w:val="21"/>
              </w:rPr>
            </w:pPr>
          </w:p>
        </w:tc>
        <w:tc>
          <w:tcPr>
            <w:tcW w:w="1324" w:type="dxa"/>
            <w:vMerge w:val="continue"/>
            <w:noWrap w:val="0"/>
            <w:vAlign w:val="center"/>
          </w:tcPr>
          <w:p>
            <w:pPr>
              <w:spacing w:line="340" w:lineRule="exact"/>
              <w:jc w:val="center"/>
              <w:rPr>
                <w:rFonts w:ascii="宋体"/>
                <w:szCs w:val="21"/>
              </w:rPr>
            </w:pPr>
          </w:p>
        </w:tc>
        <w:tc>
          <w:tcPr>
            <w:tcW w:w="7206" w:type="dxa"/>
            <w:noWrap w:val="0"/>
            <w:vAlign w:val="center"/>
          </w:tcPr>
          <w:p>
            <w:pPr>
              <w:spacing w:line="300" w:lineRule="exact"/>
              <w:jc w:val="left"/>
              <w:rPr>
                <w:szCs w:val="21"/>
              </w:rPr>
            </w:pPr>
            <w:r>
              <w:rPr>
                <w:rFonts w:hint="eastAsia"/>
                <w:szCs w:val="21"/>
              </w:rPr>
              <w:t>根据电路主板做工工艺及用料</w:t>
            </w:r>
            <w:r>
              <w:rPr>
                <w:rFonts w:hint="eastAsia" w:ascii="宋体" w:hAnsi="宋体" w:eastAsia="宋体" w:cs="Times New Roman"/>
                <w:color w:val="auto"/>
                <w:kern w:val="2"/>
                <w:sz w:val="21"/>
                <w:szCs w:val="21"/>
                <w:highlight w:val="none"/>
                <w:lang w:val="en-US" w:eastAsia="zh-CN" w:bidi="ar-SA"/>
              </w:rPr>
              <w:t>等进行综合评议。</w:t>
            </w:r>
          </w:p>
        </w:tc>
        <w:tc>
          <w:tcPr>
            <w:tcW w:w="834" w:type="dxa"/>
            <w:noWrap w:val="0"/>
            <w:vAlign w:val="center"/>
          </w:tcPr>
          <w:p>
            <w:pPr>
              <w:spacing w:line="340" w:lineRule="exact"/>
              <w:jc w:val="center"/>
              <w:rPr>
                <w:rFonts w:ascii="宋体"/>
                <w:szCs w:val="21"/>
              </w:rPr>
            </w:pPr>
            <w:r>
              <w:rPr>
                <w:rFonts w:hint="eastAsia" w:ascii="宋体" w:hAnsi="宋体"/>
                <w:szCs w:val="21"/>
                <w:lang w:val="en-US" w:eastAsia="zh-CN"/>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Merge w:val="continue"/>
            <w:noWrap w:val="0"/>
            <w:vAlign w:val="center"/>
          </w:tcPr>
          <w:p>
            <w:pPr>
              <w:spacing w:line="340" w:lineRule="exact"/>
              <w:jc w:val="center"/>
              <w:rPr>
                <w:rFonts w:ascii="宋体"/>
                <w:szCs w:val="21"/>
              </w:rPr>
            </w:pPr>
          </w:p>
        </w:tc>
        <w:tc>
          <w:tcPr>
            <w:tcW w:w="1324" w:type="dxa"/>
            <w:noWrap w:val="0"/>
            <w:vAlign w:val="center"/>
          </w:tcPr>
          <w:p>
            <w:pPr>
              <w:spacing w:line="340" w:lineRule="exact"/>
              <w:jc w:val="center"/>
              <w:rPr>
                <w:rFonts w:ascii="宋体"/>
                <w:szCs w:val="21"/>
              </w:rPr>
            </w:pPr>
            <w:r>
              <w:rPr>
                <w:rFonts w:hint="eastAsia"/>
                <w:szCs w:val="21"/>
              </w:rPr>
              <w:t>用户使用调查报告</w:t>
            </w:r>
          </w:p>
        </w:tc>
        <w:tc>
          <w:tcPr>
            <w:tcW w:w="7206" w:type="dxa"/>
            <w:noWrap w:val="0"/>
            <w:vAlign w:val="center"/>
          </w:tcPr>
          <w:p>
            <w:pPr>
              <w:spacing w:line="300" w:lineRule="exact"/>
              <w:jc w:val="left"/>
              <w:rPr>
                <w:szCs w:val="21"/>
              </w:rPr>
            </w:pPr>
            <w:r>
              <w:rPr>
                <w:rFonts w:hint="eastAsia"/>
                <w:szCs w:val="21"/>
              </w:rPr>
              <w:t>根据机顶盒厂家提供的广电使用单位出具的机顶盒使用调查报告（模版见附件</w:t>
            </w:r>
            <w:r>
              <w:rPr>
                <w:rFonts w:hint="eastAsia"/>
                <w:szCs w:val="21"/>
                <w:lang w:val="en-US" w:eastAsia="zh-CN"/>
              </w:rPr>
              <w:t>19</w:t>
            </w:r>
            <w:r>
              <w:rPr>
                <w:rFonts w:hint="eastAsia"/>
                <w:szCs w:val="21"/>
              </w:rPr>
              <w:t>），由专家评审时酌情打分。</w:t>
            </w:r>
          </w:p>
        </w:tc>
        <w:tc>
          <w:tcPr>
            <w:tcW w:w="834" w:type="dxa"/>
            <w:noWrap w:val="0"/>
            <w:vAlign w:val="center"/>
          </w:tcPr>
          <w:p>
            <w:pPr>
              <w:spacing w:line="340" w:lineRule="exact"/>
              <w:jc w:val="center"/>
              <w:rPr>
                <w:rFonts w:ascii="宋体"/>
                <w:szCs w:val="21"/>
              </w:rPr>
            </w:pPr>
            <w:r>
              <w:rPr>
                <w:rFonts w:hint="eastAsia" w:ascii="宋体" w:hAnsi="宋体"/>
                <w:szCs w:val="21"/>
                <w:lang w:val="en-US" w:eastAsia="zh-CN"/>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80" w:type="dxa"/>
            <w:vMerge w:val="continue"/>
            <w:noWrap w:val="0"/>
            <w:vAlign w:val="center"/>
          </w:tcPr>
          <w:p>
            <w:pPr>
              <w:spacing w:line="340" w:lineRule="exact"/>
              <w:jc w:val="center"/>
              <w:rPr>
                <w:rFonts w:ascii="宋体"/>
                <w:szCs w:val="21"/>
              </w:rPr>
            </w:pPr>
          </w:p>
        </w:tc>
        <w:tc>
          <w:tcPr>
            <w:tcW w:w="1324" w:type="dxa"/>
            <w:noWrap w:val="0"/>
            <w:vAlign w:val="center"/>
          </w:tcPr>
          <w:p>
            <w:pPr>
              <w:spacing w:line="340" w:lineRule="exact"/>
              <w:jc w:val="center"/>
              <w:rPr>
                <w:rFonts w:ascii="宋体"/>
                <w:szCs w:val="21"/>
              </w:rPr>
            </w:pPr>
            <w:r>
              <w:rPr>
                <w:rFonts w:hint="eastAsia" w:ascii="宋体" w:hAnsi="宋体"/>
                <w:szCs w:val="21"/>
              </w:rPr>
              <w:t>质量保证和售后服务</w:t>
            </w:r>
          </w:p>
        </w:tc>
        <w:tc>
          <w:tcPr>
            <w:tcW w:w="7206" w:type="dxa"/>
            <w:noWrap w:val="0"/>
            <w:vAlign w:val="center"/>
          </w:tcPr>
          <w:p>
            <w:pPr>
              <w:spacing w:line="300" w:lineRule="exact"/>
              <w:jc w:val="left"/>
              <w:rPr>
                <w:rFonts w:hint="eastAsia" w:eastAsia="宋体"/>
                <w:szCs w:val="21"/>
                <w:lang w:val="en-US" w:eastAsia="zh-CN"/>
              </w:rPr>
            </w:pPr>
            <w:r>
              <w:rPr>
                <w:rFonts w:hint="eastAsia" w:ascii="宋体" w:hAnsi="宋体"/>
                <w:szCs w:val="21"/>
                <w:lang w:val="zh-CN"/>
              </w:rPr>
              <w:t>根据投标方</w:t>
            </w:r>
            <w:r>
              <w:rPr>
                <w:rFonts w:hint="eastAsia" w:ascii="宋体" w:hAnsi="宋体"/>
                <w:szCs w:val="21"/>
              </w:rPr>
              <w:t>质量保证和</w:t>
            </w:r>
            <w:r>
              <w:rPr>
                <w:rFonts w:hint="eastAsia" w:ascii="宋体" w:hAnsi="宋体"/>
                <w:szCs w:val="21"/>
                <w:lang w:val="zh-CN"/>
              </w:rPr>
              <w:t>售后服务承诺情况，</w:t>
            </w:r>
            <w:r>
              <w:rPr>
                <w:rFonts w:hint="eastAsia"/>
                <w:szCs w:val="21"/>
              </w:rPr>
              <w:t>由专家评审时酌情打分</w:t>
            </w:r>
            <w:r>
              <w:rPr>
                <w:rFonts w:hint="eastAsia"/>
                <w:szCs w:val="21"/>
                <w:lang w:eastAsia="zh-CN"/>
              </w:rPr>
              <w:t>。</w:t>
            </w:r>
          </w:p>
        </w:tc>
        <w:tc>
          <w:tcPr>
            <w:tcW w:w="834" w:type="dxa"/>
            <w:noWrap w:val="0"/>
            <w:vAlign w:val="center"/>
          </w:tcPr>
          <w:p>
            <w:pPr>
              <w:spacing w:line="340" w:lineRule="exact"/>
              <w:jc w:val="center"/>
              <w:rPr>
                <w:rFonts w:ascii="宋体"/>
                <w:szCs w:val="21"/>
              </w:rPr>
            </w:pPr>
            <w:r>
              <w:rPr>
                <w:rFonts w:hint="eastAsia" w:ascii="宋体" w:hAnsi="宋体"/>
                <w:szCs w:val="21"/>
                <w:lang w:val="en-US" w:eastAsia="zh-CN"/>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spacing w:line="340" w:lineRule="exact"/>
              <w:jc w:val="center"/>
              <w:rPr>
                <w:rFonts w:ascii="宋体"/>
                <w:szCs w:val="21"/>
              </w:rPr>
            </w:pPr>
            <w:r>
              <w:rPr>
                <w:rFonts w:hint="eastAsia" w:ascii="宋体" w:hAnsi="宋体"/>
                <w:szCs w:val="21"/>
              </w:rPr>
              <w:t>报价部分</w:t>
            </w:r>
          </w:p>
          <w:p>
            <w:pPr>
              <w:spacing w:line="340" w:lineRule="exact"/>
              <w:jc w:val="center"/>
              <w:rPr>
                <w:rFonts w:ascii="宋体"/>
                <w:szCs w:val="21"/>
              </w:rPr>
            </w:pPr>
            <w:r>
              <w:rPr>
                <w:rFonts w:ascii="宋体" w:hAnsi="宋体"/>
                <w:szCs w:val="21"/>
              </w:rPr>
              <w:t>55</w:t>
            </w:r>
            <w:r>
              <w:rPr>
                <w:rFonts w:hint="eastAsia" w:ascii="宋体" w:hAnsi="宋体"/>
                <w:szCs w:val="21"/>
              </w:rPr>
              <w:t>分</w:t>
            </w:r>
          </w:p>
        </w:tc>
        <w:tc>
          <w:tcPr>
            <w:tcW w:w="1324" w:type="dxa"/>
            <w:noWrap w:val="0"/>
            <w:vAlign w:val="center"/>
          </w:tcPr>
          <w:p>
            <w:pPr>
              <w:spacing w:line="340" w:lineRule="exact"/>
              <w:jc w:val="center"/>
              <w:rPr>
                <w:rFonts w:ascii="宋体"/>
                <w:szCs w:val="21"/>
              </w:rPr>
            </w:pPr>
            <w:r>
              <w:rPr>
                <w:rFonts w:hint="eastAsia" w:ascii="宋体" w:hAnsi="宋体"/>
                <w:szCs w:val="21"/>
              </w:rPr>
              <w:t>投标报价</w:t>
            </w:r>
          </w:p>
          <w:p>
            <w:pPr>
              <w:spacing w:line="340" w:lineRule="exact"/>
              <w:jc w:val="center"/>
              <w:rPr>
                <w:rFonts w:hint="eastAsia" w:ascii="宋体" w:hAnsi="宋体"/>
                <w:szCs w:val="21"/>
              </w:rPr>
            </w:pPr>
            <w:r>
              <w:rPr>
                <w:rFonts w:hint="eastAsia" w:ascii="宋体" w:hAnsi="宋体"/>
                <w:szCs w:val="21"/>
              </w:rPr>
              <w:t>（</w:t>
            </w:r>
            <w:r>
              <w:rPr>
                <w:rFonts w:ascii="宋体" w:hAnsi="宋体"/>
                <w:szCs w:val="21"/>
              </w:rPr>
              <w:t>55</w:t>
            </w:r>
            <w:r>
              <w:rPr>
                <w:rFonts w:hint="eastAsia" w:ascii="宋体" w:hAnsi="宋体"/>
                <w:szCs w:val="21"/>
              </w:rPr>
              <w:t>分）</w:t>
            </w:r>
          </w:p>
        </w:tc>
        <w:tc>
          <w:tcPr>
            <w:tcW w:w="7206" w:type="dxa"/>
            <w:noWrap w:val="0"/>
            <w:vAlign w:val="center"/>
          </w:tcPr>
          <w:p>
            <w:pPr>
              <w:spacing w:line="360" w:lineRule="exact"/>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参与评审的价格=投标报价-【（小微企业货物及服务价格×小微企业优惠）（如有）】</w:t>
            </w:r>
          </w:p>
          <w:p>
            <w:pPr>
              <w:spacing w:line="360" w:lineRule="exact"/>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基准价：有效标中最低的参与评审的价格为评标基准价。</w:t>
            </w:r>
          </w:p>
          <w:p>
            <w:pPr>
              <w:spacing w:line="360" w:lineRule="exact"/>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基准价得满分</w:t>
            </w:r>
            <w:r>
              <w:rPr>
                <w:rFonts w:hint="eastAsia" w:ascii="宋体" w:hAnsi="宋体" w:cs="Times New Roman"/>
                <w:color w:val="auto"/>
                <w:kern w:val="2"/>
                <w:sz w:val="21"/>
                <w:szCs w:val="21"/>
                <w:highlight w:val="none"/>
                <w:lang w:val="en-US" w:eastAsia="zh-CN" w:bidi="ar-SA"/>
              </w:rPr>
              <w:t>55</w:t>
            </w:r>
            <w:r>
              <w:rPr>
                <w:rFonts w:hint="eastAsia" w:ascii="宋体" w:hAnsi="宋体" w:eastAsia="宋体" w:cs="Times New Roman"/>
                <w:color w:val="auto"/>
                <w:kern w:val="2"/>
                <w:sz w:val="21"/>
                <w:szCs w:val="21"/>
                <w:highlight w:val="none"/>
                <w:lang w:val="en-US" w:eastAsia="zh-CN" w:bidi="ar-SA"/>
              </w:rPr>
              <w:t>分，其他投标报价得分计算如下：</w:t>
            </w:r>
          </w:p>
          <w:p>
            <w:pPr>
              <w:spacing w:line="300" w:lineRule="exact"/>
              <w:jc w:val="left"/>
              <w:rPr>
                <w:rFonts w:hint="eastAsia" w:ascii="宋体" w:hAnsi="宋体"/>
                <w:szCs w:val="21"/>
                <w:lang w:val="zh-CN"/>
              </w:rPr>
            </w:pPr>
            <w:r>
              <w:rPr>
                <w:rFonts w:hint="eastAsia" w:ascii="宋体" w:hAnsi="宋体" w:eastAsia="宋体" w:cs="Times New Roman"/>
                <w:color w:val="auto"/>
                <w:kern w:val="2"/>
                <w:sz w:val="21"/>
                <w:szCs w:val="21"/>
                <w:highlight w:val="none"/>
                <w:lang w:val="en-US" w:eastAsia="zh-CN" w:bidi="ar-SA"/>
              </w:rPr>
              <w:t>投标报价得分=（评标基准价/参与评审的价格）×</w:t>
            </w:r>
            <w:r>
              <w:rPr>
                <w:rFonts w:hint="eastAsia" w:ascii="宋体" w:hAnsi="宋体" w:cs="Times New Roman"/>
                <w:color w:val="auto"/>
                <w:kern w:val="2"/>
                <w:sz w:val="21"/>
                <w:szCs w:val="21"/>
                <w:highlight w:val="none"/>
                <w:lang w:val="en-US" w:eastAsia="zh-CN" w:bidi="ar-SA"/>
              </w:rPr>
              <w:t>55</w:t>
            </w:r>
            <w:r>
              <w:rPr>
                <w:rFonts w:hint="eastAsia" w:ascii="宋体" w:hAnsi="宋体" w:eastAsia="宋体" w:cs="Times New Roman"/>
                <w:color w:val="auto"/>
                <w:kern w:val="2"/>
                <w:sz w:val="21"/>
                <w:szCs w:val="21"/>
                <w:highlight w:val="none"/>
                <w:lang w:val="en-US" w:eastAsia="zh-CN" w:bidi="ar-SA"/>
              </w:rPr>
              <w:t>×100%</w:t>
            </w:r>
          </w:p>
        </w:tc>
        <w:tc>
          <w:tcPr>
            <w:tcW w:w="834" w:type="dxa"/>
            <w:noWrap w:val="0"/>
            <w:vAlign w:val="center"/>
          </w:tcPr>
          <w:p>
            <w:pPr>
              <w:spacing w:line="340" w:lineRule="exact"/>
              <w:jc w:val="center"/>
              <w:rPr>
                <w:rFonts w:ascii="宋体" w:hAnsi="宋体"/>
                <w:szCs w:val="21"/>
              </w:rPr>
            </w:pPr>
            <w:r>
              <w:rPr>
                <w:rFonts w:ascii="宋体" w:hAnsi="宋体"/>
                <w:szCs w:val="21"/>
              </w:rPr>
              <w:t>55</w:t>
            </w:r>
            <w:r>
              <w:rPr>
                <w:rFonts w:hint="eastAsia" w:ascii="宋体" w:hAnsi="宋体"/>
                <w:szCs w:val="21"/>
              </w:rPr>
              <w:t>分</w:t>
            </w:r>
          </w:p>
        </w:tc>
      </w:tr>
    </w:tbl>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注：1、小数点后保留</w:t>
      </w:r>
      <w:r>
        <w:rPr>
          <w:rFonts w:hint="default" w:ascii="宋体" w:hAnsi="宋体" w:cs="宋体"/>
          <w:color w:val="auto"/>
          <w:szCs w:val="21"/>
          <w:highlight w:val="none"/>
        </w:rPr>
        <w:t>一</w:t>
      </w:r>
      <w:r>
        <w:rPr>
          <w:rFonts w:hint="eastAsia" w:ascii="宋体" w:hAnsi="宋体" w:cs="宋体"/>
          <w:color w:val="auto"/>
          <w:szCs w:val="21"/>
          <w:highlight w:val="none"/>
        </w:rPr>
        <w:t>位</w:t>
      </w:r>
      <w:r>
        <w:rPr>
          <w:rFonts w:hint="default" w:ascii="宋体" w:hAnsi="宋体" w:cs="宋体"/>
          <w:color w:val="auto"/>
          <w:szCs w:val="21"/>
          <w:highlight w:val="none"/>
        </w:rPr>
        <w:t>小</w:t>
      </w:r>
      <w:r>
        <w:rPr>
          <w:rFonts w:hint="eastAsia" w:ascii="宋体" w:hAnsi="宋体" w:cs="宋体"/>
          <w:color w:val="auto"/>
          <w:szCs w:val="21"/>
          <w:highlight w:val="none"/>
        </w:rPr>
        <w:t>数。2、各评标委员会成员自行按以上参考分值评分。</w:t>
      </w:r>
    </w:p>
    <w:p>
      <w:pPr>
        <w:snapToGrid w:val="0"/>
        <w:spacing w:line="360" w:lineRule="auto"/>
        <w:ind w:firstLine="420" w:firstLineChars="200"/>
        <w:rPr>
          <w:rFonts w:hint="eastAsia" w:ascii="宋体" w:hAnsi="宋体" w:cs="宋体"/>
          <w:b/>
          <w:color w:val="auto"/>
          <w:szCs w:val="21"/>
          <w:highlight w:val="none"/>
        </w:rPr>
      </w:pPr>
      <w:r>
        <w:rPr>
          <w:rFonts w:hint="eastAsia" w:ascii="宋体" w:hAnsi="宋体" w:cs="宋体"/>
          <w:color w:val="auto"/>
          <w:szCs w:val="21"/>
          <w:highlight w:val="none"/>
        </w:rPr>
        <w:t>3、重大事件由评标委员会集体讨论，须有三分之二或以上的评标委员会签字认可。</w:t>
      </w:r>
    </w:p>
    <w:p>
      <w:pPr>
        <w:widowControl/>
        <w:snapToGrid w:val="0"/>
        <w:spacing w:line="360" w:lineRule="auto"/>
        <w:ind w:firstLine="422" w:firstLineChars="200"/>
        <w:jc w:val="left"/>
        <w:rPr>
          <w:rFonts w:hint="eastAsia" w:ascii="宋体" w:hAnsi="宋体" w:cs="宋体"/>
          <w:b/>
          <w:color w:val="auto"/>
          <w:szCs w:val="20"/>
          <w:highlight w:val="none"/>
        </w:rPr>
      </w:pPr>
      <w:r>
        <w:rPr>
          <w:rFonts w:hint="eastAsia" w:ascii="宋体" w:hAnsi="宋体" w:cs="宋体"/>
          <w:b/>
          <w:color w:val="auto"/>
          <w:szCs w:val="20"/>
          <w:highlight w:val="none"/>
        </w:rPr>
        <w:t>六、定标</w:t>
      </w:r>
    </w:p>
    <w:p>
      <w:pPr>
        <w:widowControl/>
        <w:snapToGrid w:val="0"/>
        <w:spacing w:line="360" w:lineRule="auto"/>
        <w:ind w:firstLine="413" w:firstLineChars="196"/>
        <w:jc w:val="left"/>
        <w:rPr>
          <w:rFonts w:hint="eastAsia" w:ascii="宋体" w:hAnsi="宋体" w:cs="宋体"/>
          <w:b/>
          <w:bCs/>
          <w:color w:val="auto"/>
          <w:szCs w:val="20"/>
          <w:highlight w:val="none"/>
        </w:rPr>
      </w:pPr>
      <w:r>
        <w:rPr>
          <w:rFonts w:hint="eastAsia" w:ascii="宋体" w:hAnsi="宋体" w:cs="宋体"/>
          <w:b/>
          <w:bCs/>
          <w:color w:val="auto"/>
          <w:szCs w:val="20"/>
          <w:highlight w:val="none"/>
        </w:rPr>
        <w:t>（一）确定中标供应商。本项目由采购人（或采购人事先授权评标委员会）确定中标供应商。</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1.采购代理机构在评标结束后将评标报告交采购人确认。</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2.供应商对评标结果无异议的，采购人应在收到评标报告后5个工作日内对评标结果进行确认。如有供应商对评标结果提出质疑的，采购人可在质疑处理完毕后确定中标供应商。</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3.采购人依法确定中标供应商后2个工作日内，采购代理机构以书面形式发出《中标通知书》,并同时在相关网站上发布中标公告。</w:t>
      </w:r>
    </w:p>
    <w:p>
      <w:pPr>
        <w:widowControl/>
        <w:snapToGrid w:val="0"/>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rPr>
        <w:t>4.</w:t>
      </w:r>
      <w:r>
        <w:rPr>
          <w:rFonts w:hint="eastAsia" w:ascii="宋体" w:hAnsi="宋体" w:cs="宋体"/>
          <w:color w:val="auto"/>
          <w:kern w:val="0"/>
          <w:szCs w:val="21"/>
          <w:highlight w:val="none"/>
          <w:lang w:bidi="ar"/>
        </w:rPr>
        <w:t>若中标供应商放弃中标，或因不可抗力提出不能履行合同，或不按招标文件规定提交履约担保，或其它原因被依法撤销中标资格，则采购人可确定排名次之的中标候选人为中标人或重新组织招标。</w:t>
      </w:r>
    </w:p>
    <w:p>
      <w:pPr>
        <w:widowControl/>
        <w:snapToGrid w:val="0"/>
        <w:spacing w:line="360" w:lineRule="auto"/>
        <w:ind w:firstLine="422" w:firstLineChars="200"/>
        <w:jc w:val="left"/>
        <w:rPr>
          <w:rFonts w:hint="eastAsia"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七、评标过程的监控与保密</w:t>
      </w:r>
    </w:p>
    <w:p>
      <w:pPr>
        <w:widowControl/>
        <w:snapToGrid w:val="0"/>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1、本项目评标过程实行全程录音、录像监控，供应商在评标过程中所进行的试图影响评标结果的不公正活动，可能导致其投标被拒绝。</w:t>
      </w:r>
    </w:p>
    <w:p>
      <w:pPr>
        <w:widowControl/>
        <w:snapToGrid w:val="0"/>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2、开标后到中标通知书发出之前，所有涉及评标委员会名单以及对投标文件的澄清、评价、比较等情况，评标委员会成员、采购人和采购代理机构的有关人员均不得向供应商或其他无关人员透露。</w:t>
      </w:r>
    </w:p>
    <w:p>
      <w:pPr>
        <w:widowControl/>
        <w:snapToGrid w:val="0"/>
        <w:spacing w:line="360" w:lineRule="auto"/>
        <w:ind w:firstLine="413" w:firstLineChars="196"/>
        <w:jc w:val="left"/>
        <w:rPr>
          <w:rFonts w:hint="eastAsia" w:ascii="宋体" w:hAnsi="宋体" w:cs="宋体"/>
          <w:b/>
          <w:bCs/>
          <w:color w:val="auto"/>
          <w:kern w:val="0"/>
          <w:szCs w:val="21"/>
          <w:highlight w:val="none"/>
        </w:rPr>
      </w:pPr>
      <w:bookmarkStart w:id="36" w:name="_Toc17747"/>
      <w:r>
        <w:rPr>
          <w:rFonts w:hint="eastAsia" w:ascii="宋体" w:hAnsi="宋体" w:cs="宋体"/>
          <w:b/>
          <w:color w:val="auto"/>
          <w:kern w:val="0"/>
          <w:szCs w:val="21"/>
          <w:highlight w:val="none"/>
        </w:rPr>
        <w:t>八、合同授予</w:t>
      </w:r>
      <w:bookmarkEnd w:id="36"/>
      <w:r>
        <w:rPr>
          <w:rFonts w:hint="eastAsia" w:ascii="宋体" w:hAnsi="宋体" w:cs="宋体"/>
          <w:b/>
          <w:color w:val="auto"/>
          <w:kern w:val="0"/>
          <w:szCs w:val="21"/>
          <w:highlight w:val="none"/>
        </w:rPr>
        <w:t>：</w:t>
      </w:r>
      <w:r>
        <w:rPr>
          <w:rFonts w:hint="eastAsia" w:ascii="宋体" w:hAnsi="宋体" w:cs="宋体"/>
          <w:b/>
          <w:bCs/>
          <w:color w:val="auto"/>
          <w:kern w:val="0"/>
          <w:szCs w:val="21"/>
          <w:highlight w:val="none"/>
        </w:rPr>
        <w:t>签订合同</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1.采购人应当自中标通知书发出之日起30日内，按照招标文件和中标人投标文件的规定，与中标人签订书面合同。所签订的合同不得对招标文件确定的事项和中标人投标文件作实质性修改。</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采购人不得向中标人提出任何不合理的要求作为签订合同的条件。</w:t>
      </w:r>
    </w:p>
    <w:p>
      <w:pPr>
        <w:widowControl/>
        <w:snapToGrid w:val="0"/>
        <w:spacing w:line="360" w:lineRule="auto"/>
        <w:ind w:firstLine="411" w:firstLineChars="196"/>
        <w:jc w:val="left"/>
        <w:rPr>
          <w:rFonts w:hint="eastAsia" w:ascii="宋体" w:hAnsi="宋体" w:cs="宋体"/>
          <w:bCs/>
          <w:color w:val="auto"/>
          <w:szCs w:val="20"/>
          <w:highlight w:val="none"/>
        </w:rPr>
      </w:pPr>
      <w:r>
        <w:rPr>
          <w:rFonts w:hint="eastAsia" w:ascii="宋体" w:hAnsi="宋体" w:cs="宋体"/>
          <w:bCs/>
          <w:color w:val="auto"/>
          <w:szCs w:val="20"/>
          <w:highlight w:val="none"/>
        </w:rPr>
        <w:t>2</w:t>
      </w:r>
      <w:r>
        <w:rPr>
          <w:rFonts w:hint="eastAsia" w:ascii="宋体" w:hAnsi="宋体" w:cs="宋体"/>
          <w:color w:val="auto"/>
          <w:szCs w:val="20"/>
          <w:highlight w:val="none"/>
        </w:rPr>
        <w:t>.</w:t>
      </w:r>
      <w:r>
        <w:rPr>
          <w:rFonts w:hint="eastAsia" w:ascii="宋体" w:hAnsi="宋体" w:cs="宋体"/>
          <w:bCs/>
          <w:color w:val="auto"/>
          <w:szCs w:val="20"/>
          <w:highlight w:val="none"/>
        </w:rPr>
        <w:t>采购人在签订合同时，在合同金额变更范围内，如需审批的办理相关审批手续。有权变更采购项目的数量和服务内容，但不能对单价或其他条款和条件作任何改变。</w:t>
      </w:r>
    </w:p>
    <w:p>
      <w:pPr>
        <w:widowControl/>
        <w:snapToGrid w:val="0"/>
        <w:spacing w:line="360" w:lineRule="auto"/>
        <w:ind w:firstLine="411" w:firstLineChars="196"/>
        <w:jc w:val="left"/>
        <w:rPr>
          <w:rFonts w:hint="eastAsia" w:ascii="宋体" w:hAnsi="宋体" w:cs="宋体"/>
          <w:bCs/>
          <w:color w:val="auto"/>
          <w:szCs w:val="20"/>
          <w:highlight w:val="none"/>
        </w:rPr>
      </w:pPr>
      <w:r>
        <w:rPr>
          <w:rFonts w:hint="eastAsia" w:ascii="宋体" w:hAnsi="宋体" w:cs="宋体"/>
          <w:bCs/>
          <w:color w:val="auto"/>
          <w:szCs w:val="20"/>
          <w:highlight w:val="none"/>
        </w:rPr>
        <w:t>3</w:t>
      </w:r>
      <w:r>
        <w:rPr>
          <w:rFonts w:hint="eastAsia" w:ascii="宋体" w:hAnsi="宋体" w:cs="宋体"/>
          <w:color w:val="auto"/>
          <w:szCs w:val="20"/>
          <w:highlight w:val="none"/>
        </w:rPr>
        <w:t>.</w:t>
      </w:r>
      <w:r>
        <w:rPr>
          <w:rFonts w:hint="eastAsia" w:ascii="宋体" w:hAnsi="宋体" w:cs="宋体"/>
          <w:bCs/>
          <w:color w:val="auto"/>
          <w:szCs w:val="20"/>
          <w:highlight w:val="none"/>
        </w:rPr>
        <w:t>招标文件、中标供应商的投标文件及评标过程中有关的澄清文件均应作为合同签订的附件。</w:t>
      </w:r>
    </w:p>
    <w:p>
      <w:pPr>
        <w:widowControl/>
        <w:snapToGrid w:val="0"/>
        <w:spacing w:line="360" w:lineRule="auto"/>
        <w:ind w:firstLine="411" w:firstLineChars="196"/>
        <w:jc w:val="left"/>
        <w:rPr>
          <w:rFonts w:hint="eastAsia" w:ascii="宋体" w:hAnsi="宋体" w:cs="宋体"/>
          <w:bCs/>
          <w:color w:val="auto"/>
          <w:szCs w:val="20"/>
          <w:highlight w:val="none"/>
        </w:rPr>
      </w:pPr>
      <w:r>
        <w:rPr>
          <w:rFonts w:hint="eastAsia" w:ascii="宋体" w:hAnsi="宋体" w:cs="宋体"/>
          <w:bCs/>
          <w:color w:val="auto"/>
          <w:szCs w:val="20"/>
          <w:highlight w:val="none"/>
        </w:rPr>
        <w:t>4.中标或者成交供应商拒绝与采购人签订合同的，采购人应重新招标。</w:t>
      </w:r>
    </w:p>
    <w:p>
      <w:pPr>
        <w:widowControl/>
        <w:snapToGrid w:val="0"/>
        <w:spacing w:line="360" w:lineRule="auto"/>
        <w:ind w:firstLine="411" w:firstLineChars="196"/>
        <w:jc w:val="left"/>
        <w:rPr>
          <w:rFonts w:hint="eastAsia" w:ascii="宋体" w:hAnsi="宋体" w:cs="宋体"/>
          <w:bCs/>
          <w:color w:val="auto"/>
          <w:szCs w:val="20"/>
          <w:highlight w:val="none"/>
        </w:rPr>
      </w:pPr>
      <w:r>
        <w:rPr>
          <w:rFonts w:hint="eastAsia" w:ascii="宋体" w:hAnsi="宋体" w:cs="宋体"/>
          <w:bCs/>
          <w:color w:val="auto"/>
          <w:szCs w:val="20"/>
          <w:highlight w:val="none"/>
        </w:rPr>
        <w:t>5.中标人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widowControl/>
        <w:snapToGrid w:val="0"/>
        <w:spacing w:line="360" w:lineRule="auto"/>
        <w:ind w:firstLine="413" w:firstLineChars="196"/>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九、履约验收：</w:t>
      </w:r>
    </w:p>
    <w:p>
      <w:pPr>
        <w:snapToGrid w:val="0"/>
        <w:spacing w:line="360" w:lineRule="auto"/>
        <w:ind w:firstLine="411" w:firstLineChars="196"/>
        <w:jc w:val="left"/>
        <w:rPr>
          <w:rFonts w:ascii="黑体" w:hAnsi="宋体" w:eastAsia="黑体"/>
          <w:b/>
          <w:bCs/>
          <w:sz w:val="28"/>
          <w:szCs w:val="28"/>
        </w:rPr>
      </w:pPr>
      <w:r>
        <w:rPr>
          <w:rFonts w:hint="eastAsia" w:ascii="宋体" w:hAnsi="宋体" w:cs="宋体"/>
          <w:bCs/>
          <w:color w:val="auto"/>
          <w:szCs w:val="21"/>
          <w:highlight w:val="none"/>
        </w:rPr>
        <w:t>采购人</w:t>
      </w:r>
      <w:r>
        <w:rPr>
          <w:rFonts w:hint="eastAsia" w:ascii="宋体" w:hAnsi="宋体" w:cs="宋体"/>
          <w:bCs/>
          <w:color w:val="auto"/>
          <w:szCs w:val="22"/>
          <w:highlight w:val="none"/>
        </w:rPr>
        <w:t>负责</w:t>
      </w:r>
      <w:r>
        <w:rPr>
          <w:rFonts w:hint="eastAsia" w:ascii="宋体" w:hAnsi="宋体" w:cs="宋体"/>
          <w:bCs/>
          <w:color w:val="auto"/>
          <w:szCs w:val="21"/>
          <w:highlight w:val="none"/>
        </w:rPr>
        <w:t>对中标供应商的履约行为进行验收。政府向社会公众提供的公共服务项目，验收时应当邀请服务对象参与并出具意见，验收结果应当向社会公告。</w:t>
      </w:r>
      <w:r>
        <w:rPr>
          <w:sz w:val="28"/>
          <w:szCs w:val="28"/>
        </w:rPr>
        <w:br w:type="page"/>
      </w:r>
    </w:p>
    <w:p>
      <w:pPr>
        <w:pStyle w:val="12"/>
        <w:snapToGrid w:val="0"/>
        <w:spacing w:beforeLines="0" w:afterLines="0"/>
        <w:jc w:val="center"/>
        <w:outlineLvl w:val="0"/>
        <w:rPr>
          <w:rFonts w:ascii="黑体" w:hAnsi="宋体" w:eastAsia="黑体"/>
          <w:b/>
          <w:bCs/>
          <w:sz w:val="28"/>
          <w:szCs w:val="28"/>
        </w:rPr>
      </w:pPr>
    </w:p>
    <w:p>
      <w:pPr>
        <w:pStyle w:val="12"/>
        <w:snapToGrid w:val="0"/>
        <w:spacing w:before="0" w:beforeLines="0" w:after="0" w:afterLines="0"/>
        <w:jc w:val="center"/>
        <w:outlineLvl w:val="0"/>
        <w:rPr>
          <w:rFonts w:hint="eastAsia" w:ascii="黑体" w:hAnsi="宋体" w:eastAsia="黑体"/>
          <w:b/>
          <w:bCs/>
          <w:sz w:val="28"/>
          <w:szCs w:val="28"/>
        </w:rPr>
      </w:pPr>
      <w:r>
        <w:rPr>
          <w:rFonts w:hint="eastAsia" w:ascii="黑体" w:hAnsi="宋体" w:eastAsia="黑体"/>
          <w:b/>
          <w:bCs/>
          <w:sz w:val="28"/>
          <w:szCs w:val="28"/>
        </w:rPr>
        <w:t>第五章  政府采购合同主要条款（仅作参考</w:t>
      </w:r>
      <w:r>
        <w:rPr>
          <w:rFonts w:ascii="黑体" w:hAnsi="宋体" w:eastAsia="黑体"/>
          <w:b/>
          <w:bCs/>
          <w:sz w:val="28"/>
          <w:szCs w:val="28"/>
        </w:rPr>
        <w:t>）</w:t>
      </w:r>
    </w:p>
    <w:p>
      <w:pPr>
        <w:pStyle w:val="12"/>
        <w:snapToGrid w:val="0"/>
        <w:spacing w:before="0" w:beforeLines="0" w:after="0" w:afterLines="0"/>
        <w:jc w:val="center"/>
        <w:outlineLvl w:val="0"/>
        <w:rPr>
          <w:rFonts w:hint="eastAsia" w:ascii="黑体" w:hAnsi="宋体" w:eastAsia="黑体"/>
          <w:b/>
          <w:bCs/>
          <w:sz w:val="28"/>
          <w:szCs w:val="28"/>
        </w:rPr>
      </w:pPr>
    </w:p>
    <w:p>
      <w:pPr>
        <w:pStyle w:val="12"/>
        <w:snapToGrid w:val="0"/>
        <w:spacing w:before="0" w:beforeLines="0" w:after="0" w:afterLines="0"/>
        <w:jc w:val="center"/>
        <w:outlineLvl w:val="0"/>
        <w:rPr>
          <w:rFonts w:hint="eastAsia" w:hAnsi="宋体"/>
          <w:b/>
          <w:bCs/>
          <w:sz w:val="28"/>
          <w:szCs w:val="28"/>
        </w:rPr>
      </w:pPr>
      <w:r>
        <w:rPr>
          <w:rFonts w:hint="eastAsia" w:hAnsi="宋体"/>
          <w:b/>
          <w:bCs/>
          <w:sz w:val="28"/>
          <w:szCs w:val="28"/>
        </w:rPr>
        <w:t>采购合同</w:t>
      </w:r>
    </w:p>
    <w:p>
      <w:pPr>
        <w:snapToGrid w:val="0"/>
        <w:spacing w:line="380" w:lineRule="exact"/>
        <w:jc w:val="center"/>
        <w:outlineLvl w:val="0"/>
        <w:rPr>
          <w:rFonts w:ascii="宋体" w:hAnsi="宋体"/>
          <w:b/>
          <w:bCs/>
          <w:sz w:val="28"/>
          <w:szCs w:val="28"/>
        </w:rPr>
      </w:pPr>
    </w:p>
    <w:p>
      <w:pPr>
        <w:pStyle w:val="12"/>
        <w:snapToGrid w:val="0"/>
        <w:spacing w:before="0" w:beforeLines="0" w:after="0" w:afterLines="0"/>
        <w:ind w:firstLine="420" w:firstLineChars="200"/>
        <w:rPr>
          <w:rFonts w:hAnsi="宋体"/>
          <w:sz w:val="21"/>
          <w:szCs w:val="21"/>
        </w:rPr>
      </w:pPr>
      <w:r>
        <w:rPr>
          <w:rFonts w:hAnsi="宋体"/>
          <w:sz w:val="21"/>
          <w:szCs w:val="21"/>
        </w:rPr>
        <w:t>项目名称：                                       项目编号：</w:t>
      </w:r>
    </w:p>
    <w:p>
      <w:pPr>
        <w:pStyle w:val="12"/>
        <w:snapToGrid w:val="0"/>
        <w:spacing w:before="0" w:beforeLines="0" w:after="0" w:afterLines="0"/>
        <w:ind w:firstLine="420" w:firstLineChars="200"/>
        <w:rPr>
          <w:rFonts w:hAnsi="宋体"/>
          <w:sz w:val="21"/>
          <w:szCs w:val="21"/>
        </w:rPr>
      </w:pPr>
      <w:r>
        <w:rPr>
          <w:rFonts w:hAnsi="宋体"/>
          <w:sz w:val="21"/>
          <w:szCs w:val="21"/>
        </w:rPr>
        <w:t>甲方：（买方）</w:t>
      </w:r>
    </w:p>
    <w:p>
      <w:pPr>
        <w:pStyle w:val="12"/>
        <w:snapToGrid w:val="0"/>
        <w:spacing w:before="0" w:beforeLines="0" w:after="0" w:afterLines="0"/>
        <w:ind w:firstLine="420" w:firstLineChars="200"/>
        <w:rPr>
          <w:rFonts w:hAnsi="宋体"/>
          <w:sz w:val="21"/>
          <w:szCs w:val="21"/>
        </w:rPr>
      </w:pPr>
      <w:r>
        <w:rPr>
          <w:rFonts w:hAnsi="宋体"/>
          <w:sz w:val="21"/>
          <w:szCs w:val="21"/>
        </w:rPr>
        <w:t>乙方：（卖方）</w:t>
      </w:r>
    </w:p>
    <w:p>
      <w:pPr>
        <w:pStyle w:val="12"/>
        <w:snapToGrid w:val="0"/>
        <w:spacing w:before="0" w:beforeLines="0" w:after="0" w:afterLines="0"/>
        <w:ind w:firstLine="420" w:firstLineChars="200"/>
        <w:rPr>
          <w:rFonts w:hAnsi="宋体"/>
          <w:sz w:val="21"/>
          <w:szCs w:val="21"/>
        </w:rPr>
      </w:pPr>
      <w:r>
        <w:rPr>
          <w:rFonts w:hAnsi="宋体"/>
          <w:sz w:val="21"/>
          <w:szCs w:val="21"/>
        </w:rPr>
        <w:t>甲、乙双方根据</w:t>
      </w:r>
      <w:r>
        <w:rPr>
          <w:rFonts w:hint="eastAsia" w:hAnsi="宋体"/>
          <w:b/>
          <w:bCs/>
          <w:sz w:val="21"/>
          <w:szCs w:val="21"/>
          <w:u w:val="single"/>
        </w:rPr>
        <w:t xml:space="preserve">                           </w:t>
      </w:r>
      <w:r>
        <w:rPr>
          <w:rFonts w:hint="eastAsia" w:hAnsi="宋体"/>
          <w:sz w:val="21"/>
          <w:szCs w:val="21"/>
        </w:rPr>
        <w:t xml:space="preserve"> </w:t>
      </w:r>
      <w:r>
        <w:rPr>
          <w:rFonts w:hAnsi="宋体"/>
          <w:sz w:val="21"/>
          <w:szCs w:val="21"/>
        </w:rPr>
        <w:t>招标的结果，签署本合同。</w:t>
      </w:r>
    </w:p>
    <w:p>
      <w:pPr>
        <w:pStyle w:val="12"/>
        <w:snapToGrid w:val="0"/>
        <w:spacing w:before="0" w:beforeLines="0" w:after="0" w:afterLines="0"/>
        <w:ind w:firstLine="422" w:firstLineChars="200"/>
        <w:rPr>
          <w:rFonts w:hAnsi="宋体"/>
          <w:b/>
          <w:sz w:val="21"/>
          <w:szCs w:val="21"/>
        </w:rPr>
      </w:pPr>
      <w:r>
        <w:rPr>
          <w:rFonts w:hAnsi="宋体"/>
          <w:b/>
          <w:sz w:val="21"/>
          <w:szCs w:val="21"/>
        </w:rPr>
        <w:t>一、货物内容</w:t>
      </w:r>
    </w:p>
    <w:p>
      <w:pPr>
        <w:pStyle w:val="12"/>
        <w:snapToGrid w:val="0"/>
        <w:spacing w:before="0" w:beforeLines="0" w:after="0" w:afterLines="0"/>
        <w:ind w:firstLine="420" w:firstLineChars="200"/>
        <w:rPr>
          <w:rFonts w:hAnsi="宋体"/>
          <w:sz w:val="21"/>
          <w:szCs w:val="21"/>
        </w:rPr>
      </w:pPr>
      <w:r>
        <w:rPr>
          <w:rFonts w:hAnsi="宋体"/>
          <w:sz w:val="21"/>
          <w:szCs w:val="21"/>
        </w:rPr>
        <w:t>1. 货物名称：</w:t>
      </w:r>
    </w:p>
    <w:p>
      <w:pPr>
        <w:pStyle w:val="12"/>
        <w:snapToGrid w:val="0"/>
        <w:spacing w:before="0" w:beforeLines="0" w:after="0" w:afterLines="0"/>
        <w:ind w:firstLine="420" w:firstLineChars="200"/>
        <w:rPr>
          <w:rFonts w:hAnsi="宋体"/>
          <w:sz w:val="21"/>
          <w:szCs w:val="21"/>
        </w:rPr>
      </w:pPr>
      <w:r>
        <w:rPr>
          <w:rFonts w:hint="eastAsia" w:hAnsi="宋体"/>
          <w:sz w:val="21"/>
          <w:szCs w:val="21"/>
        </w:rPr>
        <w:t>2</w:t>
      </w:r>
      <w:r>
        <w:rPr>
          <w:rFonts w:hAnsi="宋体"/>
          <w:sz w:val="21"/>
          <w:szCs w:val="21"/>
        </w:rPr>
        <w:t>. 型号规格：</w:t>
      </w:r>
    </w:p>
    <w:p>
      <w:pPr>
        <w:pStyle w:val="12"/>
        <w:snapToGrid w:val="0"/>
        <w:spacing w:before="0" w:beforeLines="0" w:after="0" w:afterLines="0"/>
        <w:ind w:firstLine="420" w:firstLineChars="200"/>
        <w:rPr>
          <w:rFonts w:hAnsi="宋体"/>
          <w:sz w:val="21"/>
          <w:szCs w:val="21"/>
        </w:rPr>
      </w:pPr>
      <w:r>
        <w:rPr>
          <w:rFonts w:hint="eastAsia" w:hAnsi="宋体"/>
          <w:sz w:val="21"/>
          <w:szCs w:val="21"/>
        </w:rPr>
        <w:t>3</w:t>
      </w:r>
      <w:r>
        <w:rPr>
          <w:rFonts w:hAnsi="宋体"/>
          <w:sz w:val="21"/>
          <w:szCs w:val="21"/>
        </w:rPr>
        <w:t>. 技术参数：</w:t>
      </w:r>
    </w:p>
    <w:p>
      <w:pPr>
        <w:pStyle w:val="12"/>
        <w:snapToGrid w:val="0"/>
        <w:spacing w:before="0" w:beforeLines="0" w:after="0" w:afterLines="0"/>
        <w:ind w:firstLine="420" w:firstLineChars="200"/>
        <w:rPr>
          <w:rFonts w:hAnsi="宋体"/>
          <w:sz w:val="21"/>
          <w:szCs w:val="21"/>
        </w:rPr>
      </w:pPr>
      <w:r>
        <w:rPr>
          <w:rFonts w:hAnsi="宋体"/>
          <w:sz w:val="21"/>
          <w:szCs w:val="21"/>
        </w:rPr>
        <w:t>4</w:t>
      </w:r>
      <w:r>
        <w:rPr>
          <w:rFonts w:hint="eastAsia" w:hAnsi="宋体"/>
          <w:sz w:val="21"/>
          <w:szCs w:val="21"/>
        </w:rPr>
        <w:t>.</w:t>
      </w:r>
      <w:r>
        <w:rPr>
          <w:rFonts w:hAnsi="宋体"/>
          <w:sz w:val="21"/>
          <w:szCs w:val="21"/>
        </w:rPr>
        <w:t xml:space="preserve"> 数量（单位）：</w:t>
      </w:r>
    </w:p>
    <w:p>
      <w:pPr>
        <w:pStyle w:val="12"/>
        <w:snapToGrid w:val="0"/>
        <w:spacing w:before="0" w:beforeLines="0" w:after="0" w:afterLines="0"/>
        <w:ind w:firstLine="422" w:firstLineChars="200"/>
        <w:rPr>
          <w:rFonts w:hAnsi="宋体"/>
          <w:b/>
          <w:sz w:val="21"/>
          <w:szCs w:val="21"/>
        </w:rPr>
      </w:pPr>
      <w:r>
        <w:rPr>
          <w:rFonts w:hAnsi="宋体"/>
          <w:b/>
          <w:sz w:val="21"/>
          <w:szCs w:val="21"/>
        </w:rPr>
        <w:t>二、合同金额</w:t>
      </w:r>
    </w:p>
    <w:p>
      <w:pPr>
        <w:pStyle w:val="12"/>
        <w:snapToGrid w:val="0"/>
        <w:spacing w:before="0" w:beforeLines="0" w:after="0" w:afterLines="0"/>
        <w:ind w:firstLine="420" w:firstLineChars="200"/>
        <w:rPr>
          <w:rFonts w:hAnsi="宋体"/>
          <w:sz w:val="21"/>
          <w:szCs w:val="21"/>
        </w:rPr>
      </w:pPr>
      <w:r>
        <w:rPr>
          <w:rFonts w:hAnsi="宋体"/>
          <w:sz w:val="21"/>
          <w:szCs w:val="21"/>
        </w:rPr>
        <w:t>本合同金额为（大写）：___________________________元（￥_______________元）人民币。</w:t>
      </w:r>
    </w:p>
    <w:p>
      <w:pPr>
        <w:pStyle w:val="12"/>
        <w:snapToGrid w:val="0"/>
        <w:spacing w:before="0" w:beforeLines="0" w:after="0" w:afterLines="0"/>
        <w:ind w:firstLine="422" w:firstLineChars="200"/>
        <w:rPr>
          <w:rFonts w:hAnsi="宋体"/>
          <w:b/>
          <w:sz w:val="21"/>
          <w:szCs w:val="21"/>
        </w:rPr>
      </w:pPr>
      <w:r>
        <w:rPr>
          <w:rFonts w:hAnsi="宋体"/>
          <w:b/>
          <w:sz w:val="21"/>
          <w:szCs w:val="21"/>
        </w:rPr>
        <w:t>三、技术资料</w:t>
      </w:r>
    </w:p>
    <w:p>
      <w:pPr>
        <w:pStyle w:val="12"/>
        <w:snapToGrid w:val="0"/>
        <w:spacing w:before="0" w:beforeLines="0" w:after="0" w:afterLines="0"/>
        <w:ind w:firstLine="420" w:firstLineChars="200"/>
        <w:rPr>
          <w:rFonts w:hAnsi="宋体"/>
          <w:sz w:val="21"/>
          <w:szCs w:val="21"/>
        </w:rPr>
      </w:pPr>
      <w:r>
        <w:rPr>
          <w:rFonts w:hAnsi="宋体"/>
          <w:sz w:val="21"/>
          <w:szCs w:val="21"/>
        </w:rPr>
        <w:t>1</w:t>
      </w:r>
      <w:r>
        <w:rPr>
          <w:rFonts w:hint="eastAsia" w:hAnsi="宋体"/>
          <w:sz w:val="21"/>
          <w:szCs w:val="21"/>
        </w:rPr>
        <w:t xml:space="preserve">. </w:t>
      </w:r>
      <w:r>
        <w:rPr>
          <w:rFonts w:hAnsi="宋体"/>
          <w:sz w:val="21"/>
          <w:szCs w:val="21"/>
        </w:rPr>
        <w:t>乙方应按招标文件规定的时间向甲方提供使用货物的有关技术资料。</w:t>
      </w:r>
    </w:p>
    <w:p>
      <w:pPr>
        <w:pStyle w:val="12"/>
        <w:snapToGrid w:val="0"/>
        <w:spacing w:before="0" w:beforeLines="0" w:after="0" w:afterLines="0"/>
        <w:ind w:firstLine="420" w:firstLineChars="200"/>
        <w:rPr>
          <w:rFonts w:hAnsi="宋体"/>
          <w:sz w:val="21"/>
          <w:szCs w:val="21"/>
        </w:rPr>
      </w:pPr>
      <w:r>
        <w:rPr>
          <w:rFonts w:hAnsi="宋体"/>
          <w:sz w:val="21"/>
          <w:szCs w:val="21"/>
        </w:rPr>
        <w:t>2</w:t>
      </w:r>
      <w:r>
        <w:rPr>
          <w:rFonts w:hint="eastAsia" w:hAnsi="宋体"/>
          <w:sz w:val="21"/>
          <w:szCs w:val="21"/>
        </w:rPr>
        <w:t xml:space="preserve">. </w:t>
      </w:r>
      <w:r>
        <w:rPr>
          <w:rFonts w:hAnsi="宋体"/>
          <w:sz w:val="21"/>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snapToGrid w:val="0"/>
        <w:spacing w:before="0" w:beforeLines="0" w:after="0" w:afterLines="0"/>
        <w:ind w:firstLine="422" w:firstLineChars="200"/>
        <w:rPr>
          <w:rFonts w:hAnsi="宋体"/>
          <w:b/>
          <w:sz w:val="21"/>
          <w:szCs w:val="21"/>
        </w:rPr>
      </w:pPr>
      <w:r>
        <w:rPr>
          <w:rFonts w:hAnsi="宋体"/>
          <w:b/>
          <w:sz w:val="21"/>
          <w:szCs w:val="21"/>
        </w:rPr>
        <w:t>四、知识产权</w:t>
      </w:r>
    </w:p>
    <w:p>
      <w:pPr>
        <w:pStyle w:val="12"/>
        <w:snapToGrid w:val="0"/>
        <w:spacing w:before="0" w:beforeLines="0" w:after="0" w:afterLines="0"/>
        <w:ind w:firstLine="420" w:firstLineChars="200"/>
        <w:rPr>
          <w:rFonts w:hAnsi="宋体"/>
          <w:bCs/>
          <w:sz w:val="21"/>
          <w:szCs w:val="21"/>
        </w:rPr>
      </w:pPr>
      <w:r>
        <w:rPr>
          <w:rFonts w:hAnsi="宋体"/>
          <w:sz w:val="21"/>
          <w:szCs w:val="21"/>
        </w:rPr>
        <w:t>乙方应保证所提供的货物或其任何一部分均不会侵犯任何第三方的知识产权</w:t>
      </w:r>
      <w:r>
        <w:rPr>
          <w:rFonts w:hAnsi="宋体"/>
          <w:bCs/>
          <w:sz w:val="21"/>
          <w:szCs w:val="21"/>
        </w:rPr>
        <w:t>。</w:t>
      </w:r>
    </w:p>
    <w:p>
      <w:pPr>
        <w:pStyle w:val="12"/>
        <w:snapToGrid w:val="0"/>
        <w:spacing w:before="0" w:beforeLines="0" w:after="0" w:afterLines="0"/>
        <w:ind w:firstLine="422" w:firstLineChars="200"/>
        <w:rPr>
          <w:rFonts w:hAnsi="宋体"/>
          <w:sz w:val="21"/>
          <w:szCs w:val="21"/>
          <w:u w:val="single"/>
        </w:rPr>
      </w:pPr>
      <w:r>
        <w:rPr>
          <w:rFonts w:hAnsi="宋体"/>
          <w:b/>
          <w:sz w:val="21"/>
          <w:szCs w:val="21"/>
        </w:rPr>
        <w:t>五、产权担保</w:t>
      </w:r>
    </w:p>
    <w:p>
      <w:pPr>
        <w:pStyle w:val="12"/>
        <w:snapToGrid w:val="0"/>
        <w:spacing w:before="0" w:beforeLines="0" w:after="0" w:afterLines="0"/>
        <w:ind w:firstLine="420" w:firstLineChars="200"/>
        <w:rPr>
          <w:rFonts w:hAnsi="宋体"/>
          <w:sz w:val="21"/>
          <w:szCs w:val="21"/>
          <w:u w:val="single"/>
        </w:rPr>
      </w:pPr>
      <w:r>
        <w:rPr>
          <w:rFonts w:hAnsi="宋体"/>
          <w:sz w:val="21"/>
          <w:szCs w:val="21"/>
        </w:rPr>
        <w:t>乙方保证所交付的货物的所有权完全属于乙方且无任何抵押、查封等产权瑕疵。</w:t>
      </w:r>
    </w:p>
    <w:p>
      <w:pPr>
        <w:pStyle w:val="12"/>
        <w:snapToGrid w:val="0"/>
        <w:spacing w:before="0" w:beforeLines="0" w:after="0" w:afterLines="0"/>
        <w:ind w:firstLine="422" w:firstLineChars="200"/>
        <w:rPr>
          <w:rFonts w:hAnsi="宋体"/>
          <w:b/>
          <w:sz w:val="21"/>
          <w:szCs w:val="21"/>
        </w:rPr>
      </w:pPr>
      <w:r>
        <w:rPr>
          <w:rFonts w:hAnsi="宋体"/>
          <w:b/>
          <w:sz w:val="21"/>
          <w:szCs w:val="21"/>
        </w:rPr>
        <w:t>六、</w:t>
      </w:r>
      <w:r>
        <w:rPr>
          <w:rFonts w:hint="eastAsia" w:hAnsi="宋体"/>
          <w:b/>
          <w:sz w:val="21"/>
          <w:szCs w:val="21"/>
        </w:rPr>
        <w:t>履约保证</w:t>
      </w:r>
      <w:r>
        <w:rPr>
          <w:rFonts w:hAnsi="宋体"/>
          <w:b/>
          <w:sz w:val="21"/>
          <w:szCs w:val="21"/>
        </w:rPr>
        <w:t>金</w:t>
      </w:r>
    </w:p>
    <w:p>
      <w:pPr>
        <w:pStyle w:val="12"/>
        <w:snapToGrid w:val="0"/>
        <w:spacing w:before="0" w:beforeLines="0" w:after="0" w:afterLines="0"/>
        <w:ind w:firstLine="420" w:firstLineChars="200"/>
        <w:rPr>
          <w:rFonts w:hAnsi="宋体"/>
          <w:sz w:val="21"/>
          <w:szCs w:val="21"/>
        </w:rPr>
      </w:pPr>
      <w:r>
        <w:rPr>
          <w:rFonts w:hAnsi="宋体"/>
          <w:sz w:val="21"/>
          <w:szCs w:val="21"/>
        </w:rPr>
        <w:t>乙方交纳人民币</w:t>
      </w:r>
      <w:r>
        <w:rPr>
          <w:rFonts w:hint="eastAsia" w:hAnsi="宋体"/>
          <w:sz w:val="21"/>
          <w:szCs w:val="21"/>
          <w:u w:val="single"/>
        </w:rPr>
        <w:t xml:space="preserve">        </w:t>
      </w:r>
      <w:r>
        <w:rPr>
          <w:rFonts w:hAnsi="宋体"/>
          <w:sz w:val="21"/>
          <w:szCs w:val="21"/>
        </w:rPr>
        <w:t>元作为</w:t>
      </w:r>
      <w:r>
        <w:rPr>
          <w:rFonts w:hint="eastAsia" w:hAnsi="宋体"/>
          <w:sz w:val="21"/>
          <w:szCs w:val="21"/>
        </w:rPr>
        <w:t>本项目的履约保证</w:t>
      </w:r>
      <w:r>
        <w:rPr>
          <w:rFonts w:hAnsi="宋体"/>
          <w:sz w:val="21"/>
          <w:szCs w:val="21"/>
        </w:rPr>
        <w:t>金。</w:t>
      </w:r>
    </w:p>
    <w:p>
      <w:pPr>
        <w:pStyle w:val="12"/>
        <w:snapToGrid w:val="0"/>
        <w:spacing w:before="0" w:beforeLines="0" w:after="0" w:afterLines="0"/>
        <w:ind w:firstLine="422" w:firstLineChars="200"/>
        <w:rPr>
          <w:rFonts w:hAnsi="宋体"/>
          <w:b/>
          <w:sz w:val="21"/>
          <w:szCs w:val="21"/>
        </w:rPr>
      </w:pPr>
      <w:r>
        <w:rPr>
          <w:rFonts w:hint="eastAsia" w:hAnsi="宋体"/>
          <w:b/>
          <w:sz w:val="21"/>
          <w:szCs w:val="21"/>
        </w:rPr>
        <w:t>七、转包或分包</w:t>
      </w:r>
    </w:p>
    <w:p>
      <w:pPr>
        <w:snapToGrid w:val="0"/>
        <w:spacing w:line="400" w:lineRule="exact"/>
        <w:ind w:firstLine="420" w:firstLineChars="200"/>
        <w:rPr>
          <w:rFonts w:ascii="宋体" w:hAnsi="宋体"/>
          <w:szCs w:val="21"/>
        </w:rPr>
      </w:pPr>
      <w:r>
        <w:rPr>
          <w:rFonts w:ascii="宋体" w:hAnsi="宋体"/>
          <w:szCs w:val="21"/>
        </w:rPr>
        <w:t>1</w:t>
      </w:r>
      <w:r>
        <w:rPr>
          <w:rFonts w:hint="eastAsia" w:ascii="宋体" w:hAnsi="宋体"/>
          <w:szCs w:val="21"/>
        </w:rPr>
        <w:t>. 本合同范围的货物，应由</w:t>
      </w:r>
      <w:r>
        <w:rPr>
          <w:rFonts w:ascii="宋体" w:hAnsi="宋体"/>
          <w:szCs w:val="21"/>
        </w:rPr>
        <w:t>乙</w:t>
      </w:r>
      <w:r>
        <w:rPr>
          <w:rFonts w:hint="eastAsia" w:ascii="宋体" w:hAnsi="宋体"/>
          <w:szCs w:val="21"/>
        </w:rPr>
        <w:t>方直接供应，不得转让他人供应；</w:t>
      </w:r>
    </w:p>
    <w:p>
      <w:pPr>
        <w:snapToGrid w:val="0"/>
        <w:spacing w:line="400" w:lineRule="exact"/>
        <w:ind w:firstLine="420" w:firstLineChars="200"/>
        <w:rPr>
          <w:rFonts w:ascii="宋体" w:hAnsi="宋体"/>
          <w:szCs w:val="21"/>
        </w:rPr>
      </w:pPr>
      <w:r>
        <w:rPr>
          <w:rFonts w:ascii="宋体" w:hAnsi="宋体"/>
          <w:szCs w:val="21"/>
        </w:rPr>
        <w:t>2</w:t>
      </w:r>
      <w:r>
        <w:rPr>
          <w:rFonts w:hint="eastAsia" w:ascii="宋体" w:hAnsi="宋体"/>
          <w:szCs w:val="21"/>
        </w:rPr>
        <w:t>. 除非得到</w:t>
      </w:r>
      <w:r>
        <w:rPr>
          <w:rFonts w:ascii="宋体" w:hAnsi="宋体"/>
          <w:szCs w:val="21"/>
        </w:rPr>
        <w:t>甲</w:t>
      </w:r>
      <w:r>
        <w:rPr>
          <w:rFonts w:hint="eastAsia" w:ascii="宋体" w:hAnsi="宋体"/>
          <w:szCs w:val="21"/>
        </w:rPr>
        <w:t>方的书面同意，</w:t>
      </w:r>
      <w:r>
        <w:rPr>
          <w:rFonts w:ascii="宋体" w:hAnsi="宋体"/>
          <w:szCs w:val="21"/>
        </w:rPr>
        <w:t>乙</w:t>
      </w:r>
      <w:r>
        <w:rPr>
          <w:rFonts w:hint="eastAsia" w:ascii="宋体" w:hAnsi="宋体"/>
          <w:szCs w:val="21"/>
        </w:rPr>
        <w:t>方不得将本合同范围的货物全部或部分分包给他人供应；</w:t>
      </w:r>
    </w:p>
    <w:p>
      <w:pPr>
        <w:snapToGrid w:val="0"/>
        <w:spacing w:line="400" w:lineRule="exact"/>
        <w:ind w:firstLine="420" w:firstLineChars="200"/>
        <w:rPr>
          <w:rFonts w:ascii="宋体" w:hAnsi="宋体"/>
          <w:szCs w:val="21"/>
        </w:rPr>
      </w:pPr>
      <w:r>
        <w:rPr>
          <w:rFonts w:ascii="宋体" w:hAnsi="宋体"/>
          <w:szCs w:val="21"/>
        </w:rPr>
        <w:t>3</w:t>
      </w:r>
      <w:r>
        <w:rPr>
          <w:rFonts w:hint="eastAsia" w:ascii="宋体" w:hAnsi="宋体"/>
          <w:szCs w:val="21"/>
        </w:rPr>
        <w:t>. 如有转让和未经</w:t>
      </w:r>
      <w:r>
        <w:rPr>
          <w:rFonts w:ascii="宋体" w:hAnsi="宋体"/>
          <w:szCs w:val="21"/>
        </w:rPr>
        <w:t>甲</w:t>
      </w:r>
      <w:r>
        <w:rPr>
          <w:rFonts w:hint="eastAsia" w:ascii="宋体" w:hAnsi="宋体"/>
          <w:szCs w:val="21"/>
        </w:rPr>
        <w:t>方同意的分包行为，</w:t>
      </w:r>
      <w:r>
        <w:rPr>
          <w:rFonts w:ascii="宋体" w:hAnsi="宋体"/>
          <w:szCs w:val="21"/>
        </w:rPr>
        <w:t>甲</w:t>
      </w:r>
      <w:r>
        <w:rPr>
          <w:rFonts w:hint="eastAsia" w:ascii="宋体" w:hAnsi="宋体"/>
          <w:szCs w:val="21"/>
        </w:rPr>
        <w:t>方有权解除合同，没收履约保证金（维修保证金）并追究乙方的违约责任。</w:t>
      </w:r>
    </w:p>
    <w:p>
      <w:pPr>
        <w:pStyle w:val="12"/>
        <w:snapToGrid w:val="0"/>
        <w:spacing w:before="0" w:beforeLines="0" w:after="0" w:afterLines="0"/>
        <w:ind w:firstLine="422" w:firstLineChars="200"/>
        <w:rPr>
          <w:rFonts w:hAnsi="宋体"/>
          <w:sz w:val="21"/>
          <w:szCs w:val="21"/>
        </w:rPr>
      </w:pPr>
      <w:r>
        <w:rPr>
          <w:rFonts w:hAnsi="宋体"/>
          <w:b/>
          <w:sz w:val="21"/>
          <w:szCs w:val="21"/>
        </w:rPr>
        <w:t>八、质保期和质保金</w:t>
      </w:r>
    </w:p>
    <w:p>
      <w:pPr>
        <w:pStyle w:val="12"/>
        <w:snapToGrid w:val="0"/>
        <w:spacing w:before="0" w:beforeLines="0" w:after="0" w:afterLines="0"/>
        <w:ind w:firstLine="420" w:firstLineChars="200"/>
        <w:rPr>
          <w:rFonts w:hAnsi="宋体"/>
          <w:sz w:val="21"/>
          <w:szCs w:val="21"/>
        </w:rPr>
      </w:pPr>
      <w:r>
        <w:rPr>
          <w:rFonts w:hAnsi="宋体"/>
          <w:sz w:val="21"/>
          <w:szCs w:val="21"/>
        </w:rPr>
        <w:t>1</w:t>
      </w:r>
      <w:r>
        <w:rPr>
          <w:rFonts w:hint="eastAsia" w:hAnsi="宋体"/>
          <w:sz w:val="21"/>
          <w:szCs w:val="21"/>
        </w:rPr>
        <w:t>.</w:t>
      </w:r>
      <w:r>
        <w:rPr>
          <w:rFonts w:hAnsi="宋体"/>
          <w:sz w:val="21"/>
          <w:szCs w:val="21"/>
        </w:rPr>
        <w:t xml:space="preserve"> 质保期</w:t>
      </w:r>
      <w:r>
        <w:rPr>
          <w:rFonts w:hAnsi="宋体"/>
          <w:sz w:val="21"/>
          <w:szCs w:val="21"/>
          <w:u w:val="single"/>
        </w:rPr>
        <w:t xml:space="preserve">      </w:t>
      </w:r>
      <w:r>
        <w:rPr>
          <w:rFonts w:hAnsi="宋体"/>
          <w:sz w:val="21"/>
          <w:szCs w:val="21"/>
        </w:rPr>
        <w:t>年。（自交货验收合格之日起计）</w:t>
      </w:r>
    </w:p>
    <w:p>
      <w:pPr>
        <w:pStyle w:val="12"/>
        <w:snapToGrid w:val="0"/>
        <w:spacing w:before="0" w:beforeLines="0" w:after="0" w:afterLines="0"/>
        <w:ind w:firstLine="420" w:firstLineChars="200"/>
        <w:rPr>
          <w:rFonts w:hAnsi="宋体"/>
          <w:sz w:val="21"/>
          <w:szCs w:val="21"/>
        </w:rPr>
      </w:pPr>
      <w:r>
        <w:rPr>
          <w:rFonts w:hAnsi="宋体"/>
          <w:sz w:val="21"/>
          <w:szCs w:val="21"/>
        </w:rPr>
        <w:t>2</w:t>
      </w:r>
      <w:r>
        <w:rPr>
          <w:rFonts w:hint="eastAsia" w:hAnsi="宋体"/>
          <w:sz w:val="21"/>
          <w:szCs w:val="21"/>
        </w:rPr>
        <w:t>.</w:t>
      </w:r>
      <w:r>
        <w:rPr>
          <w:rFonts w:hAnsi="宋体"/>
          <w:sz w:val="21"/>
          <w:szCs w:val="21"/>
        </w:rPr>
        <w:t xml:space="preserve"> 质保金</w:t>
      </w:r>
      <w:r>
        <w:rPr>
          <w:rFonts w:hAnsi="宋体"/>
          <w:sz w:val="21"/>
          <w:szCs w:val="21"/>
          <w:u w:val="single"/>
        </w:rPr>
        <w:t xml:space="preserve">            </w:t>
      </w:r>
      <w:r>
        <w:rPr>
          <w:rFonts w:hAnsi="宋体"/>
          <w:sz w:val="21"/>
          <w:szCs w:val="21"/>
        </w:rPr>
        <w:t>元。</w:t>
      </w:r>
    </w:p>
    <w:p>
      <w:pPr>
        <w:pStyle w:val="12"/>
        <w:snapToGrid w:val="0"/>
        <w:spacing w:before="0" w:beforeLines="0" w:after="0" w:afterLines="0"/>
        <w:ind w:firstLine="422" w:firstLineChars="200"/>
        <w:rPr>
          <w:rFonts w:hAnsi="宋体"/>
          <w:b/>
          <w:sz w:val="21"/>
          <w:szCs w:val="21"/>
        </w:rPr>
      </w:pPr>
      <w:r>
        <w:rPr>
          <w:rFonts w:hAnsi="宋体"/>
          <w:b/>
          <w:sz w:val="21"/>
          <w:szCs w:val="21"/>
        </w:rPr>
        <w:t>九、交货期、交货方式及交货地点</w:t>
      </w:r>
    </w:p>
    <w:p>
      <w:pPr>
        <w:pStyle w:val="12"/>
        <w:snapToGrid w:val="0"/>
        <w:spacing w:before="0" w:beforeLines="0" w:after="0" w:afterLines="0"/>
        <w:ind w:firstLine="420" w:firstLineChars="200"/>
        <w:rPr>
          <w:rFonts w:hAnsi="宋体"/>
          <w:bCs/>
          <w:sz w:val="21"/>
          <w:szCs w:val="21"/>
        </w:rPr>
      </w:pPr>
      <w:r>
        <w:rPr>
          <w:rFonts w:hAnsi="宋体"/>
          <w:bCs/>
          <w:sz w:val="21"/>
          <w:szCs w:val="21"/>
        </w:rPr>
        <w:t>1</w:t>
      </w:r>
      <w:r>
        <w:rPr>
          <w:rFonts w:hint="eastAsia" w:hAnsi="宋体"/>
          <w:bCs/>
          <w:sz w:val="21"/>
          <w:szCs w:val="21"/>
        </w:rPr>
        <w:t>.</w:t>
      </w:r>
      <w:r>
        <w:rPr>
          <w:rFonts w:hAnsi="宋体"/>
          <w:bCs/>
          <w:sz w:val="21"/>
          <w:szCs w:val="21"/>
        </w:rPr>
        <w:t xml:space="preserve"> 交货期：</w:t>
      </w:r>
    </w:p>
    <w:p>
      <w:pPr>
        <w:pStyle w:val="12"/>
        <w:snapToGrid w:val="0"/>
        <w:spacing w:before="0" w:beforeLines="0" w:after="0" w:afterLines="0"/>
        <w:ind w:firstLine="420" w:firstLineChars="200"/>
        <w:rPr>
          <w:rFonts w:hAnsi="宋体"/>
          <w:bCs/>
          <w:sz w:val="21"/>
          <w:szCs w:val="21"/>
        </w:rPr>
      </w:pPr>
      <w:r>
        <w:rPr>
          <w:rFonts w:hAnsi="宋体"/>
          <w:bCs/>
          <w:sz w:val="21"/>
          <w:szCs w:val="21"/>
        </w:rPr>
        <w:t>2</w:t>
      </w:r>
      <w:r>
        <w:rPr>
          <w:rFonts w:hint="eastAsia" w:hAnsi="宋体"/>
          <w:bCs/>
          <w:sz w:val="21"/>
          <w:szCs w:val="21"/>
        </w:rPr>
        <w:t>.</w:t>
      </w:r>
      <w:r>
        <w:rPr>
          <w:rFonts w:hAnsi="宋体"/>
          <w:bCs/>
          <w:sz w:val="21"/>
          <w:szCs w:val="21"/>
        </w:rPr>
        <w:t xml:space="preserve"> 交货方式：</w:t>
      </w:r>
    </w:p>
    <w:p>
      <w:pPr>
        <w:pStyle w:val="12"/>
        <w:snapToGrid w:val="0"/>
        <w:spacing w:before="0" w:beforeLines="0" w:after="0" w:afterLines="0"/>
        <w:ind w:firstLine="420" w:firstLineChars="200"/>
        <w:rPr>
          <w:rFonts w:hAnsi="宋体"/>
          <w:b/>
          <w:sz w:val="21"/>
          <w:szCs w:val="21"/>
        </w:rPr>
      </w:pPr>
      <w:r>
        <w:rPr>
          <w:rFonts w:hAnsi="宋体"/>
          <w:bCs/>
          <w:sz w:val="21"/>
          <w:szCs w:val="21"/>
        </w:rPr>
        <w:t>3</w:t>
      </w:r>
      <w:r>
        <w:rPr>
          <w:rFonts w:hint="eastAsia" w:hAnsi="宋体"/>
          <w:bCs/>
          <w:sz w:val="21"/>
          <w:szCs w:val="21"/>
        </w:rPr>
        <w:t>.</w:t>
      </w:r>
      <w:r>
        <w:rPr>
          <w:rFonts w:hAnsi="宋体"/>
          <w:bCs/>
          <w:sz w:val="21"/>
          <w:szCs w:val="21"/>
        </w:rPr>
        <w:t xml:space="preserve"> 交货地点：</w:t>
      </w:r>
    </w:p>
    <w:p>
      <w:pPr>
        <w:pStyle w:val="12"/>
        <w:snapToGrid w:val="0"/>
        <w:spacing w:before="0" w:beforeLines="0" w:after="0" w:afterLines="0"/>
        <w:ind w:firstLine="422" w:firstLineChars="200"/>
        <w:rPr>
          <w:rFonts w:hAnsi="宋体"/>
          <w:b/>
          <w:sz w:val="21"/>
          <w:szCs w:val="21"/>
        </w:rPr>
      </w:pPr>
      <w:r>
        <w:rPr>
          <w:rFonts w:hAnsi="宋体"/>
          <w:b/>
          <w:sz w:val="21"/>
          <w:szCs w:val="21"/>
        </w:rPr>
        <w:t>十、货款支付</w:t>
      </w:r>
    </w:p>
    <w:p>
      <w:pPr>
        <w:pStyle w:val="12"/>
        <w:snapToGrid w:val="0"/>
        <w:spacing w:before="0" w:beforeLines="0" w:after="0" w:afterLines="0"/>
        <w:ind w:firstLine="420" w:firstLineChars="200"/>
        <w:rPr>
          <w:rFonts w:hAnsi="宋体"/>
          <w:bCs/>
          <w:sz w:val="21"/>
          <w:szCs w:val="21"/>
        </w:rPr>
      </w:pPr>
      <w:r>
        <w:rPr>
          <w:rFonts w:hAnsi="宋体"/>
          <w:bCs/>
          <w:sz w:val="21"/>
          <w:szCs w:val="21"/>
        </w:rPr>
        <w:t>1</w:t>
      </w:r>
      <w:r>
        <w:rPr>
          <w:rFonts w:hint="eastAsia" w:hAnsi="宋体"/>
          <w:bCs/>
          <w:sz w:val="21"/>
          <w:szCs w:val="21"/>
        </w:rPr>
        <w:t xml:space="preserve">. </w:t>
      </w:r>
      <w:r>
        <w:rPr>
          <w:rFonts w:hAnsi="宋体"/>
          <w:bCs/>
          <w:sz w:val="21"/>
          <w:szCs w:val="21"/>
        </w:rPr>
        <w:t>付款方式：</w:t>
      </w:r>
    </w:p>
    <w:p>
      <w:pPr>
        <w:pStyle w:val="12"/>
        <w:snapToGrid w:val="0"/>
        <w:spacing w:before="0" w:beforeLines="0" w:after="0" w:afterLines="0"/>
        <w:ind w:firstLine="420" w:firstLineChars="200"/>
        <w:rPr>
          <w:rFonts w:hAnsi="宋体"/>
          <w:bCs/>
          <w:sz w:val="21"/>
          <w:szCs w:val="21"/>
        </w:rPr>
      </w:pPr>
      <w:r>
        <w:rPr>
          <w:rFonts w:hAnsi="宋体"/>
          <w:bCs/>
          <w:sz w:val="21"/>
          <w:szCs w:val="21"/>
        </w:rPr>
        <w:t>2</w:t>
      </w:r>
      <w:r>
        <w:rPr>
          <w:rFonts w:hint="eastAsia" w:hAnsi="宋体"/>
          <w:bCs/>
          <w:sz w:val="21"/>
          <w:szCs w:val="21"/>
        </w:rPr>
        <w:t>.</w:t>
      </w:r>
      <w:r>
        <w:rPr>
          <w:rFonts w:hAnsi="宋体"/>
          <w:sz w:val="21"/>
          <w:szCs w:val="21"/>
        </w:rPr>
        <w:t>当采购数量与实际使用数量不一致时，乙</w:t>
      </w:r>
      <w:r>
        <w:rPr>
          <w:rFonts w:hint="eastAsia" w:hAnsi="宋体"/>
          <w:sz w:val="21"/>
          <w:szCs w:val="21"/>
        </w:rPr>
        <w:t>方</w:t>
      </w:r>
      <w:r>
        <w:rPr>
          <w:rFonts w:hAnsi="宋体"/>
          <w:sz w:val="21"/>
          <w:szCs w:val="21"/>
        </w:rPr>
        <w:t>应根据实际使用量供货，合同的最终结算金额按实际使用量乘以成交单价进行计算。</w:t>
      </w:r>
    </w:p>
    <w:p>
      <w:pPr>
        <w:snapToGrid w:val="0"/>
        <w:spacing w:line="400" w:lineRule="exact"/>
        <w:ind w:firstLine="422" w:firstLineChars="200"/>
        <w:rPr>
          <w:rFonts w:ascii="宋体" w:hAnsi="宋体"/>
          <w:b/>
          <w:szCs w:val="21"/>
        </w:rPr>
      </w:pPr>
      <w:r>
        <w:rPr>
          <w:rFonts w:hint="eastAsia" w:ascii="宋体" w:hAnsi="宋体"/>
          <w:b/>
          <w:szCs w:val="21"/>
        </w:rPr>
        <w:t>十一、税费</w:t>
      </w:r>
    </w:p>
    <w:p>
      <w:pPr>
        <w:snapToGrid w:val="0"/>
        <w:spacing w:line="400" w:lineRule="exact"/>
        <w:ind w:firstLine="420" w:firstLineChars="200"/>
        <w:rPr>
          <w:rFonts w:ascii="宋体" w:hAnsi="宋体"/>
          <w:szCs w:val="21"/>
        </w:rPr>
      </w:pPr>
      <w:r>
        <w:rPr>
          <w:rFonts w:hint="eastAsia" w:ascii="宋体" w:hAnsi="宋体"/>
          <w:szCs w:val="21"/>
        </w:rPr>
        <w:t>本合同执行中相关的一切税费均由</w:t>
      </w:r>
      <w:r>
        <w:rPr>
          <w:rFonts w:ascii="宋体" w:hAnsi="宋体"/>
          <w:szCs w:val="21"/>
        </w:rPr>
        <w:t>乙</w:t>
      </w:r>
      <w:r>
        <w:rPr>
          <w:rFonts w:hint="eastAsia" w:ascii="宋体" w:hAnsi="宋体"/>
          <w:szCs w:val="21"/>
        </w:rPr>
        <w:t>方负担。</w:t>
      </w:r>
    </w:p>
    <w:p>
      <w:pPr>
        <w:pStyle w:val="12"/>
        <w:snapToGrid w:val="0"/>
        <w:spacing w:before="0" w:beforeLines="0" w:after="0" w:afterLines="0"/>
        <w:ind w:firstLine="422" w:firstLineChars="200"/>
        <w:rPr>
          <w:rFonts w:hAnsi="宋体"/>
          <w:sz w:val="21"/>
          <w:szCs w:val="21"/>
        </w:rPr>
      </w:pPr>
      <w:r>
        <w:rPr>
          <w:rFonts w:hAnsi="宋体"/>
          <w:b/>
          <w:sz w:val="21"/>
          <w:szCs w:val="21"/>
        </w:rPr>
        <w:t>十二、质量保证及售后服务</w:t>
      </w:r>
    </w:p>
    <w:p>
      <w:pPr>
        <w:pStyle w:val="12"/>
        <w:snapToGrid w:val="0"/>
        <w:spacing w:before="0" w:beforeLines="0" w:after="0" w:afterLines="0"/>
        <w:ind w:firstLine="420" w:firstLineChars="200"/>
        <w:rPr>
          <w:rFonts w:hAnsi="宋体"/>
          <w:sz w:val="21"/>
          <w:szCs w:val="21"/>
        </w:rPr>
      </w:pPr>
      <w:r>
        <w:rPr>
          <w:rFonts w:hAnsi="宋体"/>
          <w:sz w:val="21"/>
          <w:szCs w:val="21"/>
        </w:rPr>
        <w:t>1</w:t>
      </w:r>
      <w:r>
        <w:rPr>
          <w:rFonts w:hint="eastAsia" w:hAnsi="宋体"/>
          <w:sz w:val="21"/>
          <w:szCs w:val="21"/>
        </w:rPr>
        <w:t>.</w:t>
      </w:r>
      <w:r>
        <w:rPr>
          <w:rFonts w:hAnsi="宋体"/>
          <w:sz w:val="21"/>
          <w:szCs w:val="21"/>
        </w:rPr>
        <w:t xml:space="preserve"> 乙方应按招标文件规定的货物性能、技术要求、质量标准向甲方提供未经使用的全新产品。</w:t>
      </w:r>
    </w:p>
    <w:p>
      <w:pPr>
        <w:pStyle w:val="12"/>
        <w:snapToGrid w:val="0"/>
        <w:spacing w:before="0" w:beforeLines="0" w:after="0" w:afterLines="0"/>
        <w:ind w:firstLine="420" w:firstLineChars="200"/>
        <w:rPr>
          <w:rFonts w:hAnsi="宋体"/>
          <w:sz w:val="21"/>
          <w:szCs w:val="21"/>
        </w:rPr>
      </w:pPr>
      <w:r>
        <w:rPr>
          <w:rFonts w:hAnsi="宋体"/>
          <w:sz w:val="21"/>
          <w:szCs w:val="21"/>
        </w:rPr>
        <w:t>2</w:t>
      </w:r>
      <w:r>
        <w:rPr>
          <w:rFonts w:hint="eastAsia" w:hAnsi="宋体"/>
          <w:sz w:val="21"/>
          <w:szCs w:val="21"/>
        </w:rPr>
        <w:t>.</w:t>
      </w:r>
      <w:r>
        <w:rPr>
          <w:rFonts w:hAnsi="宋体"/>
          <w:sz w:val="21"/>
          <w:szCs w:val="21"/>
        </w:rPr>
        <w:t xml:space="preserve"> 乙方提供的货物在质</w:t>
      </w:r>
      <w:r>
        <w:rPr>
          <w:rFonts w:hint="eastAsia" w:hAnsi="宋体"/>
          <w:sz w:val="21"/>
          <w:szCs w:val="21"/>
        </w:rPr>
        <w:t>保</w:t>
      </w:r>
      <w:r>
        <w:rPr>
          <w:rFonts w:hAnsi="宋体"/>
          <w:sz w:val="21"/>
          <w:szCs w:val="21"/>
        </w:rPr>
        <w:t>期内因货物本身的质量问题发生故障，乙方应负责免费更换。对达不到技术要求者，根据实际情况，经双方协商，可按以下办法处理：</w:t>
      </w:r>
    </w:p>
    <w:p>
      <w:pPr>
        <w:pStyle w:val="12"/>
        <w:snapToGrid w:val="0"/>
        <w:spacing w:before="0" w:beforeLines="0" w:after="0" w:afterLines="0"/>
        <w:ind w:firstLine="420" w:firstLineChars="200"/>
        <w:rPr>
          <w:rFonts w:hAnsi="宋体"/>
          <w:sz w:val="21"/>
          <w:szCs w:val="21"/>
        </w:rPr>
      </w:pPr>
      <w:r>
        <w:rPr>
          <w:rFonts w:hint="eastAsia" w:hAnsi="宋体"/>
          <w:sz w:val="21"/>
          <w:szCs w:val="21"/>
        </w:rPr>
        <w:t>（1）</w:t>
      </w:r>
      <w:r>
        <w:rPr>
          <w:rFonts w:hAnsi="宋体"/>
          <w:sz w:val="21"/>
          <w:szCs w:val="21"/>
        </w:rPr>
        <w:t>更换：由乙方承担所发生的全部费用。</w:t>
      </w:r>
    </w:p>
    <w:p>
      <w:pPr>
        <w:pStyle w:val="12"/>
        <w:snapToGrid w:val="0"/>
        <w:spacing w:before="0" w:beforeLines="0" w:after="0" w:afterLines="0"/>
        <w:ind w:firstLine="420" w:firstLineChars="200"/>
        <w:rPr>
          <w:rFonts w:hAnsi="宋体"/>
          <w:sz w:val="21"/>
          <w:szCs w:val="21"/>
        </w:rPr>
      </w:pPr>
      <w:r>
        <w:rPr>
          <w:rFonts w:hint="eastAsia" w:hAnsi="宋体"/>
          <w:sz w:val="21"/>
          <w:szCs w:val="21"/>
        </w:rPr>
        <w:t>（2）</w:t>
      </w:r>
      <w:r>
        <w:rPr>
          <w:rFonts w:hAnsi="宋体"/>
          <w:sz w:val="21"/>
          <w:szCs w:val="21"/>
        </w:rPr>
        <w:t>贬值处理：由甲乙双方合议定价。</w:t>
      </w:r>
    </w:p>
    <w:p>
      <w:pPr>
        <w:pStyle w:val="12"/>
        <w:snapToGrid w:val="0"/>
        <w:spacing w:before="0" w:beforeLines="0" w:after="0" w:afterLines="0"/>
        <w:ind w:firstLine="420" w:firstLineChars="200"/>
        <w:rPr>
          <w:rFonts w:hAnsi="宋体"/>
          <w:sz w:val="21"/>
          <w:szCs w:val="21"/>
        </w:rPr>
      </w:pPr>
      <w:r>
        <w:rPr>
          <w:rFonts w:hint="eastAsia" w:hAnsi="宋体"/>
          <w:sz w:val="21"/>
          <w:szCs w:val="21"/>
        </w:rPr>
        <w:t>（3）</w:t>
      </w:r>
      <w:r>
        <w:rPr>
          <w:rFonts w:hAnsi="宋体"/>
          <w:sz w:val="21"/>
          <w:szCs w:val="21"/>
        </w:rPr>
        <w:t>退货处理：乙方应退还甲方支付的合同款，同时应承担该货物的直接费用（运输、保险、检验、货款利息及银行手续费等）。</w:t>
      </w:r>
    </w:p>
    <w:p>
      <w:pPr>
        <w:pStyle w:val="12"/>
        <w:snapToGrid w:val="0"/>
        <w:spacing w:before="0" w:beforeLines="0" w:after="0" w:afterLines="0"/>
        <w:ind w:firstLine="420" w:firstLineChars="200"/>
        <w:rPr>
          <w:rFonts w:hAnsi="宋体"/>
          <w:sz w:val="21"/>
          <w:szCs w:val="21"/>
        </w:rPr>
      </w:pPr>
      <w:r>
        <w:rPr>
          <w:rFonts w:hAnsi="宋体"/>
          <w:sz w:val="21"/>
          <w:szCs w:val="21"/>
        </w:rPr>
        <w:t>3</w:t>
      </w:r>
      <w:r>
        <w:rPr>
          <w:rFonts w:hint="eastAsia" w:hAnsi="宋体"/>
          <w:sz w:val="21"/>
          <w:szCs w:val="21"/>
        </w:rPr>
        <w:t>.</w:t>
      </w:r>
      <w:r>
        <w:rPr>
          <w:rFonts w:hAnsi="宋体"/>
          <w:sz w:val="21"/>
          <w:szCs w:val="21"/>
        </w:rPr>
        <w:t xml:space="preserve"> 如在使用过程中发生质量问题，乙方在接到甲方通知后在</w:t>
      </w:r>
      <w:r>
        <w:rPr>
          <w:rFonts w:hAnsi="宋体"/>
          <w:sz w:val="21"/>
          <w:szCs w:val="21"/>
          <w:u w:val="single"/>
        </w:rPr>
        <w:t xml:space="preserve">     </w:t>
      </w:r>
      <w:r>
        <w:rPr>
          <w:rFonts w:hAnsi="宋体"/>
          <w:sz w:val="21"/>
          <w:szCs w:val="21"/>
        </w:rPr>
        <w:t>小时内到达甲方现场。</w:t>
      </w:r>
    </w:p>
    <w:p>
      <w:pPr>
        <w:pStyle w:val="12"/>
        <w:snapToGrid w:val="0"/>
        <w:spacing w:before="0" w:beforeLines="0" w:after="0" w:afterLines="0"/>
        <w:ind w:firstLine="420" w:firstLineChars="200"/>
        <w:rPr>
          <w:rFonts w:hAnsi="宋体"/>
          <w:sz w:val="21"/>
          <w:szCs w:val="21"/>
        </w:rPr>
      </w:pPr>
      <w:r>
        <w:rPr>
          <w:rFonts w:hAnsi="宋体"/>
          <w:sz w:val="21"/>
          <w:szCs w:val="21"/>
        </w:rPr>
        <w:t>4</w:t>
      </w:r>
      <w:r>
        <w:rPr>
          <w:rFonts w:hint="eastAsia" w:hAnsi="宋体"/>
          <w:sz w:val="21"/>
          <w:szCs w:val="21"/>
        </w:rPr>
        <w:t>.</w:t>
      </w:r>
      <w:r>
        <w:rPr>
          <w:rFonts w:hAnsi="宋体"/>
          <w:sz w:val="21"/>
          <w:szCs w:val="21"/>
        </w:rPr>
        <w:t xml:space="preserve"> 在质保期内，乙方应对货物出现的质量及安全问题负责处理解决并承担一切费用。</w:t>
      </w:r>
    </w:p>
    <w:p>
      <w:pPr>
        <w:pStyle w:val="12"/>
        <w:snapToGrid w:val="0"/>
        <w:spacing w:before="0" w:beforeLines="0" w:after="0" w:afterLines="0"/>
        <w:ind w:firstLine="420" w:firstLineChars="200"/>
        <w:rPr>
          <w:rFonts w:hAnsi="宋体"/>
          <w:sz w:val="21"/>
          <w:szCs w:val="21"/>
        </w:rPr>
      </w:pPr>
      <w:r>
        <w:rPr>
          <w:rFonts w:hAnsi="宋体"/>
          <w:sz w:val="21"/>
          <w:szCs w:val="21"/>
        </w:rPr>
        <w:t>5</w:t>
      </w:r>
      <w:r>
        <w:rPr>
          <w:rFonts w:hint="eastAsia" w:hAnsi="宋体"/>
          <w:sz w:val="21"/>
          <w:szCs w:val="21"/>
        </w:rPr>
        <w:t xml:space="preserve">. </w:t>
      </w:r>
      <w:r>
        <w:rPr>
          <w:rFonts w:hAnsi="宋体"/>
          <w:sz w:val="21"/>
          <w:szCs w:val="21"/>
        </w:rPr>
        <w:t>上述的货物免费保修期为</w:t>
      </w:r>
      <w:r>
        <w:rPr>
          <w:rFonts w:hAnsi="宋体"/>
          <w:sz w:val="21"/>
          <w:szCs w:val="21"/>
          <w:u w:val="single"/>
        </w:rPr>
        <w:t xml:space="preserve">     </w:t>
      </w:r>
      <w:r>
        <w:rPr>
          <w:rFonts w:hAnsi="宋体"/>
          <w:sz w:val="21"/>
          <w:szCs w:val="21"/>
        </w:rPr>
        <w:t>年，因人为因素出现的故障不在免费保修范围内。超过保修期的机器设备，终生维修，维修时只收部件成本费。</w:t>
      </w:r>
    </w:p>
    <w:p>
      <w:pPr>
        <w:pStyle w:val="12"/>
        <w:snapToGrid w:val="0"/>
        <w:spacing w:before="0" w:beforeLines="0" w:after="0" w:afterLines="0"/>
        <w:ind w:firstLine="422" w:firstLineChars="200"/>
        <w:rPr>
          <w:rFonts w:hAnsi="宋体"/>
          <w:b/>
          <w:sz w:val="21"/>
          <w:szCs w:val="21"/>
        </w:rPr>
      </w:pPr>
      <w:r>
        <w:rPr>
          <w:rFonts w:hAnsi="宋体"/>
          <w:b/>
          <w:sz w:val="21"/>
          <w:szCs w:val="21"/>
        </w:rPr>
        <w:t>十三、调试和验收</w:t>
      </w:r>
    </w:p>
    <w:p>
      <w:pPr>
        <w:pStyle w:val="12"/>
        <w:snapToGrid w:val="0"/>
        <w:spacing w:before="0" w:beforeLines="0" w:after="0" w:afterLines="0"/>
        <w:ind w:firstLine="420" w:firstLineChars="200"/>
        <w:jc w:val="left"/>
        <w:rPr>
          <w:rFonts w:hAnsi="宋体"/>
          <w:sz w:val="21"/>
          <w:szCs w:val="21"/>
        </w:rPr>
      </w:pPr>
      <w:r>
        <w:rPr>
          <w:rFonts w:hAnsi="宋体"/>
          <w:sz w:val="21"/>
          <w:szCs w:val="21"/>
        </w:rPr>
        <w:t>1</w:t>
      </w:r>
      <w:r>
        <w:rPr>
          <w:rFonts w:hint="eastAsia" w:hAnsi="宋体"/>
          <w:sz w:val="21"/>
          <w:szCs w:val="21"/>
        </w:rPr>
        <w:t>.</w:t>
      </w:r>
      <w:r>
        <w:rPr>
          <w:rFonts w:hAnsi="宋体"/>
          <w:sz w:val="21"/>
          <w:szCs w:val="21"/>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12"/>
        <w:snapToGrid w:val="0"/>
        <w:spacing w:before="0" w:beforeLines="0" w:after="0" w:afterLines="0"/>
        <w:ind w:firstLine="420" w:firstLineChars="200"/>
        <w:rPr>
          <w:rFonts w:hAnsi="宋体"/>
          <w:sz w:val="21"/>
          <w:szCs w:val="21"/>
        </w:rPr>
      </w:pPr>
      <w:r>
        <w:rPr>
          <w:rFonts w:hAnsi="宋体"/>
          <w:sz w:val="21"/>
          <w:szCs w:val="21"/>
        </w:rPr>
        <w:t>2</w:t>
      </w:r>
      <w:r>
        <w:rPr>
          <w:rFonts w:hint="eastAsia" w:hAnsi="宋体"/>
          <w:sz w:val="21"/>
          <w:szCs w:val="21"/>
        </w:rPr>
        <w:t>.</w:t>
      </w:r>
      <w:r>
        <w:rPr>
          <w:rFonts w:hAnsi="宋体"/>
          <w:sz w:val="21"/>
          <w:szCs w:val="21"/>
        </w:rPr>
        <w:t xml:space="preserve"> 乙方交货前应对产品作出全面检查和对验收文件进行整理，并列出清单，作为甲方收货验收和使用的技术条件依据，检验的结果应随货物交甲方。</w:t>
      </w:r>
    </w:p>
    <w:p>
      <w:pPr>
        <w:pStyle w:val="12"/>
        <w:snapToGrid w:val="0"/>
        <w:spacing w:before="0" w:beforeLines="0" w:after="0" w:afterLines="0"/>
        <w:ind w:firstLine="420" w:firstLineChars="200"/>
        <w:rPr>
          <w:rFonts w:hAnsi="宋体"/>
          <w:sz w:val="21"/>
          <w:szCs w:val="21"/>
          <w:u w:val="single"/>
        </w:rPr>
      </w:pPr>
      <w:r>
        <w:rPr>
          <w:rFonts w:hAnsi="宋体"/>
          <w:sz w:val="21"/>
          <w:szCs w:val="21"/>
        </w:rPr>
        <w:t>3</w:t>
      </w:r>
      <w:r>
        <w:rPr>
          <w:rFonts w:hint="eastAsia" w:hAnsi="宋体"/>
          <w:sz w:val="21"/>
          <w:szCs w:val="21"/>
        </w:rPr>
        <w:t>.</w:t>
      </w:r>
      <w:r>
        <w:rPr>
          <w:rFonts w:hAnsi="宋体"/>
          <w:sz w:val="21"/>
          <w:szCs w:val="21"/>
        </w:rPr>
        <w:t xml:space="preserve"> 甲方对乙方提供的货物在使用前进行调试时，乙方需负责安装并培训甲方的使用操作人员，并协助甲方一起调试，直到符合技术要求，甲方才做最终验收。</w:t>
      </w:r>
    </w:p>
    <w:p>
      <w:pPr>
        <w:pStyle w:val="12"/>
        <w:snapToGrid w:val="0"/>
        <w:spacing w:before="0" w:beforeLines="0" w:after="0" w:afterLines="0"/>
        <w:ind w:firstLine="420" w:firstLineChars="200"/>
        <w:rPr>
          <w:rFonts w:hAnsi="宋体"/>
          <w:sz w:val="21"/>
          <w:szCs w:val="21"/>
        </w:rPr>
      </w:pPr>
      <w:r>
        <w:rPr>
          <w:rFonts w:hAnsi="宋体"/>
          <w:sz w:val="21"/>
          <w:szCs w:val="21"/>
        </w:rPr>
        <w:t>4</w:t>
      </w:r>
      <w:r>
        <w:rPr>
          <w:rFonts w:hint="eastAsia" w:hAnsi="宋体"/>
          <w:sz w:val="21"/>
          <w:szCs w:val="21"/>
        </w:rPr>
        <w:t>.</w:t>
      </w:r>
      <w:r>
        <w:rPr>
          <w:rFonts w:hAnsi="宋体"/>
          <w:sz w:val="21"/>
          <w:szCs w:val="21"/>
        </w:rPr>
        <w:t xml:space="preserve"> 对技术复杂的货物，甲方应请国家认可的专业检测机构参与初步验收及最终验收，并由其出具质量检测报告。</w:t>
      </w:r>
    </w:p>
    <w:p>
      <w:pPr>
        <w:pStyle w:val="12"/>
        <w:snapToGrid w:val="0"/>
        <w:spacing w:before="0" w:beforeLines="0" w:after="0" w:afterLines="0"/>
        <w:ind w:firstLine="420" w:firstLineChars="200"/>
        <w:rPr>
          <w:rFonts w:hAnsi="宋体"/>
          <w:sz w:val="21"/>
          <w:szCs w:val="21"/>
        </w:rPr>
      </w:pPr>
      <w:r>
        <w:rPr>
          <w:rFonts w:hAnsi="宋体"/>
          <w:sz w:val="21"/>
          <w:szCs w:val="21"/>
        </w:rPr>
        <w:t>5</w:t>
      </w:r>
      <w:r>
        <w:rPr>
          <w:rFonts w:hint="eastAsia" w:hAnsi="宋体"/>
          <w:sz w:val="21"/>
          <w:szCs w:val="21"/>
        </w:rPr>
        <w:t>.</w:t>
      </w:r>
      <w:r>
        <w:rPr>
          <w:rFonts w:hAnsi="宋体"/>
          <w:sz w:val="21"/>
          <w:szCs w:val="21"/>
        </w:rPr>
        <w:t xml:space="preserve"> 验收时乙方必须在现场，验收完毕后作出验收结果报告；验收费用由乙方负责。</w:t>
      </w:r>
    </w:p>
    <w:p>
      <w:pPr>
        <w:pStyle w:val="12"/>
        <w:snapToGrid w:val="0"/>
        <w:spacing w:before="0" w:beforeLines="0" w:after="0" w:afterLines="0"/>
        <w:ind w:firstLine="422" w:firstLineChars="200"/>
        <w:rPr>
          <w:rFonts w:hAnsi="宋体"/>
          <w:b/>
          <w:sz w:val="21"/>
          <w:szCs w:val="21"/>
        </w:rPr>
      </w:pPr>
      <w:r>
        <w:rPr>
          <w:rFonts w:hAnsi="宋体"/>
          <w:b/>
          <w:sz w:val="21"/>
          <w:szCs w:val="21"/>
        </w:rPr>
        <w:t>十四、货物包装、发运及运输</w:t>
      </w:r>
    </w:p>
    <w:p>
      <w:pPr>
        <w:pStyle w:val="12"/>
        <w:snapToGrid w:val="0"/>
        <w:spacing w:before="0" w:beforeLines="0" w:after="0" w:afterLines="0"/>
        <w:ind w:firstLine="420" w:firstLineChars="200"/>
        <w:rPr>
          <w:rFonts w:hAnsi="宋体"/>
          <w:sz w:val="21"/>
          <w:szCs w:val="21"/>
        </w:rPr>
      </w:pPr>
      <w:r>
        <w:rPr>
          <w:rFonts w:hint="eastAsia" w:hAnsi="宋体"/>
          <w:bCs/>
          <w:sz w:val="21"/>
          <w:szCs w:val="21"/>
        </w:rPr>
        <w:t xml:space="preserve">1. </w:t>
      </w:r>
      <w:r>
        <w:rPr>
          <w:rFonts w:hAnsi="宋体"/>
          <w:sz w:val="21"/>
          <w:szCs w:val="21"/>
        </w:rPr>
        <w:t>乙方应在货物发运前对其进行满足运输距离、防潮、防震、防锈和防破损装卸等要求包装，以保证货物安全运达甲方指定地点。</w:t>
      </w:r>
    </w:p>
    <w:p>
      <w:pPr>
        <w:pStyle w:val="12"/>
        <w:snapToGrid w:val="0"/>
        <w:spacing w:before="0" w:beforeLines="0" w:after="0" w:afterLines="0"/>
        <w:ind w:firstLine="420" w:firstLineChars="200"/>
        <w:rPr>
          <w:rFonts w:hAnsi="宋体"/>
          <w:sz w:val="21"/>
          <w:szCs w:val="21"/>
        </w:rPr>
      </w:pPr>
      <w:r>
        <w:rPr>
          <w:rFonts w:hAnsi="宋体"/>
          <w:sz w:val="21"/>
          <w:szCs w:val="21"/>
        </w:rPr>
        <w:t>2</w:t>
      </w:r>
      <w:r>
        <w:rPr>
          <w:rFonts w:hint="eastAsia" w:hAnsi="宋体"/>
          <w:sz w:val="21"/>
          <w:szCs w:val="21"/>
        </w:rPr>
        <w:t xml:space="preserve">. </w:t>
      </w:r>
      <w:r>
        <w:rPr>
          <w:rFonts w:hAnsi="宋体"/>
          <w:sz w:val="21"/>
          <w:szCs w:val="21"/>
        </w:rPr>
        <w:t>使用说明书、质量检验证明书、随配附件和工具以及清单一并附于货物内。</w:t>
      </w:r>
    </w:p>
    <w:p>
      <w:pPr>
        <w:pStyle w:val="12"/>
        <w:snapToGrid w:val="0"/>
        <w:spacing w:before="0" w:beforeLines="0" w:after="0" w:afterLines="0"/>
        <w:ind w:firstLine="420" w:firstLineChars="200"/>
        <w:rPr>
          <w:rFonts w:hAnsi="宋体"/>
          <w:sz w:val="21"/>
          <w:szCs w:val="21"/>
        </w:rPr>
      </w:pPr>
      <w:r>
        <w:rPr>
          <w:rFonts w:hint="eastAsia" w:hAnsi="宋体"/>
          <w:sz w:val="21"/>
          <w:szCs w:val="21"/>
        </w:rPr>
        <w:t xml:space="preserve">3. </w:t>
      </w:r>
      <w:r>
        <w:rPr>
          <w:rFonts w:hAnsi="宋体"/>
          <w:sz w:val="21"/>
          <w:szCs w:val="21"/>
        </w:rPr>
        <w:t>乙方在货物发运手续办理完毕后24小时内或货到甲方48小时前通知甲方，以准备接货。</w:t>
      </w:r>
    </w:p>
    <w:p>
      <w:pPr>
        <w:pStyle w:val="12"/>
        <w:snapToGrid w:val="0"/>
        <w:spacing w:before="0" w:beforeLines="0" w:after="0" w:afterLines="0"/>
        <w:ind w:firstLine="420" w:firstLineChars="200"/>
        <w:rPr>
          <w:rFonts w:hAnsi="宋体"/>
          <w:sz w:val="21"/>
          <w:szCs w:val="21"/>
        </w:rPr>
      </w:pPr>
      <w:r>
        <w:rPr>
          <w:rFonts w:hAnsi="宋体"/>
          <w:sz w:val="21"/>
          <w:szCs w:val="21"/>
        </w:rPr>
        <w:t>4</w:t>
      </w:r>
      <w:r>
        <w:rPr>
          <w:rFonts w:hint="eastAsia" w:hAnsi="宋体"/>
          <w:sz w:val="21"/>
          <w:szCs w:val="21"/>
        </w:rPr>
        <w:t xml:space="preserve">. </w:t>
      </w:r>
      <w:r>
        <w:rPr>
          <w:rFonts w:hAnsi="宋体"/>
          <w:sz w:val="21"/>
          <w:szCs w:val="21"/>
        </w:rPr>
        <w:t>货物在交付甲方前发生的风险均由乙方负责。</w:t>
      </w:r>
    </w:p>
    <w:p>
      <w:pPr>
        <w:pStyle w:val="12"/>
        <w:snapToGrid w:val="0"/>
        <w:spacing w:before="0" w:beforeLines="0" w:after="0" w:afterLines="0"/>
        <w:ind w:firstLine="420" w:firstLineChars="200"/>
        <w:rPr>
          <w:rFonts w:hAnsi="宋体"/>
          <w:sz w:val="21"/>
          <w:szCs w:val="21"/>
        </w:rPr>
      </w:pPr>
      <w:r>
        <w:rPr>
          <w:rFonts w:hint="eastAsia" w:hAnsi="宋体"/>
          <w:sz w:val="21"/>
          <w:szCs w:val="21"/>
        </w:rPr>
        <w:t xml:space="preserve">5. </w:t>
      </w:r>
      <w:r>
        <w:rPr>
          <w:rFonts w:hAnsi="宋体"/>
          <w:sz w:val="21"/>
          <w:szCs w:val="21"/>
        </w:rPr>
        <w:t>货物在规定的交付期限内由乙方送达甲方指定的地点视为交付，乙方同时需通知甲方货物已送达。</w:t>
      </w:r>
    </w:p>
    <w:p>
      <w:pPr>
        <w:pStyle w:val="12"/>
        <w:snapToGrid w:val="0"/>
        <w:spacing w:before="0" w:beforeLines="0" w:after="0" w:afterLines="0"/>
        <w:ind w:firstLine="422" w:firstLineChars="200"/>
        <w:rPr>
          <w:rFonts w:hAnsi="宋体"/>
          <w:b/>
          <w:sz w:val="21"/>
          <w:szCs w:val="21"/>
        </w:rPr>
      </w:pPr>
      <w:r>
        <w:rPr>
          <w:rFonts w:hAnsi="宋体"/>
          <w:b/>
          <w:sz w:val="21"/>
          <w:szCs w:val="21"/>
        </w:rPr>
        <w:t>十五、违约责任</w:t>
      </w:r>
    </w:p>
    <w:p>
      <w:pPr>
        <w:pStyle w:val="12"/>
        <w:snapToGrid w:val="0"/>
        <w:spacing w:before="0" w:beforeLines="0" w:after="0" w:afterLines="0"/>
        <w:ind w:firstLine="420" w:firstLineChars="200"/>
        <w:rPr>
          <w:rFonts w:hAnsi="宋体"/>
          <w:sz w:val="21"/>
          <w:szCs w:val="21"/>
        </w:rPr>
      </w:pPr>
      <w:r>
        <w:rPr>
          <w:rFonts w:hAnsi="宋体"/>
          <w:sz w:val="21"/>
          <w:szCs w:val="21"/>
        </w:rPr>
        <w:t>1</w:t>
      </w:r>
      <w:r>
        <w:rPr>
          <w:rFonts w:hint="eastAsia" w:hAnsi="宋体"/>
          <w:sz w:val="21"/>
          <w:szCs w:val="21"/>
        </w:rPr>
        <w:t>.</w:t>
      </w:r>
      <w:r>
        <w:rPr>
          <w:rFonts w:hAnsi="宋体"/>
          <w:sz w:val="21"/>
          <w:szCs w:val="21"/>
        </w:rPr>
        <w:t xml:space="preserve"> 甲方无正当理由拒收货物的，甲方向乙方偿付拒收货款总值的百分之五违约金。</w:t>
      </w:r>
    </w:p>
    <w:p>
      <w:pPr>
        <w:pStyle w:val="12"/>
        <w:snapToGrid w:val="0"/>
        <w:spacing w:before="0" w:beforeLines="0" w:after="0" w:afterLines="0"/>
        <w:ind w:firstLine="420" w:firstLineChars="200"/>
        <w:rPr>
          <w:rFonts w:hAnsi="宋体"/>
          <w:sz w:val="21"/>
          <w:szCs w:val="21"/>
        </w:rPr>
      </w:pPr>
      <w:r>
        <w:rPr>
          <w:rFonts w:hAnsi="宋体"/>
          <w:sz w:val="21"/>
          <w:szCs w:val="21"/>
        </w:rPr>
        <w:t>2</w:t>
      </w:r>
      <w:r>
        <w:rPr>
          <w:rFonts w:hint="eastAsia" w:hAnsi="宋体"/>
          <w:sz w:val="21"/>
          <w:szCs w:val="21"/>
        </w:rPr>
        <w:t>.</w:t>
      </w:r>
      <w:r>
        <w:rPr>
          <w:rFonts w:hAnsi="宋体"/>
          <w:sz w:val="21"/>
          <w:szCs w:val="21"/>
        </w:rPr>
        <w:t xml:space="preserve"> 甲方无故逾期验收和办理货款支付手续的,甲方应按逾期付款总额每日万分之五向乙方支付违约金。</w:t>
      </w:r>
    </w:p>
    <w:p>
      <w:pPr>
        <w:pStyle w:val="12"/>
        <w:snapToGrid w:val="0"/>
        <w:spacing w:before="0" w:beforeLines="0" w:after="0" w:afterLines="0"/>
        <w:ind w:firstLine="420" w:firstLineChars="200"/>
        <w:rPr>
          <w:rFonts w:hAnsi="宋体"/>
          <w:sz w:val="21"/>
          <w:szCs w:val="21"/>
        </w:rPr>
      </w:pPr>
      <w:r>
        <w:rPr>
          <w:rFonts w:hAnsi="宋体"/>
          <w:sz w:val="21"/>
          <w:szCs w:val="21"/>
        </w:rPr>
        <w:t>3</w:t>
      </w:r>
      <w:r>
        <w:rPr>
          <w:rFonts w:hint="eastAsia" w:hAnsi="宋体"/>
          <w:sz w:val="21"/>
          <w:szCs w:val="21"/>
        </w:rPr>
        <w:t>.</w:t>
      </w:r>
      <w:r>
        <w:rPr>
          <w:rFonts w:hAnsi="宋体"/>
          <w:sz w:val="21"/>
          <w:szCs w:val="21"/>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2"/>
        <w:snapToGrid w:val="0"/>
        <w:spacing w:before="0" w:beforeLines="0" w:after="0" w:afterLines="0"/>
        <w:ind w:firstLine="420" w:firstLineChars="200"/>
        <w:rPr>
          <w:rFonts w:hint="eastAsia" w:hAnsi="宋体"/>
          <w:sz w:val="21"/>
          <w:szCs w:val="21"/>
        </w:rPr>
      </w:pPr>
      <w:r>
        <w:rPr>
          <w:rFonts w:hAnsi="宋体"/>
          <w:sz w:val="21"/>
          <w:szCs w:val="21"/>
        </w:rPr>
        <w:t>4</w:t>
      </w:r>
      <w:r>
        <w:rPr>
          <w:rFonts w:hint="eastAsia" w:hAnsi="宋体"/>
          <w:sz w:val="21"/>
          <w:szCs w:val="21"/>
        </w:rPr>
        <w:t>.</w:t>
      </w:r>
      <w:r>
        <w:rPr>
          <w:rFonts w:hAnsi="宋体"/>
          <w:sz w:val="21"/>
          <w:szCs w:val="21"/>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snapToGrid w:val="0"/>
        <w:spacing w:before="0" w:beforeLines="0" w:after="0" w:afterLines="0"/>
        <w:ind w:firstLine="420" w:firstLineChars="200"/>
        <w:rPr>
          <w:rFonts w:hint="eastAsia" w:hAnsi="宋体"/>
          <w:sz w:val="21"/>
          <w:szCs w:val="21"/>
        </w:rPr>
      </w:pPr>
      <w:r>
        <w:rPr>
          <w:rFonts w:hint="eastAsia" w:hAnsi="宋体"/>
          <w:sz w:val="21"/>
          <w:szCs w:val="21"/>
        </w:rPr>
        <w:t>5.</w:t>
      </w:r>
      <w:r>
        <w:rPr>
          <w:rFonts w:hAnsi="宋体"/>
          <w:sz w:val="21"/>
          <w:szCs w:val="21"/>
        </w:rPr>
        <w:t xml:space="preserve"> 乙方</w:t>
      </w:r>
      <w:r>
        <w:rPr>
          <w:rFonts w:hint="eastAsia" w:hAnsi="宋体"/>
          <w:sz w:val="21"/>
          <w:szCs w:val="21"/>
        </w:rPr>
        <w:t>如提供售后服务和维修不到位的，</w:t>
      </w:r>
      <w:r>
        <w:rPr>
          <w:rFonts w:hAnsi="宋体"/>
          <w:sz w:val="21"/>
          <w:szCs w:val="21"/>
        </w:rPr>
        <w:t>甲方</w:t>
      </w:r>
      <w:r>
        <w:rPr>
          <w:rFonts w:hint="eastAsia" w:hAnsi="宋体"/>
          <w:sz w:val="21"/>
          <w:szCs w:val="21"/>
        </w:rPr>
        <w:t>将视情节没收维修保证金，并将情况报告县采购办进行处罚。</w:t>
      </w:r>
    </w:p>
    <w:p>
      <w:pPr>
        <w:pStyle w:val="12"/>
        <w:snapToGrid w:val="0"/>
        <w:spacing w:before="0" w:beforeLines="0" w:after="0" w:afterLines="0"/>
        <w:ind w:firstLine="422" w:firstLineChars="200"/>
        <w:rPr>
          <w:rFonts w:hAnsi="宋体"/>
          <w:b/>
          <w:sz w:val="21"/>
          <w:szCs w:val="21"/>
        </w:rPr>
      </w:pPr>
      <w:r>
        <w:rPr>
          <w:rFonts w:hAnsi="宋体"/>
          <w:b/>
          <w:sz w:val="21"/>
          <w:szCs w:val="21"/>
        </w:rPr>
        <w:t>十六、不可抗力事件处理</w:t>
      </w:r>
    </w:p>
    <w:p>
      <w:pPr>
        <w:pStyle w:val="12"/>
        <w:snapToGrid w:val="0"/>
        <w:spacing w:before="0" w:beforeLines="0" w:after="0" w:afterLines="0"/>
        <w:ind w:firstLine="420" w:firstLineChars="200"/>
        <w:rPr>
          <w:rFonts w:hAnsi="宋体"/>
          <w:sz w:val="21"/>
          <w:szCs w:val="21"/>
        </w:rPr>
      </w:pPr>
      <w:r>
        <w:rPr>
          <w:rFonts w:hAnsi="宋体"/>
          <w:sz w:val="21"/>
          <w:szCs w:val="21"/>
        </w:rPr>
        <w:t>1</w:t>
      </w:r>
      <w:r>
        <w:rPr>
          <w:rFonts w:hint="eastAsia" w:hAnsi="宋体"/>
          <w:sz w:val="21"/>
          <w:szCs w:val="21"/>
        </w:rPr>
        <w:t>.</w:t>
      </w:r>
      <w:r>
        <w:rPr>
          <w:rFonts w:hAnsi="宋体"/>
          <w:sz w:val="21"/>
          <w:szCs w:val="21"/>
        </w:rPr>
        <w:t xml:space="preserve"> 在合同有效期内，任何一方因不可抗力事件导致不能履行合同，则合同履行期可延长，其延长期与不可抗力影响期相同。</w:t>
      </w:r>
    </w:p>
    <w:p>
      <w:pPr>
        <w:pStyle w:val="12"/>
        <w:snapToGrid w:val="0"/>
        <w:spacing w:before="0" w:beforeLines="0" w:after="0" w:afterLines="0"/>
        <w:ind w:firstLine="420" w:firstLineChars="200"/>
        <w:rPr>
          <w:rFonts w:hAnsi="宋体"/>
          <w:sz w:val="21"/>
          <w:szCs w:val="21"/>
        </w:rPr>
      </w:pPr>
      <w:r>
        <w:rPr>
          <w:rFonts w:hAnsi="宋体"/>
          <w:sz w:val="21"/>
          <w:szCs w:val="21"/>
        </w:rPr>
        <w:t>2</w:t>
      </w:r>
      <w:r>
        <w:rPr>
          <w:rFonts w:hint="eastAsia" w:hAnsi="宋体"/>
          <w:sz w:val="21"/>
          <w:szCs w:val="21"/>
        </w:rPr>
        <w:t>.</w:t>
      </w:r>
      <w:r>
        <w:rPr>
          <w:rFonts w:hAnsi="宋体"/>
          <w:sz w:val="21"/>
          <w:szCs w:val="21"/>
        </w:rPr>
        <w:t xml:space="preserve"> 不可抗力事件发生后，应立即通知对方，并寄送有关权威机构出具的证明。</w:t>
      </w:r>
    </w:p>
    <w:p>
      <w:pPr>
        <w:pStyle w:val="12"/>
        <w:snapToGrid w:val="0"/>
        <w:spacing w:before="0" w:beforeLines="0" w:after="0" w:afterLines="0"/>
        <w:ind w:firstLine="420" w:firstLineChars="200"/>
        <w:rPr>
          <w:rFonts w:hAnsi="宋体"/>
          <w:sz w:val="21"/>
          <w:szCs w:val="21"/>
        </w:rPr>
      </w:pPr>
      <w:r>
        <w:rPr>
          <w:rFonts w:hAnsi="宋体"/>
          <w:sz w:val="21"/>
          <w:szCs w:val="21"/>
        </w:rPr>
        <w:t>3</w:t>
      </w:r>
      <w:r>
        <w:rPr>
          <w:rFonts w:hint="eastAsia" w:hAnsi="宋体"/>
          <w:sz w:val="21"/>
          <w:szCs w:val="21"/>
        </w:rPr>
        <w:t>.</w:t>
      </w:r>
      <w:r>
        <w:rPr>
          <w:rFonts w:hAnsi="宋体"/>
          <w:sz w:val="21"/>
          <w:szCs w:val="21"/>
        </w:rPr>
        <w:t xml:space="preserve"> 不可抗力事件延续120天以上，双方应通过友好协商，确定是否继续履行合同。</w:t>
      </w:r>
    </w:p>
    <w:p>
      <w:pPr>
        <w:pStyle w:val="12"/>
        <w:snapToGrid w:val="0"/>
        <w:spacing w:before="0" w:beforeLines="0" w:after="0" w:afterLines="0"/>
        <w:ind w:firstLine="422" w:firstLineChars="200"/>
        <w:rPr>
          <w:rFonts w:hAnsi="宋体"/>
          <w:b/>
          <w:sz w:val="21"/>
          <w:szCs w:val="21"/>
        </w:rPr>
      </w:pPr>
      <w:r>
        <w:rPr>
          <w:rFonts w:hAnsi="宋体"/>
          <w:b/>
          <w:sz w:val="21"/>
          <w:szCs w:val="21"/>
        </w:rPr>
        <w:t>十七、诉讼</w:t>
      </w:r>
    </w:p>
    <w:p>
      <w:pPr>
        <w:pStyle w:val="12"/>
        <w:snapToGrid w:val="0"/>
        <w:spacing w:before="0" w:beforeLines="0" w:after="0" w:afterLines="0"/>
        <w:ind w:firstLine="420" w:firstLineChars="200"/>
        <w:rPr>
          <w:rFonts w:hAnsi="宋体"/>
          <w:sz w:val="21"/>
          <w:szCs w:val="21"/>
        </w:rPr>
      </w:pPr>
      <w:r>
        <w:rPr>
          <w:rFonts w:hAnsi="宋体"/>
          <w:sz w:val="21"/>
          <w:szCs w:val="21"/>
        </w:rPr>
        <w:t>双方在执行合同中所发生的一切争议，应通过协商解决。如协商不成，可向</w:t>
      </w:r>
      <w:r>
        <w:rPr>
          <w:rFonts w:hint="eastAsia" w:hAnsi="宋体"/>
          <w:sz w:val="21"/>
          <w:szCs w:val="21"/>
        </w:rPr>
        <w:t>甲方所在</w:t>
      </w:r>
      <w:r>
        <w:rPr>
          <w:rFonts w:hAnsi="宋体"/>
          <w:sz w:val="21"/>
          <w:szCs w:val="21"/>
        </w:rPr>
        <w:t>地法院起诉。</w:t>
      </w:r>
    </w:p>
    <w:p>
      <w:pPr>
        <w:pStyle w:val="12"/>
        <w:snapToGrid w:val="0"/>
        <w:spacing w:before="0" w:beforeLines="0" w:after="0" w:afterLines="0"/>
        <w:ind w:firstLine="422" w:firstLineChars="200"/>
        <w:rPr>
          <w:rFonts w:hAnsi="宋体"/>
          <w:b/>
          <w:sz w:val="21"/>
          <w:szCs w:val="21"/>
        </w:rPr>
      </w:pPr>
      <w:r>
        <w:rPr>
          <w:rFonts w:hAnsi="宋体"/>
          <w:b/>
          <w:sz w:val="21"/>
          <w:szCs w:val="21"/>
        </w:rPr>
        <w:t>十八、合同生效及其它</w:t>
      </w:r>
    </w:p>
    <w:p>
      <w:pPr>
        <w:pStyle w:val="12"/>
        <w:snapToGrid w:val="0"/>
        <w:spacing w:before="0" w:beforeLines="0" w:after="0" w:afterLines="0"/>
        <w:ind w:firstLine="420" w:firstLineChars="200"/>
        <w:rPr>
          <w:rFonts w:hAnsi="宋体"/>
          <w:sz w:val="21"/>
          <w:szCs w:val="21"/>
        </w:rPr>
      </w:pPr>
      <w:r>
        <w:rPr>
          <w:rFonts w:hAnsi="宋体"/>
          <w:sz w:val="21"/>
          <w:szCs w:val="21"/>
        </w:rPr>
        <w:t>1</w:t>
      </w:r>
      <w:r>
        <w:rPr>
          <w:rFonts w:hint="eastAsia" w:hAnsi="宋体"/>
          <w:sz w:val="21"/>
          <w:szCs w:val="21"/>
        </w:rPr>
        <w:t xml:space="preserve">. </w:t>
      </w:r>
      <w:r>
        <w:rPr>
          <w:rFonts w:hAnsi="宋体"/>
          <w:sz w:val="21"/>
          <w:szCs w:val="21"/>
        </w:rPr>
        <w:t>合同经双方法定代表人或授权代表签字并加盖单位公章后生效。</w:t>
      </w:r>
    </w:p>
    <w:p>
      <w:pPr>
        <w:pStyle w:val="12"/>
        <w:snapToGrid w:val="0"/>
        <w:spacing w:before="0" w:beforeLines="0" w:after="0" w:afterLines="0"/>
        <w:ind w:firstLine="420" w:firstLineChars="200"/>
        <w:rPr>
          <w:rFonts w:hAnsi="宋体"/>
          <w:sz w:val="21"/>
          <w:szCs w:val="21"/>
        </w:rPr>
      </w:pPr>
      <w:r>
        <w:rPr>
          <w:rFonts w:hAnsi="宋体"/>
          <w:sz w:val="21"/>
          <w:szCs w:val="21"/>
        </w:rPr>
        <w:t>2</w:t>
      </w:r>
      <w:r>
        <w:rPr>
          <w:rFonts w:hint="eastAsia" w:hAnsi="宋体"/>
          <w:sz w:val="21"/>
          <w:szCs w:val="21"/>
        </w:rPr>
        <w:t xml:space="preserve">. </w:t>
      </w:r>
      <w:r>
        <w:rPr>
          <w:rFonts w:hAnsi="宋体"/>
          <w:sz w:val="21"/>
          <w:szCs w:val="21"/>
        </w:rPr>
        <w:t>合同执行中涉及采购资金和采购内容修改或补充的，须经财政部门审批，并签书面补充协议报政府采购监督管理部门备案，方可作为主合同不可分割的一部分。</w:t>
      </w:r>
    </w:p>
    <w:p>
      <w:pPr>
        <w:pStyle w:val="12"/>
        <w:snapToGrid w:val="0"/>
        <w:spacing w:before="0" w:beforeLines="0" w:after="0" w:afterLines="0"/>
        <w:ind w:firstLine="420" w:firstLineChars="200"/>
        <w:rPr>
          <w:rFonts w:hAnsi="宋体"/>
          <w:sz w:val="21"/>
          <w:szCs w:val="21"/>
        </w:rPr>
      </w:pPr>
      <w:r>
        <w:rPr>
          <w:rFonts w:hAnsi="宋体"/>
          <w:sz w:val="21"/>
          <w:szCs w:val="21"/>
        </w:rPr>
        <w:t>3</w:t>
      </w:r>
      <w:r>
        <w:rPr>
          <w:rFonts w:hint="eastAsia" w:hAnsi="宋体"/>
          <w:sz w:val="21"/>
          <w:szCs w:val="21"/>
        </w:rPr>
        <w:t xml:space="preserve">. </w:t>
      </w:r>
      <w:r>
        <w:rPr>
          <w:rFonts w:hAnsi="宋体"/>
          <w:sz w:val="21"/>
          <w:szCs w:val="21"/>
        </w:rPr>
        <w:t>本合同未尽事宜，遵照《合同法》有关条文执行。</w:t>
      </w:r>
    </w:p>
    <w:p>
      <w:pPr>
        <w:pStyle w:val="12"/>
        <w:snapToGrid w:val="0"/>
        <w:spacing w:before="0" w:beforeLines="0" w:after="0" w:afterLines="0"/>
        <w:ind w:firstLine="420" w:firstLineChars="200"/>
        <w:rPr>
          <w:rFonts w:hint="eastAsia" w:hAnsi="宋体"/>
          <w:sz w:val="21"/>
          <w:szCs w:val="21"/>
        </w:rPr>
      </w:pPr>
      <w:r>
        <w:rPr>
          <w:rFonts w:hAnsi="宋体"/>
          <w:sz w:val="21"/>
          <w:szCs w:val="21"/>
        </w:rPr>
        <w:t>4</w:t>
      </w:r>
      <w:r>
        <w:rPr>
          <w:rFonts w:hint="eastAsia" w:hAnsi="宋体"/>
          <w:sz w:val="21"/>
          <w:szCs w:val="21"/>
        </w:rPr>
        <w:t xml:space="preserve">. </w:t>
      </w:r>
      <w:r>
        <w:rPr>
          <w:rFonts w:hAnsi="宋体"/>
          <w:sz w:val="21"/>
          <w:szCs w:val="21"/>
        </w:rPr>
        <w:t>本合同正本一式</w:t>
      </w:r>
      <w:r>
        <w:rPr>
          <w:rFonts w:hint="eastAsia" w:hAnsi="宋体"/>
          <w:sz w:val="21"/>
          <w:szCs w:val="21"/>
        </w:rPr>
        <w:t>四</w:t>
      </w:r>
      <w:r>
        <w:rPr>
          <w:rFonts w:hAnsi="宋体"/>
          <w:sz w:val="21"/>
          <w:szCs w:val="21"/>
        </w:rPr>
        <w:t>份，具有同等法律效力，甲乙双方各执一份；</w:t>
      </w:r>
      <w:r>
        <w:rPr>
          <w:rFonts w:hint="eastAsia" w:hAnsi="宋体"/>
          <w:sz w:val="21"/>
          <w:szCs w:val="21"/>
        </w:rPr>
        <w:t>采购办、交管办各执一份。</w:t>
      </w:r>
    </w:p>
    <w:p>
      <w:pPr>
        <w:pStyle w:val="12"/>
        <w:snapToGrid w:val="0"/>
        <w:spacing w:before="0" w:beforeLines="0" w:after="0" w:afterLines="0"/>
        <w:ind w:firstLine="420" w:firstLineChars="200"/>
        <w:rPr>
          <w:rFonts w:hAnsi="宋体"/>
          <w:sz w:val="21"/>
          <w:szCs w:val="21"/>
        </w:rPr>
      </w:pPr>
    </w:p>
    <w:p>
      <w:pPr>
        <w:pStyle w:val="12"/>
        <w:snapToGrid w:val="0"/>
        <w:spacing w:before="0" w:beforeLines="0" w:after="0" w:afterLines="0"/>
        <w:ind w:firstLine="420" w:firstLineChars="200"/>
        <w:rPr>
          <w:rFonts w:hAnsi="宋体"/>
          <w:sz w:val="21"/>
          <w:szCs w:val="21"/>
        </w:rPr>
      </w:pPr>
      <w:r>
        <w:rPr>
          <w:rFonts w:hAnsi="宋体"/>
          <w:sz w:val="21"/>
          <w:szCs w:val="21"/>
        </w:rPr>
        <w:t>甲方：</w:t>
      </w:r>
      <w:r>
        <w:rPr>
          <w:rFonts w:hint="eastAsia" w:hAnsi="宋体"/>
          <w:sz w:val="21"/>
          <w:szCs w:val="21"/>
        </w:rPr>
        <w:t xml:space="preserve">  </w:t>
      </w:r>
      <w:r>
        <w:rPr>
          <w:rFonts w:hAnsi="宋体"/>
          <w:sz w:val="21"/>
          <w:szCs w:val="21"/>
        </w:rPr>
        <w:t xml:space="preserve">                                 乙方： </w:t>
      </w:r>
    </w:p>
    <w:p>
      <w:pPr>
        <w:pStyle w:val="12"/>
        <w:snapToGrid w:val="0"/>
        <w:spacing w:before="0" w:beforeLines="0" w:after="0" w:afterLines="0"/>
        <w:ind w:firstLine="420" w:firstLineChars="200"/>
        <w:rPr>
          <w:rFonts w:hAnsi="宋体"/>
          <w:sz w:val="21"/>
          <w:szCs w:val="21"/>
        </w:rPr>
      </w:pPr>
      <w:r>
        <w:rPr>
          <w:rFonts w:hAnsi="宋体"/>
          <w:sz w:val="21"/>
          <w:szCs w:val="21"/>
        </w:rPr>
        <w:t xml:space="preserve">地址：                                   地址： </w:t>
      </w:r>
    </w:p>
    <w:p>
      <w:pPr>
        <w:pStyle w:val="12"/>
        <w:snapToGrid w:val="0"/>
        <w:spacing w:before="0" w:beforeLines="0" w:after="0" w:afterLines="0"/>
        <w:ind w:firstLine="420" w:firstLineChars="200"/>
        <w:rPr>
          <w:rFonts w:hAnsi="宋体"/>
          <w:sz w:val="21"/>
          <w:szCs w:val="21"/>
        </w:rPr>
      </w:pPr>
      <w:r>
        <w:rPr>
          <w:rFonts w:hAnsi="宋体"/>
          <w:sz w:val="21"/>
          <w:szCs w:val="21"/>
        </w:rPr>
        <w:t>法定</w:t>
      </w:r>
      <w:r>
        <w:rPr>
          <w:rFonts w:hint="eastAsia" w:hAnsi="宋体"/>
          <w:sz w:val="21"/>
          <w:szCs w:val="21"/>
        </w:rPr>
        <w:t>（授权）</w:t>
      </w:r>
      <w:r>
        <w:rPr>
          <w:rFonts w:hAnsi="宋体"/>
          <w:sz w:val="21"/>
          <w:szCs w:val="21"/>
        </w:rPr>
        <w:t>代表人：                     法定</w:t>
      </w:r>
      <w:r>
        <w:rPr>
          <w:rFonts w:hint="eastAsia" w:hAnsi="宋体"/>
          <w:sz w:val="21"/>
          <w:szCs w:val="21"/>
        </w:rPr>
        <w:t>（授权）</w:t>
      </w:r>
      <w:r>
        <w:rPr>
          <w:rFonts w:hAnsi="宋体"/>
          <w:sz w:val="21"/>
          <w:szCs w:val="21"/>
        </w:rPr>
        <w:t>代表人：</w:t>
      </w:r>
    </w:p>
    <w:p>
      <w:pPr>
        <w:pStyle w:val="12"/>
        <w:snapToGrid w:val="0"/>
        <w:spacing w:before="0" w:beforeLines="0" w:after="0" w:afterLines="0"/>
        <w:ind w:firstLine="420" w:firstLineChars="200"/>
        <w:rPr>
          <w:rFonts w:hint="eastAsia" w:hAnsi="宋体"/>
          <w:sz w:val="21"/>
          <w:szCs w:val="21"/>
        </w:rPr>
      </w:pPr>
      <w:r>
        <w:rPr>
          <w:rFonts w:hAnsi="宋体"/>
          <w:sz w:val="21"/>
          <w:szCs w:val="21"/>
        </w:rPr>
        <w:t>签</w:t>
      </w:r>
      <w:r>
        <w:rPr>
          <w:rFonts w:hint="eastAsia" w:hAnsi="宋体"/>
          <w:sz w:val="21"/>
          <w:szCs w:val="21"/>
        </w:rPr>
        <w:t>字日期</w:t>
      </w:r>
      <w:r>
        <w:rPr>
          <w:rFonts w:hAnsi="宋体"/>
          <w:sz w:val="21"/>
          <w:szCs w:val="21"/>
        </w:rPr>
        <w:t xml:space="preserve">：      年  月  日  </w:t>
      </w:r>
      <w:r>
        <w:rPr>
          <w:rFonts w:hint="eastAsia" w:hAnsi="宋体"/>
          <w:sz w:val="21"/>
          <w:szCs w:val="21"/>
        </w:rPr>
        <w:t xml:space="preserve">    </w:t>
      </w:r>
      <w:r>
        <w:rPr>
          <w:rFonts w:hAnsi="宋体"/>
          <w:sz w:val="21"/>
          <w:szCs w:val="21"/>
        </w:rPr>
        <w:t xml:space="preserve">     </w:t>
      </w:r>
      <w:r>
        <w:rPr>
          <w:rFonts w:hint="eastAsia" w:hAnsi="宋体"/>
          <w:sz w:val="21"/>
          <w:szCs w:val="21"/>
        </w:rPr>
        <w:t xml:space="preserve">    </w:t>
      </w:r>
      <w:r>
        <w:rPr>
          <w:rFonts w:hAnsi="宋体"/>
          <w:sz w:val="21"/>
          <w:szCs w:val="21"/>
        </w:rPr>
        <w:t>签</w:t>
      </w:r>
      <w:r>
        <w:rPr>
          <w:rFonts w:hint="eastAsia" w:hAnsi="宋体"/>
          <w:sz w:val="21"/>
          <w:szCs w:val="21"/>
        </w:rPr>
        <w:t>字</w:t>
      </w:r>
      <w:r>
        <w:rPr>
          <w:rFonts w:hAnsi="宋体"/>
          <w:sz w:val="21"/>
          <w:szCs w:val="21"/>
        </w:rPr>
        <w:t>日期：      年  月  日</w:t>
      </w:r>
    </w:p>
    <w:p>
      <w:pPr>
        <w:pStyle w:val="3"/>
        <w:ind w:left="0" w:leftChars="0" w:firstLine="0" w:firstLineChars="0"/>
        <w:rPr>
          <w:rFonts w:hint="eastAsia" w:ascii="宋体" w:hAnsi="宋体" w:cs="仿宋_GB2312"/>
          <w:color w:val="000000"/>
          <w:kern w:val="0"/>
          <w:szCs w:val="21"/>
        </w:rPr>
      </w:pPr>
    </w:p>
    <w:p>
      <w:pPr>
        <w:pStyle w:val="3"/>
        <w:rPr>
          <w:rFonts w:hint="eastAsia" w:ascii="宋体" w:hAnsi="宋体" w:cs="仿宋_GB2312"/>
          <w:color w:val="000000"/>
          <w:kern w:val="0"/>
          <w:szCs w:val="21"/>
        </w:rPr>
      </w:pPr>
    </w:p>
    <w:p>
      <w:pPr>
        <w:pStyle w:val="12"/>
        <w:snapToGrid w:val="0"/>
        <w:spacing w:beforeLines="0" w:afterLines="0"/>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合同见证方：</w:t>
      </w:r>
      <w:r>
        <w:rPr>
          <w:rFonts w:hint="eastAsia" w:asciiTheme="minorEastAsia" w:hAnsiTheme="minorEastAsia" w:eastAsiaTheme="minorEastAsia"/>
          <w:sz w:val="21"/>
          <w:szCs w:val="21"/>
          <w:lang w:eastAsia="zh-CN"/>
        </w:rPr>
        <w:t>宁海童氏工程管理咨询有限公司</w:t>
      </w:r>
    </w:p>
    <w:p>
      <w:pPr>
        <w:pStyle w:val="12"/>
        <w:snapToGrid w:val="0"/>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见证日期：     </w:t>
      </w:r>
      <w:r>
        <w:rPr>
          <w:rFonts w:asciiTheme="minorEastAsia" w:hAnsiTheme="minorEastAsia" w:eastAsiaTheme="minorEastAsia"/>
          <w:sz w:val="21"/>
          <w:szCs w:val="21"/>
        </w:rPr>
        <w:t xml:space="preserve">年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月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日</w:t>
      </w:r>
    </w:p>
    <w:p>
      <w:pPr>
        <w:pStyle w:val="3"/>
        <w:rPr>
          <w:rFonts w:hint="eastAsia" w:ascii="宋体" w:hAnsi="宋体" w:cs="仿宋_GB2312"/>
          <w:color w:val="000000"/>
          <w:kern w:val="0"/>
          <w:szCs w:val="21"/>
        </w:rPr>
        <w:sectPr>
          <w:footerReference r:id="rId4" w:type="default"/>
          <w:pgSz w:w="11907" w:h="16840"/>
          <w:pgMar w:top="854" w:right="1607" w:bottom="1138" w:left="1545" w:header="284" w:footer="989" w:gutter="0"/>
          <w:pgNumType w:fmt="decimal" w:start="1"/>
          <w:cols w:space="720" w:num="1"/>
          <w:docGrid w:linePitch="285" w:charSpace="0"/>
        </w:sectPr>
      </w:pPr>
    </w:p>
    <w:p>
      <w:pPr>
        <w:pStyle w:val="12"/>
        <w:snapToGrid w:val="0"/>
        <w:spacing w:beforeLines="0" w:afterLines="0"/>
        <w:rPr>
          <w:rFonts w:hAnsi="宋体"/>
          <w:sz w:val="21"/>
          <w:szCs w:val="21"/>
        </w:rPr>
      </w:pPr>
    </w:p>
    <w:p>
      <w:pPr>
        <w:widowControl/>
        <w:shd w:val="clear" w:color="auto" w:fill="FFFFFF"/>
        <w:spacing w:line="480" w:lineRule="exact"/>
        <w:jc w:val="left"/>
        <w:rPr>
          <w:rFonts w:ascii="宋体" w:hAnsi="宋体" w:cs="宋体"/>
          <w:kern w:val="0"/>
          <w:szCs w:val="21"/>
          <w:shd w:val="clear" w:color="auto" w:fill="FFFFFF"/>
        </w:rPr>
      </w:pPr>
    </w:p>
    <w:p>
      <w:pPr>
        <w:pStyle w:val="22"/>
        <w:widowControl w:val="0"/>
        <w:spacing w:before="0" w:beforeAutospacing="0" w:after="0" w:afterAutospacing="0" w:line="400" w:lineRule="exact"/>
        <w:jc w:val="center"/>
        <w:outlineLvl w:val="0"/>
        <w:rPr>
          <w:rFonts w:hint="eastAsia" w:ascii="宋体" w:hAnsi="宋体" w:cs="宋体"/>
          <w:b/>
          <w:color w:val="auto"/>
          <w:kern w:val="2"/>
          <w:sz w:val="21"/>
          <w:szCs w:val="21"/>
          <w:highlight w:val="none"/>
        </w:rPr>
      </w:pPr>
      <w:r>
        <w:rPr>
          <w:rFonts w:hint="eastAsia" w:ascii="宋体" w:hAnsi="宋体" w:cs="宋体"/>
          <w:b/>
          <w:color w:val="auto"/>
          <w:kern w:val="2"/>
          <w:sz w:val="32"/>
          <w:szCs w:val="32"/>
          <w:highlight w:val="none"/>
          <w:lang w:bidi="ar"/>
        </w:rPr>
        <w:t>第六章 投标文件格式</w:t>
      </w:r>
    </w:p>
    <w:p>
      <w:pPr>
        <w:snapToGrid w:val="0"/>
        <w:spacing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lang w:bidi="ar"/>
        </w:rPr>
        <w:t xml:space="preserve"> </w:t>
      </w:r>
    </w:p>
    <w:p>
      <w:pPr>
        <w:widowControl/>
        <w:numPr>
          <w:ilvl w:val="0"/>
          <w:numId w:val="22"/>
        </w:numPr>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资格文件、商务技术文件格式</w:t>
      </w:r>
    </w:p>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1.资格、商务技术文件的外包装封面格式：</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156" w:beforeLines="50" w:after="50"/>
        <w:ind w:firstLine="3675" w:firstLineChars="17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资格、商务技术文件</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项目名称：                        </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项目编号： </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标项号:</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供应商名称：</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供应商地址：</w:t>
      </w:r>
    </w:p>
    <w:p>
      <w:pPr>
        <w:snapToGrid w:val="0"/>
        <w:spacing w:before="50" w:after="50"/>
        <w:ind w:firstLine="932" w:firstLineChars="444"/>
        <w:jc w:val="center"/>
        <w:rPr>
          <w:rFonts w:hint="eastAsia" w:ascii="宋体" w:hAnsi="宋体" w:cs="宋体"/>
          <w:color w:val="auto"/>
          <w:szCs w:val="21"/>
          <w:highlight w:val="none"/>
        </w:rPr>
      </w:pPr>
      <w:r>
        <w:rPr>
          <w:rFonts w:hint="eastAsia" w:ascii="宋体" w:hAnsi="宋体" w:cs="宋体"/>
          <w:color w:val="auto"/>
          <w:szCs w:val="21"/>
          <w:highlight w:val="none"/>
          <w:lang w:bidi="ar"/>
        </w:rPr>
        <w:t>开标时启封</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（供应商公章）</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年  月  日</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2.资格、商务技术文件封面格式： </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正本/或副本</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156" w:beforeLines="50" w:after="50"/>
        <w:ind w:firstLine="3675" w:firstLineChars="175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 </w:t>
      </w:r>
    </w:p>
    <w:p>
      <w:pPr>
        <w:widowControl/>
        <w:snapToGrid w:val="0"/>
        <w:spacing w:before="156" w:beforeLines="50" w:after="50"/>
        <w:ind w:firstLine="3675" w:firstLineChars="17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资格、商务技术文件</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项目名称：                       </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项目编号： </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标项号:</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供应商名称：</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供应商地址：</w:t>
      </w:r>
    </w:p>
    <w:p>
      <w:pPr>
        <w:widowControl/>
        <w:spacing w:line="360" w:lineRule="auto"/>
        <w:ind w:firstLine="5355" w:firstLineChars="255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（供应商公章）  </w:t>
      </w:r>
    </w:p>
    <w:p>
      <w:pPr>
        <w:widowControl/>
        <w:spacing w:line="360" w:lineRule="auto"/>
        <w:ind w:firstLine="5565" w:firstLineChars="26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年  月  日</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br w:type="page"/>
      </w:r>
      <w:r>
        <w:rPr>
          <w:rFonts w:hint="eastAsia" w:ascii="宋体" w:hAnsi="宋体" w:cs="宋体"/>
          <w:color w:val="auto"/>
          <w:kern w:val="0"/>
          <w:szCs w:val="21"/>
          <w:highlight w:val="none"/>
          <w:lang w:bidi="ar"/>
        </w:rPr>
        <w:t>3.资格文件：</w:t>
      </w:r>
    </w:p>
    <w:p>
      <w:pPr>
        <w:widowControl/>
        <w:numPr>
          <w:ilvl w:val="0"/>
          <w:numId w:val="23"/>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供应商资格声明函（格式见附件）；</w:t>
      </w:r>
    </w:p>
    <w:p>
      <w:pPr>
        <w:widowControl/>
        <w:numPr>
          <w:ilvl w:val="0"/>
          <w:numId w:val="23"/>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有效的企业法人营业执照（或事业法人登记证）、其他组织（个体工商户）的营业执照或者民办非企业单位登记证书复印件；投标供应商如果有名称变更的，应提供由行政主管部门出具的变更证明文件。若以不具有独立承担民事责任能力的分支机构投标，须取得具有法人资格的总公司的授权书，并提供总公司营业执照副本复印件；</w:t>
      </w:r>
    </w:p>
    <w:p>
      <w:pPr>
        <w:widowControl/>
        <w:numPr>
          <w:ilvl w:val="0"/>
          <w:numId w:val="23"/>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供应商特定资格条件的证明文件：详见“第一章  公开招标公告 二、申请人的资格要求：3.本项目的特定资格要求”；</w:t>
      </w:r>
    </w:p>
    <w:p>
      <w:pPr>
        <w:widowControl/>
        <w:numPr>
          <w:ilvl w:val="0"/>
          <w:numId w:val="23"/>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招标文件要求的其他资格条件证明材料（如有）；</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br w:type="page"/>
      </w:r>
      <w:r>
        <w:rPr>
          <w:rFonts w:hint="eastAsia" w:ascii="宋体" w:hAnsi="宋体" w:cs="宋体"/>
          <w:b/>
          <w:color w:val="auto"/>
          <w:kern w:val="0"/>
          <w:szCs w:val="21"/>
          <w:highlight w:val="none"/>
          <w:lang w:bidi="ar"/>
        </w:rPr>
        <w:t>4.供应商资格声明函</w:t>
      </w:r>
    </w:p>
    <w:p>
      <w:pPr>
        <w:widowControl/>
        <w:jc w:val="center"/>
        <w:outlineLvl w:val="2"/>
        <w:rPr>
          <w:rFonts w:hint="eastAsia" w:ascii="宋体" w:hAnsi="宋体" w:cs="宋体"/>
          <w:b/>
          <w:color w:val="auto"/>
          <w:kern w:val="0"/>
          <w:sz w:val="28"/>
          <w:szCs w:val="28"/>
          <w:highlight w:val="none"/>
        </w:rPr>
      </w:pPr>
      <w:r>
        <w:rPr>
          <w:rFonts w:hint="eastAsia" w:ascii="宋体" w:hAnsi="宋体" w:cs="宋体"/>
          <w:b/>
          <w:color w:val="auto"/>
          <w:kern w:val="0"/>
          <w:sz w:val="28"/>
          <w:szCs w:val="28"/>
          <w:highlight w:val="none"/>
          <w:lang w:bidi="ar"/>
        </w:rPr>
        <w:t xml:space="preserve"> </w:t>
      </w:r>
    </w:p>
    <w:p>
      <w:pPr>
        <w:jc w:val="center"/>
        <w:rPr>
          <w:rFonts w:hint="eastAsia" w:ascii="宋体" w:hAnsi="宋体" w:cs="宋体"/>
          <w:b/>
          <w:color w:val="auto"/>
          <w:kern w:val="0"/>
          <w:sz w:val="28"/>
          <w:szCs w:val="28"/>
          <w:highlight w:val="none"/>
        </w:rPr>
      </w:pPr>
      <w:r>
        <w:rPr>
          <w:rFonts w:hint="eastAsia" w:ascii="宋体" w:hAnsi="宋体" w:cs="宋体"/>
          <w:b/>
          <w:color w:val="auto"/>
          <w:kern w:val="0"/>
          <w:sz w:val="28"/>
          <w:szCs w:val="28"/>
          <w:highlight w:val="none"/>
          <w:lang w:bidi="ar"/>
        </w:rPr>
        <w:t>供应商资格声明函</w:t>
      </w:r>
    </w:p>
    <w:p>
      <w:pPr>
        <w:widowControl/>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eastAsia="zh-CN" w:bidi="ar"/>
        </w:rPr>
        <w:t>宁海童氏工程管理咨询有限公司</w:t>
      </w:r>
      <w:r>
        <w:rPr>
          <w:rFonts w:hint="eastAsia" w:ascii="宋体" w:hAnsi="宋体" w:cs="宋体"/>
          <w:b/>
          <w:color w:val="auto"/>
          <w:kern w:val="0"/>
          <w:szCs w:val="21"/>
          <w:highlight w:val="none"/>
          <w:lang w:bidi="ar"/>
        </w:rPr>
        <w:t>：</w:t>
      </w:r>
    </w:p>
    <w:p>
      <w:pPr>
        <w:widowControl/>
        <w:snapToGrid w:val="0"/>
        <w:spacing w:before="156" w:beforeLines="50" w:line="360" w:lineRule="auto"/>
        <w:ind w:firstLine="424" w:firstLineChars="202"/>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关于贵司</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年</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月</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日发布</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28"/>
          <w:szCs w:val="21"/>
          <w:highlight w:val="none"/>
          <w:u w:val="single"/>
          <w:lang w:bidi="ar"/>
        </w:rPr>
        <w:t>XXXXXXXXXXXXXXXXXXXXXXXXXXXX</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项目（项目编号：   ）的公开招标公告，本公司（企业）愿意参加投标，并声明：</w:t>
      </w:r>
    </w:p>
    <w:p>
      <w:pPr>
        <w:widowControl/>
        <w:snapToGrid w:val="0"/>
        <w:spacing w:line="360" w:lineRule="auto"/>
        <w:ind w:firstLine="424" w:firstLineChars="202"/>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本公司（企业）具备《中华人民共和国政府采购法》第二十二条资格条件，并已清楚招标文件的要求及有关文件规定。</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本公司（企业）的法定代表人或单位负责人与所参投的本采购项目的其他供应商的法定代表人或单位负责人不为同一人且与其他供应商之间不存在直接控股、管理关系。</w:t>
      </w:r>
    </w:p>
    <w:p>
      <w:pPr>
        <w:widowControl/>
        <w:snapToGrid w:val="0"/>
        <w:spacing w:line="38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widowControl/>
        <w:snapToGrid w:val="0"/>
        <w:spacing w:line="360" w:lineRule="auto"/>
        <w:ind w:firstLine="426" w:firstLineChars="202"/>
        <w:jc w:val="left"/>
        <w:rPr>
          <w:rFonts w:hint="eastAsia" w:ascii="宋体" w:hAnsi="宋体" w:cs="宋体"/>
          <w:color w:val="auto"/>
          <w:kern w:val="0"/>
          <w:szCs w:val="21"/>
          <w:highlight w:val="none"/>
        </w:rPr>
      </w:pPr>
      <w:r>
        <w:rPr>
          <w:rFonts w:hint="eastAsia" w:ascii="宋体" w:hAnsi="宋体" w:cs="宋体"/>
          <w:b/>
          <w:color w:val="auto"/>
          <w:kern w:val="0"/>
          <w:szCs w:val="21"/>
          <w:highlight w:val="none"/>
          <w:lang w:bidi="ar"/>
        </w:rPr>
        <w:t>本公司（企业）具有履行合同所必需的设备和专业技术能力，且本公司（企业）参加政府采购活动前3年内在经营活动中没有重大违法记录。</w:t>
      </w:r>
      <w:r>
        <w:rPr>
          <w:rFonts w:hint="eastAsia" w:ascii="宋体" w:hAnsi="宋体" w:cs="宋体"/>
          <w:color w:val="auto"/>
          <w:kern w:val="0"/>
          <w:szCs w:val="21"/>
          <w:highlight w:val="none"/>
          <w:lang w:bidi="ar"/>
        </w:rPr>
        <w:t>否则，由此所造成的损失、不良后果及法律责任，一律由我公司（企业）承担。</w:t>
      </w:r>
    </w:p>
    <w:p>
      <w:pPr>
        <w:widowControl/>
        <w:snapToGrid w:val="0"/>
        <w:spacing w:line="360" w:lineRule="auto"/>
        <w:ind w:firstLine="426" w:firstLineChars="202"/>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本公司（企业）未被列入</w:t>
      </w:r>
      <w:r>
        <w:rPr>
          <w:rFonts w:hint="eastAsia" w:ascii="宋体" w:hAnsi="宋体"/>
          <w:b/>
          <w:color w:val="auto"/>
          <w:kern w:val="0"/>
          <w:szCs w:val="21"/>
          <w:highlight w:val="none"/>
          <w:lang w:bidi="ar"/>
        </w:rPr>
        <w:t>“信用中国”网站(www.creditchina.gov.cn)“失信被执行人或重大税收违法案件当事人名单或政府采购严重违法失信行为”记录名单；不处于中国政府采购网(www.ccgp.gov.cn)“政府采购严重违法失信行为信息记录”</w:t>
      </w:r>
      <w:r>
        <w:rPr>
          <w:rFonts w:hint="eastAsia" w:ascii="宋体" w:hAnsi="宋体" w:cs="宋体"/>
          <w:b/>
          <w:color w:val="auto"/>
          <w:kern w:val="0"/>
          <w:szCs w:val="21"/>
          <w:highlight w:val="none"/>
          <w:lang w:bidi="ar"/>
        </w:rPr>
        <w:t>中的禁止参加政府采购活动期间；未在中国裁判文书网有行贿犯罪相关记录。否则，由此所造成的损失、不良后果及法律责任，一律由我公司（企业）承担。</w:t>
      </w:r>
    </w:p>
    <w:p>
      <w:pPr>
        <w:widowControl/>
        <w:snapToGrid w:val="0"/>
        <w:spacing w:line="360" w:lineRule="auto"/>
        <w:ind w:firstLine="424" w:firstLineChars="202"/>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本次招标采购活动中，如有违法、违规、弄虚作假行为，所造成的损失、不良后果及法律责任，一律由我公司（企业）承担。</w:t>
      </w:r>
    </w:p>
    <w:p>
      <w:pPr>
        <w:widowControl/>
        <w:spacing w:line="360" w:lineRule="auto"/>
        <w:ind w:firstLine="420"/>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特此声明！</w:t>
      </w:r>
    </w:p>
    <w:p>
      <w:pPr>
        <w:widowControl/>
        <w:adjustRightInd w:val="0"/>
        <w:snapToGrid w:val="0"/>
        <w:spacing w:line="360" w:lineRule="auto"/>
        <w:ind w:left="425"/>
        <w:jc w:val="left"/>
        <w:rPr>
          <w:rFonts w:hint="eastAsia" w:ascii="宋体" w:hAnsi="宋体" w:cs="宋体"/>
          <w:color w:val="auto"/>
          <w:spacing w:val="4"/>
          <w:kern w:val="0"/>
          <w:szCs w:val="21"/>
          <w:highlight w:val="none"/>
        </w:rPr>
      </w:pPr>
      <w:r>
        <w:rPr>
          <w:rFonts w:hint="eastAsia" w:ascii="宋体" w:hAnsi="宋体" w:cs="宋体"/>
          <w:color w:val="auto"/>
          <w:spacing w:val="4"/>
          <w:kern w:val="0"/>
          <w:szCs w:val="21"/>
          <w:highlight w:val="none"/>
          <w:lang w:bidi="ar"/>
        </w:rPr>
        <w:t xml:space="preserve"> </w:t>
      </w:r>
    </w:p>
    <w:p>
      <w:pPr>
        <w:widowControl/>
        <w:spacing w:line="360" w:lineRule="auto"/>
        <w:ind w:right="420" w:firstLine="3150" w:firstLineChars="15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法定代表人或授权代表（签名或盖章）：     </w:t>
      </w:r>
    </w:p>
    <w:p>
      <w:pPr>
        <w:widowControl/>
        <w:spacing w:line="360" w:lineRule="auto"/>
        <w:ind w:right="420" w:firstLine="3150" w:firstLineChars="15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供应商公章：                               </w:t>
      </w:r>
    </w:p>
    <w:p>
      <w:pPr>
        <w:widowControl/>
        <w:spacing w:line="360" w:lineRule="auto"/>
        <w:ind w:right="420" w:firstLine="3045" w:firstLineChars="14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年    月    日</w:t>
      </w:r>
    </w:p>
    <w:p>
      <w:pPr>
        <w:widowControl/>
        <w:jc w:val="left"/>
        <w:rPr>
          <w:rFonts w:hint="eastAsia" w:ascii="宋体" w:hAnsi="宋体" w:cs="宋体"/>
          <w:b/>
          <w:color w:val="auto"/>
          <w:kern w:val="0"/>
          <w:szCs w:val="21"/>
          <w:highlight w:val="none"/>
          <w:lang w:bidi="ar"/>
        </w:rPr>
      </w:pPr>
      <w:r>
        <w:rPr>
          <w:rFonts w:hint="eastAsia" w:ascii="宋体" w:hAnsi="宋体" w:cs="宋体"/>
          <w:b/>
          <w:color w:val="auto"/>
          <w:kern w:val="0"/>
          <w:szCs w:val="21"/>
          <w:highlight w:val="none"/>
          <w:lang w:bidi="ar"/>
        </w:rPr>
        <w:br w:type="page"/>
      </w:r>
    </w:p>
    <w:p>
      <w:pPr>
        <w:widowControl/>
        <w:jc w:val="left"/>
        <w:rPr>
          <w:rFonts w:hint="eastAsia" w:ascii="宋体" w:hAnsi="宋体" w:cs="宋体"/>
          <w:color w:val="auto"/>
          <w:kern w:val="0"/>
          <w:szCs w:val="21"/>
          <w:highlight w:val="none"/>
        </w:rPr>
      </w:pPr>
      <w:r>
        <w:rPr>
          <w:rFonts w:hint="eastAsia" w:ascii="宋体" w:hAnsi="宋体" w:cs="宋体"/>
          <w:b/>
          <w:color w:val="auto"/>
          <w:kern w:val="0"/>
          <w:szCs w:val="21"/>
          <w:highlight w:val="none"/>
          <w:lang w:bidi="ar"/>
        </w:rPr>
        <w:t>5.</w:t>
      </w:r>
      <w:r>
        <w:rPr>
          <w:rFonts w:hint="eastAsia" w:ascii="宋体" w:hAnsi="宋体" w:cs="宋体"/>
          <w:color w:val="auto"/>
          <w:kern w:val="0"/>
          <w:szCs w:val="21"/>
          <w:highlight w:val="none"/>
          <w:lang w:bidi="ar"/>
        </w:rPr>
        <w:t>有效的企业法人营业执照（或事业法人登记证）、其他组织（个体工商户）的营业执照或者民办非企业单位登记证书复印件；投标供应商如果有名称变更的，应提供由行政主管部门出具的变更证明文件。若以不具有独立承担民事责任能力的分支机构投标，须取得具有法人资格的总公司的授权书，并提供总公司营业执照副本复印件；</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pacing w:line="480" w:lineRule="exact"/>
        <w:rPr>
          <w:rFonts w:hint="eastAsia" w:ascii="宋体" w:hAnsi="宋体" w:cs="宋体"/>
          <w:b/>
          <w:color w:val="auto"/>
          <w:kern w:val="0"/>
          <w:szCs w:val="21"/>
          <w:highlight w:val="none"/>
        </w:rPr>
      </w:pPr>
      <w:r>
        <w:rPr>
          <w:rFonts w:hint="eastAsia" w:ascii="宋体" w:hAnsi="宋体" w:cs="宋体"/>
          <w:color w:val="auto"/>
          <w:kern w:val="0"/>
          <w:szCs w:val="21"/>
          <w:highlight w:val="none"/>
          <w:lang w:bidi="ar"/>
        </w:rPr>
        <w:br w:type="page"/>
      </w:r>
      <w:r>
        <w:rPr>
          <w:rFonts w:hint="eastAsia" w:ascii="宋体" w:hAnsi="宋体" w:cs="宋体"/>
          <w:color w:val="auto"/>
          <w:kern w:val="0"/>
          <w:szCs w:val="21"/>
          <w:highlight w:val="none"/>
          <w:lang w:bidi="ar"/>
        </w:rPr>
        <w:t>6</w:t>
      </w:r>
      <w:r>
        <w:rPr>
          <w:rFonts w:hint="eastAsia" w:ascii="宋体" w:hAnsi="宋体" w:cs="宋体"/>
          <w:b/>
          <w:color w:val="auto"/>
          <w:kern w:val="0"/>
          <w:szCs w:val="21"/>
          <w:highlight w:val="none"/>
          <w:lang w:bidi="ar"/>
        </w:rPr>
        <w:t>.供应商的特定条件的证明文件：</w:t>
      </w:r>
      <w:r>
        <w:rPr>
          <w:rFonts w:hint="eastAsia" w:ascii="宋体" w:hAnsi="宋体" w:cs="宋体"/>
          <w:color w:val="auto"/>
          <w:kern w:val="0"/>
          <w:szCs w:val="21"/>
          <w:highlight w:val="none"/>
          <w:lang w:bidi="ar"/>
        </w:rPr>
        <w:t>详见“第一章  公开招标公告 二、申请人的资格要求：3.本项目的特定资格要求”；</w:t>
      </w:r>
    </w:p>
    <w:p>
      <w:pPr>
        <w:widowControl/>
        <w:snapToGrid w:val="0"/>
        <w:spacing w:before="50" w:after="156" w:afterLines="50"/>
        <w:jc w:val="left"/>
        <w:rPr>
          <w:rFonts w:hint="eastAsia" w:ascii="宋体" w:hAnsi="宋体" w:cs="宋体"/>
          <w:b/>
          <w:color w:val="auto"/>
          <w:kern w:val="0"/>
          <w:sz w:val="24"/>
          <w:highlight w:val="none"/>
        </w:rPr>
      </w:pPr>
      <w:r>
        <w:rPr>
          <w:rFonts w:hint="eastAsia" w:ascii="宋体" w:hAnsi="宋体" w:cs="宋体"/>
          <w:b/>
          <w:color w:val="auto"/>
          <w:kern w:val="0"/>
          <w:sz w:val="24"/>
          <w:highlight w:val="none"/>
          <w:lang w:bidi="ar"/>
        </w:rPr>
        <w:t xml:space="preserve"> </w:t>
      </w:r>
    </w:p>
    <w:p>
      <w:pPr>
        <w:widowControl/>
        <w:spacing w:line="400" w:lineRule="exact"/>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pacing w:line="400" w:lineRule="exact"/>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pacing w:line="400" w:lineRule="exact"/>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pacing w:line="400" w:lineRule="exact"/>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pacing w:line="400" w:lineRule="exact"/>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pacing w:line="500" w:lineRule="exact"/>
        <w:jc w:val="left"/>
        <w:rPr>
          <w:rFonts w:hint="eastAsia" w:ascii="宋体" w:hAnsi="宋体" w:cs="宋体"/>
          <w:color w:val="auto"/>
          <w:kern w:val="0"/>
          <w:szCs w:val="21"/>
          <w:highlight w:val="none"/>
        </w:rPr>
      </w:pPr>
      <w:r>
        <w:rPr>
          <w:rFonts w:hint="eastAsia" w:ascii="宋体" w:hAnsi="宋体" w:cs="宋体"/>
          <w:b/>
          <w:color w:val="auto"/>
          <w:kern w:val="0"/>
          <w:szCs w:val="21"/>
          <w:highlight w:val="none"/>
          <w:lang w:bidi="ar"/>
        </w:rPr>
        <w:t>7.招标文件要求的其他资格条件证明材料（如有）；</w:t>
      </w:r>
    </w:p>
    <w:p>
      <w:pPr>
        <w:widowControl/>
        <w:spacing w:line="50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pacing w:line="50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br w:type="page"/>
      </w:r>
      <w:r>
        <w:rPr>
          <w:rFonts w:hint="eastAsia" w:ascii="宋体" w:hAnsi="宋体" w:cs="宋体"/>
          <w:color w:val="auto"/>
          <w:kern w:val="0"/>
          <w:szCs w:val="21"/>
          <w:highlight w:val="none"/>
          <w:lang w:bidi="ar"/>
        </w:rPr>
        <w:t>8.</w:t>
      </w:r>
      <w:r>
        <w:rPr>
          <w:rFonts w:hint="eastAsia" w:ascii="宋体" w:hAnsi="宋体" w:cs="宋体"/>
          <w:b/>
          <w:color w:val="auto"/>
          <w:kern w:val="0"/>
          <w:szCs w:val="21"/>
          <w:highlight w:val="none"/>
          <w:lang w:bidi="ar"/>
        </w:rPr>
        <w:t xml:space="preserve"> 商务技术文件目录</w:t>
      </w:r>
    </w:p>
    <w:p>
      <w:pPr>
        <w:widowControl/>
        <w:numPr>
          <w:ilvl w:val="0"/>
          <w:numId w:val="24"/>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符合性自查表（格式见附件）；</w:t>
      </w:r>
    </w:p>
    <w:p>
      <w:pPr>
        <w:widowControl/>
        <w:numPr>
          <w:ilvl w:val="0"/>
          <w:numId w:val="24"/>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供应商响应表（格式见附件）；</w:t>
      </w:r>
    </w:p>
    <w:p>
      <w:pPr>
        <w:widowControl/>
        <w:numPr>
          <w:ilvl w:val="0"/>
          <w:numId w:val="24"/>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技术部分：针对本项目第二章采购需求及第四章评分标准中的条款拟定各种方案，格式自拟；</w:t>
      </w:r>
    </w:p>
    <w:p>
      <w:pPr>
        <w:widowControl/>
        <w:numPr>
          <w:ilvl w:val="0"/>
          <w:numId w:val="24"/>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投标函（格式见附件）；</w:t>
      </w:r>
    </w:p>
    <w:p>
      <w:pPr>
        <w:widowControl/>
        <w:numPr>
          <w:ilvl w:val="0"/>
          <w:numId w:val="24"/>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法定代表人身份证明或法定代表人授权委托书（格式见附件）；</w:t>
      </w:r>
    </w:p>
    <w:p>
      <w:pPr>
        <w:widowControl/>
        <w:numPr>
          <w:ilvl w:val="0"/>
          <w:numId w:val="24"/>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技术（服务）条款偏离表（格式见附件）；</w:t>
      </w:r>
      <w:r>
        <w:rPr>
          <w:rFonts w:hint="eastAsia" w:ascii="宋体" w:hAnsi="宋体" w:cs="宋体"/>
          <w:color w:val="auto"/>
          <w:kern w:val="0"/>
          <w:szCs w:val="21"/>
          <w:highlight w:val="none"/>
          <w:lang w:bidi="ar"/>
        </w:rPr>
        <w:tab/>
      </w:r>
    </w:p>
    <w:p>
      <w:pPr>
        <w:widowControl/>
        <w:numPr>
          <w:ilvl w:val="0"/>
          <w:numId w:val="24"/>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商务条款偏离表（格式见附件）；</w:t>
      </w:r>
    </w:p>
    <w:p>
      <w:pPr>
        <w:widowControl/>
        <w:numPr>
          <w:ilvl w:val="0"/>
          <w:numId w:val="24"/>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供应商情况一览表（格式见附件）；</w:t>
      </w:r>
    </w:p>
    <w:p>
      <w:pPr>
        <w:widowControl/>
        <w:numPr>
          <w:ilvl w:val="0"/>
          <w:numId w:val="24"/>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企业业绩表（格式见附件）；</w:t>
      </w:r>
    </w:p>
    <w:p>
      <w:pPr>
        <w:widowControl/>
        <w:numPr>
          <w:ilvl w:val="0"/>
          <w:numId w:val="24"/>
        </w:numPr>
        <w:snapToGrid w:val="0"/>
        <w:spacing w:line="360" w:lineRule="auto"/>
        <w:ind w:left="210" w:leftChars="1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第四章评标办法及评分标准中需提供的其他相关资质证书及合同复印件加盖公章；</w:t>
      </w:r>
    </w:p>
    <w:p>
      <w:pPr>
        <w:widowControl/>
        <w:numPr>
          <w:ilvl w:val="0"/>
          <w:numId w:val="24"/>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bidi="ar"/>
        </w:rPr>
        <w:t>承诺函（格式见附件）；</w:t>
      </w:r>
    </w:p>
    <w:p>
      <w:pPr>
        <w:widowControl/>
        <w:numPr>
          <w:ilvl w:val="0"/>
          <w:numId w:val="24"/>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供应商认为有需要提供的其它证明资料。</w:t>
      </w:r>
    </w:p>
    <w:p>
      <w:pPr>
        <w:widowControl/>
        <w:ind w:firstLine="105" w:firstLineChars="50"/>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br w:type="page"/>
      </w:r>
      <w:r>
        <w:rPr>
          <w:rFonts w:hint="eastAsia" w:ascii="宋体" w:hAnsi="宋体" w:cs="宋体"/>
          <w:b/>
          <w:color w:val="auto"/>
          <w:kern w:val="0"/>
          <w:szCs w:val="21"/>
          <w:highlight w:val="none"/>
          <w:lang w:bidi="ar"/>
        </w:rPr>
        <w:t>9.符合性自查表</w:t>
      </w:r>
    </w:p>
    <w:p>
      <w:pPr>
        <w:widowControl/>
        <w:adjustRightInd w:val="0"/>
        <w:snapToGrid w:val="0"/>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lang w:bidi="ar"/>
        </w:rPr>
        <w:t xml:space="preserve"> </w:t>
      </w:r>
    </w:p>
    <w:p>
      <w:pPr>
        <w:widowControl/>
        <w:snapToGrid w:val="0"/>
        <w:spacing w:before="156" w:beforeLines="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符合性自查表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99"/>
        <w:gridCol w:w="12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4"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autoSpaceDE w:val="0"/>
              <w:spacing w:line="32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评审内容</w:t>
            </w:r>
          </w:p>
        </w:tc>
        <w:tc>
          <w:tcPr>
            <w:tcW w:w="3499" w:type="dxa"/>
            <w:tcBorders>
              <w:top w:val="single" w:color="auto" w:sz="4" w:space="0"/>
              <w:left w:val="nil"/>
              <w:bottom w:val="single" w:color="auto" w:sz="4" w:space="0"/>
              <w:right w:val="single" w:color="auto" w:sz="4" w:space="0"/>
            </w:tcBorders>
            <w:noWrap w:val="0"/>
            <w:vAlign w:val="center"/>
          </w:tcPr>
          <w:p>
            <w:pPr>
              <w:autoSpaceDE w:val="0"/>
              <w:spacing w:line="32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招标文件要求</w:t>
            </w:r>
          </w:p>
        </w:tc>
        <w:tc>
          <w:tcPr>
            <w:tcW w:w="1240" w:type="dxa"/>
            <w:tcBorders>
              <w:top w:val="single" w:color="auto" w:sz="4" w:space="0"/>
              <w:left w:val="nil"/>
              <w:bottom w:val="single" w:color="auto" w:sz="4" w:space="0"/>
              <w:right w:val="single" w:color="auto" w:sz="4" w:space="0"/>
            </w:tcBorders>
            <w:noWrap w:val="0"/>
            <w:vAlign w:val="center"/>
          </w:tcPr>
          <w:p>
            <w:pPr>
              <w:autoSpaceDE w:val="0"/>
              <w:spacing w:line="32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自查结论</w:t>
            </w:r>
          </w:p>
        </w:tc>
        <w:tc>
          <w:tcPr>
            <w:tcW w:w="2550" w:type="dxa"/>
            <w:tcBorders>
              <w:top w:val="single" w:color="auto" w:sz="4" w:space="0"/>
              <w:left w:val="nil"/>
              <w:bottom w:val="single" w:color="auto" w:sz="4" w:space="0"/>
              <w:right w:val="single" w:color="auto" w:sz="4" w:space="0"/>
            </w:tcBorders>
            <w:noWrap w:val="0"/>
            <w:vAlign w:val="center"/>
          </w:tcPr>
          <w:p>
            <w:pPr>
              <w:autoSpaceDE w:val="0"/>
              <w:spacing w:line="32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restart"/>
            <w:tcBorders>
              <w:top w:val="nil"/>
              <w:left w:val="single" w:color="auto" w:sz="4" w:space="0"/>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符合性审</w:t>
            </w:r>
          </w:p>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查（商务技术文件）</w:t>
            </w:r>
          </w:p>
        </w:tc>
        <w:tc>
          <w:tcPr>
            <w:tcW w:w="3499"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（一）投标函已提交并符合招标文件要求；</w:t>
            </w:r>
          </w:p>
        </w:tc>
        <w:tc>
          <w:tcPr>
            <w:tcW w:w="124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□通过 </w:t>
            </w:r>
          </w:p>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□不通过</w:t>
            </w:r>
          </w:p>
        </w:tc>
        <w:tc>
          <w:tcPr>
            <w:tcW w:w="255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40"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3499"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（二）按照招标文件规定要求签署或盖章；</w:t>
            </w:r>
          </w:p>
        </w:tc>
        <w:tc>
          <w:tcPr>
            <w:tcW w:w="124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□通过 </w:t>
            </w:r>
          </w:p>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□不通过</w:t>
            </w:r>
          </w:p>
        </w:tc>
        <w:tc>
          <w:tcPr>
            <w:tcW w:w="255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470"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3499"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（三）投标文件有法定代表人签署本人姓名（或印盖本人姓名章），或签署人提供有效的法定代表人授权委托书且授权委托书填写项目齐全的；</w:t>
            </w:r>
          </w:p>
        </w:tc>
        <w:tc>
          <w:tcPr>
            <w:tcW w:w="124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□通过 </w:t>
            </w:r>
          </w:p>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□不通过</w:t>
            </w:r>
          </w:p>
        </w:tc>
        <w:tc>
          <w:tcPr>
            <w:tcW w:w="255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3499"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（四）投标文件项目齐全；</w:t>
            </w:r>
          </w:p>
        </w:tc>
        <w:tc>
          <w:tcPr>
            <w:tcW w:w="124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□通过 </w:t>
            </w:r>
          </w:p>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□不通过</w:t>
            </w:r>
          </w:p>
        </w:tc>
        <w:tc>
          <w:tcPr>
            <w:tcW w:w="255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3499"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（五）投标文件标明的响应或偏离与事实相符且无虚假投标的；</w:t>
            </w:r>
          </w:p>
        </w:tc>
        <w:tc>
          <w:tcPr>
            <w:tcW w:w="124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□通过 </w:t>
            </w:r>
          </w:p>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□不通过</w:t>
            </w:r>
          </w:p>
        </w:tc>
        <w:tc>
          <w:tcPr>
            <w:tcW w:w="255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94"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3499"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（六）投标文件的实质性内容使用中文表述且意思表述明确，前后无矛盾且使用计量单位符合招标文件要求的；</w:t>
            </w:r>
          </w:p>
        </w:tc>
        <w:tc>
          <w:tcPr>
            <w:tcW w:w="124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□通过 </w:t>
            </w:r>
          </w:p>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□不通过</w:t>
            </w:r>
          </w:p>
        </w:tc>
        <w:tc>
          <w:tcPr>
            <w:tcW w:w="255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05"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3499"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（七）带“★”的条款满足招标文件要求、已实质性响应招标文件要求且投标文件无采购人不能接受的附加条件的；</w:t>
            </w:r>
          </w:p>
        </w:tc>
        <w:tc>
          <w:tcPr>
            <w:tcW w:w="124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□通过 </w:t>
            </w:r>
          </w:p>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□不通过</w:t>
            </w:r>
          </w:p>
        </w:tc>
        <w:tc>
          <w:tcPr>
            <w:tcW w:w="255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05"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3499"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（八）允许偏离的技术、性能指标或者辅助功能项目发生负偏离未达10项（含）以上的；</w:t>
            </w:r>
          </w:p>
        </w:tc>
        <w:tc>
          <w:tcPr>
            <w:tcW w:w="124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□通过 </w:t>
            </w:r>
          </w:p>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□不通过</w:t>
            </w:r>
          </w:p>
        </w:tc>
        <w:tc>
          <w:tcPr>
            <w:tcW w:w="255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3499"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（九）投标技术方案明确，不存在一个或一个以上备选（替代）投标人案的；</w:t>
            </w:r>
          </w:p>
        </w:tc>
        <w:tc>
          <w:tcPr>
            <w:tcW w:w="124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ascii="宋体" w:hAnsi="宋体" w:cs="宋体"/>
                <w:color w:val="auto"/>
                <w:kern w:val="0"/>
                <w:szCs w:val="21"/>
                <w:highlight w:val="none"/>
                <w:lang w:bidi="ar"/>
              </w:rPr>
              <w:t>R</w:t>
            </w:r>
            <w:r>
              <w:rPr>
                <w:rFonts w:hint="eastAsia" w:ascii="宋体" w:hAnsi="宋体" w:cs="宋体"/>
                <w:color w:val="auto"/>
                <w:kern w:val="0"/>
                <w:szCs w:val="21"/>
                <w:highlight w:val="none"/>
                <w:lang w:bidi="ar"/>
              </w:rPr>
              <w:t xml:space="preserve">通过 </w:t>
            </w:r>
          </w:p>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□不通过</w:t>
            </w:r>
          </w:p>
        </w:tc>
        <w:tc>
          <w:tcPr>
            <w:tcW w:w="255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3499"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（十）商务技术文件中未出现报价或单价的；</w:t>
            </w:r>
          </w:p>
        </w:tc>
        <w:tc>
          <w:tcPr>
            <w:tcW w:w="124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□通过 </w:t>
            </w:r>
          </w:p>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□不通过</w:t>
            </w:r>
          </w:p>
        </w:tc>
        <w:tc>
          <w:tcPr>
            <w:tcW w:w="255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3499"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（十一）不存在法律、法规和招标文件规定的其他无效情形；</w:t>
            </w:r>
          </w:p>
        </w:tc>
        <w:tc>
          <w:tcPr>
            <w:tcW w:w="124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□通过 </w:t>
            </w:r>
          </w:p>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□不通过</w:t>
            </w:r>
          </w:p>
        </w:tc>
        <w:tc>
          <w:tcPr>
            <w:tcW w:w="255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rPr>
                <w:color w:val="auto"/>
                <w:sz w:val="20"/>
                <w:szCs w:val="20"/>
                <w:highlight w:val="none"/>
              </w:rPr>
            </w:pPr>
          </w:p>
        </w:tc>
        <w:tc>
          <w:tcPr>
            <w:tcW w:w="3499"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（十二）不存在投标文件的有效期不满足招标文件要求情形；</w:t>
            </w:r>
          </w:p>
        </w:tc>
        <w:tc>
          <w:tcPr>
            <w:tcW w:w="124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□通过 </w:t>
            </w:r>
          </w:p>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□不通过</w:t>
            </w:r>
          </w:p>
        </w:tc>
        <w:tc>
          <w:tcPr>
            <w:tcW w:w="2550" w:type="dxa"/>
            <w:tcBorders>
              <w:top w:val="single" w:color="auto" w:sz="4" w:space="0"/>
              <w:left w:val="nil"/>
              <w:bottom w:val="single" w:color="auto" w:sz="4" w:space="0"/>
              <w:right w:val="single" w:color="auto" w:sz="4" w:space="0"/>
            </w:tcBorders>
            <w:noWrap w:val="0"/>
            <w:vAlign w:val="center"/>
          </w:tcPr>
          <w:p>
            <w:pPr>
              <w:autoSpaceDE w:val="0"/>
              <w:spacing w:line="32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）页</w:t>
            </w:r>
          </w:p>
        </w:tc>
      </w:tr>
    </w:tbl>
    <w:p>
      <w:pPr>
        <w:widowControl/>
        <w:adjustRightInd w:val="0"/>
        <w:snapToGrid w:val="0"/>
        <w:spacing w:line="440" w:lineRule="exact"/>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备注：供应商自查表将作为供应商有效性审查的重要内容之一，供应商必须严格按照其内容及序列要求在投标文件中对应如实提供，对符合性证明文件的任何缺漏和不符合项将会直接导致投标无效！ </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jc w:val="left"/>
        <w:rPr>
          <w:rFonts w:hint="eastAsia" w:ascii="宋体" w:hAnsi="宋体" w:cs="宋体"/>
          <w:b/>
          <w:color w:val="auto"/>
          <w:kern w:val="0"/>
          <w:szCs w:val="21"/>
          <w:highlight w:val="none"/>
        </w:rPr>
      </w:pPr>
      <w:r>
        <w:rPr>
          <w:rFonts w:hint="eastAsia" w:ascii="宋体" w:hAnsi="宋体" w:cs="宋体"/>
          <w:color w:val="auto"/>
          <w:kern w:val="0"/>
          <w:szCs w:val="21"/>
          <w:highlight w:val="none"/>
          <w:lang w:bidi="ar"/>
        </w:rPr>
        <w:br w:type="page"/>
      </w:r>
      <w:r>
        <w:rPr>
          <w:rFonts w:hint="eastAsia" w:ascii="宋体" w:hAnsi="宋体" w:cs="宋体"/>
          <w:b/>
          <w:color w:val="auto"/>
          <w:kern w:val="0"/>
          <w:szCs w:val="21"/>
          <w:highlight w:val="none"/>
          <w:lang w:bidi="ar"/>
        </w:rPr>
        <w:t>10.供应商响应表：</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156" w:beforeLines="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供应商响应表</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招标项目编号                      标项号                 </w:t>
      </w:r>
    </w:p>
    <w:tbl>
      <w:tblPr>
        <w:tblStyle w:val="25"/>
        <w:tblW w:w="0" w:type="auto"/>
        <w:tblInd w:w="93" w:type="dxa"/>
        <w:tblLayout w:type="fixed"/>
        <w:tblCellMar>
          <w:top w:w="0" w:type="dxa"/>
          <w:left w:w="108" w:type="dxa"/>
          <w:bottom w:w="0" w:type="dxa"/>
          <w:right w:w="108" w:type="dxa"/>
        </w:tblCellMar>
      </w:tblPr>
      <w:tblGrid>
        <w:gridCol w:w="574"/>
        <w:gridCol w:w="4942"/>
        <w:gridCol w:w="1460"/>
        <w:gridCol w:w="1458"/>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序号</w:t>
            </w:r>
          </w:p>
        </w:tc>
        <w:tc>
          <w:tcPr>
            <w:tcW w:w="49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评审内容</w:t>
            </w: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证明文件</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自评分</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49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14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见（  ）页</w:t>
            </w:r>
          </w:p>
        </w:tc>
        <w:tc>
          <w:tcPr>
            <w:tcW w:w="145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49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14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见（  ）页</w:t>
            </w:r>
          </w:p>
        </w:tc>
        <w:tc>
          <w:tcPr>
            <w:tcW w:w="145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49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14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见（  ）页</w:t>
            </w:r>
          </w:p>
        </w:tc>
        <w:tc>
          <w:tcPr>
            <w:tcW w:w="145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49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14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见（  ）页</w:t>
            </w:r>
          </w:p>
        </w:tc>
        <w:tc>
          <w:tcPr>
            <w:tcW w:w="145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49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49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49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49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49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49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49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49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bl>
    <w:p>
      <w:pPr>
        <w:widowControl/>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注：1）根据评分标准中技术内容逐条填写，并针对客观分部分进行自评。</w:t>
      </w:r>
    </w:p>
    <w:p>
      <w:pPr>
        <w:widowControl/>
        <w:numPr>
          <w:ilvl w:val="0"/>
          <w:numId w:val="25"/>
        </w:numPr>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请将此表编制在目录页前。</w:t>
      </w:r>
    </w:p>
    <w:p>
      <w:pPr>
        <w:widowControl/>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ind w:firstLine="6090" w:firstLineChars="29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供应商名称（盖章）：</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ind w:firstLine="6090" w:firstLineChars="29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年  月  日</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50" w:after="50"/>
        <w:jc w:val="left"/>
        <w:rPr>
          <w:rFonts w:hint="eastAsia" w:ascii="宋体" w:hAnsi="宋体" w:cs="宋体"/>
          <w:b/>
          <w:color w:val="auto"/>
          <w:kern w:val="0"/>
          <w:szCs w:val="21"/>
          <w:highlight w:val="none"/>
        </w:rPr>
      </w:pPr>
      <w:r>
        <w:rPr>
          <w:rFonts w:hint="eastAsia" w:ascii="宋体" w:hAnsi="宋体" w:cs="宋体"/>
          <w:color w:val="auto"/>
          <w:kern w:val="0"/>
          <w:szCs w:val="21"/>
          <w:highlight w:val="none"/>
          <w:lang w:bidi="ar"/>
        </w:rPr>
        <w:br w:type="page"/>
      </w:r>
      <w:r>
        <w:rPr>
          <w:rFonts w:hint="eastAsia" w:ascii="宋体" w:hAnsi="宋体" w:cs="宋体"/>
          <w:b/>
          <w:color w:val="auto"/>
          <w:kern w:val="0"/>
          <w:szCs w:val="21"/>
          <w:highlight w:val="none"/>
          <w:lang w:bidi="ar"/>
        </w:rPr>
        <w:t>11.技术部分：针对本项目第二章采购需求及第四章评分标准中的条款拟定各种方案，格式自拟；</w:t>
      </w:r>
    </w:p>
    <w:p>
      <w:pPr>
        <w:widowControl/>
        <w:snapToGrid w:val="0"/>
        <w:spacing w:before="156" w:beforeLines="50" w:after="50"/>
        <w:jc w:val="left"/>
        <w:rPr>
          <w:rFonts w:hint="eastAsia" w:ascii="宋体" w:hAnsi="宋体" w:cs="宋体"/>
          <w:color w:val="auto"/>
          <w:kern w:val="0"/>
          <w:szCs w:val="21"/>
          <w:highlight w:val="none"/>
        </w:rPr>
      </w:pPr>
      <w:r>
        <w:rPr>
          <w:rFonts w:hint="eastAsia" w:ascii="宋体" w:hAnsi="宋体" w:cs="宋体"/>
          <w:b/>
          <w:color w:val="auto"/>
          <w:kern w:val="0"/>
          <w:szCs w:val="21"/>
          <w:highlight w:val="none"/>
          <w:lang w:bidi="ar"/>
        </w:rPr>
        <w:br w:type="page"/>
      </w:r>
      <w:r>
        <w:rPr>
          <w:rFonts w:hint="eastAsia" w:ascii="宋体" w:hAnsi="宋体" w:cs="宋体"/>
          <w:b/>
          <w:color w:val="auto"/>
          <w:kern w:val="0"/>
          <w:szCs w:val="21"/>
          <w:highlight w:val="none"/>
          <w:lang w:bidi="ar"/>
        </w:rPr>
        <w:t>12. 投标函</w:t>
      </w:r>
    </w:p>
    <w:p>
      <w:pPr>
        <w:widowControl/>
        <w:snapToGrid w:val="0"/>
        <w:spacing w:before="156" w:beforeLines="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投 标 函</w:t>
      </w:r>
    </w:p>
    <w:p>
      <w:pPr>
        <w:widowControl/>
        <w:snapToGrid w:val="0"/>
        <w:spacing w:before="156" w:beforeLines="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致：</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（招标采购单位名称）：</w:t>
      </w:r>
    </w:p>
    <w:p>
      <w:pPr>
        <w:widowControl/>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根据贵方为</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项目的采购公告/投标邀请书（项目编号：</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，标项号：</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），签字代表</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（全名）经正式授权并代表供应商</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（供应商名称）提交投标文件。</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据此函，签字代表宣布同意如下：</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1.供应商已详细审查全部“招标文件”，包括修改文件（如有的话）以及全部参考资料和有关附件，已经了解我方对于招标文件、采购过程、采购结果有依法进行询问、质疑、投诉的权利及相关渠道和要求。</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2.供应商在投标之前已经与贵方进行了充分的沟通，完全理解并接受招标文件的各项规定和要求，对招标文件的合理性、合法性不再有异议。</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3.本投标有效期自开标日起______个日历日。</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4.如中标，本投标文件至本项目合同履行完毕止均保持有效，本供应商将按“招标文件”及政府采购法律、法规的规定履行合同责任和义务。</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5.供应商同意按照贵方要求提供与投标有关的一切数据或资料。</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6.我们郑重声明：本投标文件提供的情况和文件完全是真实的。</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7.按照招标文件的规定，在中标后向采购代理机构一次性支付招标代理费。</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8.与本投标有关的一切正式往来信函请寄：</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地址：</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邮编：__________   电话：______________</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传真：______________供应商代表姓名 ___________  职务：______</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_______</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供应商名称(公章):___________________</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开户银行：</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 xml:space="preserve">   银行帐号：</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 xml:space="preserve"> </w:t>
      </w:r>
    </w:p>
    <w:p>
      <w:pPr>
        <w:widowControl/>
        <w:snapToGrid w:val="0"/>
        <w:spacing w:before="50" w:after="156" w:afterLines="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法定代表人或授权代表（签名或印章）:___________          日期:_____年___月___日</w:t>
      </w:r>
    </w:p>
    <w:p>
      <w:pPr>
        <w:widowControl/>
        <w:jc w:val="left"/>
        <w:rPr>
          <w:rFonts w:hint="eastAsia" w:ascii="宋体" w:hAnsi="宋体" w:cs="宋体"/>
          <w:b/>
          <w:color w:val="auto"/>
          <w:kern w:val="0"/>
          <w:szCs w:val="21"/>
          <w:highlight w:val="none"/>
        </w:rPr>
      </w:pPr>
      <w:r>
        <w:rPr>
          <w:rFonts w:hint="eastAsia" w:ascii="宋体" w:hAnsi="宋体" w:cs="宋体"/>
          <w:color w:val="auto"/>
          <w:kern w:val="0"/>
          <w:szCs w:val="21"/>
          <w:highlight w:val="none"/>
          <w:lang w:bidi="ar"/>
        </w:rPr>
        <w:br w:type="page"/>
      </w:r>
      <w:r>
        <w:rPr>
          <w:rFonts w:hint="eastAsia" w:ascii="宋体" w:hAnsi="宋体" w:cs="宋体"/>
          <w:b/>
          <w:color w:val="auto"/>
          <w:kern w:val="0"/>
          <w:szCs w:val="21"/>
          <w:highlight w:val="none"/>
          <w:lang w:bidi="ar"/>
        </w:rPr>
        <w:t>13.法定代表人身份证明及授权委托书格式：</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156" w:beforeLines="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法定代表人身份证明</w:t>
      </w:r>
    </w:p>
    <w:p>
      <w:pPr>
        <w:widowControl/>
        <w:spacing w:line="480" w:lineRule="auto"/>
        <w:jc w:val="center"/>
        <w:rPr>
          <w:rFonts w:hint="eastAsia" w:ascii="宋体" w:hAnsi="宋体" w:cs="宋体"/>
          <w:b/>
          <w:color w:val="auto"/>
          <w:kern w:val="0"/>
          <w:sz w:val="24"/>
          <w:highlight w:val="none"/>
        </w:rPr>
      </w:pPr>
      <w:r>
        <w:rPr>
          <w:rFonts w:hint="eastAsia" w:ascii="宋体" w:hAnsi="宋体" w:cs="宋体"/>
          <w:color w:val="auto"/>
          <w:kern w:val="0"/>
          <w:sz w:val="24"/>
          <w:highlight w:val="none"/>
          <w:lang w:bidi="ar"/>
        </w:rPr>
        <w:t>（法定代表人不来投标的，此表不用）</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供应商名称：</w:t>
      </w:r>
      <w:r>
        <w:rPr>
          <w:rFonts w:hint="eastAsia" w:ascii="宋体" w:hAnsi="宋体" w:cs="宋体"/>
          <w:color w:val="auto"/>
          <w:kern w:val="0"/>
          <w:szCs w:val="21"/>
          <w:highlight w:val="none"/>
          <w:u w:val="single"/>
          <w:lang w:bidi="ar"/>
        </w:rPr>
        <w:t xml:space="preserve">                                      </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单位性质：</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 xml:space="preserve"> </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地址：</w:t>
      </w:r>
      <w:r>
        <w:rPr>
          <w:rFonts w:hint="eastAsia" w:ascii="宋体" w:hAnsi="宋体" w:cs="宋体"/>
          <w:color w:val="auto"/>
          <w:kern w:val="0"/>
          <w:szCs w:val="21"/>
          <w:highlight w:val="none"/>
          <w:u w:val="single"/>
          <w:lang w:bidi="ar"/>
        </w:rPr>
        <w:t xml:space="preserve">                                              </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成立时间：</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年</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月</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＿日</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经营期限：</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 xml:space="preserve"> </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姓名：</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性别：</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年龄：</w:t>
      </w:r>
      <w:r>
        <w:rPr>
          <w:rFonts w:hint="eastAsia" w:ascii="宋体" w:hAnsi="宋体" w:cs="宋体"/>
          <w:color w:val="auto"/>
          <w:kern w:val="0"/>
          <w:szCs w:val="21"/>
          <w:highlight w:val="none"/>
          <w:u w:val="single"/>
          <w:lang w:bidi="ar"/>
        </w:rPr>
        <w:t xml:space="preserve">    周岁  </w:t>
      </w:r>
      <w:r>
        <w:rPr>
          <w:rFonts w:hint="eastAsia" w:ascii="宋体" w:hAnsi="宋体" w:cs="宋体"/>
          <w:color w:val="auto"/>
          <w:kern w:val="0"/>
          <w:szCs w:val="21"/>
          <w:highlight w:val="none"/>
          <w:lang w:bidi="ar"/>
        </w:rPr>
        <w:t>职务：</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_</w:t>
      </w:r>
    </w:p>
    <w:p>
      <w:pPr>
        <w:widowControl/>
        <w:spacing w:line="480" w:lineRule="auto"/>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lang w:bidi="ar"/>
        </w:rPr>
        <w:t>身份证号码：</w:t>
      </w:r>
      <w:r>
        <w:rPr>
          <w:rFonts w:hint="eastAsia" w:ascii="宋体" w:hAnsi="宋体" w:cs="宋体"/>
          <w:color w:val="auto"/>
          <w:kern w:val="0"/>
          <w:szCs w:val="21"/>
          <w:highlight w:val="none"/>
          <w:u w:val="single"/>
          <w:lang w:bidi="ar"/>
        </w:rPr>
        <w:t xml:space="preserve">                   </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系</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（供应商名称）的法定代表人。</w:t>
      </w:r>
    </w:p>
    <w:p>
      <w:pPr>
        <w:widowControl/>
        <w:spacing w:line="480" w:lineRule="auto"/>
        <w:ind w:firstLine="840" w:firstLineChars="4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特此证明。</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wordWrap w:val="0"/>
        <w:spacing w:line="360" w:lineRule="auto"/>
        <w:jc w:val="righ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（盖单位公章）</w:t>
      </w:r>
    </w:p>
    <w:p>
      <w:pPr>
        <w:widowControl/>
        <w:spacing w:line="360" w:lineRule="auto"/>
        <w:ind w:firstLine="4515" w:firstLineChars="215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u w:val="single"/>
          <w:lang w:bidi="ar"/>
        </w:rPr>
        <w:t xml:space="preserve"> </w:t>
      </w:r>
    </w:p>
    <w:p>
      <w:pPr>
        <w:widowControl/>
        <w:spacing w:line="360" w:lineRule="auto"/>
        <w:ind w:firstLine="3675" w:firstLineChars="1750"/>
        <w:jc w:val="left"/>
        <w:rPr>
          <w:rFonts w:hint="eastAsia" w:ascii="宋体" w:hAnsi="宋体" w:cs="宋体"/>
          <w:color w:val="auto"/>
          <w:kern w:val="0"/>
          <w:szCs w:val="21"/>
          <w:highlight w:val="none"/>
        </w:rPr>
      </w:pP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年</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月</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日</w:t>
      </w:r>
    </w:p>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xml:space="preserve"> </w:t>
      </w:r>
    </w:p>
    <w:p>
      <w:pPr>
        <w:widowControl/>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附法定代表人身份证复印件（正反面）：</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jc w:val="left"/>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lang w:bidi="ar"/>
        </w:rPr>
        <w:t xml:space="preserve"> </w:t>
      </w:r>
    </w:p>
    <w:p>
      <w:pPr>
        <w:widowControl/>
        <w:jc w:val="left"/>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lang w:bidi="ar"/>
        </w:rPr>
        <w:t xml:space="preserve"> </w:t>
      </w:r>
    </w:p>
    <w:p>
      <w:pPr>
        <w:widowControl/>
        <w:jc w:val="left"/>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lang w:bidi="ar"/>
        </w:rPr>
        <w:t xml:space="preserve"> </w:t>
      </w:r>
    </w:p>
    <w:p>
      <w:pPr>
        <w:widowControl/>
        <w:jc w:val="center"/>
        <w:rPr>
          <w:rFonts w:hint="eastAsia" w:ascii="宋体" w:hAnsi="宋体" w:cs="宋体"/>
          <w:b/>
          <w:color w:val="auto"/>
          <w:kern w:val="0"/>
          <w:sz w:val="32"/>
          <w:szCs w:val="32"/>
          <w:highlight w:val="none"/>
        </w:rPr>
      </w:pPr>
      <w:r>
        <w:rPr>
          <w:rFonts w:hint="eastAsia" w:ascii="宋体" w:hAnsi="宋体" w:cs="宋体"/>
          <w:b/>
          <w:color w:val="auto"/>
          <w:kern w:val="0"/>
          <w:sz w:val="28"/>
          <w:szCs w:val="28"/>
          <w:highlight w:val="none"/>
          <w:lang w:bidi="ar"/>
        </w:rPr>
        <w:br w:type="page"/>
      </w:r>
      <w:r>
        <w:rPr>
          <w:rFonts w:hint="eastAsia" w:ascii="宋体" w:hAnsi="宋体" w:cs="宋体"/>
          <w:b/>
          <w:color w:val="auto"/>
          <w:kern w:val="0"/>
          <w:szCs w:val="21"/>
          <w:highlight w:val="none"/>
          <w:lang w:bidi="ar"/>
        </w:rPr>
        <w:t>法定代表人授权委托书</w:t>
      </w:r>
    </w:p>
    <w:p>
      <w:pPr>
        <w:widowControl/>
        <w:jc w:val="center"/>
        <w:rPr>
          <w:rFonts w:hint="eastAsia" w:ascii="宋体" w:hAnsi="宋体" w:cs="宋体"/>
          <w:b/>
          <w:color w:val="auto"/>
          <w:kern w:val="0"/>
          <w:sz w:val="32"/>
          <w:szCs w:val="32"/>
          <w:highlight w:val="none"/>
        </w:rPr>
      </w:pPr>
      <w:r>
        <w:rPr>
          <w:rFonts w:hint="eastAsia" w:ascii="宋体" w:hAnsi="宋体" w:cs="宋体"/>
          <w:color w:val="auto"/>
          <w:kern w:val="0"/>
          <w:sz w:val="24"/>
          <w:highlight w:val="none"/>
          <w:lang w:bidi="ar"/>
        </w:rPr>
        <w:t>（法定代表人来投标的，此表不用）</w:t>
      </w:r>
    </w:p>
    <w:p>
      <w:pPr>
        <w:widowControl/>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xml:space="preserve"> </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致：</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（采购单位名称）</w:t>
      </w:r>
      <w:r>
        <w:rPr>
          <w:rFonts w:hint="eastAsia" w:ascii="宋体" w:hAnsi="宋体" w:cs="宋体"/>
          <w:b/>
          <w:color w:val="auto"/>
          <w:kern w:val="0"/>
          <w:szCs w:val="21"/>
          <w:highlight w:val="none"/>
          <w:lang w:bidi="ar"/>
        </w:rPr>
        <w:t xml:space="preserve"> </w:t>
      </w:r>
      <w:r>
        <w:rPr>
          <w:rFonts w:hint="eastAsia" w:ascii="宋体" w:hAnsi="宋体" w:cs="宋体"/>
          <w:color w:val="auto"/>
          <w:kern w:val="0"/>
          <w:szCs w:val="21"/>
          <w:highlight w:val="none"/>
          <w:lang w:bidi="ar"/>
        </w:rPr>
        <w:t>：</w:t>
      </w:r>
    </w:p>
    <w:p>
      <w:pPr>
        <w:widowControl/>
        <w:snapToGrid w:val="0"/>
        <w:spacing w:line="360" w:lineRule="auto"/>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lang w:bidi="ar"/>
        </w:rPr>
        <w:t>我</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（姓名）系</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 xml:space="preserve">（供应商名称）的法定代表人，现授权委托本单位在职职工 </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（姓名）以我方的名义参加</w:t>
      </w:r>
      <w:r>
        <w:rPr>
          <w:rFonts w:hint="eastAsia" w:ascii="宋体" w:hAnsi="宋体" w:cs="宋体"/>
          <w:color w:val="auto"/>
          <w:kern w:val="0"/>
          <w:szCs w:val="21"/>
          <w:highlight w:val="none"/>
          <w:u w:val="single"/>
          <w:lang w:bidi="ar"/>
        </w:rPr>
        <w:t xml:space="preserve">                       政府采购 </w:t>
      </w:r>
      <w:r>
        <w:rPr>
          <w:rFonts w:hint="eastAsia" w:ascii="宋体" w:hAnsi="宋体" w:cs="宋体"/>
          <w:color w:val="auto"/>
          <w:kern w:val="0"/>
          <w:szCs w:val="21"/>
          <w:highlight w:val="none"/>
          <w:lang w:bidi="ar"/>
        </w:rPr>
        <w:t>项目的投标活动，并代表我方全权办理针对上述项目的投标、开标、评标、签约等具体事务和签署相关文件。</w:t>
      </w:r>
    </w:p>
    <w:p>
      <w:pPr>
        <w:widowControl/>
        <w:snapToGrid w:val="0"/>
        <w:spacing w:line="360" w:lineRule="auto"/>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lang w:bidi="ar"/>
        </w:rPr>
        <w:t>我方对被授权人的签名事项负全部责任。</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在撤销授权的书面通知以前，本授权书一直有效。被授权人在授权书有效期内签署的所有文件不因授权的撤销而失效。</w:t>
      </w:r>
    </w:p>
    <w:p>
      <w:pPr>
        <w:widowControl/>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被授权人无转委托权，特此委托。</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line="360" w:lineRule="auto"/>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lang w:bidi="ar"/>
        </w:rPr>
        <w:t>被授权人（签名或印章）：</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 xml:space="preserve">                 法定代表人（签名或印章）：</w:t>
      </w:r>
      <w:r>
        <w:rPr>
          <w:rFonts w:hint="eastAsia" w:ascii="宋体" w:hAnsi="宋体" w:cs="宋体"/>
          <w:color w:val="auto"/>
          <w:kern w:val="0"/>
          <w:szCs w:val="21"/>
          <w:highlight w:val="none"/>
          <w:u w:val="single"/>
          <w:lang w:bidi="ar"/>
        </w:rPr>
        <w:t xml:space="preserve">          </w:t>
      </w:r>
    </w:p>
    <w:p>
      <w:pPr>
        <w:widowControl/>
        <w:snapToGrid w:val="0"/>
        <w:spacing w:line="360" w:lineRule="auto"/>
        <w:ind w:firstLine="840" w:firstLineChars="4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职务：</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 xml:space="preserve">                          职务：</w:t>
      </w:r>
      <w:r>
        <w:rPr>
          <w:rFonts w:hint="eastAsia" w:ascii="宋体" w:hAnsi="宋体" w:cs="宋体"/>
          <w:color w:val="auto"/>
          <w:kern w:val="0"/>
          <w:szCs w:val="21"/>
          <w:highlight w:val="none"/>
          <w:u w:val="single"/>
          <w:lang w:bidi="ar"/>
        </w:rPr>
        <w:t xml:space="preserve">           </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被授权人身份证号码：</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 xml:space="preserve"> </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line="360" w:lineRule="auto"/>
        <w:ind w:firstLine="4830" w:firstLineChars="23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供应商公章：</w:t>
      </w:r>
    </w:p>
    <w:p>
      <w:pPr>
        <w:widowControl/>
        <w:snapToGrid w:val="0"/>
        <w:spacing w:line="360" w:lineRule="auto"/>
        <w:ind w:firstLine="4830" w:firstLineChars="23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年    月    日</w:t>
      </w:r>
    </w:p>
    <w:p>
      <w:pPr>
        <w:widowControl/>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napToGrid w:val="0"/>
        <w:spacing w:before="50" w:after="50"/>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附：法定代表人身份证复印件（正反面）、授权代表身份证复印件（正反面）及开标日前近三个月当地相关部门出具的社保证明。</w:t>
      </w:r>
    </w:p>
    <w:p>
      <w:pPr>
        <w:widowControl/>
        <w:snapToGrid w:val="0"/>
        <w:spacing w:before="50" w:after="50"/>
        <w:jc w:val="left"/>
        <w:rPr>
          <w:rFonts w:hint="eastAsia" w:ascii="宋体" w:hAnsi="宋体" w:cs="宋体"/>
          <w:color w:val="auto"/>
          <w:kern w:val="0"/>
          <w:szCs w:val="21"/>
          <w:highlight w:val="none"/>
        </w:rPr>
      </w:pPr>
      <w:r>
        <w:rPr>
          <w:rFonts w:hint="eastAsia" w:ascii="宋体" w:hAnsi="宋体" w:cs="宋体"/>
          <w:b/>
          <w:color w:val="auto"/>
          <w:kern w:val="0"/>
          <w:szCs w:val="21"/>
          <w:highlight w:val="none"/>
          <w:lang w:bidi="ar"/>
        </w:rPr>
        <w:br w:type="page"/>
      </w:r>
      <w:r>
        <w:rPr>
          <w:rFonts w:hint="eastAsia" w:ascii="宋体" w:hAnsi="宋体" w:cs="宋体"/>
          <w:b/>
          <w:color w:val="auto"/>
          <w:kern w:val="0"/>
          <w:szCs w:val="21"/>
          <w:highlight w:val="none"/>
          <w:lang w:bidi="ar"/>
        </w:rPr>
        <w:t>14.技术（服务）条款偏离表</w:t>
      </w:r>
    </w:p>
    <w:p>
      <w:pPr>
        <w:widowControl/>
        <w:snapToGrid w:val="0"/>
        <w:spacing w:before="50" w:after="156" w:afterLines="50" w:line="360" w:lineRule="auto"/>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技术（服务）条款偏离表</w:t>
      </w:r>
    </w:p>
    <w:p>
      <w:pPr>
        <w:widowControl/>
        <w:snapToGrid w:val="0"/>
        <w:spacing w:before="5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lang w:bidi="ar"/>
        </w:rPr>
        <w:t>项目编号：                   项目名称：                       标项号：</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条款号</w:t>
            </w: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招标文件的技术（服务）条款</w:t>
            </w: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投标文件的</w:t>
            </w:r>
          </w:p>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响应情况</w:t>
            </w: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b/>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b/>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b/>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b/>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bl>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供应商名称（公章）：</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法定代表或授权代表（签名或印章）：</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年    月    日</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br w:type="page"/>
      </w:r>
      <w:r>
        <w:rPr>
          <w:rFonts w:hint="eastAsia" w:ascii="宋体" w:hAnsi="宋体" w:cs="宋体"/>
          <w:color w:val="auto"/>
          <w:kern w:val="0"/>
          <w:szCs w:val="21"/>
          <w:highlight w:val="none"/>
          <w:lang w:bidi="ar"/>
        </w:rPr>
        <w:t>15</w:t>
      </w:r>
      <w:r>
        <w:rPr>
          <w:rFonts w:hint="eastAsia" w:ascii="宋体" w:hAnsi="宋体" w:cs="宋体"/>
          <w:b/>
          <w:color w:val="auto"/>
          <w:kern w:val="0"/>
          <w:szCs w:val="21"/>
          <w:highlight w:val="none"/>
          <w:lang w:bidi="ar"/>
        </w:rPr>
        <w:t>. 商务条款偏离表</w:t>
      </w:r>
    </w:p>
    <w:p>
      <w:pPr>
        <w:widowControl/>
        <w:snapToGrid w:val="0"/>
        <w:spacing w:before="50" w:after="156" w:afterLines="50" w:line="360" w:lineRule="auto"/>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商务条款偏离表</w:t>
      </w:r>
    </w:p>
    <w:p>
      <w:pPr>
        <w:widowControl/>
        <w:snapToGrid w:val="0"/>
        <w:spacing w:before="5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lang w:bidi="ar"/>
        </w:rPr>
        <w:t>项目编号：                   项目名称：                       标项号：</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条款号</w:t>
            </w: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招标文件的商务条款</w:t>
            </w: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投标文件的</w:t>
            </w:r>
          </w:p>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响应情况</w:t>
            </w: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b/>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b/>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b/>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highlight w:val="none"/>
              </w:rPr>
            </w:pPr>
          </w:p>
        </w:tc>
        <w:tc>
          <w:tcPr>
            <w:tcW w:w="464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Cs w:val="21"/>
                <w:highlight w:val="none"/>
              </w:rPr>
            </w:pPr>
          </w:p>
        </w:tc>
        <w:tc>
          <w:tcPr>
            <w:tcW w:w="157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bl>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供应商须按第二章《采购需求》“一、重要商务要求一览表”逐项填写，并根据“第五章 政府采购合同主要条款”内容自行补充。</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供应商名称（公章）：</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法定代表或授权代表（签名或印章）：</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年    月    日</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156"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br w:type="page"/>
      </w:r>
      <w:r>
        <w:rPr>
          <w:rFonts w:hint="eastAsia" w:ascii="宋体" w:hAnsi="宋体" w:cs="宋体"/>
          <w:b/>
          <w:color w:val="auto"/>
          <w:kern w:val="0"/>
          <w:szCs w:val="21"/>
          <w:highlight w:val="none"/>
          <w:lang w:bidi="ar"/>
        </w:rPr>
        <w:t>16.供应商情况一览表</w:t>
      </w:r>
    </w:p>
    <w:p>
      <w:pPr>
        <w:widowControl/>
        <w:snapToGrid w:val="0"/>
        <w:spacing w:before="156"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50" w:after="156" w:afterLines="50" w:line="360" w:lineRule="auto"/>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供应商情况一览表</w:t>
      </w:r>
    </w:p>
    <w:tbl>
      <w:tblPr>
        <w:tblStyle w:val="25"/>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86"/>
        <w:gridCol w:w="986"/>
        <w:gridCol w:w="584"/>
        <w:gridCol w:w="402"/>
        <w:gridCol w:w="986"/>
        <w:gridCol w:w="284"/>
        <w:gridCol w:w="702"/>
        <w:gridCol w:w="875"/>
        <w:gridCol w:w="111"/>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8318"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单位名称</w:t>
            </w:r>
          </w:p>
        </w:tc>
        <w:tc>
          <w:tcPr>
            <w:tcW w:w="6904" w:type="dxa"/>
            <w:gridSpan w:val="10"/>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地  址</w:t>
            </w:r>
          </w:p>
        </w:tc>
        <w:tc>
          <w:tcPr>
            <w:tcW w:w="4228" w:type="dxa"/>
            <w:gridSpan w:val="6"/>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1577" w:type="dxa"/>
            <w:gridSpan w:val="2"/>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法定代表人</w:t>
            </w:r>
          </w:p>
        </w:tc>
        <w:tc>
          <w:tcPr>
            <w:tcW w:w="1099" w:type="dxa"/>
            <w:gridSpan w:val="2"/>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成立时间</w:t>
            </w:r>
          </w:p>
        </w:tc>
        <w:tc>
          <w:tcPr>
            <w:tcW w:w="4228" w:type="dxa"/>
            <w:gridSpan w:val="6"/>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1577" w:type="dxa"/>
            <w:gridSpan w:val="2"/>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注册资本</w:t>
            </w:r>
          </w:p>
        </w:tc>
        <w:tc>
          <w:tcPr>
            <w:tcW w:w="1099" w:type="dxa"/>
            <w:gridSpan w:val="2"/>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开户银行</w:t>
            </w:r>
          </w:p>
        </w:tc>
        <w:tc>
          <w:tcPr>
            <w:tcW w:w="2556" w:type="dxa"/>
            <w:gridSpan w:val="3"/>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1672" w:type="dxa"/>
            <w:gridSpan w:val="3"/>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帐  号</w:t>
            </w:r>
          </w:p>
        </w:tc>
        <w:tc>
          <w:tcPr>
            <w:tcW w:w="2676" w:type="dxa"/>
            <w:gridSpan w:val="4"/>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联系电话</w:t>
            </w:r>
          </w:p>
        </w:tc>
        <w:tc>
          <w:tcPr>
            <w:tcW w:w="6904" w:type="dxa"/>
            <w:gridSpan w:val="10"/>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企业总人数</w:t>
            </w:r>
          </w:p>
        </w:tc>
        <w:tc>
          <w:tcPr>
            <w:tcW w:w="986"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986"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管理</w:t>
            </w:r>
          </w:p>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人员</w:t>
            </w:r>
          </w:p>
        </w:tc>
        <w:tc>
          <w:tcPr>
            <w:tcW w:w="986" w:type="dxa"/>
            <w:gridSpan w:val="2"/>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986"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技术</w:t>
            </w:r>
          </w:p>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人员</w:t>
            </w:r>
          </w:p>
        </w:tc>
        <w:tc>
          <w:tcPr>
            <w:tcW w:w="986" w:type="dxa"/>
            <w:gridSpan w:val="2"/>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986" w:type="dxa"/>
            <w:gridSpan w:val="2"/>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职工</w:t>
            </w:r>
          </w:p>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人员</w:t>
            </w:r>
          </w:p>
        </w:tc>
        <w:tc>
          <w:tcPr>
            <w:tcW w:w="98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经营范围</w:t>
            </w:r>
          </w:p>
        </w:tc>
        <w:tc>
          <w:tcPr>
            <w:tcW w:w="6904" w:type="dxa"/>
            <w:gridSpan w:val="10"/>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1"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企业现有的资质证书</w:t>
            </w:r>
          </w:p>
        </w:tc>
        <w:tc>
          <w:tcPr>
            <w:tcW w:w="6904" w:type="dxa"/>
            <w:gridSpan w:val="10"/>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bl>
    <w:p>
      <w:pPr>
        <w:widowControl/>
        <w:snapToGrid w:val="0"/>
        <w:spacing w:before="50" w:after="156" w:afterLines="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50" w:after="156" w:afterLines="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rPr>
          <w:rFonts w:hint="eastAsia" w:ascii="宋体" w:hAnsi="宋体" w:cs="宋体"/>
          <w:b/>
          <w:color w:val="auto"/>
          <w:kern w:val="0"/>
          <w:szCs w:val="21"/>
          <w:highlight w:val="none"/>
        </w:rPr>
        <w:sectPr>
          <w:footerReference r:id="rId5" w:type="default"/>
          <w:pgSz w:w="11906" w:h="16838"/>
          <w:pgMar w:top="1304" w:right="1797" w:bottom="1247" w:left="1797" w:header="851" w:footer="851" w:gutter="0"/>
          <w:pgBorders w:offsetFrom="page">
            <w:top w:val="none" w:sz="0" w:space="0"/>
            <w:left w:val="none" w:sz="0" w:space="0"/>
            <w:bottom w:val="none" w:sz="0" w:space="0"/>
            <w:right w:val="none" w:sz="0" w:space="0"/>
          </w:pgBorders>
          <w:pgNumType w:fmt="decimal"/>
          <w:cols w:space="720" w:num="1"/>
          <w:docGrid w:type="lines" w:linePitch="312" w:charSpace="0"/>
        </w:sectPr>
      </w:pPr>
    </w:p>
    <w:p>
      <w:pPr>
        <w:widowControl/>
        <w:snapToGrid w:val="0"/>
        <w:spacing w:before="142" w:beforeLines="50" w:after="50"/>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17.企业业绩表：</w:t>
      </w:r>
    </w:p>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企业业绩表</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项目编号：                   项目名称：                       标项号：</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783"/>
        <w:gridCol w:w="1192"/>
        <w:gridCol w:w="1192"/>
        <w:gridCol w:w="1638"/>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序号</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项目名称</w:t>
            </w:r>
          </w:p>
        </w:tc>
        <w:tc>
          <w:tcPr>
            <w:tcW w:w="119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业主单位</w:t>
            </w:r>
          </w:p>
        </w:tc>
        <w:tc>
          <w:tcPr>
            <w:tcW w:w="119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合同金额</w:t>
            </w:r>
          </w:p>
        </w:tc>
        <w:tc>
          <w:tcPr>
            <w:tcW w:w="163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合同签订日期</w:t>
            </w:r>
          </w:p>
        </w:tc>
        <w:tc>
          <w:tcPr>
            <w:tcW w:w="18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783"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638"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869"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783"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638"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869"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783"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638"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869"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783"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638"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869"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783"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638"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869"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783"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638"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869"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783"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638"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869"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783"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638"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869"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783"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638"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869"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783"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638"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869"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783"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192"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638"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c>
          <w:tcPr>
            <w:tcW w:w="1869" w:type="dxa"/>
            <w:tcBorders>
              <w:top w:val="single" w:color="auto" w:sz="4" w:space="0"/>
              <w:left w:val="nil"/>
              <w:bottom w:val="single" w:color="auto" w:sz="4" w:space="0"/>
              <w:right w:val="single" w:color="auto" w:sz="4" w:space="0"/>
            </w:tcBorders>
            <w:noWrap w:val="0"/>
            <w:vAlign w:val="top"/>
          </w:tcPr>
          <w:p>
            <w:pPr>
              <w:widowControl/>
              <w:ind w:firstLine="420"/>
              <w:jc w:val="left"/>
              <w:rPr>
                <w:rFonts w:hint="eastAsia" w:ascii="宋体" w:hAnsi="宋体" w:cs="宋体"/>
                <w:color w:val="auto"/>
                <w:kern w:val="0"/>
                <w:szCs w:val="21"/>
                <w:highlight w:val="none"/>
              </w:rPr>
            </w:pPr>
          </w:p>
        </w:tc>
      </w:tr>
    </w:tbl>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注：</w:t>
      </w:r>
    </w:p>
    <w:p>
      <w:pPr>
        <w:widowControl/>
        <w:autoSpaceDE w:val="0"/>
        <w:autoSpaceDN w:val="0"/>
        <w:spacing w:line="386"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1．供应商所提供合同必须是真实有效的。在合同签订前，如采购人经核实后发现与实际情况不符，取消其中标资格，并按有关规定处理。（投标文件中提供加盖公章的合同及中标通知书复印件）</w:t>
      </w:r>
    </w:p>
    <w:p>
      <w:pPr>
        <w:widowControl/>
        <w:autoSpaceDE w:val="0"/>
        <w:autoSpaceDN w:val="0"/>
        <w:spacing w:line="386"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2．此表在不改变表式的情况下，可自行制作。</w:t>
      </w:r>
    </w:p>
    <w:p>
      <w:pPr>
        <w:widowControl/>
        <w:autoSpaceDE w:val="0"/>
        <w:autoSpaceDN w:val="0"/>
        <w:spacing w:line="426" w:lineRule="exact"/>
        <w:ind w:left="52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keepNext w:val="0"/>
        <w:keepLines w:val="0"/>
        <w:pageBreakBefore w:val="0"/>
        <w:widowControl/>
        <w:kinsoku/>
        <w:wordWrap/>
        <w:overflowPunct/>
        <w:topLinePunct w:val="0"/>
        <w:autoSpaceDE w:val="0"/>
        <w:autoSpaceDN w:val="0"/>
        <w:bidi w:val="0"/>
        <w:adjustRightInd/>
        <w:snapToGrid/>
        <w:spacing w:line="440" w:lineRule="exact"/>
        <w:ind w:left="5278" w:firstLine="210" w:firstLineChars="100"/>
        <w:jc w:val="left"/>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供应商名称（盖章）：</w:t>
      </w:r>
    </w:p>
    <w:p>
      <w:pPr>
        <w:keepNext w:val="0"/>
        <w:keepLines w:val="0"/>
        <w:pageBreakBefore w:val="0"/>
        <w:widowControl/>
        <w:kinsoku/>
        <w:wordWrap/>
        <w:overflowPunct/>
        <w:topLinePunct w:val="0"/>
        <w:autoSpaceDE w:val="0"/>
        <w:autoSpaceDN w:val="0"/>
        <w:bidi w:val="0"/>
        <w:adjustRightInd/>
        <w:snapToGrid/>
        <w:spacing w:line="440" w:lineRule="exact"/>
        <w:ind w:left="5278" w:firstLine="210" w:firstLineChars="100"/>
        <w:jc w:val="left"/>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供应商代表（签名或印章）：</w:t>
      </w:r>
    </w:p>
    <w:p>
      <w:pPr>
        <w:keepNext w:val="0"/>
        <w:keepLines w:val="0"/>
        <w:pageBreakBefore w:val="0"/>
        <w:widowControl/>
        <w:kinsoku/>
        <w:wordWrap/>
        <w:overflowPunct/>
        <w:topLinePunct w:val="0"/>
        <w:bidi w:val="0"/>
        <w:adjustRightInd/>
        <w:snapToGrid/>
        <w:spacing w:line="440" w:lineRule="exact"/>
        <w:jc w:val="right"/>
        <w:textAlignment w:val="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 xml:space="preserve"> </w:t>
      </w:r>
      <w:r>
        <w:rPr>
          <w:rFonts w:hint="eastAsia" w:ascii="宋体" w:hAnsi="宋体" w:cs="宋体"/>
          <w:color w:val="auto"/>
          <w:kern w:val="0"/>
          <w:szCs w:val="21"/>
          <w:highlight w:val="none"/>
          <w:lang w:eastAsia="zh-CN" w:bidi="ar"/>
        </w:rPr>
        <w:t>日期：</w:t>
      </w:r>
    </w:p>
    <w:p>
      <w:pPr>
        <w:widowControl/>
        <w:snapToGrid w:val="0"/>
        <w:spacing w:before="142" w:beforeLines="50" w:after="50"/>
        <w:jc w:val="left"/>
        <w:rPr>
          <w:rFonts w:hint="eastAsia" w:ascii="宋体" w:hAnsi="宋体" w:eastAsia="宋体" w:cs="宋体"/>
          <w:b/>
          <w:color w:val="auto"/>
          <w:kern w:val="0"/>
          <w:szCs w:val="21"/>
          <w:highlight w:val="none"/>
        </w:rPr>
      </w:pPr>
      <w:r>
        <w:rPr>
          <w:rFonts w:hint="eastAsia" w:ascii="宋体" w:hAnsi="宋体" w:cs="宋体"/>
          <w:color w:val="auto"/>
          <w:kern w:val="0"/>
          <w:szCs w:val="21"/>
          <w:highlight w:val="none"/>
          <w:lang w:eastAsia="zh-CN" w:bidi="ar"/>
        </w:rPr>
        <w:br w:type="page"/>
      </w:r>
      <w:r>
        <w:rPr>
          <w:rFonts w:hint="eastAsia" w:ascii="宋体" w:hAnsi="宋体" w:eastAsia="宋体" w:cs="宋体"/>
          <w:b/>
          <w:color w:val="auto"/>
          <w:kern w:val="0"/>
          <w:szCs w:val="21"/>
          <w:highlight w:val="none"/>
          <w:lang w:bidi="ar"/>
        </w:rPr>
        <w:t>18.第四章评标办法及评分标准中需提供的其他相关资质证书及合同复印件加盖公章；</w:t>
      </w:r>
    </w:p>
    <w:p>
      <w:pPr>
        <w:jc w:val="left"/>
        <w:rPr>
          <w:rFonts w:hint="eastAsia" w:ascii="宋体" w:hAnsi="宋体" w:cs="宋体"/>
          <w:b/>
          <w:bCs/>
          <w:color w:val="auto"/>
          <w:kern w:val="0"/>
          <w:szCs w:val="21"/>
          <w:highlight w:val="none"/>
          <w:lang w:bidi="ar"/>
        </w:rPr>
      </w:pPr>
      <w:r>
        <w:rPr>
          <w:rFonts w:hint="eastAsia" w:ascii="宋体" w:hAnsi="宋体" w:cs="宋体"/>
          <w:color w:val="auto"/>
          <w:kern w:val="0"/>
          <w:szCs w:val="21"/>
          <w:highlight w:val="none"/>
          <w:lang w:bidi="ar"/>
        </w:rPr>
        <w:br w:type="page"/>
      </w:r>
      <w:r>
        <w:rPr>
          <w:rFonts w:hint="eastAsia" w:ascii="宋体" w:hAnsi="宋体" w:cs="宋体"/>
          <w:b/>
          <w:bCs/>
          <w:color w:val="auto"/>
          <w:kern w:val="0"/>
          <w:szCs w:val="21"/>
          <w:highlight w:val="none"/>
          <w:lang w:val="en-US" w:eastAsia="zh-CN" w:bidi="ar"/>
        </w:rPr>
        <w:t>19.</w:t>
      </w:r>
      <w:r>
        <w:rPr>
          <w:rFonts w:hint="eastAsia" w:ascii="宋体" w:hAnsi="宋体" w:cs="宋体"/>
          <w:b/>
          <w:bCs/>
          <w:color w:val="auto"/>
          <w:kern w:val="0"/>
          <w:szCs w:val="21"/>
          <w:highlight w:val="none"/>
          <w:lang w:bidi="ar"/>
        </w:rPr>
        <w:t xml:space="preserve"> </w:t>
      </w:r>
    </w:p>
    <w:p>
      <w:pPr>
        <w:jc w:val="center"/>
        <w:rPr>
          <w:rFonts w:hint="eastAsia"/>
          <w:sz w:val="44"/>
          <w:szCs w:val="44"/>
        </w:rPr>
      </w:pPr>
    </w:p>
    <w:p>
      <w:pPr>
        <w:jc w:val="center"/>
        <w:rPr>
          <w:sz w:val="44"/>
          <w:szCs w:val="44"/>
        </w:rPr>
      </w:pPr>
      <w:r>
        <w:rPr>
          <w:rFonts w:hint="eastAsia"/>
          <w:sz w:val="44"/>
          <w:szCs w:val="44"/>
        </w:rPr>
        <w:t>用户使用调查报告</w:t>
      </w:r>
    </w:p>
    <w:p>
      <w:pPr>
        <w:jc w:val="left"/>
        <w:rPr>
          <w:rFonts w:hint="eastAsia"/>
          <w:sz w:val="44"/>
          <w:szCs w:val="44"/>
        </w:rPr>
      </w:pPr>
    </w:p>
    <w:p>
      <w:pPr>
        <w:jc w:val="left"/>
        <w:rPr>
          <w:sz w:val="28"/>
          <w:szCs w:val="28"/>
        </w:rPr>
      </w:pPr>
      <w:r>
        <w:rPr>
          <w:rFonts w:hAnsi="宋体"/>
          <w:szCs w:val="21"/>
          <w:u w:val="single"/>
        </w:rPr>
        <w:t xml:space="preserve">           </w:t>
      </w:r>
      <w:r>
        <w:rPr>
          <w:rFonts w:hint="eastAsia" w:hAnsi="宋体"/>
          <w:szCs w:val="21"/>
          <w:u w:val="single"/>
        </w:rPr>
        <w:t xml:space="preserve">       </w:t>
      </w:r>
      <w:r>
        <w:rPr>
          <w:rFonts w:hAnsi="宋体"/>
          <w:szCs w:val="21"/>
          <w:u w:val="single"/>
        </w:rPr>
        <w:t xml:space="preserve">   </w:t>
      </w:r>
      <w:r>
        <w:rPr>
          <w:rFonts w:hAnsi="宋体"/>
          <w:szCs w:val="21"/>
        </w:rPr>
        <w:t xml:space="preserve"> </w:t>
      </w:r>
      <w:r>
        <w:rPr>
          <w:rFonts w:hint="eastAsia"/>
          <w:sz w:val="28"/>
          <w:szCs w:val="28"/>
        </w:rPr>
        <w:t>：</w:t>
      </w:r>
    </w:p>
    <w:p>
      <w:pPr>
        <w:jc w:val="left"/>
        <w:rPr>
          <w:sz w:val="28"/>
          <w:szCs w:val="28"/>
        </w:rPr>
      </w:pPr>
      <w:r>
        <w:rPr>
          <w:sz w:val="28"/>
          <w:szCs w:val="28"/>
        </w:rPr>
        <w:t xml:space="preserve">    </w:t>
      </w:r>
      <w:r>
        <w:rPr>
          <w:rFonts w:hint="eastAsia"/>
          <w:sz w:val="28"/>
          <w:szCs w:val="28"/>
        </w:rPr>
        <w:t>贵公司提供的主芯片型号（海思</w:t>
      </w:r>
      <w:r>
        <w:rPr>
          <w:sz w:val="28"/>
          <w:szCs w:val="28"/>
        </w:rPr>
        <w:t>3716MV310</w:t>
      </w:r>
      <w:r>
        <w:rPr>
          <w:rFonts w:hint="eastAsia"/>
          <w:sz w:val="28"/>
          <w:szCs w:val="28"/>
        </w:rPr>
        <w:t>）的高清交互型数字电视机顶盒，自    年  月起已经在我方供货</w:t>
      </w:r>
      <w:r>
        <w:rPr>
          <w:sz w:val="28"/>
          <w:szCs w:val="28"/>
        </w:rPr>
        <w:t xml:space="preserve">         </w:t>
      </w:r>
      <w:r>
        <w:rPr>
          <w:rFonts w:hint="eastAsia"/>
          <w:sz w:val="28"/>
          <w:szCs w:val="28"/>
        </w:rPr>
        <w:t>台，从供货起至今总返修率为：    。我单位对贵公司产品售后服务总体评价（非常满意、满意、一般、不满意）。</w:t>
      </w:r>
    </w:p>
    <w:p>
      <w:pPr>
        <w:ind w:firstLine="570"/>
        <w:jc w:val="left"/>
        <w:rPr>
          <w:rFonts w:hint="eastAsia"/>
          <w:sz w:val="28"/>
          <w:szCs w:val="28"/>
        </w:rPr>
      </w:pPr>
      <w:r>
        <w:rPr>
          <w:rFonts w:hint="eastAsia"/>
          <w:sz w:val="28"/>
          <w:szCs w:val="28"/>
        </w:rPr>
        <w:t>联系人：</w:t>
      </w:r>
    </w:p>
    <w:p>
      <w:pPr>
        <w:ind w:firstLine="570"/>
        <w:jc w:val="left"/>
        <w:rPr>
          <w:rFonts w:hint="eastAsia"/>
          <w:sz w:val="28"/>
          <w:szCs w:val="28"/>
        </w:rPr>
      </w:pPr>
      <w:r>
        <w:rPr>
          <w:rFonts w:hint="eastAsia"/>
          <w:sz w:val="28"/>
          <w:szCs w:val="28"/>
        </w:rPr>
        <w:t>联系电话：</w:t>
      </w:r>
    </w:p>
    <w:p>
      <w:pPr>
        <w:ind w:firstLine="570"/>
        <w:jc w:val="left"/>
        <w:rPr>
          <w:sz w:val="28"/>
          <w:szCs w:val="28"/>
        </w:rPr>
      </w:pPr>
    </w:p>
    <w:p>
      <w:pPr>
        <w:jc w:val="left"/>
        <w:rPr>
          <w:rFonts w:hint="eastAsia"/>
          <w:sz w:val="28"/>
          <w:szCs w:val="28"/>
        </w:rPr>
      </w:pPr>
      <w:r>
        <w:rPr>
          <w:sz w:val="28"/>
          <w:szCs w:val="28"/>
        </w:rPr>
        <w:t xml:space="preserve">                                      </w:t>
      </w:r>
      <w:r>
        <w:rPr>
          <w:rFonts w:hint="eastAsia"/>
          <w:sz w:val="28"/>
          <w:szCs w:val="28"/>
        </w:rPr>
        <w:t>（用户单位名称）（盖章）</w:t>
      </w:r>
    </w:p>
    <w:p>
      <w:pPr>
        <w:jc w:val="left"/>
        <w:rPr>
          <w:sz w:val="28"/>
          <w:szCs w:val="28"/>
        </w:rPr>
      </w:pPr>
    </w:p>
    <w:p>
      <w:pPr>
        <w:jc w:val="left"/>
        <w:rPr>
          <w:sz w:val="28"/>
          <w:szCs w:val="28"/>
        </w:rPr>
      </w:pPr>
      <w:r>
        <w:rPr>
          <w:sz w:val="28"/>
          <w:szCs w:val="28"/>
        </w:rPr>
        <w:t xml:space="preserve">                                   </w:t>
      </w:r>
      <w:r>
        <w:rPr>
          <w:rFonts w:hint="eastAsia"/>
          <w:sz w:val="28"/>
          <w:szCs w:val="28"/>
        </w:rPr>
        <w:t>（时间）   年    月    日</w:t>
      </w:r>
    </w:p>
    <w:p/>
    <w:p>
      <w:pPr>
        <w:snapToGrid w:val="0"/>
        <w:spacing w:line="400" w:lineRule="exact"/>
        <w:rPr>
          <w:rFonts w:hint="eastAsia" w:ascii="宋体" w:hAnsi="宋体"/>
          <w:b/>
          <w:szCs w:val="21"/>
        </w:rPr>
      </w:pPr>
    </w:p>
    <w:p>
      <w:pPr>
        <w:pStyle w:val="5"/>
        <w:rPr>
          <w:rFonts w:hint="eastAsia"/>
          <w:color w:val="auto"/>
          <w:highlight w:val="none"/>
        </w:rPr>
      </w:pPr>
    </w:p>
    <w:p>
      <w:pPr>
        <w:widowControl/>
        <w:snapToGrid w:val="0"/>
        <w:spacing w:before="142" w:beforeLines="50" w:after="50"/>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napToGrid w:val="0"/>
        <w:spacing w:before="142" w:beforeLines="50" w:after="50"/>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napToGrid w:val="0"/>
        <w:spacing w:before="142" w:beforeLines="50" w:after="50"/>
        <w:jc w:val="left"/>
        <w:rPr>
          <w:rFonts w:hint="eastAsia" w:ascii="宋体" w:hAnsi="宋体" w:cs="宋体"/>
          <w:b/>
          <w:color w:val="auto"/>
          <w:kern w:val="0"/>
          <w:szCs w:val="21"/>
          <w:highlight w:val="none"/>
          <w:lang w:val="en-US" w:eastAsia="zh-CN" w:bidi="ar"/>
        </w:rPr>
      </w:pPr>
    </w:p>
    <w:p>
      <w:pPr>
        <w:widowControl/>
        <w:snapToGrid w:val="0"/>
        <w:spacing w:before="142" w:beforeLines="50" w:after="50"/>
        <w:jc w:val="left"/>
        <w:rPr>
          <w:rFonts w:hint="eastAsia" w:ascii="宋体" w:hAnsi="宋体" w:cs="宋体"/>
          <w:b/>
          <w:color w:val="auto"/>
          <w:kern w:val="0"/>
          <w:szCs w:val="21"/>
          <w:highlight w:val="none"/>
          <w:lang w:val="en-US" w:eastAsia="zh-CN" w:bidi="ar"/>
        </w:rPr>
      </w:pPr>
    </w:p>
    <w:p>
      <w:pPr>
        <w:widowControl/>
        <w:snapToGrid w:val="0"/>
        <w:spacing w:before="142" w:beforeLines="50" w:after="50"/>
        <w:jc w:val="left"/>
        <w:rPr>
          <w:rFonts w:hint="eastAsia" w:ascii="宋体" w:hAnsi="宋体" w:cs="宋体"/>
          <w:b/>
          <w:color w:val="auto"/>
          <w:kern w:val="0"/>
          <w:szCs w:val="21"/>
          <w:highlight w:val="none"/>
          <w:lang w:val="en-US" w:eastAsia="zh-CN" w:bidi="ar"/>
        </w:rPr>
      </w:pPr>
    </w:p>
    <w:p>
      <w:pPr>
        <w:widowControl/>
        <w:snapToGrid w:val="0"/>
        <w:spacing w:before="142" w:beforeLines="50" w:after="50"/>
        <w:jc w:val="left"/>
        <w:rPr>
          <w:rFonts w:hint="eastAsia" w:ascii="宋体" w:hAnsi="宋体" w:cs="宋体"/>
          <w:b/>
          <w:color w:val="auto"/>
          <w:kern w:val="0"/>
          <w:szCs w:val="21"/>
          <w:highlight w:val="none"/>
          <w:lang w:val="en-US" w:eastAsia="zh-CN" w:bidi="ar"/>
        </w:rPr>
      </w:pPr>
    </w:p>
    <w:p>
      <w:pPr>
        <w:widowControl/>
        <w:snapToGrid w:val="0"/>
        <w:spacing w:before="142" w:beforeLines="50" w:after="50"/>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val="en-US" w:eastAsia="zh-CN" w:bidi="ar"/>
        </w:rPr>
        <w:t>20</w:t>
      </w:r>
      <w:r>
        <w:rPr>
          <w:rFonts w:hint="eastAsia" w:ascii="宋体" w:hAnsi="宋体" w:cs="宋体"/>
          <w:b/>
          <w:color w:val="auto"/>
          <w:kern w:val="0"/>
          <w:szCs w:val="21"/>
          <w:highlight w:val="none"/>
          <w:lang w:bidi="ar"/>
        </w:rPr>
        <w:t>.供应商认为有需要提供的其它有关证明资料。</w:t>
      </w:r>
    </w:p>
    <w:p>
      <w:pPr>
        <w:snapToGrid w:val="0"/>
        <w:spacing w:line="400" w:lineRule="exact"/>
        <w:jc w:val="center"/>
        <w:outlineLvl w:val="1"/>
        <w:rPr>
          <w:rFonts w:ascii="宋体" w:hAnsi="宋体"/>
          <w:szCs w:val="21"/>
        </w:rPr>
      </w:pPr>
      <w:r>
        <w:rPr>
          <w:rFonts w:hint="eastAsia" w:ascii="宋体" w:hAnsi="宋体" w:cs="宋体"/>
          <w:color w:val="auto"/>
          <w:kern w:val="0"/>
          <w:szCs w:val="21"/>
          <w:highlight w:val="none"/>
          <w:lang w:bidi="ar"/>
        </w:rPr>
        <w:br w:type="page"/>
      </w:r>
    </w:p>
    <w:p>
      <w:pPr>
        <w:widowControl/>
        <w:snapToGrid w:val="0"/>
        <w:spacing w:before="50" w:after="142" w:afterLines="50"/>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二、报价文件格式</w:t>
      </w:r>
    </w:p>
    <w:p>
      <w:pPr>
        <w:widowControl/>
        <w:snapToGrid w:val="0"/>
        <w:spacing w:before="142" w:beforeLines="50" w:after="50"/>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1.报价文件的外包装封面格式（不可缺）：</w:t>
      </w:r>
    </w:p>
    <w:p>
      <w:pPr>
        <w:widowControl/>
        <w:snapToGrid w:val="0"/>
        <w:spacing w:before="142"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142" w:beforeLines="50" w:after="50"/>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报价文件</w:t>
      </w:r>
    </w:p>
    <w:p>
      <w:pPr>
        <w:widowControl/>
        <w:snapToGrid w:val="0"/>
        <w:spacing w:before="142"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142" w:beforeLines="50" w:after="50"/>
        <w:ind w:firstLine="932" w:firstLineChars="444"/>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项目名称：</w:t>
      </w:r>
    </w:p>
    <w:p>
      <w:pPr>
        <w:widowControl/>
        <w:snapToGrid w:val="0"/>
        <w:spacing w:before="142" w:beforeLines="50" w:after="50"/>
        <w:ind w:firstLine="932" w:firstLineChars="444"/>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项目编号：   </w:t>
      </w:r>
    </w:p>
    <w:p>
      <w:pPr>
        <w:widowControl/>
        <w:snapToGrid w:val="0"/>
        <w:spacing w:before="142" w:beforeLines="50" w:after="50"/>
        <w:ind w:firstLine="932" w:firstLineChars="444"/>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标项号：</w:t>
      </w:r>
    </w:p>
    <w:p>
      <w:pPr>
        <w:widowControl/>
        <w:snapToGrid w:val="0"/>
        <w:spacing w:before="142" w:beforeLines="50" w:after="50"/>
        <w:ind w:firstLine="932" w:firstLineChars="444"/>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snapToGrid w:val="0"/>
        <w:spacing w:before="50" w:after="50"/>
        <w:ind w:firstLine="932" w:firstLineChars="444"/>
        <w:rPr>
          <w:rFonts w:hint="eastAsia" w:ascii="宋体" w:hAnsi="宋体" w:cs="宋体"/>
          <w:color w:val="auto"/>
          <w:szCs w:val="21"/>
          <w:highlight w:val="none"/>
        </w:rPr>
      </w:pPr>
      <w:r>
        <w:rPr>
          <w:rFonts w:hint="eastAsia" w:ascii="宋体" w:hAnsi="宋体" w:cs="宋体"/>
          <w:color w:val="auto"/>
          <w:szCs w:val="21"/>
          <w:highlight w:val="none"/>
          <w:lang w:bidi="ar"/>
        </w:rPr>
        <w:t>供应商名称：</w:t>
      </w:r>
    </w:p>
    <w:p>
      <w:pPr>
        <w:snapToGrid w:val="0"/>
        <w:spacing w:before="50" w:after="50"/>
        <w:ind w:firstLine="932" w:firstLineChars="444"/>
        <w:rPr>
          <w:rFonts w:hint="eastAsia" w:ascii="宋体" w:hAnsi="宋体" w:cs="宋体"/>
          <w:color w:val="auto"/>
          <w:szCs w:val="21"/>
          <w:highlight w:val="none"/>
        </w:rPr>
      </w:pPr>
      <w:r>
        <w:rPr>
          <w:rFonts w:hint="eastAsia" w:ascii="宋体" w:hAnsi="宋体" w:cs="宋体"/>
          <w:color w:val="auto"/>
          <w:szCs w:val="21"/>
          <w:highlight w:val="none"/>
          <w:lang w:bidi="ar"/>
        </w:rPr>
        <w:t>供应商地址：</w:t>
      </w:r>
    </w:p>
    <w:p>
      <w:pPr>
        <w:snapToGrid w:val="0"/>
        <w:spacing w:before="50" w:after="50"/>
        <w:ind w:firstLine="932" w:firstLineChars="444"/>
        <w:jc w:val="center"/>
        <w:rPr>
          <w:rFonts w:hint="eastAsia" w:ascii="宋体" w:hAnsi="宋体" w:cs="宋体"/>
          <w:color w:val="auto"/>
          <w:szCs w:val="21"/>
          <w:highlight w:val="none"/>
        </w:rPr>
      </w:pPr>
      <w:r>
        <w:rPr>
          <w:rFonts w:hint="eastAsia" w:ascii="宋体" w:hAnsi="宋体" w:cs="宋体"/>
          <w:color w:val="auto"/>
          <w:szCs w:val="21"/>
          <w:highlight w:val="none"/>
          <w:lang w:bidi="ar"/>
        </w:rPr>
        <w:t>开标时启封</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（供应商公章）</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年  月  日</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142" w:beforeLines="50" w:after="50"/>
        <w:jc w:val="left"/>
        <w:rPr>
          <w:rFonts w:hint="eastAsia" w:ascii="宋体" w:hAnsi="宋体" w:cs="宋体"/>
          <w:color w:val="auto"/>
          <w:kern w:val="0"/>
          <w:szCs w:val="21"/>
          <w:highlight w:val="none"/>
        </w:rPr>
      </w:pPr>
      <w:r>
        <w:rPr>
          <w:rFonts w:hint="eastAsia" w:ascii="宋体" w:hAnsi="宋体" w:cs="宋体"/>
          <w:b/>
          <w:color w:val="auto"/>
          <w:kern w:val="0"/>
          <w:szCs w:val="21"/>
          <w:highlight w:val="none"/>
          <w:lang w:bidi="ar"/>
        </w:rPr>
        <w:t>2.报价文件封面格式：</w:t>
      </w:r>
      <w:r>
        <w:rPr>
          <w:rFonts w:hint="eastAsia" w:ascii="宋体" w:hAnsi="宋体" w:cs="宋体"/>
          <w:color w:val="auto"/>
          <w:kern w:val="0"/>
          <w:szCs w:val="21"/>
          <w:highlight w:val="none"/>
          <w:lang w:bidi="ar"/>
        </w:rPr>
        <w:t xml:space="preserve"> </w:t>
      </w:r>
    </w:p>
    <w:p>
      <w:pPr>
        <w:widowControl/>
        <w:snapToGrid w:val="0"/>
        <w:spacing w:before="142" w:beforeLines="50" w:after="50"/>
        <w:jc w:val="left"/>
        <w:rPr>
          <w:rFonts w:hint="eastAsia" w:ascii="宋体" w:hAnsi="宋体" w:cs="宋体"/>
          <w:b/>
          <w:color w:val="auto"/>
          <w:kern w:val="0"/>
          <w:szCs w:val="21"/>
          <w:highlight w:val="none"/>
        </w:rPr>
      </w:pPr>
      <w:r>
        <w:rPr>
          <w:rFonts w:hint="eastAsia" w:ascii="宋体" w:hAnsi="宋体" w:cs="宋体"/>
          <w:color w:val="auto"/>
          <w:kern w:val="0"/>
          <w:szCs w:val="21"/>
          <w:highlight w:val="none"/>
          <w:lang w:bidi="ar"/>
        </w:rPr>
        <w:t xml:space="preserve">                                                    </w:t>
      </w:r>
      <w:r>
        <w:rPr>
          <w:rFonts w:hint="eastAsia" w:ascii="宋体" w:hAnsi="宋体" w:cs="宋体"/>
          <w:b/>
          <w:color w:val="auto"/>
          <w:kern w:val="0"/>
          <w:szCs w:val="21"/>
          <w:highlight w:val="none"/>
          <w:lang w:bidi="ar"/>
        </w:rPr>
        <w:t>正本/或副本</w:t>
      </w:r>
    </w:p>
    <w:p>
      <w:pPr>
        <w:widowControl/>
        <w:snapToGrid w:val="0"/>
        <w:spacing w:before="142"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142" w:beforeLines="50" w:after="50"/>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报价文件</w:t>
      </w:r>
    </w:p>
    <w:p>
      <w:pPr>
        <w:widowControl/>
        <w:snapToGrid w:val="0"/>
        <w:spacing w:before="142"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142"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项目名称： </w:t>
      </w:r>
    </w:p>
    <w:p>
      <w:pPr>
        <w:widowControl/>
        <w:snapToGrid w:val="0"/>
        <w:spacing w:before="142" w:beforeLines="50" w:after="50"/>
        <w:ind w:firstLine="501" w:firstLineChars="239"/>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项目编号： </w:t>
      </w:r>
    </w:p>
    <w:p>
      <w:pPr>
        <w:widowControl/>
        <w:snapToGrid w:val="0"/>
        <w:spacing w:before="142" w:beforeLines="50" w:after="50"/>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标项号：</w:t>
      </w:r>
    </w:p>
    <w:p>
      <w:pPr>
        <w:widowControl/>
        <w:snapToGrid w:val="0"/>
        <w:spacing w:before="142" w:beforeLines="50" w:after="50"/>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snapToGrid w:val="0"/>
        <w:spacing w:before="142" w:beforeLines="50" w:after="50"/>
        <w:ind w:firstLine="501" w:firstLineChars="239"/>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供应商名称：</w:t>
      </w:r>
    </w:p>
    <w:p>
      <w:pPr>
        <w:snapToGrid w:val="0"/>
        <w:spacing w:before="50" w:after="50"/>
        <w:ind w:firstLine="501" w:firstLineChars="239"/>
        <w:rPr>
          <w:rFonts w:hint="eastAsia" w:ascii="宋体" w:hAnsi="宋体" w:cs="宋体"/>
          <w:color w:val="auto"/>
          <w:szCs w:val="21"/>
          <w:highlight w:val="none"/>
        </w:rPr>
      </w:pPr>
      <w:r>
        <w:rPr>
          <w:rFonts w:hint="eastAsia" w:ascii="宋体" w:hAnsi="宋体" w:cs="宋体"/>
          <w:color w:val="auto"/>
          <w:szCs w:val="21"/>
          <w:highlight w:val="none"/>
          <w:lang w:bidi="ar"/>
        </w:rPr>
        <w:t>供应商地址：</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（供应商公章）</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年  月  日</w:t>
      </w:r>
    </w:p>
    <w:p>
      <w:pPr>
        <w:widowControl/>
        <w:snapToGrid w:val="0"/>
        <w:spacing w:before="295" w:after="295"/>
        <w:jc w:val="center"/>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widowControl/>
        <w:snapToGrid w:val="0"/>
        <w:spacing w:before="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br w:type="page"/>
      </w:r>
      <w:r>
        <w:rPr>
          <w:rFonts w:hint="eastAsia" w:ascii="宋体" w:hAnsi="宋体" w:cs="宋体"/>
          <w:color w:val="auto"/>
          <w:kern w:val="0"/>
          <w:szCs w:val="21"/>
          <w:highlight w:val="none"/>
          <w:lang w:bidi="ar"/>
        </w:rPr>
        <w:t>3.</w:t>
      </w:r>
      <w:r>
        <w:rPr>
          <w:rFonts w:hint="eastAsia" w:ascii="宋体" w:hAnsi="宋体" w:cs="宋体"/>
          <w:b/>
          <w:color w:val="auto"/>
          <w:kern w:val="0"/>
          <w:szCs w:val="21"/>
          <w:highlight w:val="none"/>
          <w:lang w:bidi="ar"/>
        </w:rPr>
        <w:t xml:space="preserve"> 报价文件目录</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w:t>
      </w:r>
    </w:p>
    <w:p>
      <w:pPr>
        <w:widowControl/>
        <w:numPr>
          <w:ilvl w:val="0"/>
          <w:numId w:val="26"/>
        </w:numPr>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开标一览表（格式见附件）；</w:t>
      </w:r>
    </w:p>
    <w:p>
      <w:pPr>
        <w:widowControl/>
        <w:numPr>
          <w:ilvl w:val="0"/>
          <w:numId w:val="26"/>
        </w:numPr>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投标报价明细表格式（格式见附件）；</w:t>
      </w:r>
    </w:p>
    <w:p>
      <w:pPr>
        <w:widowControl/>
        <w:numPr>
          <w:ilvl w:val="0"/>
          <w:numId w:val="26"/>
        </w:numPr>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中小企业声明函（如有）（格式见附件）；</w:t>
      </w:r>
    </w:p>
    <w:p>
      <w:pPr>
        <w:widowControl/>
        <w:numPr>
          <w:ilvl w:val="0"/>
          <w:numId w:val="26"/>
        </w:numPr>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残疾人福利性单位声明函（如有）（格式见附件）；</w:t>
      </w:r>
    </w:p>
    <w:p>
      <w:pPr>
        <w:widowControl/>
        <w:numPr>
          <w:ilvl w:val="0"/>
          <w:numId w:val="26"/>
        </w:numPr>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供应商针对报价需要说明的其他文件和说明（格式见附件）；</w:t>
      </w:r>
    </w:p>
    <w:p>
      <w:pPr>
        <w:spacing w:line="360" w:lineRule="auto"/>
        <w:rPr>
          <w:rFonts w:hint="eastAsia" w:ascii="宋体" w:hAnsi="宋体" w:cs="宋体"/>
          <w:b/>
          <w:color w:val="auto"/>
          <w:kern w:val="0"/>
          <w:szCs w:val="21"/>
          <w:highlight w:val="none"/>
        </w:rPr>
        <w:sectPr>
          <w:pgSz w:w="11906" w:h="16838"/>
          <w:pgMar w:top="1304" w:right="1797" w:bottom="1247" w:left="1797" w:header="851" w:footer="851" w:gutter="0"/>
          <w:pgBorders w:offsetFrom="page">
            <w:top w:val="none" w:sz="0" w:space="0"/>
            <w:left w:val="none" w:sz="0" w:space="0"/>
            <w:bottom w:val="none" w:sz="0" w:space="0"/>
            <w:right w:val="none" w:sz="0" w:space="0"/>
          </w:pgBorders>
          <w:pgNumType w:fmt="decimal"/>
          <w:cols w:space="720" w:num="1"/>
          <w:docGrid w:type="lines" w:linePitch="285" w:charSpace="0"/>
        </w:sectPr>
      </w:pPr>
    </w:p>
    <w:p>
      <w:pPr>
        <w:widowControl/>
        <w:snapToGrid w:val="0"/>
        <w:spacing w:before="142" w:beforeLines="50" w:after="50"/>
        <w:jc w:val="left"/>
        <w:rPr>
          <w:rFonts w:hint="eastAsia" w:ascii="宋体" w:hAnsi="宋体" w:cs="宋体"/>
          <w:color w:val="auto"/>
          <w:kern w:val="0"/>
          <w:szCs w:val="21"/>
          <w:highlight w:val="none"/>
          <w:u w:val="single"/>
        </w:rPr>
      </w:pPr>
      <w:r>
        <w:rPr>
          <w:rFonts w:hint="eastAsia" w:ascii="宋体" w:hAnsi="宋体" w:cs="宋体"/>
          <w:b/>
          <w:color w:val="auto"/>
          <w:kern w:val="0"/>
          <w:szCs w:val="21"/>
          <w:highlight w:val="none"/>
          <w:lang w:bidi="ar"/>
        </w:rPr>
        <w:t>4. 开标一览表</w:t>
      </w:r>
    </w:p>
    <w:p>
      <w:pPr>
        <w:widowControl/>
        <w:snapToGrid w:val="0"/>
        <w:spacing w:before="142" w:beforeLines="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开标一览表</w:t>
      </w:r>
    </w:p>
    <w:p>
      <w:pPr>
        <w:widowControl/>
        <w:snapToGrid w:val="0"/>
        <w:spacing w:before="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tabs>
          <w:tab w:val="left" w:pos="1418"/>
        </w:tabs>
        <w:snapToGrid w:val="0"/>
        <w:spacing w:line="400" w:lineRule="exact"/>
        <w:ind w:firstLine="420" w:firstLineChars="200"/>
        <w:rPr>
          <w:rFonts w:hint="eastAsia" w:ascii="宋体" w:hAnsi="宋体"/>
          <w:szCs w:val="21"/>
        </w:rPr>
      </w:pPr>
      <w:r>
        <w:rPr>
          <w:rFonts w:hint="eastAsia" w:ascii="宋体" w:hAnsi="宋体" w:cs="宋体"/>
          <w:color w:val="auto"/>
          <w:kern w:val="0"/>
          <w:szCs w:val="21"/>
          <w:highlight w:val="none"/>
          <w:lang w:bidi="ar"/>
        </w:rPr>
        <w:t xml:space="preserve">  </w:t>
      </w:r>
      <w:r>
        <w:rPr>
          <w:rFonts w:hint="eastAsia"/>
        </w:rPr>
        <w:t xml:space="preserve">项目名称：                               项目编号：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264"/>
        <w:gridCol w:w="1620"/>
        <w:gridCol w:w="720"/>
        <w:gridCol w:w="798"/>
        <w:gridCol w:w="957"/>
        <w:gridCol w:w="1080"/>
        <w:gridCol w:w="130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48" w:type="dxa"/>
            <w:noWrap w:val="0"/>
            <w:vAlign w:val="center"/>
          </w:tcPr>
          <w:p>
            <w:pPr>
              <w:jc w:val="center"/>
              <w:rPr>
                <w:rFonts w:hint="eastAsia" w:ascii="宋体" w:hAnsi="宋体"/>
                <w:szCs w:val="21"/>
              </w:rPr>
            </w:pPr>
            <w:r>
              <w:rPr>
                <w:rFonts w:hint="eastAsia" w:ascii="宋体" w:hAnsi="宋体"/>
                <w:szCs w:val="21"/>
              </w:rPr>
              <w:t>序号</w:t>
            </w:r>
          </w:p>
        </w:tc>
        <w:tc>
          <w:tcPr>
            <w:tcW w:w="1884" w:type="dxa"/>
            <w:gridSpan w:val="2"/>
            <w:noWrap w:val="0"/>
            <w:vAlign w:val="center"/>
          </w:tcPr>
          <w:p>
            <w:pPr>
              <w:jc w:val="center"/>
            </w:pPr>
            <w:r>
              <w:rPr>
                <w:rFonts w:hint="eastAsia"/>
              </w:rPr>
              <w:t>货物名称</w:t>
            </w:r>
          </w:p>
        </w:tc>
        <w:tc>
          <w:tcPr>
            <w:tcW w:w="720" w:type="dxa"/>
            <w:noWrap w:val="0"/>
            <w:vAlign w:val="center"/>
          </w:tcPr>
          <w:p>
            <w:pPr>
              <w:jc w:val="center"/>
              <w:rPr>
                <w:rFonts w:hint="eastAsia"/>
              </w:rPr>
            </w:pPr>
            <w:r>
              <w:rPr>
                <w:rFonts w:hint="eastAsia"/>
              </w:rPr>
              <w:t>数量</w:t>
            </w:r>
          </w:p>
        </w:tc>
        <w:tc>
          <w:tcPr>
            <w:tcW w:w="798" w:type="dxa"/>
            <w:noWrap w:val="0"/>
            <w:vAlign w:val="center"/>
          </w:tcPr>
          <w:p>
            <w:pPr>
              <w:jc w:val="center"/>
              <w:rPr>
                <w:rFonts w:hint="eastAsia"/>
              </w:rPr>
            </w:pPr>
            <w:r>
              <w:rPr>
                <w:rFonts w:hint="eastAsia"/>
              </w:rPr>
              <w:t>单位</w:t>
            </w:r>
          </w:p>
        </w:tc>
        <w:tc>
          <w:tcPr>
            <w:tcW w:w="957" w:type="dxa"/>
            <w:noWrap w:val="0"/>
            <w:vAlign w:val="center"/>
          </w:tcPr>
          <w:p>
            <w:pPr>
              <w:jc w:val="center"/>
            </w:pPr>
            <w:r>
              <w:rPr>
                <w:rFonts w:hint="eastAsia"/>
              </w:rPr>
              <w:t>单价（人民币元）</w:t>
            </w:r>
          </w:p>
        </w:tc>
        <w:tc>
          <w:tcPr>
            <w:tcW w:w="1080" w:type="dxa"/>
            <w:noWrap w:val="0"/>
            <w:vAlign w:val="center"/>
          </w:tcPr>
          <w:p>
            <w:pPr>
              <w:jc w:val="center"/>
            </w:pPr>
            <w:r>
              <w:rPr>
                <w:rFonts w:hint="eastAsia"/>
              </w:rPr>
              <w:t>合计（人民币元）</w:t>
            </w:r>
          </w:p>
        </w:tc>
        <w:tc>
          <w:tcPr>
            <w:tcW w:w="1305" w:type="dxa"/>
            <w:noWrap w:val="0"/>
            <w:vAlign w:val="center"/>
          </w:tcPr>
          <w:p>
            <w:pPr>
              <w:jc w:val="center"/>
              <w:rPr>
                <w:rFonts w:hint="eastAsia"/>
              </w:rPr>
            </w:pPr>
            <w:r>
              <w:rPr>
                <w:rFonts w:hint="eastAsia"/>
              </w:rPr>
              <w:t>完工时间（工作日）</w:t>
            </w:r>
          </w:p>
        </w:tc>
        <w:tc>
          <w:tcPr>
            <w:tcW w:w="1035"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48" w:type="dxa"/>
            <w:noWrap w:val="0"/>
            <w:vAlign w:val="center"/>
          </w:tcPr>
          <w:p>
            <w:pPr>
              <w:jc w:val="center"/>
              <w:rPr>
                <w:rFonts w:hint="eastAsia" w:ascii="宋体" w:hAnsi="宋体"/>
                <w:szCs w:val="21"/>
              </w:rPr>
            </w:pPr>
          </w:p>
          <w:p>
            <w:pPr>
              <w:jc w:val="center"/>
              <w:rPr>
                <w:rFonts w:hint="eastAsia" w:ascii="宋体" w:hAnsi="宋体"/>
                <w:szCs w:val="21"/>
              </w:rPr>
            </w:pPr>
          </w:p>
        </w:tc>
        <w:tc>
          <w:tcPr>
            <w:tcW w:w="1884" w:type="dxa"/>
            <w:gridSpan w:val="2"/>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98" w:type="dxa"/>
            <w:noWrap w:val="0"/>
            <w:vAlign w:val="center"/>
          </w:tcPr>
          <w:p>
            <w:pPr>
              <w:jc w:val="center"/>
              <w:rPr>
                <w:rFonts w:hint="eastAsia" w:ascii="宋体" w:hAnsi="宋体"/>
                <w:szCs w:val="21"/>
              </w:rPr>
            </w:pPr>
          </w:p>
        </w:tc>
        <w:tc>
          <w:tcPr>
            <w:tcW w:w="957" w:type="dxa"/>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p>
        </w:tc>
        <w:tc>
          <w:tcPr>
            <w:tcW w:w="1305"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48" w:type="dxa"/>
            <w:noWrap w:val="0"/>
            <w:vAlign w:val="center"/>
          </w:tcPr>
          <w:p>
            <w:pPr>
              <w:jc w:val="center"/>
              <w:rPr>
                <w:rFonts w:hint="eastAsia" w:ascii="宋体" w:hAnsi="宋体"/>
                <w:szCs w:val="21"/>
              </w:rPr>
            </w:pPr>
          </w:p>
        </w:tc>
        <w:tc>
          <w:tcPr>
            <w:tcW w:w="1884" w:type="dxa"/>
            <w:gridSpan w:val="2"/>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98" w:type="dxa"/>
            <w:noWrap w:val="0"/>
            <w:vAlign w:val="center"/>
          </w:tcPr>
          <w:p>
            <w:pPr>
              <w:jc w:val="center"/>
              <w:rPr>
                <w:rFonts w:hint="eastAsia" w:ascii="宋体" w:hAnsi="宋体"/>
                <w:szCs w:val="21"/>
              </w:rPr>
            </w:pPr>
          </w:p>
        </w:tc>
        <w:tc>
          <w:tcPr>
            <w:tcW w:w="957" w:type="dxa"/>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p>
        </w:tc>
        <w:tc>
          <w:tcPr>
            <w:tcW w:w="1305"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48" w:type="dxa"/>
            <w:noWrap w:val="0"/>
            <w:vAlign w:val="center"/>
          </w:tcPr>
          <w:p>
            <w:pPr>
              <w:jc w:val="center"/>
              <w:rPr>
                <w:rFonts w:hint="eastAsia" w:ascii="宋体" w:hAnsi="宋体"/>
                <w:szCs w:val="21"/>
              </w:rPr>
            </w:pPr>
          </w:p>
        </w:tc>
        <w:tc>
          <w:tcPr>
            <w:tcW w:w="1884" w:type="dxa"/>
            <w:gridSpan w:val="2"/>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98" w:type="dxa"/>
            <w:noWrap w:val="0"/>
            <w:vAlign w:val="center"/>
          </w:tcPr>
          <w:p>
            <w:pPr>
              <w:jc w:val="center"/>
              <w:rPr>
                <w:rFonts w:hint="eastAsia" w:ascii="宋体" w:hAnsi="宋体"/>
                <w:szCs w:val="21"/>
              </w:rPr>
            </w:pPr>
          </w:p>
        </w:tc>
        <w:tc>
          <w:tcPr>
            <w:tcW w:w="957" w:type="dxa"/>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p>
        </w:tc>
        <w:tc>
          <w:tcPr>
            <w:tcW w:w="1305"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48" w:type="dxa"/>
            <w:noWrap w:val="0"/>
            <w:vAlign w:val="center"/>
          </w:tcPr>
          <w:p>
            <w:pPr>
              <w:jc w:val="center"/>
              <w:rPr>
                <w:rFonts w:hint="eastAsia" w:ascii="宋体" w:hAnsi="宋体"/>
                <w:szCs w:val="21"/>
              </w:rPr>
            </w:pPr>
          </w:p>
        </w:tc>
        <w:tc>
          <w:tcPr>
            <w:tcW w:w="1884" w:type="dxa"/>
            <w:gridSpan w:val="2"/>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98" w:type="dxa"/>
            <w:noWrap w:val="0"/>
            <w:vAlign w:val="center"/>
          </w:tcPr>
          <w:p>
            <w:pPr>
              <w:jc w:val="center"/>
              <w:rPr>
                <w:rFonts w:hint="eastAsia" w:ascii="宋体" w:hAnsi="宋体"/>
                <w:szCs w:val="21"/>
              </w:rPr>
            </w:pPr>
          </w:p>
        </w:tc>
        <w:tc>
          <w:tcPr>
            <w:tcW w:w="957" w:type="dxa"/>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p>
        </w:tc>
        <w:tc>
          <w:tcPr>
            <w:tcW w:w="1305"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48" w:type="dxa"/>
            <w:noWrap w:val="0"/>
            <w:vAlign w:val="center"/>
          </w:tcPr>
          <w:p>
            <w:pPr>
              <w:jc w:val="center"/>
              <w:rPr>
                <w:rFonts w:hint="eastAsia" w:ascii="宋体" w:hAnsi="宋体"/>
                <w:szCs w:val="21"/>
              </w:rPr>
            </w:pPr>
          </w:p>
        </w:tc>
        <w:tc>
          <w:tcPr>
            <w:tcW w:w="1884" w:type="dxa"/>
            <w:gridSpan w:val="2"/>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98" w:type="dxa"/>
            <w:noWrap w:val="0"/>
            <w:vAlign w:val="center"/>
          </w:tcPr>
          <w:p>
            <w:pPr>
              <w:jc w:val="center"/>
              <w:rPr>
                <w:rFonts w:hint="eastAsia" w:ascii="宋体" w:hAnsi="宋体"/>
                <w:szCs w:val="21"/>
              </w:rPr>
            </w:pPr>
          </w:p>
        </w:tc>
        <w:tc>
          <w:tcPr>
            <w:tcW w:w="957" w:type="dxa"/>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p>
        </w:tc>
        <w:tc>
          <w:tcPr>
            <w:tcW w:w="1305"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48" w:type="dxa"/>
            <w:noWrap w:val="0"/>
            <w:vAlign w:val="center"/>
          </w:tcPr>
          <w:p>
            <w:pPr>
              <w:jc w:val="center"/>
              <w:rPr>
                <w:rFonts w:hint="eastAsia" w:ascii="宋体" w:hAnsi="宋体"/>
                <w:szCs w:val="21"/>
              </w:rPr>
            </w:pPr>
          </w:p>
        </w:tc>
        <w:tc>
          <w:tcPr>
            <w:tcW w:w="1884" w:type="dxa"/>
            <w:gridSpan w:val="2"/>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98" w:type="dxa"/>
            <w:noWrap w:val="0"/>
            <w:vAlign w:val="center"/>
          </w:tcPr>
          <w:p>
            <w:pPr>
              <w:jc w:val="center"/>
              <w:rPr>
                <w:rFonts w:hint="eastAsia" w:ascii="宋体" w:hAnsi="宋体"/>
                <w:szCs w:val="21"/>
              </w:rPr>
            </w:pPr>
          </w:p>
        </w:tc>
        <w:tc>
          <w:tcPr>
            <w:tcW w:w="957" w:type="dxa"/>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p>
        </w:tc>
        <w:tc>
          <w:tcPr>
            <w:tcW w:w="1305"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48" w:type="dxa"/>
            <w:noWrap w:val="0"/>
            <w:vAlign w:val="center"/>
          </w:tcPr>
          <w:p>
            <w:pPr>
              <w:jc w:val="center"/>
              <w:rPr>
                <w:rFonts w:hint="eastAsia" w:ascii="宋体" w:hAnsi="宋体"/>
                <w:szCs w:val="21"/>
              </w:rPr>
            </w:pPr>
          </w:p>
        </w:tc>
        <w:tc>
          <w:tcPr>
            <w:tcW w:w="1884" w:type="dxa"/>
            <w:gridSpan w:val="2"/>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98" w:type="dxa"/>
            <w:noWrap w:val="0"/>
            <w:vAlign w:val="center"/>
          </w:tcPr>
          <w:p>
            <w:pPr>
              <w:jc w:val="center"/>
              <w:rPr>
                <w:rFonts w:hint="eastAsia" w:ascii="宋体" w:hAnsi="宋体"/>
                <w:szCs w:val="21"/>
              </w:rPr>
            </w:pPr>
          </w:p>
        </w:tc>
        <w:tc>
          <w:tcPr>
            <w:tcW w:w="957" w:type="dxa"/>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p>
        </w:tc>
        <w:tc>
          <w:tcPr>
            <w:tcW w:w="1305"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327" w:type="dxa"/>
            <w:gridSpan w:val="9"/>
            <w:noWrap w:val="0"/>
            <w:vAlign w:val="center"/>
          </w:tcPr>
          <w:p>
            <w:pPr>
              <w:rPr>
                <w:rFonts w:hint="eastAsia" w:ascii="宋体" w:hAnsi="宋体"/>
                <w:szCs w:val="21"/>
              </w:rPr>
            </w:pPr>
            <w:r>
              <w:rPr>
                <w:rFonts w:hint="eastAsia" w:ascii="宋体" w:hAnsi="宋体"/>
                <w:szCs w:val="21"/>
              </w:rPr>
              <w:t>投标总价金额大写：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812" w:type="dxa"/>
            <w:gridSpan w:val="2"/>
            <w:noWrap w:val="0"/>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投标声明</w:t>
            </w:r>
          </w:p>
          <w:p>
            <w:pPr>
              <w:jc w:val="center"/>
              <w:rPr>
                <w:rFonts w:hint="eastAsia" w:ascii="宋体" w:hAnsi="宋体"/>
                <w:szCs w:val="21"/>
              </w:rPr>
            </w:pPr>
          </w:p>
        </w:tc>
        <w:tc>
          <w:tcPr>
            <w:tcW w:w="7515" w:type="dxa"/>
            <w:gridSpan w:val="7"/>
            <w:noWrap w:val="0"/>
            <w:vAlign w:val="center"/>
          </w:tcPr>
          <w:p>
            <w:pPr>
              <w:jc w:val="center"/>
              <w:rPr>
                <w:rFonts w:ascii="宋体" w:hAnsi="宋体"/>
                <w:szCs w:val="21"/>
              </w:rPr>
            </w:pPr>
          </w:p>
          <w:p>
            <w:pPr>
              <w:widowControl/>
              <w:jc w:val="left"/>
              <w:rPr>
                <w:rFonts w:hint="eastAsia" w:ascii="宋体" w:hAnsi="宋体"/>
                <w:szCs w:val="21"/>
              </w:rPr>
            </w:pPr>
          </w:p>
          <w:p>
            <w:pPr>
              <w:jc w:val="center"/>
              <w:rPr>
                <w:rFonts w:hint="eastAsia" w:ascii="宋体" w:hAnsi="宋体"/>
                <w:szCs w:val="21"/>
              </w:rPr>
            </w:pPr>
          </w:p>
        </w:tc>
      </w:tr>
    </w:tbl>
    <w:p>
      <w:pPr>
        <w:pStyle w:val="9"/>
        <w:spacing w:line="400" w:lineRule="exact"/>
        <w:ind w:firstLine="0"/>
        <w:rPr>
          <w:rFonts w:hint="eastAsia" w:hAnsi="宋体"/>
          <w:sz w:val="21"/>
          <w:szCs w:val="21"/>
          <w:u w:val="single"/>
        </w:rPr>
      </w:pPr>
    </w:p>
    <w:p>
      <w:pPr>
        <w:pStyle w:val="9"/>
        <w:spacing w:line="400" w:lineRule="exact"/>
        <w:ind w:firstLine="420" w:firstLineChars="200"/>
        <w:rPr>
          <w:rFonts w:hint="eastAsia" w:hAnsi="宋体"/>
          <w:sz w:val="21"/>
          <w:szCs w:val="21"/>
        </w:rPr>
      </w:pPr>
      <w:r>
        <w:rPr>
          <w:rFonts w:hint="eastAsia" w:hAnsi="宋体"/>
          <w:sz w:val="21"/>
          <w:szCs w:val="21"/>
        </w:rPr>
        <w:t>注：“投标总价”应与 “投标分项报价表”中“投标总价”一致。</w:t>
      </w:r>
    </w:p>
    <w:p>
      <w:pPr>
        <w:pStyle w:val="9"/>
        <w:spacing w:line="400" w:lineRule="exact"/>
        <w:ind w:firstLine="420" w:firstLineChars="200"/>
        <w:rPr>
          <w:rFonts w:hint="eastAsia" w:hAnsi="宋体"/>
          <w:sz w:val="21"/>
          <w:szCs w:val="21"/>
        </w:rPr>
      </w:pPr>
    </w:p>
    <w:p>
      <w:pPr>
        <w:pStyle w:val="9"/>
        <w:spacing w:line="400" w:lineRule="exact"/>
        <w:ind w:firstLine="420" w:firstLineChars="200"/>
        <w:rPr>
          <w:rFonts w:hint="eastAsia" w:hAnsi="宋体"/>
          <w:sz w:val="21"/>
          <w:szCs w:val="21"/>
        </w:rPr>
      </w:pPr>
      <w:r>
        <w:rPr>
          <w:rFonts w:hint="eastAsia" w:hAnsi="宋体"/>
          <w:sz w:val="21"/>
          <w:szCs w:val="21"/>
        </w:rPr>
        <w:t>投 标 人（盖章）：</w:t>
      </w:r>
    </w:p>
    <w:p>
      <w:pPr>
        <w:pStyle w:val="9"/>
        <w:spacing w:line="400" w:lineRule="exact"/>
        <w:ind w:firstLine="420" w:firstLineChars="200"/>
        <w:rPr>
          <w:rFonts w:hint="eastAsia" w:hAnsi="宋体"/>
          <w:sz w:val="21"/>
          <w:szCs w:val="21"/>
        </w:rPr>
      </w:pPr>
      <w:r>
        <w:rPr>
          <w:rFonts w:hint="eastAsia" w:hAnsi="宋体"/>
          <w:sz w:val="21"/>
          <w:szCs w:val="21"/>
        </w:rPr>
        <w:t>法定代表人／负责人或授权代表（签字）：</w:t>
      </w:r>
    </w:p>
    <w:p>
      <w:pPr>
        <w:spacing w:line="400" w:lineRule="exact"/>
        <w:ind w:firstLine="420" w:firstLineChars="200"/>
        <w:rPr>
          <w:rFonts w:ascii="宋体" w:hAnsi="宋体"/>
          <w:szCs w:val="21"/>
        </w:rPr>
      </w:pPr>
      <w:r>
        <w:rPr>
          <w:rFonts w:hint="eastAsia" w:ascii="宋体" w:hAnsi="宋体"/>
          <w:szCs w:val="21"/>
        </w:rPr>
        <w:t>日期：</w:t>
      </w:r>
    </w:p>
    <w:p>
      <w:pPr>
        <w:spacing w:line="400" w:lineRule="exact"/>
        <w:ind w:firstLine="420" w:firstLineChars="200"/>
        <w:rPr>
          <w:rFonts w:ascii="宋体" w:hAnsi="宋体"/>
          <w:szCs w:val="21"/>
        </w:rPr>
      </w:pPr>
    </w:p>
    <w:p>
      <w:pPr>
        <w:snapToGrid w:val="0"/>
        <w:rPr>
          <w:rFonts w:hint="eastAsia" w:ascii="宋体" w:hAnsi="宋体" w:cs="宋体"/>
          <w:b/>
          <w:color w:val="auto"/>
          <w:szCs w:val="21"/>
          <w:highlight w:val="none"/>
          <w:lang w:bidi="ar"/>
        </w:rPr>
      </w:pPr>
    </w:p>
    <w:p>
      <w:pPr>
        <w:snapToGrid w:val="0"/>
        <w:rPr>
          <w:rFonts w:hint="eastAsia" w:ascii="宋体" w:hAnsi="宋体" w:cs="宋体"/>
          <w:b/>
          <w:color w:val="auto"/>
          <w:szCs w:val="21"/>
          <w:highlight w:val="none"/>
          <w:lang w:bidi="ar"/>
        </w:rPr>
      </w:pPr>
    </w:p>
    <w:p>
      <w:pPr>
        <w:snapToGrid w:val="0"/>
        <w:rPr>
          <w:rFonts w:hint="eastAsia" w:ascii="宋体" w:hAnsi="宋体" w:cs="宋体"/>
          <w:b/>
          <w:color w:val="auto"/>
          <w:szCs w:val="21"/>
          <w:highlight w:val="none"/>
        </w:rPr>
      </w:pPr>
      <w:r>
        <w:rPr>
          <w:rFonts w:hint="eastAsia" w:ascii="宋体" w:hAnsi="宋体" w:cs="宋体"/>
          <w:b/>
          <w:color w:val="auto"/>
          <w:szCs w:val="21"/>
          <w:highlight w:val="none"/>
          <w:lang w:bidi="ar"/>
        </w:rPr>
        <w:t>5.投标报价明细表格式</w:t>
      </w:r>
    </w:p>
    <w:p>
      <w:pPr>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lang w:bidi="ar"/>
        </w:rPr>
        <w:t>投标报价明细表</w:t>
      </w:r>
    </w:p>
    <w:p>
      <w:pPr>
        <w:pStyle w:val="12"/>
        <w:snapToGrid w:val="0"/>
        <w:spacing w:before="0" w:beforeLines="0" w:after="0" w:afterLines="0"/>
        <w:jc w:val="center"/>
        <w:rPr>
          <w:rFonts w:hint="eastAsia" w:hAnsi="宋体"/>
          <w:sz w:val="21"/>
          <w:szCs w:val="21"/>
        </w:rPr>
      </w:pPr>
    </w:p>
    <w:p>
      <w:pPr>
        <w:pStyle w:val="12"/>
        <w:snapToGrid w:val="0"/>
        <w:spacing w:before="0" w:beforeLines="0" w:after="0" w:afterLines="0"/>
        <w:ind w:firstLine="420" w:firstLineChars="200"/>
        <w:rPr>
          <w:rFonts w:hAnsi="宋体"/>
          <w:sz w:val="21"/>
          <w:szCs w:val="21"/>
        </w:rPr>
      </w:pPr>
      <w:r>
        <w:rPr>
          <w:rFonts w:hAnsi="宋体"/>
          <w:sz w:val="21"/>
          <w:szCs w:val="21"/>
        </w:rPr>
        <w:t>标项：</w:t>
      </w:r>
      <w:r>
        <w:rPr>
          <w:rFonts w:hAnsi="宋体"/>
          <w:sz w:val="21"/>
          <w:szCs w:val="21"/>
          <w:u w:val="single"/>
        </w:rPr>
        <w:t xml:space="preserve">              </w:t>
      </w:r>
      <w:r>
        <w:rPr>
          <w:rFonts w:hAnsi="宋体"/>
          <w:sz w:val="21"/>
          <w:szCs w:val="21"/>
        </w:rPr>
        <w:t xml:space="preserve"> </w:t>
      </w:r>
      <w:r>
        <w:rPr>
          <w:rFonts w:hint="eastAsia" w:hAnsi="宋体"/>
          <w:sz w:val="21"/>
          <w:szCs w:val="21"/>
        </w:rPr>
        <w:t xml:space="preserve">                </w:t>
      </w:r>
      <w:r>
        <w:rPr>
          <w:rFonts w:hAnsi="宋体"/>
          <w:sz w:val="21"/>
          <w:szCs w:val="21"/>
        </w:rPr>
        <w:t xml:space="preserve">                  金额单位：人民币（元）</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9"/>
        <w:gridCol w:w="1286"/>
        <w:gridCol w:w="1041"/>
        <w:gridCol w:w="1389"/>
        <w:gridCol w:w="1284"/>
        <w:gridCol w:w="787"/>
        <w:gridCol w:w="1041"/>
        <w:gridCol w:w="17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1"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序号</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货物名称</w:t>
            </w:r>
          </w:p>
        </w:tc>
        <w:tc>
          <w:tcPr>
            <w:tcW w:w="1041" w:type="dxa"/>
            <w:tcBorders>
              <w:top w:val="single" w:color="auto" w:sz="4" w:space="0"/>
              <w:left w:val="single" w:color="auto" w:sz="4" w:space="0"/>
              <w:bottom w:val="single" w:color="auto" w:sz="4" w:space="0"/>
              <w:right w:val="single" w:color="auto" w:sz="4" w:space="0"/>
            </w:tcBorders>
            <w:noWrap w:val="0"/>
            <w:vAlign w:val="center"/>
          </w:tcPr>
          <w:p>
            <w:pPr>
              <w:jc w:val="center"/>
            </w:pPr>
            <w:r>
              <w:t>品牌</w:t>
            </w:r>
          </w:p>
        </w:tc>
        <w:tc>
          <w:tcPr>
            <w:tcW w:w="138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规格型号</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单位及数量</w:t>
            </w:r>
          </w:p>
        </w:tc>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单价</w:t>
            </w:r>
          </w:p>
        </w:tc>
        <w:tc>
          <w:tcPr>
            <w:tcW w:w="104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合计</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制造商的规模（大、中、小、微企业）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9151"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400" w:lineRule="exact"/>
              <w:rPr>
                <w:rFonts w:hint="eastAsia" w:ascii="宋体" w:hAnsi="宋体"/>
                <w:spacing w:val="20"/>
                <w:szCs w:val="21"/>
              </w:rPr>
            </w:pPr>
            <w:r>
              <w:rPr>
                <w:rFonts w:hint="eastAsia" w:ascii="宋体" w:hAnsi="宋体"/>
                <w:szCs w:val="21"/>
              </w:rPr>
              <w:t>投标总价金额大写：                                       小写￥</w:t>
            </w:r>
          </w:p>
        </w:tc>
      </w:tr>
    </w:tbl>
    <w:p>
      <w:pPr>
        <w:tabs>
          <w:tab w:val="left" w:pos="1418"/>
        </w:tabs>
        <w:snapToGrid w:val="0"/>
        <w:spacing w:line="400" w:lineRule="exact"/>
        <w:ind w:left="851"/>
        <w:jc w:val="center"/>
        <w:rPr>
          <w:rFonts w:ascii="宋体" w:hAnsi="宋体"/>
          <w:spacing w:val="20"/>
          <w:szCs w:val="21"/>
          <w:u w:val="single"/>
        </w:rPr>
      </w:pPr>
    </w:p>
    <w:p>
      <w:pPr>
        <w:pStyle w:val="9"/>
        <w:spacing w:line="400" w:lineRule="exact"/>
        <w:ind w:firstLine="420" w:firstLineChars="200"/>
        <w:rPr>
          <w:rFonts w:hint="eastAsia" w:hAnsi="宋体"/>
          <w:sz w:val="21"/>
          <w:szCs w:val="21"/>
        </w:rPr>
      </w:pPr>
      <w:r>
        <w:rPr>
          <w:rFonts w:hint="eastAsia" w:hAnsi="宋体"/>
          <w:sz w:val="21"/>
          <w:szCs w:val="21"/>
        </w:rPr>
        <w:t>投 标 人（盖章）：</w:t>
      </w:r>
    </w:p>
    <w:p>
      <w:pPr>
        <w:pStyle w:val="9"/>
        <w:spacing w:line="400" w:lineRule="exact"/>
        <w:ind w:firstLine="420" w:firstLineChars="200"/>
        <w:rPr>
          <w:rFonts w:hint="eastAsia" w:hAnsi="宋体"/>
          <w:sz w:val="21"/>
          <w:szCs w:val="21"/>
        </w:rPr>
      </w:pPr>
      <w:r>
        <w:rPr>
          <w:rFonts w:hint="eastAsia" w:hAnsi="宋体"/>
          <w:sz w:val="21"/>
          <w:szCs w:val="21"/>
        </w:rPr>
        <w:t>法定代表人／负责人或授权代表（签字）：</w:t>
      </w:r>
    </w:p>
    <w:p>
      <w:pPr>
        <w:spacing w:line="400" w:lineRule="exact"/>
        <w:ind w:firstLine="420" w:firstLineChars="200"/>
        <w:rPr>
          <w:rFonts w:ascii="宋体" w:hAnsi="宋体"/>
          <w:szCs w:val="21"/>
        </w:rPr>
      </w:pPr>
      <w:r>
        <w:rPr>
          <w:rFonts w:hint="eastAsia" w:ascii="宋体" w:hAnsi="宋体"/>
          <w:szCs w:val="21"/>
        </w:rPr>
        <w:t>日期：</w:t>
      </w:r>
    </w:p>
    <w:p>
      <w:pPr>
        <w:spacing w:line="400" w:lineRule="exact"/>
        <w:ind w:firstLine="420" w:firstLineChars="200"/>
        <w:rPr>
          <w:rFonts w:ascii="宋体" w:hAnsi="宋体"/>
          <w:szCs w:val="21"/>
        </w:rPr>
      </w:pPr>
    </w:p>
    <w:p>
      <w:pPr>
        <w:spacing w:after="120"/>
        <w:rPr>
          <w:rFonts w:hint="eastAsia" w:ascii="宋体" w:hAnsi="宋体" w:cs="宋体"/>
          <w:color w:val="auto"/>
          <w:szCs w:val="21"/>
          <w:highlight w:val="none"/>
        </w:rPr>
      </w:pPr>
      <w:r>
        <w:rPr>
          <w:rFonts w:hint="eastAsia" w:ascii="宋体" w:hAnsi="宋体" w:cs="宋体"/>
          <w:color w:val="auto"/>
          <w:szCs w:val="21"/>
          <w:highlight w:val="none"/>
          <w:lang w:bidi="ar"/>
        </w:rPr>
        <w:br w:type="page"/>
      </w:r>
      <w:r>
        <w:rPr>
          <w:rFonts w:hint="eastAsia" w:ascii="宋体" w:hAnsi="宋体" w:cs="宋体"/>
          <w:b/>
          <w:color w:val="auto"/>
          <w:szCs w:val="21"/>
          <w:highlight w:val="none"/>
          <w:lang w:bidi="ar"/>
        </w:rPr>
        <w:t>6.中小企业声明函</w:t>
      </w:r>
    </w:p>
    <w:p>
      <w:pPr>
        <w:widowControl w:val="0"/>
        <w:adjustRightInd w:val="0"/>
        <w:snapToGrid w:val="0"/>
        <w:spacing w:before="50" w:after="50" w:line="360" w:lineRule="auto"/>
        <w:jc w:val="center"/>
        <w:textAlignment w:val="baseline"/>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中小企业声明函</w:t>
      </w:r>
    </w:p>
    <w:p>
      <w:pPr>
        <w:widowControl w:val="0"/>
        <w:adjustRightInd w:val="0"/>
        <w:jc w:val="both"/>
        <w:textAlignment w:val="baseline"/>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 xml:space="preserve">  </w:t>
      </w:r>
    </w:p>
    <w:p>
      <w:pPr>
        <w:widowControl w:val="0"/>
        <w:adjustRightInd w:val="0"/>
        <w:spacing w:line="360" w:lineRule="auto"/>
        <w:ind w:firstLine="420" w:firstLineChars="200"/>
        <w:jc w:val="both"/>
        <w:textAlignment w:val="baseline"/>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本公司（联合体）郑重声明，根据《政府采购促进中小企业发展管理办法》（财库﹝2020﹞46 号）的规定，本公司（联合体）参加</w:t>
      </w:r>
      <w:r>
        <w:rPr>
          <w:rFonts w:hint="eastAsia" w:ascii="宋体" w:hAnsi="宋体" w:eastAsia="宋体" w:cs="宋体"/>
          <w:color w:val="auto"/>
          <w:kern w:val="0"/>
          <w:szCs w:val="21"/>
          <w:highlight w:val="none"/>
          <w:u w:val="single"/>
          <w:lang w:bidi="ar"/>
        </w:rPr>
        <w:t>（单位名称）</w:t>
      </w:r>
      <w:r>
        <w:rPr>
          <w:rFonts w:hint="eastAsia" w:ascii="宋体" w:hAnsi="宋体" w:eastAsia="宋体" w:cs="宋体"/>
          <w:color w:val="auto"/>
          <w:kern w:val="0"/>
          <w:szCs w:val="21"/>
          <w:highlight w:val="none"/>
          <w:lang w:bidi="ar"/>
        </w:rPr>
        <w:t>的</w:t>
      </w:r>
      <w:r>
        <w:rPr>
          <w:rFonts w:hint="eastAsia" w:ascii="宋体" w:hAnsi="宋体" w:eastAsia="宋体" w:cs="宋体"/>
          <w:color w:val="auto"/>
          <w:kern w:val="0"/>
          <w:szCs w:val="21"/>
          <w:highlight w:val="none"/>
          <w:u w:val="single"/>
          <w:lang w:bidi="ar"/>
        </w:rPr>
        <w:t>（项目名称）</w:t>
      </w:r>
      <w:r>
        <w:rPr>
          <w:rFonts w:hint="eastAsia" w:ascii="宋体" w:hAnsi="宋体" w:eastAsia="宋体" w:cs="宋体"/>
          <w:color w:val="auto"/>
          <w:kern w:val="0"/>
          <w:szCs w:val="21"/>
          <w:highlight w:val="none"/>
          <w:lang w:bidi="ar"/>
        </w:rPr>
        <w:t>采购活动，工程的施工单位全部为符合政策要求的中小企业。相关企业（含联合体中的中小企业、签订分包意向协议的中小企业）的具体情况如下：</w:t>
      </w:r>
    </w:p>
    <w:p>
      <w:pPr>
        <w:widowControl w:val="0"/>
        <w:adjustRightInd w:val="0"/>
        <w:spacing w:line="360" w:lineRule="auto"/>
        <w:ind w:firstLine="420" w:firstLineChars="200"/>
        <w:jc w:val="both"/>
        <w:textAlignment w:val="baseline"/>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u w:val="single"/>
          <w:lang w:bidi="ar"/>
        </w:rPr>
        <w:t>（标的名称）</w:t>
      </w:r>
      <w:r>
        <w:rPr>
          <w:rFonts w:hint="eastAsia" w:ascii="宋体" w:hAnsi="宋体" w:eastAsia="宋体" w:cs="宋体"/>
          <w:color w:val="auto"/>
          <w:kern w:val="0"/>
          <w:szCs w:val="21"/>
          <w:highlight w:val="none"/>
          <w:lang w:bidi="ar"/>
        </w:rPr>
        <w:t>，属于</w:t>
      </w:r>
      <w:r>
        <w:rPr>
          <w:rFonts w:hint="eastAsia" w:ascii="宋体" w:hAnsi="宋体" w:eastAsia="宋体" w:cs="宋体"/>
          <w:color w:val="auto"/>
          <w:kern w:val="0"/>
          <w:szCs w:val="21"/>
          <w:highlight w:val="none"/>
          <w:u w:val="single"/>
          <w:lang w:bidi="ar"/>
        </w:rPr>
        <w:t>（其他未列明行业）</w:t>
      </w:r>
      <w:r>
        <w:rPr>
          <w:rFonts w:hint="eastAsia" w:ascii="宋体" w:hAnsi="宋体" w:eastAsia="宋体" w:cs="宋体"/>
          <w:color w:val="auto"/>
          <w:kern w:val="0"/>
          <w:szCs w:val="21"/>
          <w:highlight w:val="none"/>
          <w:lang w:bidi="ar"/>
        </w:rPr>
        <w:t>；承建（承接）企业为</w:t>
      </w:r>
      <w:r>
        <w:rPr>
          <w:rFonts w:hint="eastAsia" w:ascii="宋体" w:hAnsi="宋体" w:eastAsia="宋体" w:cs="宋体"/>
          <w:color w:val="auto"/>
          <w:kern w:val="0"/>
          <w:szCs w:val="21"/>
          <w:highlight w:val="none"/>
          <w:u w:val="single"/>
          <w:lang w:bidi="ar"/>
        </w:rPr>
        <w:t>（企业名称）</w:t>
      </w:r>
      <w:r>
        <w:rPr>
          <w:rFonts w:hint="eastAsia" w:ascii="宋体" w:hAnsi="宋体" w:eastAsia="宋体" w:cs="宋体"/>
          <w:color w:val="auto"/>
          <w:kern w:val="0"/>
          <w:szCs w:val="21"/>
          <w:highlight w:val="none"/>
          <w:lang w:bidi="ar"/>
        </w:rPr>
        <w:t>，从业人员</w:t>
      </w:r>
      <w:r>
        <w:rPr>
          <w:rFonts w:hint="eastAsia" w:ascii="宋体" w:hAnsi="宋体" w:eastAsia="宋体" w:cs="宋体"/>
          <w:color w:val="auto"/>
          <w:kern w:val="0"/>
          <w:szCs w:val="21"/>
          <w:highlight w:val="none"/>
          <w:u w:val="single"/>
          <w:lang w:bidi="ar"/>
        </w:rPr>
        <w:t xml:space="preserve"> </w:t>
      </w:r>
      <w:r>
        <w:rPr>
          <w:rFonts w:hint="eastAsia" w:ascii="宋体" w:hAnsi="宋体" w:eastAsia="宋体" w:cs="宋体"/>
          <w:color w:val="auto"/>
          <w:kern w:val="0"/>
          <w:szCs w:val="21"/>
          <w:highlight w:val="none"/>
          <w:u w:val="single"/>
          <w:lang w:bidi="ar"/>
        </w:rPr>
        <w:tab/>
      </w:r>
      <w:r>
        <w:rPr>
          <w:rFonts w:hint="eastAsia" w:ascii="宋体" w:hAnsi="宋体" w:eastAsia="宋体" w:cs="宋体"/>
          <w:color w:val="auto"/>
          <w:kern w:val="0"/>
          <w:szCs w:val="21"/>
          <w:highlight w:val="none"/>
          <w:lang w:bidi="ar"/>
        </w:rPr>
        <w:t>人，营业收入为</w:t>
      </w:r>
      <w:r>
        <w:rPr>
          <w:rFonts w:hint="eastAsia" w:ascii="宋体" w:hAnsi="宋体" w:eastAsia="宋体" w:cs="宋体"/>
          <w:color w:val="auto"/>
          <w:kern w:val="0"/>
          <w:szCs w:val="21"/>
          <w:highlight w:val="none"/>
          <w:u w:val="single"/>
          <w:lang w:bidi="ar"/>
        </w:rPr>
        <w:t xml:space="preserve"> </w:t>
      </w:r>
      <w:r>
        <w:rPr>
          <w:rFonts w:hint="eastAsia" w:ascii="宋体" w:hAnsi="宋体" w:eastAsia="宋体" w:cs="宋体"/>
          <w:color w:val="auto"/>
          <w:kern w:val="0"/>
          <w:szCs w:val="21"/>
          <w:highlight w:val="none"/>
          <w:u w:val="single"/>
          <w:lang w:bidi="ar"/>
        </w:rPr>
        <w:tab/>
      </w:r>
      <w:r>
        <w:rPr>
          <w:rFonts w:hint="eastAsia" w:ascii="宋体" w:hAnsi="宋体" w:eastAsia="宋体" w:cs="宋体"/>
          <w:color w:val="auto"/>
          <w:kern w:val="0"/>
          <w:szCs w:val="21"/>
          <w:highlight w:val="none"/>
          <w:lang w:bidi="ar"/>
        </w:rPr>
        <w:t>万元，资产总额为</w:t>
      </w:r>
      <w:r>
        <w:rPr>
          <w:rFonts w:hint="eastAsia" w:ascii="宋体" w:hAnsi="宋体" w:eastAsia="宋体" w:cs="宋体"/>
          <w:color w:val="auto"/>
          <w:kern w:val="0"/>
          <w:szCs w:val="21"/>
          <w:highlight w:val="none"/>
          <w:u w:val="single"/>
          <w:lang w:bidi="ar"/>
        </w:rPr>
        <w:t xml:space="preserve"> </w:t>
      </w:r>
      <w:r>
        <w:rPr>
          <w:rFonts w:hint="eastAsia" w:ascii="宋体" w:hAnsi="宋体" w:eastAsia="宋体" w:cs="宋体"/>
          <w:color w:val="auto"/>
          <w:kern w:val="0"/>
          <w:szCs w:val="21"/>
          <w:highlight w:val="none"/>
          <w:u w:val="single"/>
          <w:lang w:bidi="ar"/>
        </w:rPr>
        <w:tab/>
      </w:r>
      <w:r>
        <w:rPr>
          <w:rFonts w:hint="eastAsia" w:ascii="宋体" w:hAnsi="宋体" w:eastAsia="宋体" w:cs="宋体"/>
          <w:color w:val="auto"/>
          <w:kern w:val="0"/>
          <w:szCs w:val="21"/>
          <w:highlight w:val="none"/>
          <w:lang w:bidi="ar"/>
        </w:rPr>
        <w:t>万元，属于</w:t>
      </w:r>
      <w:r>
        <w:rPr>
          <w:rFonts w:hint="eastAsia" w:ascii="宋体" w:hAnsi="宋体" w:eastAsia="宋体" w:cs="宋体"/>
          <w:color w:val="auto"/>
          <w:kern w:val="0"/>
          <w:szCs w:val="21"/>
          <w:highlight w:val="none"/>
          <w:u w:val="single"/>
          <w:lang w:bidi="ar"/>
        </w:rPr>
        <w:t>（中型企业、小型企业、微型企业）</w:t>
      </w:r>
      <w:r>
        <w:rPr>
          <w:rFonts w:hint="eastAsia" w:ascii="宋体" w:hAnsi="宋体" w:eastAsia="宋体" w:cs="宋体"/>
          <w:color w:val="auto"/>
          <w:kern w:val="0"/>
          <w:szCs w:val="21"/>
          <w:highlight w:val="none"/>
          <w:lang w:bidi="ar"/>
        </w:rPr>
        <w:t>；</w:t>
      </w:r>
    </w:p>
    <w:p>
      <w:pPr>
        <w:widowControl w:val="0"/>
        <w:adjustRightInd w:val="0"/>
        <w:spacing w:line="360" w:lineRule="auto"/>
        <w:ind w:firstLine="420" w:firstLineChars="200"/>
        <w:jc w:val="both"/>
        <w:textAlignment w:val="baseline"/>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u w:val="single"/>
          <w:lang w:bidi="ar"/>
        </w:rPr>
        <w:t>（标的名称）</w:t>
      </w:r>
      <w:r>
        <w:rPr>
          <w:rFonts w:hint="eastAsia" w:ascii="宋体" w:hAnsi="宋体" w:eastAsia="宋体" w:cs="宋体"/>
          <w:color w:val="auto"/>
          <w:kern w:val="0"/>
          <w:szCs w:val="21"/>
          <w:highlight w:val="none"/>
          <w:lang w:bidi="ar"/>
        </w:rPr>
        <w:t>，属于</w:t>
      </w:r>
      <w:r>
        <w:rPr>
          <w:rFonts w:hint="eastAsia" w:ascii="宋体" w:hAnsi="宋体" w:eastAsia="宋体" w:cs="宋体"/>
          <w:color w:val="auto"/>
          <w:kern w:val="0"/>
          <w:szCs w:val="21"/>
          <w:highlight w:val="none"/>
          <w:u w:val="single"/>
          <w:lang w:bidi="ar"/>
        </w:rPr>
        <w:t>（其他未列明行业）</w:t>
      </w:r>
      <w:r>
        <w:rPr>
          <w:rFonts w:hint="eastAsia" w:ascii="宋体" w:hAnsi="宋体" w:eastAsia="宋体" w:cs="宋体"/>
          <w:color w:val="auto"/>
          <w:kern w:val="0"/>
          <w:szCs w:val="21"/>
          <w:highlight w:val="none"/>
          <w:lang w:bidi="ar"/>
        </w:rPr>
        <w:t>；承建（承接）企业为</w:t>
      </w:r>
      <w:r>
        <w:rPr>
          <w:rFonts w:hint="eastAsia" w:ascii="宋体" w:hAnsi="宋体" w:eastAsia="宋体" w:cs="宋体"/>
          <w:color w:val="auto"/>
          <w:kern w:val="0"/>
          <w:szCs w:val="21"/>
          <w:highlight w:val="none"/>
          <w:u w:val="single"/>
          <w:lang w:bidi="ar"/>
        </w:rPr>
        <w:t>（企业名称）</w:t>
      </w:r>
      <w:r>
        <w:rPr>
          <w:rFonts w:hint="eastAsia" w:ascii="宋体" w:hAnsi="宋体" w:eastAsia="宋体" w:cs="宋体"/>
          <w:color w:val="auto"/>
          <w:kern w:val="0"/>
          <w:szCs w:val="21"/>
          <w:highlight w:val="none"/>
          <w:lang w:bidi="ar"/>
        </w:rPr>
        <w:t>，从业人员</w:t>
      </w:r>
      <w:r>
        <w:rPr>
          <w:rFonts w:hint="eastAsia" w:ascii="宋体" w:hAnsi="宋体" w:eastAsia="宋体" w:cs="宋体"/>
          <w:color w:val="auto"/>
          <w:kern w:val="0"/>
          <w:szCs w:val="21"/>
          <w:highlight w:val="none"/>
          <w:u w:val="single"/>
          <w:lang w:bidi="ar"/>
        </w:rPr>
        <w:t xml:space="preserve"> </w:t>
      </w:r>
      <w:r>
        <w:rPr>
          <w:rFonts w:hint="eastAsia" w:ascii="宋体" w:hAnsi="宋体" w:eastAsia="宋体" w:cs="宋体"/>
          <w:color w:val="auto"/>
          <w:kern w:val="0"/>
          <w:szCs w:val="21"/>
          <w:highlight w:val="none"/>
          <w:u w:val="single"/>
          <w:lang w:bidi="ar"/>
        </w:rPr>
        <w:tab/>
      </w:r>
      <w:r>
        <w:rPr>
          <w:rFonts w:hint="eastAsia" w:ascii="宋体" w:hAnsi="宋体" w:eastAsia="宋体" w:cs="宋体"/>
          <w:color w:val="auto"/>
          <w:kern w:val="0"/>
          <w:szCs w:val="21"/>
          <w:highlight w:val="none"/>
          <w:lang w:bidi="ar"/>
        </w:rPr>
        <w:t>人，营业收入为</w:t>
      </w:r>
      <w:r>
        <w:rPr>
          <w:rFonts w:hint="eastAsia" w:ascii="宋体" w:hAnsi="宋体" w:eastAsia="宋体" w:cs="宋体"/>
          <w:color w:val="auto"/>
          <w:kern w:val="0"/>
          <w:szCs w:val="21"/>
          <w:highlight w:val="none"/>
          <w:u w:val="single"/>
          <w:lang w:bidi="ar"/>
        </w:rPr>
        <w:t xml:space="preserve"> </w:t>
      </w:r>
      <w:r>
        <w:rPr>
          <w:rFonts w:hint="eastAsia" w:ascii="宋体" w:hAnsi="宋体" w:eastAsia="宋体" w:cs="宋体"/>
          <w:color w:val="auto"/>
          <w:kern w:val="0"/>
          <w:szCs w:val="21"/>
          <w:highlight w:val="none"/>
          <w:u w:val="single"/>
          <w:lang w:bidi="ar"/>
        </w:rPr>
        <w:tab/>
      </w:r>
      <w:r>
        <w:rPr>
          <w:rFonts w:hint="eastAsia" w:ascii="宋体" w:hAnsi="宋体" w:eastAsia="宋体" w:cs="宋体"/>
          <w:color w:val="auto"/>
          <w:kern w:val="0"/>
          <w:szCs w:val="21"/>
          <w:highlight w:val="none"/>
          <w:lang w:bidi="ar"/>
        </w:rPr>
        <w:t>万元，资产总额为</w:t>
      </w:r>
      <w:r>
        <w:rPr>
          <w:rFonts w:hint="eastAsia" w:ascii="宋体" w:hAnsi="宋体" w:eastAsia="宋体" w:cs="宋体"/>
          <w:color w:val="auto"/>
          <w:kern w:val="0"/>
          <w:szCs w:val="21"/>
          <w:highlight w:val="none"/>
          <w:u w:val="single"/>
          <w:lang w:bidi="ar"/>
        </w:rPr>
        <w:t xml:space="preserve"> </w:t>
      </w:r>
      <w:r>
        <w:rPr>
          <w:rFonts w:hint="eastAsia" w:ascii="宋体" w:hAnsi="宋体" w:eastAsia="宋体" w:cs="宋体"/>
          <w:color w:val="auto"/>
          <w:kern w:val="0"/>
          <w:szCs w:val="21"/>
          <w:highlight w:val="none"/>
          <w:u w:val="single"/>
          <w:lang w:bidi="ar"/>
        </w:rPr>
        <w:tab/>
      </w:r>
      <w:r>
        <w:rPr>
          <w:rFonts w:hint="eastAsia" w:ascii="宋体" w:hAnsi="宋体" w:eastAsia="宋体" w:cs="宋体"/>
          <w:color w:val="auto"/>
          <w:kern w:val="0"/>
          <w:szCs w:val="21"/>
          <w:highlight w:val="none"/>
          <w:lang w:bidi="ar"/>
        </w:rPr>
        <w:t>万元，属于</w:t>
      </w:r>
      <w:r>
        <w:rPr>
          <w:rFonts w:hint="eastAsia" w:ascii="宋体" w:hAnsi="宋体" w:eastAsia="宋体" w:cs="宋体"/>
          <w:color w:val="auto"/>
          <w:kern w:val="0"/>
          <w:szCs w:val="21"/>
          <w:highlight w:val="none"/>
          <w:u w:val="single"/>
          <w:lang w:bidi="ar"/>
        </w:rPr>
        <w:t>（中型企业、小型企业、微型企业）</w:t>
      </w:r>
      <w:r>
        <w:rPr>
          <w:rFonts w:hint="eastAsia" w:ascii="宋体" w:hAnsi="宋体" w:eastAsia="宋体" w:cs="宋体"/>
          <w:color w:val="auto"/>
          <w:kern w:val="0"/>
          <w:szCs w:val="21"/>
          <w:highlight w:val="none"/>
          <w:lang w:bidi="ar"/>
        </w:rPr>
        <w:t>；</w:t>
      </w:r>
    </w:p>
    <w:p>
      <w:pPr>
        <w:widowControl w:val="0"/>
        <w:adjustRightInd w:val="0"/>
        <w:spacing w:line="360" w:lineRule="auto"/>
        <w:ind w:firstLine="420" w:firstLineChars="200"/>
        <w:jc w:val="both"/>
        <w:textAlignment w:val="baseline"/>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w:t>
      </w:r>
    </w:p>
    <w:p>
      <w:pPr>
        <w:widowControl w:val="0"/>
        <w:adjustRightInd w:val="0"/>
        <w:spacing w:line="360" w:lineRule="auto"/>
        <w:ind w:firstLine="420" w:firstLineChars="200"/>
        <w:jc w:val="both"/>
        <w:textAlignment w:val="baseline"/>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以上企业，不属于大企业的分支机构，不存在控股股东为大企业的情形，也不存在与大企业的负责人为同一人的情形。</w:t>
      </w:r>
    </w:p>
    <w:p>
      <w:pPr>
        <w:widowControl w:val="0"/>
        <w:adjustRightInd w:val="0"/>
        <w:spacing w:line="360" w:lineRule="auto"/>
        <w:ind w:firstLine="420" w:firstLineChars="200"/>
        <w:jc w:val="both"/>
        <w:textAlignment w:val="baseline"/>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本企业对上述声明内容的真实性负责。如有虚假，将依法承担相应责任。</w:t>
      </w:r>
    </w:p>
    <w:p>
      <w:pPr>
        <w:widowControl w:val="0"/>
        <w:adjustRightInd w:val="0"/>
        <w:spacing w:line="360" w:lineRule="auto"/>
        <w:jc w:val="both"/>
        <w:textAlignment w:val="baseline"/>
        <w:rPr>
          <w:rFonts w:hint="eastAsia" w:ascii="宋体" w:hAnsi="宋体" w:eastAsia="宋体" w:cs="宋体"/>
          <w:color w:val="auto"/>
          <w:kern w:val="0"/>
          <w:szCs w:val="21"/>
          <w:highlight w:val="none"/>
          <w:lang w:bidi="ar"/>
        </w:rPr>
      </w:pPr>
    </w:p>
    <w:p>
      <w:pPr>
        <w:widowControl w:val="0"/>
        <w:wordWrap w:val="0"/>
        <w:adjustRightInd w:val="0"/>
        <w:spacing w:line="360" w:lineRule="auto"/>
        <w:jc w:val="right"/>
        <w:textAlignment w:val="baseline"/>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 xml:space="preserve">企业名称（盖章）：              </w:t>
      </w:r>
    </w:p>
    <w:p>
      <w:pPr>
        <w:widowControl w:val="0"/>
        <w:wordWrap w:val="0"/>
        <w:adjustRightInd w:val="0"/>
        <w:spacing w:line="360" w:lineRule="auto"/>
        <w:jc w:val="right"/>
        <w:textAlignment w:val="baseline"/>
        <w:rPr>
          <w:rFonts w:hint="eastAsia" w:ascii="宋体" w:hAnsi="宋体" w:eastAsia="宋体" w:cs="宋体"/>
          <w:b/>
          <w:bCs/>
          <w:color w:val="auto"/>
          <w:kern w:val="0"/>
          <w:szCs w:val="21"/>
          <w:highlight w:val="none"/>
          <w:lang w:bidi="ar"/>
        </w:rPr>
      </w:pPr>
      <w:r>
        <w:rPr>
          <w:rFonts w:hint="eastAsia" w:ascii="宋体" w:hAnsi="宋体" w:eastAsia="宋体" w:cs="宋体"/>
          <w:color w:val="auto"/>
          <w:kern w:val="0"/>
          <w:szCs w:val="21"/>
          <w:highlight w:val="none"/>
          <w:lang w:bidi="ar"/>
        </w:rPr>
        <w:t xml:space="preserve">日期：              </w:t>
      </w:r>
    </w:p>
    <w:p>
      <w:pPr>
        <w:widowControl w:val="0"/>
        <w:adjustRightInd w:val="0"/>
        <w:jc w:val="both"/>
        <w:textAlignment w:val="baseline"/>
        <w:rPr>
          <w:rFonts w:hint="eastAsia" w:ascii="宋体" w:hAnsi="宋体" w:eastAsia="宋体" w:cs="宋体"/>
          <w:b/>
          <w:bCs/>
          <w:color w:val="auto"/>
          <w:kern w:val="0"/>
          <w:szCs w:val="21"/>
          <w:highlight w:val="none"/>
          <w:lang w:bidi="ar"/>
        </w:rPr>
      </w:pPr>
    </w:p>
    <w:p>
      <w:pPr>
        <w:widowControl w:val="0"/>
        <w:adjustRightInd w:val="0"/>
        <w:jc w:val="both"/>
        <w:textAlignment w:val="baseline"/>
        <w:rPr>
          <w:rFonts w:hint="eastAsia" w:ascii="宋体" w:hAnsi="宋体" w:eastAsia="宋体" w:cs="宋体"/>
          <w:color w:val="auto"/>
          <w:kern w:val="0"/>
          <w:szCs w:val="22"/>
          <w:highlight w:val="none"/>
        </w:rPr>
      </w:pPr>
    </w:p>
    <w:p>
      <w:pPr>
        <w:widowControl w:val="0"/>
        <w:adjustRightInd w:val="0"/>
        <w:jc w:val="both"/>
        <w:textAlignment w:val="baseline"/>
        <w:rPr>
          <w:rFonts w:hint="eastAsia" w:ascii="宋体" w:hAnsi="宋体" w:eastAsia="宋体" w:cs="宋体"/>
          <w:color w:val="auto"/>
          <w:kern w:val="0"/>
          <w:szCs w:val="22"/>
          <w:highlight w:val="none"/>
        </w:rPr>
      </w:pPr>
    </w:p>
    <w:p>
      <w:pPr>
        <w:widowControl w:val="0"/>
        <w:adjustRightInd w:val="0"/>
        <w:jc w:val="both"/>
        <w:textAlignment w:val="baseline"/>
        <w:rPr>
          <w:rFonts w:hint="eastAsia" w:ascii="宋体" w:hAnsi="宋体" w:eastAsia="宋体" w:cs="宋体"/>
          <w:color w:val="auto"/>
          <w:kern w:val="0"/>
          <w:szCs w:val="22"/>
          <w:highlight w:val="none"/>
        </w:rPr>
      </w:pPr>
    </w:p>
    <w:p>
      <w:pPr>
        <w:widowControl w:val="0"/>
        <w:adjustRightInd w:val="0"/>
        <w:jc w:val="both"/>
        <w:textAlignment w:val="baseline"/>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rPr>
        <w:t>注：1.从业人员、营业收入、资产总额填报上一年度数据，无上一年度数据的新成立企业可不填报。</w:t>
      </w:r>
    </w:p>
    <w:p>
      <w:pPr>
        <w:widowControl w:val="0"/>
        <w:adjustRightInd w:val="0"/>
        <w:jc w:val="both"/>
        <w:textAlignment w:val="baseline"/>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rPr>
        <w:t>2、其他未列明行业。从业人员300人以下的为中小微型企业。其中，从业人员100人及以上的为中型企业；从业人员10人及以上的为小型企业；从业人员10人以下的为微型企业。</w:t>
      </w:r>
    </w:p>
    <w:p>
      <w:pPr>
        <w:widowControl w:val="0"/>
        <w:adjustRightInd w:val="0"/>
        <w:jc w:val="both"/>
        <w:textAlignment w:val="baseline"/>
        <w:rPr>
          <w:rFonts w:hint="eastAsia" w:ascii="宋体" w:hAnsi="宋体" w:eastAsia="宋体" w:cs="宋体"/>
          <w:color w:val="auto"/>
          <w:kern w:val="0"/>
          <w:szCs w:val="21"/>
          <w:highlight w:val="none"/>
          <w:lang w:bidi="ar"/>
        </w:rPr>
      </w:pPr>
      <w:r>
        <w:rPr>
          <w:rFonts w:hint="eastAsia" w:ascii="宋体" w:hAnsi="宋体" w:eastAsia="宋体" w:cs="宋体"/>
          <w:color w:val="auto"/>
          <w:kern w:val="0"/>
          <w:sz w:val="28"/>
          <w:szCs w:val="21"/>
          <w:highlight w:val="none"/>
          <w:lang w:bidi="ar"/>
        </w:rPr>
        <w:br w:type="page"/>
      </w:r>
      <w:r>
        <w:rPr>
          <w:rFonts w:hint="eastAsia" w:ascii="宋体" w:hAnsi="宋体" w:eastAsia="宋体" w:cs="宋体"/>
          <w:color w:val="auto"/>
          <w:kern w:val="0"/>
          <w:szCs w:val="21"/>
          <w:highlight w:val="none"/>
          <w:lang w:bidi="ar"/>
        </w:rPr>
        <w:t>填写说明：</w:t>
      </w:r>
    </w:p>
    <w:p>
      <w:pPr>
        <w:widowControl w:val="0"/>
        <w:numPr>
          <w:ilvl w:val="0"/>
          <w:numId w:val="27"/>
          <w:numberingChange w:id="0" w:author="MC SYSTEM" w:date="2021-02-06T08:26:00Z" w:original="%1:1:0:、"/>
        </w:numPr>
        <w:spacing w:after="120" w:line="520" w:lineRule="exact"/>
        <w:ind w:left="420" w:leftChars="200"/>
        <w:jc w:val="both"/>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widowControl/>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br w:type="page"/>
      </w:r>
      <w:r>
        <w:rPr>
          <w:rFonts w:hint="eastAsia" w:ascii="宋体" w:hAnsi="宋体" w:cs="宋体"/>
          <w:b/>
          <w:color w:val="auto"/>
          <w:kern w:val="0"/>
          <w:szCs w:val="21"/>
          <w:highlight w:val="none"/>
          <w:lang w:bidi="ar"/>
        </w:rPr>
        <w:t>7.残疾人福利性单位声明函</w:t>
      </w:r>
    </w:p>
    <w:p>
      <w:pPr>
        <w:widowControl/>
        <w:spacing w:line="588" w:lineRule="exact"/>
        <w:jc w:val="center"/>
        <w:rPr>
          <w:rFonts w:hint="eastAsia" w:ascii="宋体" w:hAnsi="宋体" w:cs="宋体"/>
          <w:b/>
          <w:color w:val="auto"/>
          <w:spacing w:val="6"/>
          <w:kern w:val="0"/>
          <w:szCs w:val="21"/>
          <w:highlight w:val="none"/>
        </w:rPr>
      </w:pPr>
      <w:r>
        <w:rPr>
          <w:rFonts w:hint="eastAsia" w:ascii="宋体" w:hAnsi="宋体" w:cs="宋体"/>
          <w:b/>
          <w:color w:val="auto"/>
          <w:spacing w:val="6"/>
          <w:kern w:val="0"/>
          <w:szCs w:val="21"/>
          <w:highlight w:val="none"/>
          <w:lang w:bidi="ar"/>
        </w:rPr>
        <w:t>残疾人福利性单位声明函</w:t>
      </w:r>
    </w:p>
    <w:p>
      <w:pPr>
        <w:widowControl/>
        <w:spacing w:line="588" w:lineRule="exact"/>
        <w:jc w:val="left"/>
        <w:rPr>
          <w:rFonts w:hint="eastAsia" w:ascii="宋体" w:hAnsi="宋体" w:cs="宋体"/>
          <w:b/>
          <w:color w:val="auto"/>
          <w:spacing w:val="6"/>
          <w:kern w:val="0"/>
          <w:szCs w:val="21"/>
          <w:highlight w:val="none"/>
        </w:rPr>
      </w:pPr>
      <w:r>
        <w:rPr>
          <w:rFonts w:hint="eastAsia" w:ascii="宋体" w:hAnsi="宋体" w:cs="宋体"/>
          <w:b/>
          <w:color w:val="auto"/>
          <w:spacing w:val="6"/>
          <w:kern w:val="0"/>
          <w:szCs w:val="21"/>
          <w:highlight w:val="none"/>
          <w:lang w:bidi="ar"/>
        </w:rPr>
        <w:t xml:space="preserve"> </w:t>
      </w:r>
    </w:p>
    <w:p>
      <w:pPr>
        <w:widowControl/>
        <w:spacing w:line="588" w:lineRule="exact"/>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lang w:bidi="ar"/>
        </w:rPr>
        <w:t>本单位郑重声明，根据《财政部 民政部 中国残疾人联合会关于促进残疾人就业政府采购政策的通知》（财库</w:t>
      </w:r>
      <w:r>
        <w:rPr>
          <w:rFonts w:hint="eastAsia" w:ascii="宋体" w:hAnsi="宋体" w:cs="宋体"/>
          <w:color w:val="auto"/>
          <w:kern w:val="0"/>
          <w:szCs w:val="21"/>
          <w:highlight w:val="none"/>
          <w:lang w:bidi="ar"/>
        </w:rPr>
        <w:t>〔2017〕 141</w:t>
      </w:r>
      <w:r>
        <w:rPr>
          <w:rFonts w:hint="eastAsia" w:ascii="宋体" w:hAnsi="宋体" w:cs="宋体"/>
          <w:color w:val="auto"/>
          <w:spacing w:val="6"/>
          <w:kern w:val="0"/>
          <w:szCs w:val="21"/>
          <w:highlight w:val="none"/>
          <w:lang w:bidi="ar"/>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588" w:lineRule="exact"/>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lang w:bidi="ar"/>
        </w:rPr>
        <w:t>本单位对上述声明的真实性负责。如有虚假，将依法承担相应责任。</w:t>
      </w:r>
    </w:p>
    <w:p>
      <w:pPr>
        <w:widowControl/>
        <w:spacing w:line="588" w:lineRule="exact"/>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lang w:bidi="ar"/>
        </w:rPr>
        <w:t xml:space="preserve"> </w:t>
      </w:r>
    </w:p>
    <w:p>
      <w:pPr>
        <w:widowControl/>
        <w:spacing w:line="588" w:lineRule="exact"/>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lang w:bidi="ar"/>
        </w:rPr>
        <w:t xml:space="preserve"> </w:t>
      </w:r>
    </w:p>
    <w:p>
      <w:pPr>
        <w:widowControl/>
        <w:spacing w:line="588" w:lineRule="exact"/>
        <w:ind w:right="1560" w:firstLine="444" w:firstLineChars="200"/>
        <w:jc w:val="center"/>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lang w:bidi="ar"/>
        </w:rPr>
        <w:t xml:space="preserve">               单位名称（盖章）：</w:t>
      </w:r>
    </w:p>
    <w:p>
      <w:pPr>
        <w:widowControl/>
        <w:spacing w:line="588" w:lineRule="exact"/>
        <w:ind w:right="1560" w:firstLine="444" w:firstLineChars="200"/>
        <w:jc w:val="center"/>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lang w:bidi="ar"/>
        </w:rPr>
        <w:t xml:space="preserve">       日  期：</w:t>
      </w:r>
    </w:p>
    <w:p>
      <w:pPr>
        <w:widowControl/>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8.供应商针对报价需要说明的其他文件和说明（格式自拟）。</w:t>
      </w:r>
    </w:p>
    <w:p>
      <w:pPr>
        <w:spacing w:after="120" w:line="520" w:lineRule="exact"/>
        <w:ind w:left="420" w:leftChars="200"/>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widowControl/>
        <w:spacing w:line="480" w:lineRule="exact"/>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bidi="ar"/>
        </w:rPr>
        <w:t xml:space="preserve"> </w:t>
      </w:r>
    </w:p>
    <w:p>
      <w:pPr>
        <w:widowControl/>
        <w:snapToGrid w:val="0"/>
        <w:spacing w:line="360" w:lineRule="auto"/>
        <w:jc w:val="center"/>
        <w:rPr>
          <w:rFonts w:hint="eastAsia" w:ascii="宋体" w:hAnsi="宋体" w:cs="宋体"/>
          <w:b/>
          <w:color w:val="auto"/>
          <w:kern w:val="0"/>
          <w:sz w:val="28"/>
          <w:szCs w:val="28"/>
          <w:highlight w:val="none"/>
        </w:rPr>
      </w:pPr>
      <w:r>
        <w:rPr>
          <w:rFonts w:hint="eastAsia" w:ascii="宋体" w:hAnsi="宋体" w:cs="宋体"/>
          <w:b/>
          <w:color w:val="auto"/>
          <w:kern w:val="0"/>
          <w:szCs w:val="21"/>
          <w:highlight w:val="none"/>
          <w:lang w:bidi="ar"/>
        </w:rPr>
        <w:br w:type="page"/>
      </w:r>
      <w:r>
        <w:rPr>
          <w:rFonts w:hint="eastAsia" w:ascii="宋体" w:hAnsi="宋体" w:cs="宋体"/>
          <w:b/>
          <w:color w:val="auto"/>
          <w:kern w:val="0"/>
          <w:sz w:val="28"/>
          <w:szCs w:val="28"/>
          <w:highlight w:val="none"/>
          <w:lang w:bidi="ar"/>
        </w:rPr>
        <w:t>四、电子备份投标文件</w:t>
      </w:r>
    </w:p>
    <w:p>
      <w:pPr>
        <w:widowControl/>
        <w:snapToGrid w:val="0"/>
        <w:spacing w:line="360" w:lineRule="auto"/>
        <w:jc w:val="left"/>
        <w:rPr>
          <w:rFonts w:hint="eastAsia" w:ascii="宋体" w:hAnsi="宋体" w:cs="宋体"/>
          <w:b/>
          <w:color w:val="auto"/>
          <w:kern w:val="0"/>
          <w:sz w:val="28"/>
          <w:szCs w:val="28"/>
          <w:highlight w:val="none"/>
        </w:rPr>
      </w:pPr>
      <w:r>
        <w:rPr>
          <w:rFonts w:hint="eastAsia" w:ascii="宋体" w:hAnsi="宋体" w:cs="宋体"/>
          <w:color w:val="auto"/>
          <w:kern w:val="0"/>
          <w:szCs w:val="21"/>
          <w:highlight w:val="none"/>
          <w:lang w:bidi="ar"/>
        </w:rPr>
        <w:t>（一）电子备份投标文件的外包装封面格式：</w:t>
      </w:r>
    </w:p>
    <w:p>
      <w:pPr>
        <w:widowControl/>
        <w:snapToGrid w:val="0"/>
        <w:spacing w:line="360" w:lineRule="auto"/>
        <w:ind w:firstLine="273" w:firstLineChars="97"/>
        <w:jc w:val="left"/>
        <w:rPr>
          <w:rFonts w:hint="eastAsia" w:ascii="宋体" w:hAnsi="宋体" w:cs="宋体"/>
          <w:b/>
          <w:color w:val="auto"/>
          <w:kern w:val="0"/>
          <w:sz w:val="28"/>
          <w:szCs w:val="28"/>
          <w:highlight w:val="none"/>
        </w:rPr>
      </w:pPr>
      <w:r>
        <w:rPr>
          <w:rFonts w:hint="eastAsia" w:ascii="宋体" w:hAnsi="宋体" w:cs="宋体"/>
          <w:b/>
          <w:color w:val="auto"/>
          <w:kern w:val="0"/>
          <w:sz w:val="28"/>
          <w:szCs w:val="28"/>
          <w:highlight w:val="none"/>
          <w:lang w:bidi="ar"/>
        </w:rPr>
        <w:t>外包装格式：</w:t>
      </w:r>
    </w:p>
    <w:p>
      <w:pPr>
        <w:widowControl/>
        <w:autoSpaceDE w:val="0"/>
        <w:spacing w:line="360" w:lineRule="auto"/>
        <w:jc w:val="center"/>
        <w:rPr>
          <w:rFonts w:hint="eastAsia" w:ascii="宋体" w:hAnsi="宋体" w:cs="宋体"/>
          <w:color w:val="auto"/>
          <w:kern w:val="0"/>
          <w:sz w:val="40"/>
          <w:szCs w:val="40"/>
          <w:highlight w:val="none"/>
        </w:rPr>
      </w:pPr>
      <w:r>
        <w:rPr>
          <w:rFonts w:hint="eastAsia" w:ascii="宋体" w:hAnsi="宋体" w:cs="宋体"/>
          <w:color w:val="auto"/>
          <w:kern w:val="0"/>
          <w:sz w:val="40"/>
          <w:szCs w:val="40"/>
          <w:highlight w:val="none"/>
          <w:lang w:bidi="ar"/>
        </w:rPr>
        <w:t>电子备份投标文件</w:t>
      </w:r>
    </w:p>
    <w:p>
      <w:pPr>
        <w:widowControl/>
        <w:autoSpaceDE w:val="0"/>
        <w:spacing w:line="360" w:lineRule="auto"/>
        <w:ind w:firstLine="1080" w:firstLineChars="450"/>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xml:space="preserve">项目名称： </w:t>
      </w:r>
    </w:p>
    <w:p>
      <w:pPr>
        <w:widowControl/>
        <w:autoSpaceDE w:val="0"/>
        <w:spacing w:line="360" w:lineRule="auto"/>
        <w:ind w:firstLine="1080" w:firstLineChars="450"/>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项目编号：</w:t>
      </w:r>
    </w:p>
    <w:p>
      <w:pPr>
        <w:widowControl/>
        <w:autoSpaceDE w:val="0"/>
        <w:spacing w:line="360" w:lineRule="auto"/>
        <w:ind w:firstLine="1080" w:firstLineChars="450"/>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标项号：</w:t>
      </w:r>
    </w:p>
    <w:p>
      <w:pPr>
        <w:widowControl/>
        <w:autoSpaceDE w:val="0"/>
        <w:spacing w:line="360" w:lineRule="auto"/>
        <w:ind w:firstLine="1080" w:firstLineChars="450"/>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供应商名称（加盖公章）：</w:t>
      </w:r>
    </w:p>
    <w:p>
      <w:pPr>
        <w:widowControl/>
        <w:autoSpaceDE w:val="0"/>
        <w:spacing w:line="360" w:lineRule="auto"/>
        <w:ind w:firstLine="1080" w:firstLineChars="450"/>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供应商地址：</w:t>
      </w:r>
    </w:p>
    <w:p>
      <w:pPr>
        <w:widowControl/>
        <w:autoSpaceDE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 w:val="24"/>
          <w:highlight w:val="none"/>
          <w:lang w:bidi="ar"/>
        </w:rPr>
        <w:t xml:space="preserve">                        年  月  日</w:t>
      </w:r>
    </w:p>
    <w:p>
      <w:pPr>
        <w:pStyle w:val="22"/>
        <w:widowControl w:val="0"/>
        <w:snapToGrid w:val="0"/>
        <w:spacing w:before="0" w:beforeAutospacing="0" w:after="0" w:afterAutospacing="0" w:line="500" w:lineRule="exact"/>
        <w:jc w:val="both"/>
        <w:rPr>
          <w:rFonts w:hint="eastAsia" w:ascii="宋体" w:hAnsi="宋体" w:cs="宋体"/>
          <w:b/>
          <w:color w:val="auto"/>
          <w:kern w:val="2"/>
          <w:sz w:val="21"/>
          <w:szCs w:val="21"/>
          <w:highlight w:val="none"/>
        </w:rPr>
      </w:pPr>
      <w:r>
        <w:rPr>
          <w:rFonts w:hint="eastAsia" w:ascii="宋体" w:hAnsi="宋体" w:cs="宋体"/>
          <w:color w:val="auto"/>
          <w:kern w:val="2"/>
          <w:sz w:val="21"/>
          <w:szCs w:val="21"/>
          <w:highlight w:val="none"/>
          <w:lang w:bidi="ar"/>
        </w:rPr>
        <w:br w:type="page"/>
      </w:r>
      <w:r>
        <w:rPr>
          <w:rFonts w:hint="eastAsia" w:ascii="宋体" w:hAnsi="宋体" w:cs="宋体"/>
          <w:b/>
          <w:color w:val="auto"/>
          <w:kern w:val="2"/>
          <w:sz w:val="21"/>
          <w:szCs w:val="21"/>
          <w:highlight w:val="none"/>
          <w:lang w:bidi="ar"/>
        </w:rPr>
        <w:t>附件：请各位供应商认真填写下表，于投标截止时间后按采购代理公司规定要求单独递交。</w:t>
      </w:r>
    </w:p>
    <w:p>
      <w:pPr>
        <w:snapToGrid w:val="0"/>
        <w:spacing w:line="500" w:lineRule="exact"/>
        <w:jc w:val="center"/>
        <w:rPr>
          <w:rFonts w:hint="eastAsia" w:ascii="宋体" w:hAnsi="宋体" w:cs="宋体"/>
          <w:color w:val="auto"/>
          <w:sz w:val="32"/>
          <w:szCs w:val="32"/>
          <w:highlight w:val="none"/>
        </w:rPr>
      </w:pPr>
      <w:r>
        <w:rPr>
          <w:rFonts w:hint="eastAsia" w:ascii="宋体" w:hAnsi="宋体" w:cs="宋体"/>
          <w:color w:val="auto"/>
          <w:sz w:val="32"/>
          <w:szCs w:val="32"/>
          <w:highlight w:val="none"/>
          <w:lang w:bidi="ar"/>
        </w:rPr>
        <w:t>政府采购活动现场确认声明书</w:t>
      </w:r>
    </w:p>
    <w:p>
      <w:pPr>
        <w:snapToGrid w:val="0"/>
        <w:spacing w:line="440" w:lineRule="exact"/>
        <w:rPr>
          <w:rFonts w:hint="eastAsia" w:ascii="宋体" w:hAnsi="宋体" w:cs="宋体"/>
          <w:color w:val="auto"/>
          <w:sz w:val="24"/>
          <w:highlight w:val="none"/>
        </w:rPr>
      </w:pPr>
      <w:r>
        <w:rPr>
          <w:rFonts w:hint="eastAsia" w:ascii="宋体" w:hAnsi="宋体" w:cs="宋体"/>
          <w:color w:val="auto"/>
          <w:kern w:val="0"/>
          <w:sz w:val="24"/>
          <w:highlight w:val="none"/>
          <w:lang w:bidi="ar"/>
        </w:rPr>
        <w:t xml:space="preserve"> </w:t>
      </w:r>
      <w:r>
        <w:rPr>
          <w:rFonts w:hint="eastAsia" w:ascii="宋体" w:hAnsi="宋体" w:cs="宋体"/>
          <w:color w:val="auto"/>
          <w:kern w:val="0"/>
          <w:sz w:val="24"/>
          <w:highlight w:val="none"/>
          <w:lang w:eastAsia="zh-CN" w:bidi="ar"/>
        </w:rPr>
        <w:t>宁海童氏工程管理咨询有限公司</w:t>
      </w:r>
      <w:r>
        <w:rPr>
          <w:rFonts w:hint="eastAsia" w:ascii="宋体" w:hAnsi="宋体" w:cs="宋体"/>
          <w:color w:val="auto"/>
          <w:kern w:val="0"/>
          <w:sz w:val="24"/>
          <w:highlight w:val="none"/>
          <w:lang w:bidi="ar"/>
        </w:rPr>
        <w:t>：</w:t>
      </w:r>
    </w:p>
    <w:p>
      <w:pPr>
        <w:snapToGrid w:val="0"/>
        <w:spacing w:line="440" w:lineRule="exact"/>
        <w:ind w:firstLine="504" w:firstLineChars="200"/>
        <w:rPr>
          <w:rFonts w:hint="eastAsia" w:ascii="宋体" w:hAnsi="宋体" w:cs="宋体"/>
          <w:color w:val="auto"/>
          <w:spacing w:val="6"/>
          <w:sz w:val="24"/>
          <w:highlight w:val="none"/>
        </w:rPr>
      </w:pPr>
      <w:r>
        <w:rPr>
          <w:rFonts w:hint="eastAsia" w:ascii="宋体" w:hAnsi="宋体" w:cs="宋体"/>
          <w:color w:val="auto"/>
          <w:spacing w:val="6"/>
          <w:sz w:val="24"/>
          <w:highlight w:val="none"/>
          <w:lang w:bidi="ar"/>
        </w:rPr>
        <w:t>本人</w:t>
      </w:r>
      <w:r>
        <w:rPr>
          <w:rFonts w:hint="eastAsia" w:ascii="宋体" w:hAnsi="宋体" w:cs="宋体"/>
          <w:color w:val="auto"/>
          <w:spacing w:val="6"/>
          <w:sz w:val="24"/>
          <w:highlight w:val="none"/>
          <w:u w:val="single"/>
          <w:lang w:bidi="ar"/>
        </w:rPr>
        <w:t xml:space="preserve">        </w:t>
      </w:r>
      <w:r>
        <w:rPr>
          <w:rFonts w:hint="eastAsia" w:ascii="宋体" w:hAnsi="宋体" w:cs="宋体"/>
          <w:color w:val="auto"/>
          <w:spacing w:val="6"/>
          <w:sz w:val="24"/>
          <w:highlight w:val="none"/>
          <w:lang w:bidi="ar"/>
        </w:rPr>
        <w:t>（授权代表姓名），经由</w:t>
      </w:r>
      <w:r>
        <w:rPr>
          <w:rFonts w:hint="eastAsia" w:ascii="宋体" w:hAnsi="宋体" w:cs="宋体"/>
          <w:color w:val="auto"/>
          <w:spacing w:val="6"/>
          <w:sz w:val="24"/>
          <w:highlight w:val="none"/>
          <w:u w:val="single"/>
          <w:lang w:bidi="ar"/>
        </w:rPr>
        <w:t xml:space="preserve">           </w:t>
      </w:r>
      <w:r>
        <w:rPr>
          <w:rFonts w:hint="eastAsia" w:ascii="宋体" w:hAnsi="宋体" w:cs="宋体"/>
          <w:color w:val="auto"/>
          <w:spacing w:val="6"/>
          <w:sz w:val="24"/>
          <w:highlight w:val="none"/>
          <w:lang w:bidi="ar"/>
        </w:rPr>
        <w:t>（单位）</w:t>
      </w:r>
      <w:r>
        <w:rPr>
          <w:rFonts w:hint="eastAsia" w:ascii="宋体" w:hAnsi="宋体" w:cs="宋体"/>
          <w:color w:val="auto"/>
          <w:spacing w:val="6"/>
          <w:sz w:val="24"/>
          <w:highlight w:val="none"/>
          <w:u w:val="single"/>
          <w:lang w:bidi="ar"/>
        </w:rPr>
        <w:t xml:space="preserve">         </w:t>
      </w:r>
      <w:r>
        <w:rPr>
          <w:rFonts w:hint="eastAsia" w:ascii="宋体" w:hAnsi="宋体" w:cs="宋体"/>
          <w:color w:val="auto"/>
          <w:spacing w:val="6"/>
          <w:sz w:val="24"/>
          <w:highlight w:val="none"/>
          <w:lang w:bidi="ar"/>
        </w:rPr>
        <w:t>（法定代表人姓名）合法授权参加</w:t>
      </w:r>
      <w:r>
        <w:rPr>
          <w:rFonts w:hint="eastAsia" w:ascii="宋体" w:hAnsi="宋体" w:cs="宋体"/>
          <w:color w:val="auto"/>
          <w:kern w:val="0"/>
          <w:sz w:val="24"/>
          <w:highlight w:val="none"/>
          <w:u w:val="single"/>
          <w:lang w:bidi="ar"/>
        </w:rPr>
        <w:t xml:space="preserve">                         </w:t>
      </w:r>
      <w:r>
        <w:rPr>
          <w:rFonts w:hint="eastAsia" w:ascii="宋体" w:hAnsi="宋体" w:cs="宋体"/>
          <w:color w:val="auto"/>
          <w:spacing w:val="6"/>
          <w:sz w:val="24"/>
          <w:highlight w:val="none"/>
          <w:lang w:bidi="ar"/>
        </w:rPr>
        <w:t>（编号：</w:t>
      </w:r>
      <w:r>
        <w:rPr>
          <w:rFonts w:hint="eastAsia" w:ascii="宋体" w:hAnsi="宋体" w:cs="宋体"/>
          <w:color w:val="auto"/>
          <w:sz w:val="24"/>
          <w:highlight w:val="none"/>
          <w:u w:val="single"/>
          <w:lang w:bidi="ar"/>
        </w:rPr>
        <w:t xml:space="preserve">            </w:t>
      </w:r>
      <w:r>
        <w:rPr>
          <w:rFonts w:hint="eastAsia" w:ascii="宋体" w:hAnsi="宋体" w:cs="宋体"/>
          <w:color w:val="auto"/>
          <w:spacing w:val="6"/>
          <w:sz w:val="24"/>
          <w:highlight w:val="none"/>
          <w:u w:val="single"/>
          <w:lang w:bidi="ar"/>
        </w:rPr>
        <w:t>）</w:t>
      </w:r>
      <w:r>
        <w:rPr>
          <w:rFonts w:hint="eastAsia" w:ascii="宋体" w:hAnsi="宋体" w:cs="宋体"/>
          <w:color w:val="auto"/>
          <w:spacing w:val="6"/>
          <w:sz w:val="24"/>
          <w:highlight w:val="none"/>
          <w:lang w:bidi="ar"/>
        </w:rPr>
        <w:t xml:space="preserve">政府采购活动，经与本单位法人代表（负责人）联系确认，现就有关公平竞争事项郑重声明如下： </w:t>
      </w:r>
    </w:p>
    <w:p>
      <w:pPr>
        <w:widowControl/>
        <w:numPr>
          <w:ilvl w:val="0"/>
          <w:numId w:val="28"/>
        </w:numPr>
        <w:snapToGrid w:val="0"/>
        <w:spacing w:line="440" w:lineRule="exact"/>
        <w:ind w:firstLine="451" w:firstLineChars="188"/>
        <w:rPr>
          <w:rFonts w:hint="eastAsia" w:ascii="宋体" w:hAnsi="宋体" w:cs="宋体"/>
          <w:color w:val="auto"/>
          <w:kern w:val="0"/>
          <w:sz w:val="24"/>
          <w:highlight w:val="none"/>
        </w:rPr>
      </w:pPr>
      <w:r>
        <w:rPr>
          <w:rFonts w:hint="eastAsia" w:ascii="宋体" w:hAnsi="宋体" w:cs="宋体"/>
          <w:color w:val="auto"/>
          <w:kern w:val="0"/>
          <w:sz w:val="24"/>
          <w:highlight w:val="none"/>
          <w:lang w:bidi="ar"/>
        </w:rPr>
        <w:t>本单位与采购人之间 □不存在利害关系 □存在下列利害关系</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w:t>
      </w:r>
    </w:p>
    <w:p>
      <w:pPr>
        <w:widowControl/>
        <w:snapToGrid w:val="0"/>
        <w:spacing w:line="440" w:lineRule="exac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xml:space="preserve">  A.投资关系    B.行政隶属关系    C.业务指导关系</w:t>
      </w:r>
    </w:p>
    <w:p>
      <w:pPr>
        <w:widowControl/>
        <w:snapToGrid w:val="0"/>
        <w:spacing w:line="440" w:lineRule="exac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xml:space="preserve">  D.其他可能</w:t>
      </w:r>
      <w:r>
        <w:rPr>
          <w:rFonts w:hint="eastAsia" w:ascii="宋体" w:hAnsi="宋体" w:cs="宋体"/>
          <w:color w:val="auto"/>
          <w:sz w:val="24"/>
          <w:highlight w:val="none"/>
          <w:lang w:bidi="ar"/>
        </w:rPr>
        <w:t>影响采购公正的</w:t>
      </w:r>
      <w:r>
        <w:rPr>
          <w:rFonts w:hint="eastAsia" w:ascii="宋体" w:hAnsi="宋体" w:cs="宋体"/>
          <w:color w:val="auto"/>
          <w:kern w:val="0"/>
          <w:sz w:val="24"/>
          <w:highlight w:val="none"/>
          <w:lang w:bidi="ar"/>
        </w:rPr>
        <w:t xml:space="preserve">利害关系（如有，请如实说明） </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w:t>
      </w:r>
    </w:p>
    <w:p>
      <w:pPr>
        <w:widowControl/>
        <w:numPr>
          <w:ilvl w:val="0"/>
          <w:numId w:val="28"/>
        </w:numPr>
        <w:snapToGrid w:val="0"/>
        <w:spacing w:line="440" w:lineRule="exact"/>
        <w:ind w:firstLine="451" w:firstLineChars="188"/>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xml:space="preserve">现已清楚知道参加本项目采购活动的其他所有供应商名称，本单位 □与其他所有供应商之间均不存在利害关系 □与 </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（供应商名称）之间存在下列利害关系</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w:t>
      </w:r>
    </w:p>
    <w:p>
      <w:pPr>
        <w:snapToGrid w:val="0"/>
        <w:spacing w:line="440" w:lineRule="exac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xml:space="preserve">  A.法定代表人或负责人或实际控制人是同一人</w:t>
      </w:r>
    </w:p>
    <w:p>
      <w:pPr>
        <w:snapToGrid w:val="0"/>
        <w:spacing w:line="440" w:lineRule="exact"/>
        <w:rPr>
          <w:rFonts w:hint="eastAsia" w:ascii="宋体" w:hAnsi="宋体" w:cs="宋体"/>
          <w:color w:val="auto"/>
          <w:spacing w:val="6"/>
          <w:sz w:val="24"/>
          <w:highlight w:val="none"/>
        </w:rPr>
      </w:pPr>
      <w:r>
        <w:rPr>
          <w:rFonts w:hint="eastAsia" w:ascii="宋体" w:hAnsi="宋体" w:cs="宋体"/>
          <w:color w:val="auto"/>
          <w:kern w:val="0"/>
          <w:sz w:val="24"/>
          <w:highlight w:val="none"/>
          <w:lang w:bidi="ar"/>
        </w:rPr>
        <w:t xml:space="preserve">  B.法定代表人或负责人或实际控制人是夫妻关系</w:t>
      </w:r>
    </w:p>
    <w:p>
      <w:pPr>
        <w:snapToGrid w:val="0"/>
        <w:spacing w:line="440" w:lineRule="exact"/>
        <w:rPr>
          <w:rFonts w:hint="eastAsia" w:ascii="宋体" w:hAnsi="宋体" w:cs="宋体"/>
          <w:color w:val="auto"/>
          <w:spacing w:val="6"/>
          <w:sz w:val="24"/>
          <w:highlight w:val="none"/>
        </w:rPr>
      </w:pPr>
      <w:r>
        <w:rPr>
          <w:rFonts w:hint="eastAsia" w:ascii="宋体" w:hAnsi="宋体" w:cs="宋体"/>
          <w:color w:val="auto"/>
          <w:kern w:val="0"/>
          <w:sz w:val="24"/>
          <w:highlight w:val="none"/>
          <w:lang w:bidi="ar"/>
        </w:rPr>
        <w:t xml:space="preserve">  C.法定代表人或负责人或实际控制人是直系血亲关系</w:t>
      </w:r>
    </w:p>
    <w:p>
      <w:pPr>
        <w:snapToGrid w:val="0"/>
        <w:spacing w:line="440" w:lineRule="exact"/>
        <w:rPr>
          <w:rFonts w:hint="eastAsia" w:ascii="宋体" w:hAnsi="宋体" w:cs="宋体"/>
          <w:color w:val="auto"/>
          <w:spacing w:val="6"/>
          <w:sz w:val="24"/>
          <w:highlight w:val="none"/>
        </w:rPr>
      </w:pPr>
      <w:r>
        <w:rPr>
          <w:rFonts w:hint="eastAsia" w:ascii="宋体" w:hAnsi="宋体" w:cs="宋体"/>
          <w:color w:val="auto"/>
          <w:kern w:val="0"/>
          <w:sz w:val="24"/>
          <w:highlight w:val="none"/>
          <w:lang w:bidi="ar"/>
        </w:rPr>
        <w:t xml:space="preserve">  D.法定代表人或负责人或实际控制人存在三代以内旁系血亲关系</w:t>
      </w:r>
    </w:p>
    <w:p>
      <w:pPr>
        <w:snapToGrid w:val="0"/>
        <w:spacing w:line="440" w:lineRule="exac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xml:space="preserve">  E.法定代表人或负责人或实际控制人存在近姻亲关系</w:t>
      </w:r>
    </w:p>
    <w:p>
      <w:pPr>
        <w:snapToGrid w:val="0"/>
        <w:spacing w:line="440" w:lineRule="exac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xml:space="preserve">  F.法定代表人或负责人或实际控制人存在股份控制或实际控制关系</w:t>
      </w:r>
    </w:p>
    <w:p>
      <w:pPr>
        <w:snapToGrid w:val="0"/>
        <w:spacing w:line="440" w:lineRule="exac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xml:space="preserve">  G.存在共同直接或间接投资设立子公司、联营企业和合营企业情况</w:t>
      </w:r>
    </w:p>
    <w:p>
      <w:pPr>
        <w:snapToGrid w:val="0"/>
        <w:spacing w:line="440" w:lineRule="exact"/>
        <w:rPr>
          <w:rFonts w:hint="eastAsia" w:ascii="宋体" w:hAnsi="宋体" w:cs="宋体"/>
          <w:color w:val="auto"/>
          <w:sz w:val="24"/>
          <w:highlight w:val="none"/>
        </w:rPr>
      </w:pPr>
      <w:r>
        <w:rPr>
          <w:rFonts w:hint="eastAsia" w:ascii="宋体" w:hAnsi="宋体" w:cs="宋体"/>
          <w:color w:val="auto"/>
          <w:kern w:val="0"/>
          <w:sz w:val="24"/>
          <w:highlight w:val="none"/>
          <w:lang w:bidi="ar"/>
        </w:rPr>
        <w:t xml:space="preserve">  H.存在分级代理或代销关系、同一生产制造商关系、</w:t>
      </w:r>
      <w:r>
        <w:rPr>
          <w:rFonts w:hint="eastAsia" w:ascii="宋体" w:hAnsi="宋体" w:cs="宋体"/>
          <w:color w:val="auto"/>
          <w:sz w:val="24"/>
          <w:highlight w:val="none"/>
          <w:lang w:bidi="ar"/>
        </w:rPr>
        <w:t>管理关系、重要业务（占主营业务收入50%以上）或重要财务往来关系（如融资）等其他实质性控制关系</w:t>
      </w:r>
    </w:p>
    <w:p>
      <w:pPr>
        <w:snapToGrid w:val="0"/>
        <w:spacing w:line="440" w:lineRule="exact"/>
        <w:rPr>
          <w:rFonts w:hint="eastAsia" w:ascii="宋体" w:hAnsi="宋体" w:cs="宋体"/>
          <w:color w:val="auto"/>
          <w:spacing w:val="6"/>
          <w:sz w:val="24"/>
          <w:highlight w:val="none"/>
        </w:rPr>
      </w:pPr>
      <w:r>
        <w:rPr>
          <w:rFonts w:hint="eastAsia" w:ascii="宋体" w:hAnsi="宋体" w:cs="宋体"/>
          <w:color w:val="auto"/>
          <w:sz w:val="24"/>
          <w:highlight w:val="none"/>
          <w:lang w:bidi="ar"/>
        </w:rPr>
        <w:t xml:space="preserve">  I</w:t>
      </w:r>
      <w:r>
        <w:rPr>
          <w:rFonts w:hint="eastAsia" w:ascii="宋体" w:hAnsi="宋体" w:cs="宋体"/>
          <w:color w:val="auto"/>
          <w:kern w:val="0"/>
          <w:sz w:val="24"/>
          <w:highlight w:val="none"/>
          <w:lang w:bidi="ar"/>
        </w:rPr>
        <w:t>.</w:t>
      </w:r>
      <w:r>
        <w:rPr>
          <w:rFonts w:hint="eastAsia" w:ascii="宋体" w:hAnsi="宋体" w:cs="宋体"/>
          <w:color w:val="auto"/>
          <w:sz w:val="24"/>
          <w:highlight w:val="none"/>
          <w:lang w:bidi="ar"/>
        </w:rPr>
        <w:t>其他利害关系情况</w:t>
      </w:r>
      <w:r>
        <w:rPr>
          <w:rFonts w:hint="eastAsia" w:ascii="宋体" w:hAnsi="宋体" w:cs="宋体"/>
          <w:color w:val="auto"/>
          <w:sz w:val="24"/>
          <w:highlight w:val="none"/>
          <w:u w:val="single"/>
          <w:lang w:bidi="ar"/>
        </w:rPr>
        <w:t xml:space="preserve">                              </w:t>
      </w:r>
      <w:r>
        <w:rPr>
          <w:rFonts w:hint="eastAsia" w:ascii="宋体" w:hAnsi="宋体" w:cs="宋体"/>
          <w:color w:val="auto"/>
          <w:kern w:val="0"/>
          <w:sz w:val="24"/>
          <w:highlight w:val="none"/>
          <w:lang w:bidi="ar"/>
        </w:rPr>
        <w:t>。</w:t>
      </w:r>
    </w:p>
    <w:p>
      <w:pPr>
        <w:widowControl/>
        <w:numPr>
          <w:ilvl w:val="0"/>
          <w:numId w:val="29"/>
        </w:numPr>
        <w:snapToGrid w:val="0"/>
        <w:spacing w:line="440" w:lineRule="exact"/>
        <w:ind w:firstLine="451" w:firstLineChars="188"/>
        <w:rPr>
          <w:rFonts w:hint="eastAsia" w:ascii="宋体" w:hAnsi="宋体" w:cs="宋体"/>
          <w:color w:val="auto"/>
          <w:kern w:val="0"/>
          <w:sz w:val="24"/>
          <w:highlight w:val="none"/>
        </w:rPr>
      </w:pPr>
      <w:r>
        <w:rPr>
          <w:rFonts w:hint="eastAsia" w:ascii="宋体" w:hAnsi="宋体" w:cs="宋体"/>
          <w:color w:val="auto"/>
          <w:sz w:val="24"/>
          <w:highlight w:val="none"/>
          <w:lang w:bidi="ar"/>
        </w:rPr>
        <w:t>现已清楚知道并</w:t>
      </w:r>
      <w:r>
        <w:rPr>
          <w:rFonts w:hint="eastAsia" w:ascii="宋体" w:hAnsi="宋体" w:cs="宋体"/>
          <w:color w:val="auto"/>
          <w:kern w:val="0"/>
          <w:sz w:val="24"/>
          <w:highlight w:val="none"/>
          <w:lang w:bidi="ar"/>
        </w:rPr>
        <w:t>严格遵守政府采购法律法规和现场纪律。</w:t>
      </w:r>
    </w:p>
    <w:p>
      <w:pPr>
        <w:widowControl/>
        <w:numPr>
          <w:ilvl w:val="0"/>
          <w:numId w:val="29"/>
        </w:numPr>
        <w:snapToGrid w:val="0"/>
        <w:spacing w:line="440" w:lineRule="exact"/>
        <w:ind w:firstLine="451" w:firstLineChars="188"/>
        <w:rPr>
          <w:rFonts w:hint="eastAsia" w:ascii="宋体" w:hAnsi="宋体" w:cs="宋体"/>
          <w:color w:val="auto"/>
          <w:kern w:val="0"/>
          <w:sz w:val="24"/>
          <w:highlight w:val="none"/>
        </w:rPr>
      </w:pPr>
      <w:r>
        <w:rPr>
          <w:rFonts w:hint="eastAsia" w:ascii="宋体" w:hAnsi="宋体" w:cs="宋体"/>
          <w:color w:val="auto"/>
          <w:kern w:val="0"/>
          <w:sz w:val="24"/>
          <w:highlight w:val="none"/>
          <w:lang w:bidi="ar"/>
        </w:rPr>
        <w:t>我发现</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供应商之间存在或可能存在上述第二条第</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项利害关系。</w:t>
      </w:r>
    </w:p>
    <w:p>
      <w:pPr>
        <w:widowControl/>
        <w:numPr>
          <w:ilvl w:val="0"/>
          <w:numId w:val="0"/>
        </w:numPr>
        <w:tabs>
          <w:tab w:val="left" w:pos="0"/>
        </w:tabs>
        <w:snapToGrid w:val="0"/>
        <w:spacing w:line="440" w:lineRule="exact"/>
        <w:ind w:leftChars="188"/>
        <w:rPr>
          <w:rFonts w:hint="eastAsia" w:ascii="宋体" w:hAnsi="宋体" w:cs="宋体"/>
          <w:color w:val="auto"/>
          <w:sz w:val="24"/>
          <w:highlight w:val="none"/>
        </w:rPr>
      </w:pP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 xml:space="preserve">                                    （供应商代表签名）：</w:t>
      </w:r>
    </w:p>
    <w:p>
      <w:pPr>
        <w:rPr>
          <w:color w:val="auto"/>
          <w:highlight w:val="none"/>
        </w:rPr>
      </w:pPr>
      <w:r>
        <w:rPr>
          <w:rFonts w:hint="eastAsia" w:ascii="宋体" w:hAnsi="宋体" w:cs="宋体"/>
          <w:color w:val="auto"/>
          <w:sz w:val="24"/>
          <w:highlight w:val="none"/>
          <w:lang w:bidi="ar"/>
        </w:rPr>
        <w:t xml:space="preserve">                                      </w:t>
      </w:r>
      <w:r>
        <w:rPr>
          <w:rFonts w:hint="eastAsia" w:ascii="宋体" w:hAnsi="宋体" w:cs="宋体"/>
          <w:color w:val="auto"/>
          <w:sz w:val="24"/>
          <w:highlight w:val="none"/>
          <w:lang w:val="en-US" w:eastAsia="zh-CN" w:bidi="ar"/>
        </w:rPr>
        <w:t xml:space="preserve">     </w:t>
      </w:r>
      <w:r>
        <w:rPr>
          <w:rFonts w:hint="eastAsia" w:ascii="宋体" w:hAnsi="宋体" w:cs="宋体"/>
          <w:color w:val="auto"/>
          <w:sz w:val="24"/>
          <w:highlight w:val="none"/>
          <w:lang w:bidi="ar"/>
        </w:rPr>
        <w:t>202</w:t>
      </w:r>
      <w:r>
        <w:rPr>
          <w:rFonts w:hint="eastAsia" w:ascii="宋体" w:hAnsi="宋体" w:cs="宋体"/>
          <w:color w:val="auto"/>
          <w:sz w:val="24"/>
          <w:highlight w:val="none"/>
          <w:lang w:val="en-US" w:eastAsia="zh-CN" w:bidi="ar"/>
        </w:rPr>
        <w:t>1</w:t>
      </w:r>
      <w:r>
        <w:rPr>
          <w:rFonts w:hint="eastAsia" w:ascii="宋体" w:hAnsi="宋体" w:cs="宋体"/>
          <w:color w:val="auto"/>
          <w:sz w:val="24"/>
          <w:highlight w:val="none"/>
          <w:lang w:bidi="ar"/>
        </w:rPr>
        <w:t>年  月  日</w:t>
      </w:r>
    </w:p>
    <w:p>
      <w:pPr>
        <w:spacing w:line="360" w:lineRule="auto"/>
        <w:rPr>
          <w:rFonts w:hint="eastAsia" w:ascii="宋体" w:hAnsi="宋体" w:cs="宋体"/>
          <w:color w:val="auto"/>
          <w:highlight w:val="none"/>
        </w:rPr>
      </w:pPr>
    </w:p>
    <w:p/>
    <w:sectPr>
      <w:footerReference r:id="rId8" w:type="first"/>
      <w:headerReference r:id="rId6" w:type="default"/>
      <w:footerReference r:id="rId7" w:type="default"/>
      <w:pgSz w:w="11906" w:h="16838"/>
      <w:pgMar w:top="1440" w:right="1797" w:bottom="1440" w:left="1797" w:header="567" w:footer="567"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长城仿宋">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TimesNewRomanPS-BoldMT">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w:pict>
        <v:shape id="_x0000_s3076" o:spid="_x0000_s307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16"/>
                  <w:rPr>
                    <w:rFonts w:eastAsia="宋体"/>
                    <w:lang w:eastAsia="zh-CN"/>
                  </w:rPr>
                </w:pPr>
                <w:r>
                  <w:rPr>
                    <w:lang w:eastAsia="zh-CN"/>
                  </w:rPr>
                  <w:fldChar w:fldCharType="begin"/>
                </w:r>
                <w:r>
                  <w:rPr>
                    <w:lang w:eastAsia="zh-CN"/>
                  </w:rPr>
                  <w:instrText xml:space="preserve"> PAGE  \* MERGEFORMAT </w:instrText>
                </w:r>
                <w:r>
                  <w:rPr>
                    <w:lang w:eastAsia="zh-CN"/>
                  </w:rPr>
                  <w:fldChar w:fldCharType="separate"/>
                </w:r>
                <w:r>
                  <w:rPr>
                    <w:rFonts w:hint="default"/>
                  </w:rPr>
                  <w:t>19</w:t>
                </w:r>
                <w:r>
                  <w:rPr>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6"/>
                  <w:jc w:val="center"/>
                </w:pPr>
                <w:r>
                  <w:rPr>
                    <w:lang w:val="zh-CN"/>
                  </w:rPr>
                  <w:fldChar w:fldCharType="begin"/>
                </w:r>
                <w:r>
                  <w:rPr>
                    <w:lang w:val="zh-CN"/>
                  </w:rPr>
                  <w:instrText xml:space="preserve"> PAGE   \* MERGEFORMAT </w:instrText>
                </w:r>
                <w:r>
                  <w:rPr>
                    <w:lang w:val="zh-CN"/>
                  </w:rPr>
                  <w:fldChar w:fldCharType="separate"/>
                </w:r>
                <w:r>
                  <w:rPr>
                    <w:lang w:val="zh-CN"/>
                  </w:rPr>
                  <w:t>7</w:t>
                </w:r>
                <w:r>
                  <w:rPr>
                    <w:lang w:val="zh-CN"/>
                  </w:rPr>
                  <w:fldChar w:fldCharType="end"/>
                </w:r>
              </w:p>
            </w:txbxContent>
          </v:textbox>
        </v:shape>
      </w:pic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C09E0"/>
    <w:multiLevelType w:val="multilevel"/>
    <w:tmpl w:val="916C09E0"/>
    <w:lvl w:ilvl="0" w:tentative="0">
      <w:start w:val="1"/>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AC4ACCE6"/>
    <w:multiLevelType w:val="multilevel"/>
    <w:tmpl w:val="AC4ACCE6"/>
    <w:lvl w:ilvl="0" w:tentative="0">
      <w:start w:val="5"/>
      <w:numFmt w:val="chineseCounting"/>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B049AB1C"/>
    <w:multiLevelType w:val="singleLevel"/>
    <w:tmpl w:val="B049AB1C"/>
    <w:lvl w:ilvl="0" w:tentative="0">
      <w:start w:val="3"/>
      <w:numFmt w:val="chineseCounting"/>
      <w:suff w:val="nothing"/>
      <w:lvlText w:val="%1、"/>
      <w:lvlJc w:val="left"/>
      <w:rPr>
        <w:rFonts w:hint="eastAsia"/>
      </w:rPr>
    </w:lvl>
  </w:abstractNum>
  <w:abstractNum w:abstractNumId="3">
    <w:nsid w:val="B62AC3E3"/>
    <w:multiLevelType w:val="multilevel"/>
    <w:tmpl w:val="B62AC3E3"/>
    <w:lvl w:ilvl="0" w:tentative="0">
      <w:start w:val="1"/>
      <w:numFmt w:val="chineseCounting"/>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CC1703E5"/>
    <w:multiLevelType w:val="multilevel"/>
    <w:tmpl w:val="CC1703E5"/>
    <w:lvl w:ilvl="0" w:tentative="0">
      <w:start w:val="1"/>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F6CB37F9"/>
    <w:multiLevelType w:val="multilevel"/>
    <w:tmpl w:val="F6CB37F9"/>
    <w:lvl w:ilvl="0" w:tentative="0">
      <w:start w:val="1"/>
      <w:numFmt w:val="decimal"/>
      <w:suff w:val="nothing"/>
      <w:lvlText w:val="%1、"/>
      <w:lvlJc w:val="left"/>
      <w:pPr>
        <w:tabs>
          <w:tab w:val="left" w:pos="0"/>
        </w:tabs>
        <w:ind w:left="0" w:firstLine="403"/>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0000003"/>
    <w:multiLevelType w:val="multilevel"/>
    <w:tmpl w:val="00000003"/>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0000000A"/>
    <w:multiLevelType w:val="multilevel"/>
    <w:tmpl w:val="0000000A"/>
    <w:lvl w:ilvl="0" w:tentative="0">
      <w:start w:val="1"/>
      <w:numFmt w:val="decimal"/>
      <w:lvlText w:val="%1."/>
      <w:lvlJc w:val="left"/>
      <w:pPr>
        <w:tabs>
          <w:tab w:val="left" w:pos="60"/>
        </w:tabs>
        <w:ind w:left="60" w:hanging="420"/>
      </w:pPr>
    </w:lvl>
    <w:lvl w:ilvl="1" w:tentative="0">
      <w:start w:val="1"/>
      <w:numFmt w:val="lowerLetter"/>
      <w:lvlText w:val="%2)"/>
      <w:lvlJc w:val="left"/>
      <w:pPr>
        <w:tabs>
          <w:tab w:val="left" w:pos="480"/>
        </w:tabs>
        <w:ind w:left="480" w:hanging="420"/>
      </w:pPr>
    </w:lvl>
    <w:lvl w:ilvl="2" w:tentative="0">
      <w:start w:val="1"/>
      <w:numFmt w:val="lowerRoman"/>
      <w:lvlText w:val="%3."/>
      <w:lvlJc w:val="right"/>
      <w:pPr>
        <w:tabs>
          <w:tab w:val="left" w:pos="900"/>
        </w:tabs>
        <w:ind w:left="900" w:hanging="420"/>
      </w:pPr>
    </w:lvl>
    <w:lvl w:ilvl="3" w:tentative="0">
      <w:start w:val="1"/>
      <w:numFmt w:val="decimal"/>
      <w:lvlText w:val="%4."/>
      <w:lvlJc w:val="left"/>
      <w:pPr>
        <w:tabs>
          <w:tab w:val="left" w:pos="1320"/>
        </w:tabs>
        <w:ind w:left="1320" w:hanging="420"/>
      </w:pPr>
    </w:lvl>
    <w:lvl w:ilvl="4" w:tentative="0">
      <w:start w:val="1"/>
      <w:numFmt w:val="lowerLetter"/>
      <w:lvlText w:val="%5)"/>
      <w:lvlJc w:val="left"/>
      <w:pPr>
        <w:tabs>
          <w:tab w:val="left" w:pos="1740"/>
        </w:tabs>
        <w:ind w:left="1740" w:hanging="420"/>
      </w:pPr>
    </w:lvl>
    <w:lvl w:ilvl="5" w:tentative="0">
      <w:start w:val="1"/>
      <w:numFmt w:val="lowerRoman"/>
      <w:lvlText w:val="%6."/>
      <w:lvlJc w:val="right"/>
      <w:pPr>
        <w:tabs>
          <w:tab w:val="left" w:pos="2160"/>
        </w:tabs>
        <w:ind w:left="2160" w:hanging="420"/>
      </w:pPr>
    </w:lvl>
    <w:lvl w:ilvl="6" w:tentative="0">
      <w:start w:val="1"/>
      <w:numFmt w:val="decimal"/>
      <w:lvlText w:val="%7."/>
      <w:lvlJc w:val="left"/>
      <w:pPr>
        <w:tabs>
          <w:tab w:val="left" w:pos="2580"/>
        </w:tabs>
        <w:ind w:left="2580" w:hanging="420"/>
      </w:pPr>
    </w:lvl>
    <w:lvl w:ilvl="7" w:tentative="0">
      <w:start w:val="1"/>
      <w:numFmt w:val="lowerLetter"/>
      <w:lvlText w:val="%8)"/>
      <w:lvlJc w:val="left"/>
      <w:pPr>
        <w:tabs>
          <w:tab w:val="left" w:pos="3000"/>
        </w:tabs>
        <w:ind w:left="3000" w:hanging="420"/>
      </w:pPr>
    </w:lvl>
    <w:lvl w:ilvl="8" w:tentative="0">
      <w:start w:val="1"/>
      <w:numFmt w:val="lowerRoman"/>
      <w:lvlText w:val="%9."/>
      <w:lvlJc w:val="right"/>
      <w:pPr>
        <w:tabs>
          <w:tab w:val="left" w:pos="3420"/>
        </w:tabs>
        <w:ind w:left="3420" w:hanging="420"/>
      </w:pPr>
    </w:lvl>
  </w:abstractNum>
  <w:abstractNum w:abstractNumId="8">
    <w:nsid w:val="0000000B"/>
    <w:multiLevelType w:val="multilevel"/>
    <w:tmpl w:val="0000000B"/>
    <w:lvl w:ilvl="0" w:tentative="0">
      <w:start w:val="1"/>
      <w:numFmt w:val="decimal"/>
      <w:lvlText w:val="%1)"/>
      <w:lvlJc w:val="left"/>
      <w:pPr>
        <w:tabs>
          <w:tab w:val="left" w:pos="960"/>
        </w:tabs>
        <w:ind w:left="96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C"/>
    <w:multiLevelType w:val="multilevel"/>
    <w:tmpl w:val="0000000C"/>
    <w:lvl w:ilvl="0" w:tentative="0">
      <w:start w:val="1"/>
      <w:numFmt w:val="chineseCounting"/>
      <w:suff w:val="nothing"/>
      <w:lvlText w:val="%1、"/>
      <w:lvlJc w:val="left"/>
    </w:lvl>
    <w:lvl w:ilvl="1" w:tentative="0">
      <w:start w:val="1"/>
      <w:numFmt w:val="decimal"/>
      <w:lvlText w:val="%2)"/>
      <w:lvlJc w:val="left"/>
      <w:pPr>
        <w:tabs>
          <w:tab w:val="left" w:pos="1260"/>
        </w:tabs>
        <w:ind w:left="1260" w:hanging="42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0000000F"/>
    <w:multiLevelType w:val="multilevel"/>
    <w:tmpl w:val="0000000F"/>
    <w:lvl w:ilvl="0" w:tentative="0">
      <w:start w:val="1"/>
      <w:numFmt w:val="bullet"/>
      <w:lvlText w:val=""/>
      <w:lvlJc w:val="left"/>
      <w:pPr>
        <w:tabs>
          <w:tab w:val="left" w:pos="899"/>
        </w:tabs>
        <w:ind w:left="899" w:hanging="420"/>
      </w:pPr>
      <w:rPr>
        <w:rFonts w:hint="default" w:ascii="Wingdings" w:hAnsi="Wingdings"/>
      </w:rPr>
    </w:lvl>
    <w:lvl w:ilvl="1" w:tentative="0">
      <w:start w:val="1"/>
      <w:numFmt w:val="bullet"/>
      <w:lvlText w:val=""/>
      <w:lvlJc w:val="left"/>
      <w:pPr>
        <w:tabs>
          <w:tab w:val="left" w:pos="1319"/>
        </w:tabs>
        <w:ind w:left="1319" w:hanging="420"/>
      </w:pPr>
      <w:rPr>
        <w:rFonts w:hint="default" w:ascii="Wingdings" w:hAnsi="Wingdings"/>
      </w:rPr>
    </w:lvl>
    <w:lvl w:ilvl="2" w:tentative="0">
      <w:start w:val="1"/>
      <w:numFmt w:val="bullet"/>
      <w:lvlText w:val=""/>
      <w:lvlJc w:val="left"/>
      <w:pPr>
        <w:tabs>
          <w:tab w:val="left" w:pos="1739"/>
        </w:tabs>
        <w:ind w:left="1739" w:hanging="420"/>
      </w:pPr>
      <w:rPr>
        <w:rFonts w:hint="default" w:ascii="Wingdings" w:hAnsi="Wingdings"/>
      </w:rPr>
    </w:lvl>
    <w:lvl w:ilvl="3" w:tentative="0">
      <w:start w:val="1"/>
      <w:numFmt w:val="bullet"/>
      <w:lvlText w:val=""/>
      <w:lvlJc w:val="left"/>
      <w:pPr>
        <w:tabs>
          <w:tab w:val="left" w:pos="2159"/>
        </w:tabs>
        <w:ind w:left="2159" w:hanging="420"/>
      </w:pPr>
      <w:rPr>
        <w:rFonts w:hint="default" w:ascii="Wingdings" w:hAnsi="Wingdings"/>
      </w:rPr>
    </w:lvl>
    <w:lvl w:ilvl="4" w:tentative="0">
      <w:start w:val="1"/>
      <w:numFmt w:val="bullet"/>
      <w:lvlText w:val=""/>
      <w:lvlJc w:val="left"/>
      <w:pPr>
        <w:tabs>
          <w:tab w:val="left" w:pos="2579"/>
        </w:tabs>
        <w:ind w:left="2579" w:hanging="420"/>
      </w:pPr>
      <w:rPr>
        <w:rFonts w:hint="default" w:ascii="Wingdings" w:hAnsi="Wingdings"/>
      </w:rPr>
    </w:lvl>
    <w:lvl w:ilvl="5" w:tentative="0">
      <w:start w:val="1"/>
      <w:numFmt w:val="bullet"/>
      <w:lvlText w:val=""/>
      <w:lvlJc w:val="left"/>
      <w:pPr>
        <w:tabs>
          <w:tab w:val="left" w:pos="2999"/>
        </w:tabs>
        <w:ind w:left="2999" w:hanging="420"/>
      </w:pPr>
      <w:rPr>
        <w:rFonts w:hint="default" w:ascii="Wingdings" w:hAnsi="Wingdings"/>
      </w:rPr>
    </w:lvl>
    <w:lvl w:ilvl="6" w:tentative="0">
      <w:start w:val="1"/>
      <w:numFmt w:val="bullet"/>
      <w:lvlText w:val=""/>
      <w:lvlJc w:val="left"/>
      <w:pPr>
        <w:tabs>
          <w:tab w:val="left" w:pos="3419"/>
        </w:tabs>
        <w:ind w:left="3419" w:hanging="420"/>
      </w:pPr>
      <w:rPr>
        <w:rFonts w:hint="default" w:ascii="Wingdings" w:hAnsi="Wingdings"/>
      </w:rPr>
    </w:lvl>
    <w:lvl w:ilvl="7" w:tentative="0">
      <w:start w:val="1"/>
      <w:numFmt w:val="bullet"/>
      <w:lvlText w:val=""/>
      <w:lvlJc w:val="left"/>
      <w:pPr>
        <w:tabs>
          <w:tab w:val="left" w:pos="3839"/>
        </w:tabs>
        <w:ind w:left="3839" w:hanging="420"/>
      </w:pPr>
      <w:rPr>
        <w:rFonts w:hint="default" w:ascii="Wingdings" w:hAnsi="Wingdings"/>
      </w:rPr>
    </w:lvl>
    <w:lvl w:ilvl="8" w:tentative="0">
      <w:start w:val="1"/>
      <w:numFmt w:val="bullet"/>
      <w:lvlText w:val=""/>
      <w:lvlJc w:val="left"/>
      <w:pPr>
        <w:tabs>
          <w:tab w:val="left" w:pos="4259"/>
        </w:tabs>
        <w:ind w:left="4259" w:hanging="420"/>
      </w:pPr>
      <w:rPr>
        <w:rFonts w:hint="default" w:ascii="Wingdings" w:hAnsi="Wingdings"/>
      </w:rPr>
    </w:lvl>
  </w:abstractNum>
  <w:abstractNum w:abstractNumId="11">
    <w:nsid w:val="00000013"/>
    <w:multiLevelType w:val="multilevel"/>
    <w:tmpl w:val="00000013"/>
    <w:lvl w:ilvl="0" w:tentative="0">
      <w:start w:val="1"/>
      <w:numFmt w:val="decimal"/>
      <w:lvlText w:val="%1."/>
      <w:lvlJc w:val="left"/>
      <w:pPr>
        <w:tabs>
          <w:tab w:val="left" w:pos="60"/>
        </w:tabs>
        <w:ind w:left="60" w:hanging="420"/>
      </w:pPr>
    </w:lvl>
    <w:lvl w:ilvl="1" w:tentative="0">
      <w:start w:val="1"/>
      <w:numFmt w:val="lowerLetter"/>
      <w:lvlText w:val="%2)"/>
      <w:lvlJc w:val="left"/>
      <w:pPr>
        <w:tabs>
          <w:tab w:val="left" w:pos="480"/>
        </w:tabs>
        <w:ind w:left="480" w:hanging="420"/>
      </w:pPr>
    </w:lvl>
    <w:lvl w:ilvl="2" w:tentative="0">
      <w:start w:val="1"/>
      <w:numFmt w:val="lowerRoman"/>
      <w:lvlText w:val="%3."/>
      <w:lvlJc w:val="right"/>
      <w:pPr>
        <w:tabs>
          <w:tab w:val="left" w:pos="900"/>
        </w:tabs>
        <w:ind w:left="900" w:hanging="420"/>
      </w:pPr>
    </w:lvl>
    <w:lvl w:ilvl="3" w:tentative="0">
      <w:start w:val="1"/>
      <w:numFmt w:val="decimal"/>
      <w:lvlText w:val="%4."/>
      <w:lvlJc w:val="left"/>
      <w:pPr>
        <w:tabs>
          <w:tab w:val="left" w:pos="1320"/>
        </w:tabs>
        <w:ind w:left="1320" w:hanging="420"/>
      </w:pPr>
    </w:lvl>
    <w:lvl w:ilvl="4" w:tentative="0">
      <w:start w:val="1"/>
      <w:numFmt w:val="lowerLetter"/>
      <w:lvlText w:val="%5)"/>
      <w:lvlJc w:val="left"/>
      <w:pPr>
        <w:tabs>
          <w:tab w:val="left" w:pos="1740"/>
        </w:tabs>
        <w:ind w:left="1740" w:hanging="420"/>
      </w:pPr>
    </w:lvl>
    <w:lvl w:ilvl="5" w:tentative="0">
      <w:start w:val="1"/>
      <w:numFmt w:val="lowerRoman"/>
      <w:lvlText w:val="%6."/>
      <w:lvlJc w:val="right"/>
      <w:pPr>
        <w:tabs>
          <w:tab w:val="left" w:pos="2160"/>
        </w:tabs>
        <w:ind w:left="2160" w:hanging="420"/>
      </w:pPr>
    </w:lvl>
    <w:lvl w:ilvl="6" w:tentative="0">
      <w:start w:val="1"/>
      <w:numFmt w:val="decimal"/>
      <w:lvlText w:val="%7."/>
      <w:lvlJc w:val="left"/>
      <w:pPr>
        <w:tabs>
          <w:tab w:val="left" w:pos="2580"/>
        </w:tabs>
        <w:ind w:left="2580" w:hanging="420"/>
      </w:pPr>
    </w:lvl>
    <w:lvl w:ilvl="7" w:tentative="0">
      <w:start w:val="1"/>
      <w:numFmt w:val="lowerLetter"/>
      <w:lvlText w:val="%8)"/>
      <w:lvlJc w:val="left"/>
      <w:pPr>
        <w:tabs>
          <w:tab w:val="left" w:pos="3000"/>
        </w:tabs>
        <w:ind w:left="3000" w:hanging="420"/>
      </w:pPr>
    </w:lvl>
    <w:lvl w:ilvl="8" w:tentative="0">
      <w:start w:val="1"/>
      <w:numFmt w:val="lowerRoman"/>
      <w:lvlText w:val="%9."/>
      <w:lvlJc w:val="right"/>
      <w:pPr>
        <w:tabs>
          <w:tab w:val="left" w:pos="3420"/>
        </w:tabs>
        <w:ind w:left="3420" w:hanging="420"/>
      </w:pPr>
    </w:lvl>
  </w:abstractNum>
  <w:abstractNum w:abstractNumId="12">
    <w:nsid w:val="00000014"/>
    <w:multiLevelType w:val="multilevel"/>
    <w:tmpl w:val="0000001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00000015"/>
    <w:multiLevelType w:val="multilevel"/>
    <w:tmpl w:val="00000015"/>
    <w:lvl w:ilvl="0" w:tentative="0">
      <w:start w:val="1"/>
      <w:numFmt w:val="decimal"/>
      <w:lvlText w:val="%1)"/>
      <w:lvlJc w:val="left"/>
      <w:pPr>
        <w:tabs>
          <w:tab w:val="left" w:pos="780"/>
        </w:tabs>
        <w:ind w:left="780" w:hanging="420"/>
      </w:pPr>
    </w:lvl>
    <w:lvl w:ilvl="1" w:tentative="0">
      <w:start w:val="1"/>
      <w:numFmt w:val="decimal"/>
      <w:lvlText w:val="%2、"/>
      <w:lvlJc w:val="left"/>
      <w:pPr>
        <w:tabs>
          <w:tab w:val="left" w:pos="1500"/>
        </w:tabs>
        <w:ind w:left="1500" w:hanging="720"/>
      </w:pPr>
      <w:rPr>
        <w:rFonts w:hint="eastAsia" w:cs="宋体"/>
        <w:color w:val="auto"/>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4">
    <w:nsid w:val="1FD49347"/>
    <w:multiLevelType w:val="singleLevel"/>
    <w:tmpl w:val="1FD49347"/>
    <w:lvl w:ilvl="0" w:tentative="0">
      <w:start w:val="1"/>
      <w:numFmt w:val="decimal"/>
      <w:suff w:val="nothing"/>
      <w:lvlText w:val="%1、"/>
      <w:lvlJc w:val="left"/>
    </w:lvl>
  </w:abstractNum>
  <w:abstractNum w:abstractNumId="15">
    <w:nsid w:val="27B78F41"/>
    <w:multiLevelType w:val="multilevel"/>
    <w:tmpl w:val="27B78F41"/>
    <w:lvl w:ilvl="0" w:tentative="0">
      <w:start w:val="5"/>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2E4A99B9"/>
    <w:multiLevelType w:val="multilevel"/>
    <w:tmpl w:val="2E4A99B9"/>
    <w:lvl w:ilvl="0" w:tentative="0">
      <w:start w:val="1"/>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E97E311"/>
    <w:multiLevelType w:val="multilevel"/>
    <w:tmpl w:val="3E97E311"/>
    <w:lvl w:ilvl="0" w:tentative="0">
      <w:start w:val="1"/>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3F8E8A2F"/>
    <w:multiLevelType w:val="multilevel"/>
    <w:tmpl w:val="3F8E8A2F"/>
    <w:lvl w:ilvl="0" w:tentative="0">
      <w:start w:val="2"/>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4F36AEBE"/>
    <w:multiLevelType w:val="multilevel"/>
    <w:tmpl w:val="4F36AEBE"/>
    <w:lvl w:ilvl="0" w:tentative="0">
      <w:start w:val="3"/>
      <w:numFmt w:val="chineseCounting"/>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50975F32"/>
    <w:multiLevelType w:val="multilevel"/>
    <w:tmpl w:val="50975F32"/>
    <w:lvl w:ilvl="0" w:tentative="0">
      <w:start w:val="1"/>
      <w:numFmt w:val="upperLetter"/>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53F7068D"/>
    <w:multiLevelType w:val="multilevel"/>
    <w:tmpl w:val="53F7068D"/>
    <w:lvl w:ilvl="0" w:tentative="0">
      <w:start w:val="1"/>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2">
    <w:nsid w:val="589A2FD8"/>
    <w:multiLevelType w:val="singleLevel"/>
    <w:tmpl w:val="589A2FD8"/>
    <w:lvl w:ilvl="0" w:tentative="0">
      <w:start w:val="1"/>
      <w:numFmt w:val="decimal"/>
      <w:suff w:val="nothing"/>
      <w:lvlText w:val="（%1）"/>
      <w:lvlJc w:val="left"/>
    </w:lvl>
  </w:abstractNum>
  <w:abstractNum w:abstractNumId="23">
    <w:nsid w:val="58CA7DCF"/>
    <w:multiLevelType w:val="multilevel"/>
    <w:tmpl w:val="58CA7DCF"/>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4">
    <w:nsid w:val="59F56D91"/>
    <w:multiLevelType w:val="multilevel"/>
    <w:tmpl w:val="59F56D91"/>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5">
    <w:nsid w:val="5D2B14EA"/>
    <w:multiLevelType w:val="multilevel"/>
    <w:tmpl w:val="5D2B14EA"/>
    <w:lvl w:ilvl="0" w:tentative="0">
      <w:start w:val="1"/>
      <w:numFmt w:val="decimal"/>
      <w:lvlText w:val="%1)"/>
      <w:lvlJc w:val="left"/>
      <w:pPr>
        <w:tabs>
          <w:tab w:val="left" w:pos="780"/>
        </w:tabs>
        <w:ind w:left="780" w:hanging="420"/>
      </w:pPr>
    </w:lvl>
    <w:lvl w:ilvl="1" w:tentative="0">
      <w:start w:val="1"/>
      <w:numFmt w:val="decimal"/>
      <w:lvlText w:val="%2、"/>
      <w:lvlJc w:val="left"/>
      <w:pPr>
        <w:tabs>
          <w:tab w:val="left" w:pos="1500"/>
        </w:tabs>
        <w:ind w:left="1500" w:hanging="720"/>
      </w:pPr>
      <w:rPr>
        <w:rFonts w:hint="eastAsia" w:cs="宋体"/>
        <w:color w:val="auto"/>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6">
    <w:nsid w:val="784446B3"/>
    <w:multiLevelType w:val="multilevel"/>
    <w:tmpl w:val="784446B3"/>
    <w:lvl w:ilvl="0" w:tentative="0">
      <w:start w:val="2"/>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7C1C3AF3"/>
    <w:multiLevelType w:val="multilevel"/>
    <w:tmpl w:val="7C1C3AF3"/>
    <w:lvl w:ilvl="0" w:tentative="0">
      <w:start w:val="1"/>
      <w:numFmt w:val="chineseCounting"/>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7E6950E1"/>
    <w:multiLevelType w:val="multilevel"/>
    <w:tmpl w:val="7E6950E1"/>
    <w:lvl w:ilvl="0" w:tentative="0">
      <w:start w:val="1"/>
      <w:numFmt w:val="chineseCounting"/>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9"/>
  </w:num>
  <w:num w:numId="2">
    <w:abstractNumId w:val="23"/>
  </w:num>
  <w:num w:numId="3">
    <w:abstractNumId w:val="13"/>
  </w:num>
  <w:num w:numId="4">
    <w:abstractNumId w:val="25"/>
  </w:num>
  <w:num w:numId="5">
    <w:abstractNumId w:val="11"/>
  </w:num>
  <w:num w:numId="6">
    <w:abstractNumId w:val="6"/>
  </w:num>
  <w:num w:numId="7">
    <w:abstractNumId w:val="7"/>
  </w:num>
  <w:num w:numId="8">
    <w:abstractNumId w:val="8"/>
  </w:num>
  <w:num w:numId="9">
    <w:abstractNumId w:val="12"/>
  </w:num>
  <w:num w:numId="10">
    <w:abstractNumId w:val="10"/>
  </w:num>
  <w:num w:numId="11">
    <w:abstractNumId w:val="2"/>
  </w:num>
  <w:num w:numId="12">
    <w:abstractNumId w:val="22"/>
  </w:num>
  <w:num w:numId="13">
    <w:abstractNumId w:val="24"/>
  </w:num>
  <w:num w:numId="14">
    <w:abstractNumId w:val="21"/>
  </w:num>
  <w:num w:numId="15">
    <w:abstractNumId w:val="4"/>
  </w:num>
  <w:num w:numId="16">
    <w:abstractNumId w:val="16"/>
  </w:num>
  <w:num w:numId="17">
    <w:abstractNumId w:val="18"/>
  </w:num>
  <w:num w:numId="18">
    <w:abstractNumId w:val="15"/>
  </w:num>
  <w:num w:numId="19">
    <w:abstractNumId w:val="1"/>
  </w:num>
  <w:num w:numId="20">
    <w:abstractNumId w:val="27"/>
  </w:num>
  <w:num w:numId="21">
    <w:abstractNumId w:val="20"/>
  </w:num>
  <w:num w:numId="22">
    <w:abstractNumId w:val="28"/>
  </w:num>
  <w:num w:numId="23">
    <w:abstractNumId w:val="0"/>
  </w:num>
  <w:num w:numId="24">
    <w:abstractNumId w:val="17"/>
  </w:num>
  <w:num w:numId="25">
    <w:abstractNumId w:val="26"/>
  </w:num>
  <w:num w:numId="26">
    <w:abstractNumId w:val="5"/>
  </w:num>
  <w:num w:numId="27">
    <w:abstractNumId w:val="14"/>
  </w:num>
  <w:num w:numId="28">
    <w:abstractNumId w:val="3"/>
  </w:num>
  <w:num w:numId="2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C SYSTEM">
    <w15:presenceInfo w15:providerId="None" w15:userId="MC SYST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5D41"/>
    <w:rsid w:val="00000845"/>
    <w:rsid w:val="00000C58"/>
    <w:rsid w:val="000010E6"/>
    <w:rsid w:val="0000123B"/>
    <w:rsid w:val="00001359"/>
    <w:rsid w:val="0000326E"/>
    <w:rsid w:val="000032F7"/>
    <w:rsid w:val="00005033"/>
    <w:rsid w:val="000055B3"/>
    <w:rsid w:val="00005F66"/>
    <w:rsid w:val="00006994"/>
    <w:rsid w:val="000073E5"/>
    <w:rsid w:val="000102ED"/>
    <w:rsid w:val="00010E7F"/>
    <w:rsid w:val="00011820"/>
    <w:rsid w:val="00011AA6"/>
    <w:rsid w:val="000124E6"/>
    <w:rsid w:val="0001299A"/>
    <w:rsid w:val="00013629"/>
    <w:rsid w:val="00016AAC"/>
    <w:rsid w:val="000171BD"/>
    <w:rsid w:val="00017F1D"/>
    <w:rsid w:val="000201FC"/>
    <w:rsid w:val="00020884"/>
    <w:rsid w:val="0002138F"/>
    <w:rsid w:val="00023E48"/>
    <w:rsid w:val="00023FD7"/>
    <w:rsid w:val="00025443"/>
    <w:rsid w:val="0002622E"/>
    <w:rsid w:val="0002644F"/>
    <w:rsid w:val="00026B89"/>
    <w:rsid w:val="000278EA"/>
    <w:rsid w:val="00031D13"/>
    <w:rsid w:val="00031E65"/>
    <w:rsid w:val="00032133"/>
    <w:rsid w:val="000328AD"/>
    <w:rsid w:val="00032EA1"/>
    <w:rsid w:val="0003303C"/>
    <w:rsid w:val="0003435F"/>
    <w:rsid w:val="00034693"/>
    <w:rsid w:val="00034B9D"/>
    <w:rsid w:val="00034E3A"/>
    <w:rsid w:val="00035A35"/>
    <w:rsid w:val="00035B55"/>
    <w:rsid w:val="00036463"/>
    <w:rsid w:val="00037D8D"/>
    <w:rsid w:val="000409FE"/>
    <w:rsid w:val="00042837"/>
    <w:rsid w:val="00042FF4"/>
    <w:rsid w:val="000434F6"/>
    <w:rsid w:val="00044ECF"/>
    <w:rsid w:val="00045222"/>
    <w:rsid w:val="000460C9"/>
    <w:rsid w:val="00046E75"/>
    <w:rsid w:val="00046FC8"/>
    <w:rsid w:val="000470AE"/>
    <w:rsid w:val="000477B5"/>
    <w:rsid w:val="000478CA"/>
    <w:rsid w:val="00047DEF"/>
    <w:rsid w:val="00047FD5"/>
    <w:rsid w:val="00050AE9"/>
    <w:rsid w:val="00051027"/>
    <w:rsid w:val="0005122C"/>
    <w:rsid w:val="000512C9"/>
    <w:rsid w:val="000517DE"/>
    <w:rsid w:val="00052330"/>
    <w:rsid w:val="00052C99"/>
    <w:rsid w:val="0005330C"/>
    <w:rsid w:val="0005331D"/>
    <w:rsid w:val="000546B0"/>
    <w:rsid w:val="00055CB3"/>
    <w:rsid w:val="0005606B"/>
    <w:rsid w:val="000564F0"/>
    <w:rsid w:val="00056D7F"/>
    <w:rsid w:val="00057036"/>
    <w:rsid w:val="00057DAB"/>
    <w:rsid w:val="0006008F"/>
    <w:rsid w:val="00060269"/>
    <w:rsid w:val="00060829"/>
    <w:rsid w:val="00060E1F"/>
    <w:rsid w:val="00061085"/>
    <w:rsid w:val="00061365"/>
    <w:rsid w:val="00061C51"/>
    <w:rsid w:val="000629B3"/>
    <w:rsid w:val="00063FFD"/>
    <w:rsid w:val="00064C84"/>
    <w:rsid w:val="000657E8"/>
    <w:rsid w:val="00066929"/>
    <w:rsid w:val="00066A03"/>
    <w:rsid w:val="00067276"/>
    <w:rsid w:val="00070F28"/>
    <w:rsid w:val="00071763"/>
    <w:rsid w:val="000717F4"/>
    <w:rsid w:val="00072B38"/>
    <w:rsid w:val="00073652"/>
    <w:rsid w:val="00074FD3"/>
    <w:rsid w:val="00075B7B"/>
    <w:rsid w:val="00076DD0"/>
    <w:rsid w:val="00076EA5"/>
    <w:rsid w:val="0007734A"/>
    <w:rsid w:val="0007796C"/>
    <w:rsid w:val="00077D63"/>
    <w:rsid w:val="00080068"/>
    <w:rsid w:val="000800A1"/>
    <w:rsid w:val="000823BF"/>
    <w:rsid w:val="000825F4"/>
    <w:rsid w:val="00082A92"/>
    <w:rsid w:val="00083A06"/>
    <w:rsid w:val="00083D50"/>
    <w:rsid w:val="00084AEE"/>
    <w:rsid w:val="00084B3F"/>
    <w:rsid w:val="00085222"/>
    <w:rsid w:val="00086295"/>
    <w:rsid w:val="00087EC1"/>
    <w:rsid w:val="00090062"/>
    <w:rsid w:val="0009020B"/>
    <w:rsid w:val="00090E7C"/>
    <w:rsid w:val="000920CE"/>
    <w:rsid w:val="00092F39"/>
    <w:rsid w:val="00093303"/>
    <w:rsid w:val="00093F4B"/>
    <w:rsid w:val="0009435F"/>
    <w:rsid w:val="0009775C"/>
    <w:rsid w:val="00097AE2"/>
    <w:rsid w:val="000A0003"/>
    <w:rsid w:val="000A07EE"/>
    <w:rsid w:val="000A1E64"/>
    <w:rsid w:val="000A1FA0"/>
    <w:rsid w:val="000A279B"/>
    <w:rsid w:val="000A2CB5"/>
    <w:rsid w:val="000A3636"/>
    <w:rsid w:val="000A38F7"/>
    <w:rsid w:val="000A4786"/>
    <w:rsid w:val="000A4937"/>
    <w:rsid w:val="000A6233"/>
    <w:rsid w:val="000A6329"/>
    <w:rsid w:val="000A6DB0"/>
    <w:rsid w:val="000A72BD"/>
    <w:rsid w:val="000B0911"/>
    <w:rsid w:val="000B1F4D"/>
    <w:rsid w:val="000B32EC"/>
    <w:rsid w:val="000B55EB"/>
    <w:rsid w:val="000B6E1A"/>
    <w:rsid w:val="000B76DE"/>
    <w:rsid w:val="000B7AC2"/>
    <w:rsid w:val="000C0038"/>
    <w:rsid w:val="000C0AD1"/>
    <w:rsid w:val="000C1281"/>
    <w:rsid w:val="000C23E9"/>
    <w:rsid w:val="000C27CF"/>
    <w:rsid w:val="000C2C8D"/>
    <w:rsid w:val="000C3750"/>
    <w:rsid w:val="000C48DE"/>
    <w:rsid w:val="000C5468"/>
    <w:rsid w:val="000C5512"/>
    <w:rsid w:val="000C621E"/>
    <w:rsid w:val="000C6A1A"/>
    <w:rsid w:val="000C74BF"/>
    <w:rsid w:val="000C79B3"/>
    <w:rsid w:val="000D0BAA"/>
    <w:rsid w:val="000D129D"/>
    <w:rsid w:val="000D24C7"/>
    <w:rsid w:val="000D2B4C"/>
    <w:rsid w:val="000D32F9"/>
    <w:rsid w:val="000D351D"/>
    <w:rsid w:val="000D3898"/>
    <w:rsid w:val="000D39B1"/>
    <w:rsid w:val="000D5213"/>
    <w:rsid w:val="000D543A"/>
    <w:rsid w:val="000D5C8E"/>
    <w:rsid w:val="000D6088"/>
    <w:rsid w:val="000D6266"/>
    <w:rsid w:val="000D6FE3"/>
    <w:rsid w:val="000D7003"/>
    <w:rsid w:val="000D717C"/>
    <w:rsid w:val="000D76DA"/>
    <w:rsid w:val="000E0151"/>
    <w:rsid w:val="000E0471"/>
    <w:rsid w:val="000E0CD8"/>
    <w:rsid w:val="000E1B40"/>
    <w:rsid w:val="000E1D17"/>
    <w:rsid w:val="000E26AD"/>
    <w:rsid w:val="000E2F46"/>
    <w:rsid w:val="000E3AE3"/>
    <w:rsid w:val="000E40EF"/>
    <w:rsid w:val="000E4CCF"/>
    <w:rsid w:val="000E50E2"/>
    <w:rsid w:val="000E6132"/>
    <w:rsid w:val="000E6175"/>
    <w:rsid w:val="000E62D3"/>
    <w:rsid w:val="000E6D4A"/>
    <w:rsid w:val="000E6D8E"/>
    <w:rsid w:val="000E762A"/>
    <w:rsid w:val="000E76C4"/>
    <w:rsid w:val="000E7A4E"/>
    <w:rsid w:val="000F00DA"/>
    <w:rsid w:val="000F12B9"/>
    <w:rsid w:val="000F1613"/>
    <w:rsid w:val="000F3997"/>
    <w:rsid w:val="000F419A"/>
    <w:rsid w:val="000F45DE"/>
    <w:rsid w:val="000F4936"/>
    <w:rsid w:val="000F5CCC"/>
    <w:rsid w:val="000F6980"/>
    <w:rsid w:val="000F718C"/>
    <w:rsid w:val="001014EC"/>
    <w:rsid w:val="00102288"/>
    <w:rsid w:val="0010277C"/>
    <w:rsid w:val="00102BA0"/>
    <w:rsid w:val="00103F34"/>
    <w:rsid w:val="0010459F"/>
    <w:rsid w:val="001055BE"/>
    <w:rsid w:val="001059EA"/>
    <w:rsid w:val="00105CF9"/>
    <w:rsid w:val="001067C6"/>
    <w:rsid w:val="00106886"/>
    <w:rsid w:val="0010715B"/>
    <w:rsid w:val="00107B26"/>
    <w:rsid w:val="0011025F"/>
    <w:rsid w:val="00110846"/>
    <w:rsid w:val="00111619"/>
    <w:rsid w:val="00111D89"/>
    <w:rsid w:val="0011202C"/>
    <w:rsid w:val="00112982"/>
    <w:rsid w:val="0011475D"/>
    <w:rsid w:val="001153A9"/>
    <w:rsid w:val="0011661B"/>
    <w:rsid w:val="00117878"/>
    <w:rsid w:val="0012036F"/>
    <w:rsid w:val="00120AC0"/>
    <w:rsid w:val="00120F74"/>
    <w:rsid w:val="00123CB9"/>
    <w:rsid w:val="00124E3C"/>
    <w:rsid w:val="001264D3"/>
    <w:rsid w:val="00126F6E"/>
    <w:rsid w:val="00127269"/>
    <w:rsid w:val="00127F2B"/>
    <w:rsid w:val="00130140"/>
    <w:rsid w:val="0013099E"/>
    <w:rsid w:val="00130C40"/>
    <w:rsid w:val="00132BC5"/>
    <w:rsid w:val="00133302"/>
    <w:rsid w:val="001337ED"/>
    <w:rsid w:val="00134836"/>
    <w:rsid w:val="00134AFC"/>
    <w:rsid w:val="001362E6"/>
    <w:rsid w:val="00136885"/>
    <w:rsid w:val="00136AEB"/>
    <w:rsid w:val="00136C58"/>
    <w:rsid w:val="0013754E"/>
    <w:rsid w:val="001379F6"/>
    <w:rsid w:val="001425EF"/>
    <w:rsid w:val="001439C8"/>
    <w:rsid w:val="00144752"/>
    <w:rsid w:val="00145480"/>
    <w:rsid w:val="001459A4"/>
    <w:rsid w:val="00146028"/>
    <w:rsid w:val="00146AE1"/>
    <w:rsid w:val="00150390"/>
    <w:rsid w:val="00150AA4"/>
    <w:rsid w:val="00151980"/>
    <w:rsid w:val="001523A1"/>
    <w:rsid w:val="00152459"/>
    <w:rsid w:val="00153B68"/>
    <w:rsid w:val="001548BB"/>
    <w:rsid w:val="0015515C"/>
    <w:rsid w:val="001553BE"/>
    <w:rsid w:val="00155AFA"/>
    <w:rsid w:val="0015685D"/>
    <w:rsid w:val="00157332"/>
    <w:rsid w:val="00157416"/>
    <w:rsid w:val="00160431"/>
    <w:rsid w:val="00160510"/>
    <w:rsid w:val="00160AE5"/>
    <w:rsid w:val="0016146C"/>
    <w:rsid w:val="00162268"/>
    <w:rsid w:val="00162B8B"/>
    <w:rsid w:val="00162D8F"/>
    <w:rsid w:val="00162E7F"/>
    <w:rsid w:val="00163097"/>
    <w:rsid w:val="001630BB"/>
    <w:rsid w:val="00163A03"/>
    <w:rsid w:val="00164498"/>
    <w:rsid w:val="00164B91"/>
    <w:rsid w:val="001654B7"/>
    <w:rsid w:val="00165609"/>
    <w:rsid w:val="00165DB1"/>
    <w:rsid w:val="00166F64"/>
    <w:rsid w:val="0016772E"/>
    <w:rsid w:val="00170274"/>
    <w:rsid w:val="00171911"/>
    <w:rsid w:val="001726C7"/>
    <w:rsid w:val="0017277D"/>
    <w:rsid w:val="001733C7"/>
    <w:rsid w:val="001744E2"/>
    <w:rsid w:val="001745D4"/>
    <w:rsid w:val="00175E43"/>
    <w:rsid w:val="001766A7"/>
    <w:rsid w:val="00176925"/>
    <w:rsid w:val="001773ED"/>
    <w:rsid w:val="001776D1"/>
    <w:rsid w:val="001779BE"/>
    <w:rsid w:val="0018049C"/>
    <w:rsid w:val="00180C15"/>
    <w:rsid w:val="001828BE"/>
    <w:rsid w:val="0018433C"/>
    <w:rsid w:val="001845A4"/>
    <w:rsid w:val="0018534E"/>
    <w:rsid w:val="0018565B"/>
    <w:rsid w:val="00185750"/>
    <w:rsid w:val="00186092"/>
    <w:rsid w:val="00186294"/>
    <w:rsid w:val="00186E7C"/>
    <w:rsid w:val="001877C5"/>
    <w:rsid w:val="001879BE"/>
    <w:rsid w:val="001902E4"/>
    <w:rsid w:val="0019086F"/>
    <w:rsid w:val="00190A26"/>
    <w:rsid w:val="00191296"/>
    <w:rsid w:val="00191437"/>
    <w:rsid w:val="00192A19"/>
    <w:rsid w:val="00193168"/>
    <w:rsid w:val="001937BC"/>
    <w:rsid w:val="00194485"/>
    <w:rsid w:val="0019499C"/>
    <w:rsid w:val="001951C9"/>
    <w:rsid w:val="001954E9"/>
    <w:rsid w:val="00195A69"/>
    <w:rsid w:val="00195DAD"/>
    <w:rsid w:val="001960AD"/>
    <w:rsid w:val="00196483"/>
    <w:rsid w:val="00196774"/>
    <w:rsid w:val="00197043"/>
    <w:rsid w:val="0019727C"/>
    <w:rsid w:val="00197AA3"/>
    <w:rsid w:val="00197CC0"/>
    <w:rsid w:val="001A2AA3"/>
    <w:rsid w:val="001A2C8A"/>
    <w:rsid w:val="001A31AC"/>
    <w:rsid w:val="001A35E2"/>
    <w:rsid w:val="001A46D6"/>
    <w:rsid w:val="001A50DB"/>
    <w:rsid w:val="001A53E0"/>
    <w:rsid w:val="001A5BB0"/>
    <w:rsid w:val="001A6096"/>
    <w:rsid w:val="001A6928"/>
    <w:rsid w:val="001A6DD7"/>
    <w:rsid w:val="001B02FB"/>
    <w:rsid w:val="001B0321"/>
    <w:rsid w:val="001B152E"/>
    <w:rsid w:val="001B275E"/>
    <w:rsid w:val="001B27BB"/>
    <w:rsid w:val="001B3F50"/>
    <w:rsid w:val="001B45EE"/>
    <w:rsid w:val="001B5429"/>
    <w:rsid w:val="001B67A1"/>
    <w:rsid w:val="001B6AF0"/>
    <w:rsid w:val="001B6F74"/>
    <w:rsid w:val="001B76CE"/>
    <w:rsid w:val="001B77D4"/>
    <w:rsid w:val="001B7CAB"/>
    <w:rsid w:val="001C19D3"/>
    <w:rsid w:val="001C3850"/>
    <w:rsid w:val="001C3B92"/>
    <w:rsid w:val="001C3C1E"/>
    <w:rsid w:val="001C3E01"/>
    <w:rsid w:val="001C3F05"/>
    <w:rsid w:val="001C498E"/>
    <w:rsid w:val="001C5586"/>
    <w:rsid w:val="001C614A"/>
    <w:rsid w:val="001C6EA0"/>
    <w:rsid w:val="001C71FB"/>
    <w:rsid w:val="001C7539"/>
    <w:rsid w:val="001C7C1F"/>
    <w:rsid w:val="001D0350"/>
    <w:rsid w:val="001D1819"/>
    <w:rsid w:val="001D1BB7"/>
    <w:rsid w:val="001D246F"/>
    <w:rsid w:val="001D24D4"/>
    <w:rsid w:val="001D25F8"/>
    <w:rsid w:val="001D2B45"/>
    <w:rsid w:val="001D3C92"/>
    <w:rsid w:val="001D59AE"/>
    <w:rsid w:val="001D5ECF"/>
    <w:rsid w:val="001D62F5"/>
    <w:rsid w:val="001D65D2"/>
    <w:rsid w:val="001D66F5"/>
    <w:rsid w:val="001D6711"/>
    <w:rsid w:val="001D6777"/>
    <w:rsid w:val="001D7169"/>
    <w:rsid w:val="001D7CE8"/>
    <w:rsid w:val="001E0236"/>
    <w:rsid w:val="001E0B8F"/>
    <w:rsid w:val="001E103C"/>
    <w:rsid w:val="001E14BB"/>
    <w:rsid w:val="001E4198"/>
    <w:rsid w:val="001E5310"/>
    <w:rsid w:val="001E5688"/>
    <w:rsid w:val="001E5907"/>
    <w:rsid w:val="001E5EAC"/>
    <w:rsid w:val="001E6BA2"/>
    <w:rsid w:val="001F0149"/>
    <w:rsid w:val="001F19A5"/>
    <w:rsid w:val="001F2032"/>
    <w:rsid w:val="001F2A6D"/>
    <w:rsid w:val="001F2FF2"/>
    <w:rsid w:val="001F3276"/>
    <w:rsid w:val="001F3FA1"/>
    <w:rsid w:val="001F445E"/>
    <w:rsid w:val="001F499B"/>
    <w:rsid w:val="001F6ED7"/>
    <w:rsid w:val="001F7061"/>
    <w:rsid w:val="001F7B3F"/>
    <w:rsid w:val="001F7E7B"/>
    <w:rsid w:val="0020012D"/>
    <w:rsid w:val="00200C0C"/>
    <w:rsid w:val="00201739"/>
    <w:rsid w:val="00202253"/>
    <w:rsid w:val="00202390"/>
    <w:rsid w:val="002028A1"/>
    <w:rsid w:val="00203137"/>
    <w:rsid w:val="00203A05"/>
    <w:rsid w:val="002069DC"/>
    <w:rsid w:val="00210530"/>
    <w:rsid w:val="00210C4A"/>
    <w:rsid w:val="00211991"/>
    <w:rsid w:val="002124E7"/>
    <w:rsid w:val="00212A32"/>
    <w:rsid w:val="00212E3C"/>
    <w:rsid w:val="00212F4E"/>
    <w:rsid w:val="00213824"/>
    <w:rsid w:val="00214F9A"/>
    <w:rsid w:val="0021617D"/>
    <w:rsid w:val="002162AE"/>
    <w:rsid w:val="00216A7D"/>
    <w:rsid w:val="00216D61"/>
    <w:rsid w:val="002207CD"/>
    <w:rsid w:val="002212B0"/>
    <w:rsid w:val="002222F4"/>
    <w:rsid w:val="0022238E"/>
    <w:rsid w:val="002224C4"/>
    <w:rsid w:val="00222784"/>
    <w:rsid w:val="0022288A"/>
    <w:rsid w:val="00223180"/>
    <w:rsid w:val="00225140"/>
    <w:rsid w:val="0022561D"/>
    <w:rsid w:val="00226314"/>
    <w:rsid w:val="00227B23"/>
    <w:rsid w:val="00227E33"/>
    <w:rsid w:val="00227E45"/>
    <w:rsid w:val="00232090"/>
    <w:rsid w:val="002330C4"/>
    <w:rsid w:val="0023348B"/>
    <w:rsid w:val="00234252"/>
    <w:rsid w:val="00234920"/>
    <w:rsid w:val="00234999"/>
    <w:rsid w:val="00234DC5"/>
    <w:rsid w:val="00236C4C"/>
    <w:rsid w:val="00236EFC"/>
    <w:rsid w:val="00237A22"/>
    <w:rsid w:val="00237D9C"/>
    <w:rsid w:val="00241084"/>
    <w:rsid w:val="002421A6"/>
    <w:rsid w:val="00242D68"/>
    <w:rsid w:val="002430D8"/>
    <w:rsid w:val="00244979"/>
    <w:rsid w:val="00244BA5"/>
    <w:rsid w:val="00245ED5"/>
    <w:rsid w:val="0024601A"/>
    <w:rsid w:val="00247CA5"/>
    <w:rsid w:val="002509DB"/>
    <w:rsid w:val="00250D0B"/>
    <w:rsid w:val="002517C9"/>
    <w:rsid w:val="00251AFA"/>
    <w:rsid w:val="002522CA"/>
    <w:rsid w:val="002522D4"/>
    <w:rsid w:val="00252C75"/>
    <w:rsid w:val="00253178"/>
    <w:rsid w:val="00254013"/>
    <w:rsid w:val="00254F72"/>
    <w:rsid w:val="00255B8F"/>
    <w:rsid w:val="00255CA4"/>
    <w:rsid w:val="00256402"/>
    <w:rsid w:val="0026070C"/>
    <w:rsid w:val="002618B2"/>
    <w:rsid w:val="00262218"/>
    <w:rsid w:val="0026233C"/>
    <w:rsid w:val="0026233E"/>
    <w:rsid w:val="00262917"/>
    <w:rsid w:val="002633EE"/>
    <w:rsid w:val="0026384C"/>
    <w:rsid w:val="002658C5"/>
    <w:rsid w:val="00265CF7"/>
    <w:rsid w:val="0026641B"/>
    <w:rsid w:val="00266D3B"/>
    <w:rsid w:val="00267434"/>
    <w:rsid w:val="00267D65"/>
    <w:rsid w:val="00267D95"/>
    <w:rsid w:val="0027072E"/>
    <w:rsid w:val="0027095C"/>
    <w:rsid w:val="00270AB5"/>
    <w:rsid w:val="00270CAF"/>
    <w:rsid w:val="0027207D"/>
    <w:rsid w:val="00272944"/>
    <w:rsid w:val="00272F8E"/>
    <w:rsid w:val="0027484D"/>
    <w:rsid w:val="00275687"/>
    <w:rsid w:val="0027576A"/>
    <w:rsid w:val="00276559"/>
    <w:rsid w:val="00276A9D"/>
    <w:rsid w:val="00276CF8"/>
    <w:rsid w:val="00276E92"/>
    <w:rsid w:val="00277C89"/>
    <w:rsid w:val="002803EB"/>
    <w:rsid w:val="00280594"/>
    <w:rsid w:val="00280729"/>
    <w:rsid w:val="00280A6D"/>
    <w:rsid w:val="002816A9"/>
    <w:rsid w:val="00281AE6"/>
    <w:rsid w:val="00281BCD"/>
    <w:rsid w:val="00281F17"/>
    <w:rsid w:val="002828AF"/>
    <w:rsid w:val="0028385B"/>
    <w:rsid w:val="002848F2"/>
    <w:rsid w:val="00285E07"/>
    <w:rsid w:val="002861E0"/>
    <w:rsid w:val="00287461"/>
    <w:rsid w:val="002902A3"/>
    <w:rsid w:val="0029357D"/>
    <w:rsid w:val="002944D9"/>
    <w:rsid w:val="002945EF"/>
    <w:rsid w:val="00294E77"/>
    <w:rsid w:val="002951E6"/>
    <w:rsid w:val="00295566"/>
    <w:rsid w:val="00295D41"/>
    <w:rsid w:val="00295F64"/>
    <w:rsid w:val="00295F8A"/>
    <w:rsid w:val="002964B2"/>
    <w:rsid w:val="00297424"/>
    <w:rsid w:val="00297F54"/>
    <w:rsid w:val="002A0625"/>
    <w:rsid w:val="002A21E8"/>
    <w:rsid w:val="002A3DF5"/>
    <w:rsid w:val="002A4442"/>
    <w:rsid w:val="002A4594"/>
    <w:rsid w:val="002A5542"/>
    <w:rsid w:val="002A59B9"/>
    <w:rsid w:val="002A5E75"/>
    <w:rsid w:val="002A7496"/>
    <w:rsid w:val="002B19C9"/>
    <w:rsid w:val="002B1D37"/>
    <w:rsid w:val="002B2389"/>
    <w:rsid w:val="002B2C27"/>
    <w:rsid w:val="002B35F5"/>
    <w:rsid w:val="002B5152"/>
    <w:rsid w:val="002B75BC"/>
    <w:rsid w:val="002C0069"/>
    <w:rsid w:val="002C0175"/>
    <w:rsid w:val="002C0323"/>
    <w:rsid w:val="002C1ED2"/>
    <w:rsid w:val="002C3728"/>
    <w:rsid w:val="002C3B02"/>
    <w:rsid w:val="002C420B"/>
    <w:rsid w:val="002C479D"/>
    <w:rsid w:val="002C4B47"/>
    <w:rsid w:val="002C4FEA"/>
    <w:rsid w:val="002C532A"/>
    <w:rsid w:val="002C5333"/>
    <w:rsid w:val="002C57C1"/>
    <w:rsid w:val="002C6454"/>
    <w:rsid w:val="002C65E5"/>
    <w:rsid w:val="002C6F0B"/>
    <w:rsid w:val="002C7815"/>
    <w:rsid w:val="002D0D23"/>
    <w:rsid w:val="002D100E"/>
    <w:rsid w:val="002D15D5"/>
    <w:rsid w:val="002D1957"/>
    <w:rsid w:val="002D1FE0"/>
    <w:rsid w:val="002D2B1C"/>
    <w:rsid w:val="002D4254"/>
    <w:rsid w:val="002D4698"/>
    <w:rsid w:val="002D48B8"/>
    <w:rsid w:val="002D4CF3"/>
    <w:rsid w:val="002D515B"/>
    <w:rsid w:val="002D55B0"/>
    <w:rsid w:val="002D621D"/>
    <w:rsid w:val="002D65D4"/>
    <w:rsid w:val="002D6BE4"/>
    <w:rsid w:val="002D7AF7"/>
    <w:rsid w:val="002E061C"/>
    <w:rsid w:val="002E07FC"/>
    <w:rsid w:val="002E093A"/>
    <w:rsid w:val="002E0D99"/>
    <w:rsid w:val="002E151B"/>
    <w:rsid w:val="002E17EA"/>
    <w:rsid w:val="002E1AF4"/>
    <w:rsid w:val="002E1F2B"/>
    <w:rsid w:val="002E36E0"/>
    <w:rsid w:val="002E3E02"/>
    <w:rsid w:val="002E45E3"/>
    <w:rsid w:val="002E543E"/>
    <w:rsid w:val="002E5E2C"/>
    <w:rsid w:val="002E6063"/>
    <w:rsid w:val="002E7D91"/>
    <w:rsid w:val="002F0226"/>
    <w:rsid w:val="002F0616"/>
    <w:rsid w:val="002F0775"/>
    <w:rsid w:val="002F19D0"/>
    <w:rsid w:val="002F1A2E"/>
    <w:rsid w:val="002F1D63"/>
    <w:rsid w:val="002F252D"/>
    <w:rsid w:val="002F2E64"/>
    <w:rsid w:val="002F346D"/>
    <w:rsid w:val="002F3DB4"/>
    <w:rsid w:val="002F4C28"/>
    <w:rsid w:val="002F511B"/>
    <w:rsid w:val="002F5803"/>
    <w:rsid w:val="002F643E"/>
    <w:rsid w:val="002F65CE"/>
    <w:rsid w:val="002F6F26"/>
    <w:rsid w:val="002F769E"/>
    <w:rsid w:val="0030012B"/>
    <w:rsid w:val="0030073A"/>
    <w:rsid w:val="00300E3F"/>
    <w:rsid w:val="003017CF"/>
    <w:rsid w:val="00301868"/>
    <w:rsid w:val="003028F4"/>
    <w:rsid w:val="003029DD"/>
    <w:rsid w:val="00302D0E"/>
    <w:rsid w:val="00302FEA"/>
    <w:rsid w:val="00303336"/>
    <w:rsid w:val="003037DD"/>
    <w:rsid w:val="003055DF"/>
    <w:rsid w:val="0030729C"/>
    <w:rsid w:val="003105C7"/>
    <w:rsid w:val="00311CB7"/>
    <w:rsid w:val="00312356"/>
    <w:rsid w:val="00312D3F"/>
    <w:rsid w:val="00312F86"/>
    <w:rsid w:val="003134C3"/>
    <w:rsid w:val="003135D6"/>
    <w:rsid w:val="00314156"/>
    <w:rsid w:val="00315811"/>
    <w:rsid w:val="00315A8A"/>
    <w:rsid w:val="00315E11"/>
    <w:rsid w:val="00316126"/>
    <w:rsid w:val="003166B5"/>
    <w:rsid w:val="00316DCF"/>
    <w:rsid w:val="003176FA"/>
    <w:rsid w:val="003178B2"/>
    <w:rsid w:val="00320914"/>
    <w:rsid w:val="00320DC8"/>
    <w:rsid w:val="00321597"/>
    <w:rsid w:val="0032344E"/>
    <w:rsid w:val="00324640"/>
    <w:rsid w:val="003248C6"/>
    <w:rsid w:val="003248EF"/>
    <w:rsid w:val="0032663C"/>
    <w:rsid w:val="00326B29"/>
    <w:rsid w:val="00326EA3"/>
    <w:rsid w:val="0032750B"/>
    <w:rsid w:val="00327831"/>
    <w:rsid w:val="0033114A"/>
    <w:rsid w:val="0033168C"/>
    <w:rsid w:val="00331999"/>
    <w:rsid w:val="00331BF3"/>
    <w:rsid w:val="00331E8A"/>
    <w:rsid w:val="003323DE"/>
    <w:rsid w:val="00332470"/>
    <w:rsid w:val="0033258F"/>
    <w:rsid w:val="00332DFB"/>
    <w:rsid w:val="00333178"/>
    <w:rsid w:val="00333545"/>
    <w:rsid w:val="003336EA"/>
    <w:rsid w:val="00333A94"/>
    <w:rsid w:val="00333AF2"/>
    <w:rsid w:val="00333D58"/>
    <w:rsid w:val="00333DF8"/>
    <w:rsid w:val="00333E7B"/>
    <w:rsid w:val="0033426E"/>
    <w:rsid w:val="00334B72"/>
    <w:rsid w:val="00335C18"/>
    <w:rsid w:val="00336FC2"/>
    <w:rsid w:val="00337106"/>
    <w:rsid w:val="00337EF1"/>
    <w:rsid w:val="003420AB"/>
    <w:rsid w:val="00344A62"/>
    <w:rsid w:val="00344F6F"/>
    <w:rsid w:val="00345AE9"/>
    <w:rsid w:val="00345B59"/>
    <w:rsid w:val="0034650D"/>
    <w:rsid w:val="0034676C"/>
    <w:rsid w:val="0034683E"/>
    <w:rsid w:val="003474A4"/>
    <w:rsid w:val="003503D5"/>
    <w:rsid w:val="00350A71"/>
    <w:rsid w:val="00351DD8"/>
    <w:rsid w:val="00351F3E"/>
    <w:rsid w:val="003553F0"/>
    <w:rsid w:val="00355FA4"/>
    <w:rsid w:val="003568DA"/>
    <w:rsid w:val="0035721D"/>
    <w:rsid w:val="003601C2"/>
    <w:rsid w:val="00360B34"/>
    <w:rsid w:val="003611D3"/>
    <w:rsid w:val="00361949"/>
    <w:rsid w:val="00361FAA"/>
    <w:rsid w:val="003629A3"/>
    <w:rsid w:val="003634A0"/>
    <w:rsid w:val="003639CF"/>
    <w:rsid w:val="003643DA"/>
    <w:rsid w:val="0036497B"/>
    <w:rsid w:val="003655CF"/>
    <w:rsid w:val="00365CD0"/>
    <w:rsid w:val="00365D97"/>
    <w:rsid w:val="003665A2"/>
    <w:rsid w:val="00366C5E"/>
    <w:rsid w:val="003670FC"/>
    <w:rsid w:val="00367BD1"/>
    <w:rsid w:val="003708DD"/>
    <w:rsid w:val="00370A38"/>
    <w:rsid w:val="003714D3"/>
    <w:rsid w:val="003714F1"/>
    <w:rsid w:val="0037152C"/>
    <w:rsid w:val="00372F0B"/>
    <w:rsid w:val="00373009"/>
    <w:rsid w:val="00373BC6"/>
    <w:rsid w:val="00374A3B"/>
    <w:rsid w:val="003757E2"/>
    <w:rsid w:val="003758FB"/>
    <w:rsid w:val="003761BE"/>
    <w:rsid w:val="00376E84"/>
    <w:rsid w:val="00377422"/>
    <w:rsid w:val="003810D6"/>
    <w:rsid w:val="0038172F"/>
    <w:rsid w:val="003832AB"/>
    <w:rsid w:val="003839FE"/>
    <w:rsid w:val="00384543"/>
    <w:rsid w:val="00384A3D"/>
    <w:rsid w:val="003853D0"/>
    <w:rsid w:val="00385408"/>
    <w:rsid w:val="00385510"/>
    <w:rsid w:val="0038554D"/>
    <w:rsid w:val="003855BF"/>
    <w:rsid w:val="00385BFC"/>
    <w:rsid w:val="00385C4C"/>
    <w:rsid w:val="0038651C"/>
    <w:rsid w:val="003872F6"/>
    <w:rsid w:val="0038778E"/>
    <w:rsid w:val="0039112A"/>
    <w:rsid w:val="003919D8"/>
    <w:rsid w:val="003919EE"/>
    <w:rsid w:val="00391B05"/>
    <w:rsid w:val="00391C10"/>
    <w:rsid w:val="00392335"/>
    <w:rsid w:val="0039255A"/>
    <w:rsid w:val="0039343F"/>
    <w:rsid w:val="0039366C"/>
    <w:rsid w:val="00393DEC"/>
    <w:rsid w:val="00394690"/>
    <w:rsid w:val="00394778"/>
    <w:rsid w:val="00394C3B"/>
    <w:rsid w:val="00395669"/>
    <w:rsid w:val="003963D4"/>
    <w:rsid w:val="0039706F"/>
    <w:rsid w:val="003A0DF9"/>
    <w:rsid w:val="003A1FEB"/>
    <w:rsid w:val="003A3028"/>
    <w:rsid w:val="003A30E1"/>
    <w:rsid w:val="003A42C4"/>
    <w:rsid w:val="003A4393"/>
    <w:rsid w:val="003A4DE1"/>
    <w:rsid w:val="003A5F5D"/>
    <w:rsid w:val="003A620D"/>
    <w:rsid w:val="003A62FD"/>
    <w:rsid w:val="003A69AF"/>
    <w:rsid w:val="003A6C03"/>
    <w:rsid w:val="003A7B58"/>
    <w:rsid w:val="003B0CA4"/>
    <w:rsid w:val="003B1B8E"/>
    <w:rsid w:val="003B37C5"/>
    <w:rsid w:val="003B3F06"/>
    <w:rsid w:val="003B57EA"/>
    <w:rsid w:val="003B6298"/>
    <w:rsid w:val="003B701C"/>
    <w:rsid w:val="003B76AD"/>
    <w:rsid w:val="003B7B21"/>
    <w:rsid w:val="003B7E57"/>
    <w:rsid w:val="003C059E"/>
    <w:rsid w:val="003C0EEA"/>
    <w:rsid w:val="003C1C00"/>
    <w:rsid w:val="003C1CD4"/>
    <w:rsid w:val="003C33A5"/>
    <w:rsid w:val="003C3ACE"/>
    <w:rsid w:val="003C4616"/>
    <w:rsid w:val="003C4656"/>
    <w:rsid w:val="003C4914"/>
    <w:rsid w:val="003C5074"/>
    <w:rsid w:val="003C590F"/>
    <w:rsid w:val="003C5BAF"/>
    <w:rsid w:val="003C628D"/>
    <w:rsid w:val="003C7072"/>
    <w:rsid w:val="003C7C64"/>
    <w:rsid w:val="003D0376"/>
    <w:rsid w:val="003D0406"/>
    <w:rsid w:val="003D0860"/>
    <w:rsid w:val="003D0EA8"/>
    <w:rsid w:val="003D1221"/>
    <w:rsid w:val="003D1402"/>
    <w:rsid w:val="003D1735"/>
    <w:rsid w:val="003D2A87"/>
    <w:rsid w:val="003D2C0A"/>
    <w:rsid w:val="003D2E80"/>
    <w:rsid w:val="003D304F"/>
    <w:rsid w:val="003D36E4"/>
    <w:rsid w:val="003D3DCF"/>
    <w:rsid w:val="003D419B"/>
    <w:rsid w:val="003D50DE"/>
    <w:rsid w:val="003D7760"/>
    <w:rsid w:val="003D7B40"/>
    <w:rsid w:val="003E0C35"/>
    <w:rsid w:val="003E2382"/>
    <w:rsid w:val="003E2433"/>
    <w:rsid w:val="003E2CBE"/>
    <w:rsid w:val="003E46C8"/>
    <w:rsid w:val="003E4AC1"/>
    <w:rsid w:val="003E5FE9"/>
    <w:rsid w:val="003E69C0"/>
    <w:rsid w:val="003E6A17"/>
    <w:rsid w:val="003E785C"/>
    <w:rsid w:val="003F02EA"/>
    <w:rsid w:val="003F0890"/>
    <w:rsid w:val="003F27CF"/>
    <w:rsid w:val="003F2965"/>
    <w:rsid w:val="003F2D5B"/>
    <w:rsid w:val="003F2F6C"/>
    <w:rsid w:val="003F365D"/>
    <w:rsid w:val="003F38B3"/>
    <w:rsid w:val="003F3F5F"/>
    <w:rsid w:val="003F4629"/>
    <w:rsid w:val="003F515B"/>
    <w:rsid w:val="003F64E1"/>
    <w:rsid w:val="003F6AA0"/>
    <w:rsid w:val="003F6F9C"/>
    <w:rsid w:val="003F7379"/>
    <w:rsid w:val="003F75B8"/>
    <w:rsid w:val="00400034"/>
    <w:rsid w:val="0040150C"/>
    <w:rsid w:val="004030D6"/>
    <w:rsid w:val="004035FF"/>
    <w:rsid w:val="0040390F"/>
    <w:rsid w:val="00403C9C"/>
    <w:rsid w:val="004047A5"/>
    <w:rsid w:val="00404B68"/>
    <w:rsid w:val="004050F0"/>
    <w:rsid w:val="0040547F"/>
    <w:rsid w:val="004056FA"/>
    <w:rsid w:val="0041025F"/>
    <w:rsid w:val="004107CB"/>
    <w:rsid w:val="00410FC4"/>
    <w:rsid w:val="00411191"/>
    <w:rsid w:val="004116F2"/>
    <w:rsid w:val="004118FB"/>
    <w:rsid w:val="00412645"/>
    <w:rsid w:val="0041296E"/>
    <w:rsid w:val="00412D6F"/>
    <w:rsid w:val="004138A5"/>
    <w:rsid w:val="00414653"/>
    <w:rsid w:val="00414805"/>
    <w:rsid w:val="00414E0F"/>
    <w:rsid w:val="0041544A"/>
    <w:rsid w:val="00415EFA"/>
    <w:rsid w:val="00416232"/>
    <w:rsid w:val="004167C9"/>
    <w:rsid w:val="00416B14"/>
    <w:rsid w:val="00416B23"/>
    <w:rsid w:val="00416C8C"/>
    <w:rsid w:val="0041735F"/>
    <w:rsid w:val="0042006D"/>
    <w:rsid w:val="0042106E"/>
    <w:rsid w:val="0042228F"/>
    <w:rsid w:val="0042317D"/>
    <w:rsid w:val="00423B8B"/>
    <w:rsid w:val="00423F4C"/>
    <w:rsid w:val="00425599"/>
    <w:rsid w:val="004264AA"/>
    <w:rsid w:val="0042675F"/>
    <w:rsid w:val="004269CB"/>
    <w:rsid w:val="004269FB"/>
    <w:rsid w:val="0042735F"/>
    <w:rsid w:val="00427DE5"/>
    <w:rsid w:val="00430C93"/>
    <w:rsid w:val="00431FF2"/>
    <w:rsid w:val="0043222B"/>
    <w:rsid w:val="0043227C"/>
    <w:rsid w:val="00433069"/>
    <w:rsid w:val="0043376E"/>
    <w:rsid w:val="004344E7"/>
    <w:rsid w:val="00434BDC"/>
    <w:rsid w:val="00434CCF"/>
    <w:rsid w:val="00436CD7"/>
    <w:rsid w:val="00440437"/>
    <w:rsid w:val="00442A52"/>
    <w:rsid w:val="00442DC9"/>
    <w:rsid w:val="004442C8"/>
    <w:rsid w:val="00444686"/>
    <w:rsid w:val="0044476C"/>
    <w:rsid w:val="00444D0B"/>
    <w:rsid w:val="00445163"/>
    <w:rsid w:val="004459A6"/>
    <w:rsid w:val="0044678E"/>
    <w:rsid w:val="00446980"/>
    <w:rsid w:val="00446D52"/>
    <w:rsid w:val="0044724C"/>
    <w:rsid w:val="0044791C"/>
    <w:rsid w:val="00450E63"/>
    <w:rsid w:val="004515E2"/>
    <w:rsid w:val="00451EEF"/>
    <w:rsid w:val="0045206F"/>
    <w:rsid w:val="00452A8F"/>
    <w:rsid w:val="00453D92"/>
    <w:rsid w:val="0045451E"/>
    <w:rsid w:val="00454551"/>
    <w:rsid w:val="0045487F"/>
    <w:rsid w:val="004549D0"/>
    <w:rsid w:val="00455854"/>
    <w:rsid w:val="00455D18"/>
    <w:rsid w:val="00455F80"/>
    <w:rsid w:val="00457031"/>
    <w:rsid w:val="004574CF"/>
    <w:rsid w:val="004576C5"/>
    <w:rsid w:val="0046197F"/>
    <w:rsid w:val="00461AE7"/>
    <w:rsid w:val="00461E6E"/>
    <w:rsid w:val="004628B2"/>
    <w:rsid w:val="0046408E"/>
    <w:rsid w:val="004667AA"/>
    <w:rsid w:val="00466CB2"/>
    <w:rsid w:val="00467B52"/>
    <w:rsid w:val="004702E5"/>
    <w:rsid w:val="0047057B"/>
    <w:rsid w:val="00470593"/>
    <w:rsid w:val="004707DA"/>
    <w:rsid w:val="00471989"/>
    <w:rsid w:val="00471D05"/>
    <w:rsid w:val="00471E59"/>
    <w:rsid w:val="00474656"/>
    <w:rsid w:val="00474D77"/>
    <w:rsid w:val="00475167"/>
    <w:rsid w:val="00476B58"/>
    <w:rsid w:val="004801B5"/>
    <w:rsid w:val="00480674"/>
    <w:rsid w:val="004807F8"/>
    <w:rsid w:val="004808E3"/>
    <w:rsid w:val="00480A80"/>
    <w:rsid w:val="0048135D"/>
    <w:rsid w:val="004813A1"/>
    <w:rsid w:val="004817D1"/>
    <w:rsid w:val="00481FE9"/>
    <w:rsid w:val="00482133"/>
    <w:rsid w:val="00482C24"/>
    <w:rsid w:val="004835B8"/>
    <w:rsid w:val="00483DF9"/>
    <w:rsid w:val="004845AF"/>
    <w:rsid w:val="0048684D"/>
    <w:rsid w:val="00487280"/>
    <w:rsid w:val="0048754C"/>
    <w:rsid w:val="00487E22"/>
    <w:rsid w:val="00490161"/>
    <w:rsid w:val="00490F41"/>
    <w:rsid w:val="00491124"/>
    <w:rsid w:val="00491E25"/>
    <w:rsid w:val="004922DC"/>
    <w:rsid w:val="00492B73"/>
    <w:rsid w:val="00493336"/>
    <w:rsid w:val="00493395"/>
    <w:rsid w:val="00493C93"/>
    <w:rsid w:val="004942B6"/>
    <w:rsid w:val="004958A8"/>
    <w:rsid w:val="00496270"/>
    <w:rsid w:val="004A0E4E"/>
    <w:rsid w:val="004A0EB0"/>
    <w:rsid w:val="004A1BE9"/>
    <w:rsid w:val="004A1EB0"/>
    <w:rsid w:val="004A316D"/>
    <w:rsid w:val="004A3D89"/>
    <w:rsid w:val="004A59CD"/>
    <w:rsid w:val="004A5CBB"/>
    <w:rsid w:val="004A5CCD"/>
    <w:rsid w:val="004A675F"/>
    <w:rsid w:val="004A7798"/>
    <w:rsid w:val="004A785E"/>
    <w:rsid w:val="004A7CCC"/>
    <w:rsid w:val="004A7F00"/>
    <w:rsid w:val="004A7F6E"/>
    <w:rsid w:val="004B0849"/>
    <w:rsid w:val="004B11F6"/>
    <w:rsid w:val="004B25BE"/>
    <w:rsid w:val="004B3440"/>
    <w:rsid w:val="004B3C5D"/>
    <w:rsid w:val="004B4329"/>
    <w:rsid w:val="004B43C6"/>
    <w:rsid w:val="004B48FD"/>
    <w:rsid w:val="004B4BC6"/>
    <w:rsid w:val="004B4C8A"/>
    <w:rsid w:val="004B5161"/>
    <w:rsid w:val="004B52DD"/>
    <w:rsid w:val="004B740E"/>
    <w:rsid w:val="004B768F"/>
    <w:rsid w:val="004B7B71"/>
    <w:rsid w:val="004C27D8"/>
    <w:rsid w:val="004C2F9D"/>
    <w:rsid w:val="004C2FB1"/>
    <w:rsid w:val="004C58A3"/>
    <w:rsid w:val="004C58FE"/>
    <w:rsid w:val="004C5DE9"/>
    <w:rsid w:val="004C65C2"/>
    <w:rsid w:val="004C6D0B"/>
    <w:rsid w:val="004C7260"/>
    <w:rsid w:val="004C775C"/>
    <w:rsid w:val="004C7919"/>
    <w:rsid w:val="004C7F75"/>
    <w:rsid w:val="004D0404"/>
    <w:rsid w:val="004D1999"/>
    <w:rsid w:val="004D1F9F"/>
    <w:rsid w:val="004D237F"/>
    <w:rsid w:val="004D2A4E"/>
    <w:rsid w:val="004D45EF"/>
    <w:rsid w:val="004D6223"/>
    <w:rsid w:val="004D6262"/>
    <w:rsid w:val="004D6AB3"/>
    <w:rsid w:val="004D7E93"/>
    <w:rsid w:val="004E0532"/>
    <w:rsid w:val="004E0D76"/>
    <w:rsid w:val="004E1244"/>
    <w:rsid w:val="004E2350"/>
    <w:rsid w:val="004E26D8"/>
    <w:rsid w:val="004E2D01"/>
    <w:rsid w:val="004E3415"/>
    <w:rsid w:val="004E3612"/>
    <w:rsid w:val="004E3AF4"/>
    <w:rsid w:val="004E4BBB"/>
    <w:rsid w:val="004E55D2"/>
    <w:rsid w:val="004E5C70"/>
    <w:rsid w:val="004E5E24"/>
    <w:rsid w:val="004E6566"/>
    <w:rsid w:val="004E67A5"/>
    <w:rsid w:val="004E7118"/>
    <w:rsid w:val="004E7776"/>
    <w:rsid w:val="004F0286"/>
    <w:rsid w:val="004F215F"/>
    <w:rsid w:val="004F24E0"/>
    <w:rsid w:val="004F2A61"/>
    <w:rsid w:val="004F2F54"/>
    <w:rsid w:val="004F33CF"/>
    <w:rsid w:val="004F3478"/>
    <w:rsid w:val="004F3671"/>
    <w:rsid w:val="004F50C8"/>
    <w:rsid w:val="004F5F39"/>
    <w:rsid w:val="004F6E63"/>
    <w:rsid w:val="004F6F36"/>
    <w:rsid w:val="004F731D"/>
    <w:rsid w:val="004F7543"/>
    <w:rsid w:val="004F7862"/>
    <w:rsid w:val="0050090D"/>
    <w:rsid w:val="00500BD9"/>
    <w:rsid w:val="0050105D"/>
    <w:rsid w:val="00501D97"/>
    <w:rsid w:val="00501DA5"/>
    <w:rsid w:val="00502092"/>
    <w:rsid w:val="005023BC"/>
    <w:rsid w:val="005023EB"/>
    <w:rsid w:val="00503D0E"/>
    <w:rsid w:val="00503D9B"/>
    <w:rsid w:val="00503EAC"/>
    <w:rsid w:val="005043C6"/>
    <w:rsid w:val="00504A6C"/>
    <w:rsid w:val="00504B72"/>
    <w:rsid w:val="00505476"/>
    <w:rsid w:val="00506176"/>
    <w:rsid w:val="0050679E"/>
    <w:rsid w:val="00510805"/>
    <w:rsid w:val="00510956"/>
    <w:rsid w:val="005111D2"/>
    <w:rsid w:val="0051291F"/>
    <w:rsid w:val="005131DF"/>
    <w:rsid w:val="0051437F"/>
    <w:rsid w:val="00514F7C"/>
    <w:rsid w:val="00516399"/>
    <w:rsid w:val="005168D7"/>
    <w:rsid w:val="00517662"/>
    <w:rsid w:val="00517996"/>
    <w:rsid w:val="00517B4E"/>
    <w:rsid w:val="00520217"/>
    <w:rsid w:val="0052251A"/>
    <w:rsid w:val="00522744"/>
    <w:rsid w:val="00522767"/>
    <w:rsid w:val="00522958"/>
    <w:rsid w:val="00522A6C"/>
    <w:rsid w:val="0052421A"/>
    <w:rsid w:val="00524FAE"/>
    <w:rsid w:val="00525802"/>
    <w:rsid w:val="00527023"/>
    <w:rsid w:val="005279A1"/>
    <w:rsid w:val="00530BFA"/>
    <w:rsid w:val="00531EE9"/>
    <w:rsid w:val="00532001"/>
    <w:rsid w:val="0053275D"/>
    <w:rsid w:val="00532775"/>
    <w:rsid w:val="005329A1"/>
    <w:rsid w:val="00533025"/>
    <w:rsid w:val="00534055"/>
    <w:rsid w:val="00534445"/>
    <w:rsid w:val="005349F1"/>
    <w:rsid w:val="00534E10"/>
    <w:rsid w:val="005350E0"/>
    <w:rsid w:val="0053796C"/>
    <w:rsid w:val="0054019B"/>
    <w:rsid w:val="0054070A"/>
    <w:rsid w:val="00541054"/>
    <w:rsid w:val="005413F6"/>
    <w:rsid w:val="00543413"/>
    <w:rsid w:val="00543C4C"/>
    <w:rsid w:val="0054405B"/>
    <w:rsid w:val="00544CE7"/>
    <w:rsid w:val="00544D90"/>
    <w:rsid w:val="00546048"/>
    <w:rsid w:val="005469F7"/>
    <w:rsid w:val="005472C6"/>
    <w:rsid w:val="005479F6"/>
    <w:rsid w:val="0055042B"/>
    <w:rsid w:val="00550996"/>
    <w:rsid w:val="00551793"/>
    <w:rsid w:val="00551DE7"/>
    <w:rsid w:val="005524C4"/>
    <w:rsid w:val="0055317A"/>
    <w:rsid w:val="0055388B"/>
    <w:rsid w:val="005541AC"/>
    <w:rsid w:val="00554316"/>
    <w:rsid w:val="005555B6"/>
    <w:rsid w:val="005556C7"/>
    <w:rsid w:val="005566E3"/>
    <w:rsid w:val="00556EA9"/>
    <w:rsid w:val="00557527"/>
    <w:rsid w:val="005604AA"/>
    <w:rsid w:val="005609A6"/>
    <w:rsid w:val="00561303"/>
    <w:rsid w:val="00561770"/>
    <w:rsid w:val="00561D5A"/>
    <w:rsid w:val="00561DDA"/>
    <w:rsid w:val="00562372"/>
    <w:rsid w:val="00562620"/>
    <w:rsid w:val="005633A5"/>
    <w:rsid w:val="0056341E"/>
    <w:rsid w:val="00563C17"/>
    <w:rsid w:val="00565808"/>
    <w:rsid w:val="00565DEB"/>
    <w:rsid w:val="00566094"/>
    <w:rsid w:val="00566463"/>
    <w:rsid w:val="00566680"/>
    <w:rsid w:val="00566F68"/>
    <w:rsid w:val="0056784B"/>
    <w:rsid w:val="00567973"/>
    <w:rsid w:val="00567F32"/>
    <w:rsid w:val="005707EE"/>
    <w:rsid w:val="00571094"/>
    <w:rsid w:val="0057209F"/>
    <w:rsid w:val="005723B6"/>
    <w:rsid w:val="005724F0"/>
    <w:rsid w:val="0057269D"/>
    <w:rsid w:val="00573438"/>
    <w:rsid w:val="00573610"/>
    <w:rsid w:val="0057361C"/>
    <w:rsid w:val="00574496"/>
    <w:rsid w:val="00575AA0"/>
    <w:rsid w:val="00576717"/>
    <w:rsid w:val="00576983"/>
    <w:rsid w:val="005770B9"/>
    <w:rsid w:val="00577612"/>
    <w:rsid w:val="00577D8A"/>
    <w:rsid w:val="00580E09"/>
    <w:rsid w:val="0058188C"/>
    <w:rsid w:val="00581C93"/>
    <w:rsid w:val="00583192"/>
    <w:rsid w:val="005844B3"/>
    <w:rsid w:val="005846CC"/>
    <w:rsid w:val="0058525B"/>
    <w:rsid w:val="00585D11"/>
    <w:rsid w:val="00586115"/>
    <w:rsid w:val="005862C0"/>
    <w:rsid w:val="0058651E"/>
    <w:rsid w:val="005867B5"/>
    <w:rsid w:val="00586BA8"/>
    <w:rsid w:val="0059091A"/>
    <w:rsid w:val="00590C40"/>
    <w:rsid w:val="00591436"/>
    <w:rsid w:val="00591F9C"/>
    <w:rsid w:val="0059230A"/>
    <w:rsid w:val="0059361D"/>
    <w:rsid w:val="00593E03"/>
    <w:rsid w:val="0059757D"/>
    <w:rsid w:val="005A028B"/>
    <w:rsid w:val="005A0D85"/>
    <w:rsid w:val="005A0E05"/>
    <w:rsid w:val="005A27BA"/>
    <w:rsid w:val="005A3C5E"/>
    <w:rsid w:val="005A442B"/>
    <w:rsid w:val="005A458B"/>
    <w:rsid w:val="005A4BA7"/>
    <w:rsid w:val="005A5197"/>
    <w:rsid w:val="005A6D01"/>
    <w:rsid w:val="005A7AF4"/>
    <w:rsid w:val="005B0956"/>
    <w:rsid w:val="005B1586"/>
    <w:rsid w:val="005B1A63"/>
    <w:rsid w:val="005B22B9"/>
    <w:rsid w:val="005B2307"/>
    <w:rsid w:val="005B29F7"/>
    <w:rsid w:val="005B3406"/>
    <w:rsid w:val="005B3FFA"/>
    <w:rsid w:val="005B474D"/>
    <w:rsid w:val="005B5A56"/>
    <w:rsid w:val="005B5BD3"/>
    <w:rsid w:val="005B78F0"/>
    <w:rsid w:val="005B790D"/>
    <w:rsid w:val="005C0109"/>
    <w:rsid w:val="005C19B9"/>
    <w:rsid w:val="005C2344"/>
    <w:rsid w:val="005C234E"/>
    <w:rsid w:val="005C347D"/>
    <w:rsid w:val="005C387B"/>
    <w:rsid w:val="005C3A18"/>
    <w:rsid w:val="005C578B"/>
    <w:rsid w:val="005C5A71"/>
    <w:rsid w:val="005C61E0"/>
    <w:rsid w:val="005D1615"/>
    <w:rsid w:val="005D18D3"/>
    <w:rsid w:val="005D2079"/>
    <w:rsid w:val="005D24F8"/>
    <w:rsid w:val="005D3A0C"/>
    <w:rsid w:val="005D3D49"/>
    <w:rsid w:val="005D3D8C"/>
    <w:rsid w:val="005D3DEE"/>
    <w:rsid w:val="005D43FF"/>
    <w:rsid w:val="005D4CE8"/>
    <w:rsid w:val="005D536E"/>
    <w:rsid w:val="005D6076"/>
    <w:rsid w:val="005D64F1"/>
    <w:rsid w:val="005D714D"/>
    <w:rsid w:val="005D7FA7"/>
    <w:rsid w:val="005E2D9D"/>
    <w:rsid w:val="005E3BBE"/>
    <w:rsid w:val="005E3BFA"/>
    <w:rsid w:val="005E4110"/>
    <w:rsid w:val="005E45EC"/>
    <w:rsid w:val="005E47E6"/>
    <w:rsid w:val="005E4903"/>
    <w:rsid w:val="005E5189"/>
    <w:rsid w:val="005E51A8"/>
    <w:rsid w:val="005E5ADF"/>
    <w:rsid w:val="005E5C7C"/>
    <w:rsid w:val="005E60BF"/>
    <w:rsid w:val="005E6886"/>
    <w:rsid w:val="005E6B76"/>
    <w:rsid w:val="005E6EA2"/>
    <w:rsid w:val="005E7F65"/>
    <w:rsid w:val="005F0437"/>
    <w:rsid w:val="005F0AC9"/>
    <w:rsid w:val="005F110F"/>
    <w:rsid w:val="005F2688"/>
    <w:rsid w:val="005F28D1"/>
    <w:rsid w:val="005F32AE"/>
    <w:rsid w:val="005F361D"/>
    <w:rsid w:val="005F3B03"/>
    <w:rsid w:val="005F40BE"/>
    <w:rsid w:val="005F4B8C"/>
    <w:rsid w:val="005F534D"/>
    <w:rsid w:val="005F7BB8"/>
    <w:rsid w:val="00601051"/>
    <w:rsid w:val="00602D43"/>
    <w:rsid w:val="00603B9E"/>
    <w:rsid w:val="006048EA"/>
    <w:rsid w:val="00605005"/>
    <w:rsid w:val="0060585B"/>
    <w:rsid w:val="00605F52"/>
    <w:rsid w:val="006075A3"/>
    <w:rsid w:val="00607A7F"/>
    <w:rsid w:val="00607AE5"/>
    <w:rsid w:val="00610E73"/>
    <w:rsid w:val="00612C0C"/>
    <w:rsid w:val="00612E46"/>
    <w:rsid w:val="00613E7A"/>
    <w:rsid w:val="00614827"/>
    <w:rsid w:val="00614CC6"/>
    <w:rsid w:val="00615096"/>
    <w:rsid w:val="00615242"/>
    <w:rsid w:val="00615883"/>
    <w:rsid w:val="00615AD6"/>
    <w:rsid w:val="0061658A"/>
    <w:rsid w:val="00616EF6"/>
    <w:rsid w:val="00617D4F"/>
    <w:rsid w:val="00617EE0"/>
    <w:rsid w:val="0062210E"/>
    <w:rsid w:val="006222AA"/>
    <w:rsid w:val="00622936"/>
    <w:rsid w:val="00623838"/>
    <w:rsid w:val="00623E58"/>
    <w:rsid w:val="006242D0"/>
    <w:rsid w:val="00627AC3"/>
    <w:rsid w:val="006314A3"/>
    <w:rsid w:val="006324A0"/>
    <w:rsid w:val="006336E8"/>
    <w:rsid w:val="006342BA"/>
    <w:rsid w:val="00634E37"/>
    <w:rsid w:val="00637027"/>
    <w:rsid w:val="0063721B"/>
    <w:rsid w:val="00637859"/>
    <w:rsid w:val="00637912"/>
    <w:rsid w:val="006379BD"/>
    <w:rsid w:val="00640297"/>
    <w:rsid w:val="0064091B"/>
    <w:rsid w:val="0064203B"/>
    <w:rsid w:val="00642855"/>
    <w:rsid w:val="00642B19"/>
    <w:rsid w:val="006434F7"/>
    <w:rsid w:val="0064390D"/>
    <w:rsid w:val="0064498B"/>
    <w:rsid w:val="00644E17"/>
    <w:rsid w:val="00644FC6"/>
    <w:rsid w:val="00645BB3"/>
    <w:rsid w:val="00645F4B"/>
    <w:rsid w:val="006467F1"/>
    <w:rsid w:val="0064798A"/>
    <w:rsid w:val="00647F64"/>
    <w:rsid w:val="006512E3"/>
    <w:rsid w:val="006515C6"/>
    <w:rsid w:val="0065181F"/>
    <w:rsid w:val="00651ECD"/>
    <w:rsid w:val="006521D7"/>
    <w:rsid w:val="00653D94"/>
    <w:rsid w:val="00654FD2"/>
    <w:rsid w:val="006558FA"/>
    <w:rsid w:val="00655909"/>
    <w:rsid w:val="0065724F"/>
    <w:rsid w:val="0065735B"/>
    <w:rsid w:val="00657EA6"/>
    <w:rsid w:val="00660656"/>
    <w:rsid w:val="00660712"/>
    <w:rsid w:val="0066076C"/>
    <w:rsid w:val="006629F5"/>
    <w:rsid w:val="006634CD"/>
    <w:rsid w:val="00664AA5"/>
    <w:rsid w:val="00665518"/>
    <w:rsid w:val="006655D5"/>
    <w:rsid w:val="006658A4"/>
    <w:rsid w:val="0066679E"/>
    <w:rsid w:val="00667724"/>
    <w:rsid w:val="00667BA2"/>
    <w:rsid w:val="006705AF"/>
    <w:rsid w:val="00670CED"/>
    <w:rsid w:val="00670F1D"/>
    <w:rsid w:val="00673A39"/>
    <w:rsid w:val="00675F7B"/>
    <w:rsid w:val="006763A1"/>
    <w:rsid w:val="006764AE"/>
    <w:rsid w:val="00676EC6"/>
    <w:rsid w:val="006816E0"/>
    <w:rsid w:val="006818D1"/>
    <w:rsid w:val="00682FB7"/>
    <w:rsid w:val="00683372"/>
    <w:rsid w:val="00684AD0"/>
    <w:rsid w:val="00684C11"/>
    <w:rsid w:val="00684D0D"/>
    <w:rsid w:val="0068521F"/>
    <w:rsid w:val="00685530"/>
    <w:rsid w:val="00685940"/>
    <w:rsid w:val="00686E18"/>
    <w:rsid w:val="00686F2F"/>
    <w:rsid w:val="006872D0"/>
    <w:rsid w:val="00687F8A"/>
    <w:rsid w:val="00690FE1"/>
    <w:rsid w:val="006917A1"/>
    <w:rsid w:val="006919CA"/>
    <w:rsid w:val="0069240A"/>
    <w:rsid w:val="00693847"/>
    <w:rsid w:val="00693C40"/>
    <w:rsid w:val="00694635"/>
    <w:rsid w:val="00694B4A"/>
    <w:rsid w:val="0069580B"/>
    <w:rsid w:val="00695E47"/>
    <w:rsid w:val="00697B80"/>
    <w:rsid w:val="006A09C9"/>
    <w:rsid w:val="006A0AE2"/>
    <w:rsid w:val="006A11BF"/>
    <w:rsid w:val="006A15AA"/>
    <w:rsid w:val="006A3EF9"/>
    <w:rsid w:val="006A43DD"/>
    <w:rsid w:val="006A50DC"/>
    <w:rsid w:val="006A6440"/>
    <w:rsid w:val="006A662B"/>
    <w:rsid w:val="006A6E9F"/>
    <w:rsid w:val="006A72E1"/>
    <w:rsid w:val="006A72E9"/>
    <w:rsid w:val="006A733A"/>
    <w:rsid w:val="006A7521"/>
    <w:rsid w:val="006B1DB7"/>
    <w:rsid w:val="006B2BAE"/>
    <w:rsid w:val="006B30DE"/>
    <w:rsid w:val="006B39E1"/>
    <w:rsid w:val="006B454F"/>
    <w:rsid w:val="006B5E9C"/>
    <w:rsid w:val="006B6C1D"/>
    <w:rsid w:val="006B6C20"/>
    <w:rsid w:val="006B7311"/>
    <w:rsid w:val="006B798A"/>
    <w:rsid w:val="006B7B34"/>
    <w:rsid w:val="006B7D2D"/>
    <w:rsid w:val="006B7FAE"/>
    <w:rsid w:val="006C109B"/>
    <w:rsid w:val="006C2F60"/>
    <w:rsid w:val="006C3625"/>
    <w:rsid w:val="006C37C5"/>
    <w:rsid w:val="006C4413"/>
    <w:rsid w:val="006C558A"/>
    <w:rsid w:val="006C5ED2"/>
    <w:rsid w:val="006C6BDD"/>
    <w:rsid w:val="006C720D"/>
    <w:rsid w:val="006C78D7"/>
    <w:rsid w:val="006D016F"/>
    <w:rsid w:val="006D04B2"/>
    <w:rsid w:val="006D2C2E"/>
    <w:rsid w:val="006D390A"/>
    <w:rsid w:val="006D4D84"/>
    <w:rsid w:val="006D58D6"/>
    <w:rsid w:val="006D6215"/>
    <w:rsid w:val="006D65EC"/>
    <w:rsid w:val="006D666B"/>
    <w:rsid w:val="006D68DF"/>
    <w:rsid w:val="006D733E"/>
    <w:rsid w:val="006D7E91"/>
    <w:rsid w:val="006E0151"/>
    <w:rsid w:val="006E048C"/>
    <w:rsid w:val="006E04DA"/>
    <w:rsid w:val="006E081F"/>
    <w:rsid w:val="006E0A3C"/>
    <w:rsid w:val="006E0EC3"/>
    <w:rsid w:val="006E1533"/>
    <w:rsid w:val="006E21A5"/>
    <w:rsid w:val="006E28D4"/>
    <w:rsid w:val="006E2FC4"/>
    <w:rsid w:val="006E37B7"/>
    <w:rsid w:val="006E3978"/>
    <w:rsid w:val="006E3984"/>
    <w:rsid w:val="006E3A4D"/>
    <w:rsid w:val="006E6F50"/>
    <w:rsid w:val="006F14F4"/>
    <w:rsid w:val="006F1647"/>
    <w:rsid w:val="006F2496"/>
    <w:rsid w:val="006F297F"/>
    <w:rsid w:val="006F3262"/>
    <w:rsid w:val="006F36F0"/>
    <w:rsid w:val="006F392C"/>
    <w:rsid w:val="006F6D2C"/>
    <w:rsid w:val="00700AA8"/>
    <w:rsid w:val="007012AA"/>
    <w:rsid w:val="0070159A"/>
    <w:rsid w:val="00702CAF"/>
    <w:rsid w:val="00702E87"/>
    <w:rsid w:val="00703D64"/>
    <w:rsid w:val="007048FE"/>
    <w:rsid w:val="00704B1B"/>
    <w:rsid w:val="00705355"/>
    <w:rsid w:val="0070647B"/>
    <w:rsid w:val="0070663B"/>
    <w:rsid w:val="007071E7"/>
    <w:rsid w:val="007075CF"/>
    <w:rsid w:val="007079FF"/>
    <w:rsid w:val="00707F6E"/>
    <w:rsid w:val="00710687"/>
    <w:rsid w:val="007108C6"/>
    <w:rsid w:val="0071099B"/>
    <w:rsid w:val="00710F8E"/>
    <w:rsid w:val="00711D04"/>
    <w:rsid w:val="0071236A"/>
    <w:rsid w:val="007124C1"/>
    <w:rsid w:val="0071293B"/>
    <w:rsid w:val="00716A47"/>
    <w:rsid w:val="00716BAB"/>
    <w:rsid w:val="00716ECA"/>
    <w:rsid w:val="00716F79"/>
    <w:rsid w:val="007179FF"/>
    <w:rsid w:val="00717ADF"/>
    <w:rsid w:val="00717E02"/>
    <w:rsid w:val="00720BC7"/>
    <w:rsid w:val="00720FAA"/>
    <w:rsid w:val="007215D6"/>
    <w:rsid w:val="00722A94"/>
    <w:rsid w:val="00724A5E"/>
    <w:rsid w:val="007254D0"/>
    <w:rsid w:val="00725986"/>
    <w:rsid w:val="007259AD"/>
    <w:rsid w:val="00725B45"/>
    <w:rsid w:val="00726F81"/>
    <w:rsid w:val="00727653"/>
    <w:rsid w:val="0072793B"/>
    <w:rsid w:val="00727C90"/>
    <w:rsid w:val="00727DF9"/>
    <w:rsid w:val="007304BE"/>
    <w:rsid w:val="007304E9"/>
    <w:rsid w:val="00730F76"/>
    <w:rsid w:val="00732095"/>
    <w:rsid w:val="007321B0"/>
    <w:rsid w:val="0073385D"/>
    <w:rsid w:val="0073386D"/>
    <w:rsid w:val="007339C7"/>
    <w:rsid w:val="00733C1E"/>
    <w:rsid w:val="00733E66"/>
    <w:rsid w:val="007349FE"/>
    <w:rsid w:val="00734A9F"/>
    <w:rsid w:val="00734D3B"/>
    <w:rsid w:val="00735A1F"/>
    <w:rsid w:val="007365E4"/>
    <w:rsid w:val="0073669B"/>
    <w:rsid w:val="00737288"/>
    <w:rsid w:val="0074036D"/>
    <w:rsid w:val="00741E82"/>
    <w:rsid w:val="00741F29"/>
    <w:rsid w:val="00742D72"/>
    <w:rsid w:val="00743E3B"/>
    <w:rsid w:val="00743FBD"/>
    <w:rsid w:val="00744EE2"/>
    <w:rsid w:val="00745329"/>
    <w:rsid w:val="0074646B"/>
    <w:rsid w:val="00746E8B"/>
    <w:rsid w:val="00747D65"/>
    <w:rsid w:val="0075062C"/>
    <w:rsid w:val="00751265"/>
    <w:rsid w:val="00751969"/>
    <w:rsid w:val="00751FC8"/>
    <w:rsid w:val="00753232"/>
    <w:rsid w:val="00753B5A"/>
    <w:rsid w:val="00754E64"/>
    <w:rsid w:val="00756C09"/>
    <w:rsid w:val="00756DAF"/>
    <w:rsid w:val="00756E27"/>
    <w:rsid w:val="00756F82"/>
    <w:rsid w:val="0075781A"/>
    <w:rsid w:val="00757AD3"/>
    <w:rsid w:val="00757F05"/>
    <w:rsid w:val="00760BA3"/>
    <w:rsid w:val="007625DD"/>
    <w:rsid w:val="0076384E"/>
    <w:rsid w:val="00763932"/>
    <w:rsid w:val="0076713F"/>
    <w:rsid w:val="00767397"/>
    <w:rsid w:val="00767953"/>
    <w:rsid w:val="00770E1D"/>
    <w:rsid w:val="0077167D"/>
    <w:rsid w:val="00771C20"/>
    <w:rsid w:val="0077258D"/>
    <w:rsid w:val="00773CC2"/>
    <w:rsid w:val="0077460F"/>
    <w:rsid w:val="00775159"/>
    <w:rsid w:val="00776861"/>
    <w:rsid w:val="00776B43"/>
    <w:rsid w:val="00780518"/>
    <w:rsid w:val="00781242"/>
    <w:rsid w:val="007819A6"/>
    <w:rsid w:val="00782698"/>
    <w:rsid w:val="00782CB7"/>
    <w:rsid w:val="00784750"/>
    <w:rsid w:val="007856E0"/>
    <w:rsid w:val="00785A3F"/>
    <w:rsid w:val="00785F25"/>
    <w:rsid w:val="007863CD"/>
    <w:rsid w:val="007901BA"/>
    <w:rsid w:val="007906EF"/>
    <w:rsid w:val="00790966"/>
    <w:rsid w:val="00792A24"/>
    <w:rsid w:val="00793D7D"/>
    <w:rsid w:val="00793EEE"/>
    <w:rsid w:val="00794ED6"/>
    <w:rsid w:val="00795C79"/>
    <w:rsid w:val="0079613B"/>
    <w:rsid w:val="0079633D"/>
    <w:rsid w:val="00796479"/>
    <w:rsid w:val="00797341"/>
    <w:rsid w:val="00797658"/>
    <w:rsid w:val="00797EC2"/>
    <w:rsid w:val="00797FB6"/>
    <w:rsid w:val="007A0305"/>
    <w:rsid w:val="007A1932"/>
    <w:rsid w:val="007A1B97"/>
    <w:rsid w:val="007A297F"/>
    <w:rsid w:val="007A2DE6"/>
    <w:rsid w:val="007A35EA"/>
    <w:rsid w:val="007A3FE2"/>
    <w:rsid w:val="007A4578"/>
    <w:rsid w:val="007A4969"/>
    <w:rsid w:val="007A4FD2"/>
    <w:rsid w:val="007A5CB5"/>
    <w:rsid w:val="007A5E50"/>
    <w:rsid w:val="007A69FB"/>
    <w:rsid w:val="007B007B"/>
    <w:rsid w:val="007B0150"/>
    <w:rsid w:val="007B0E19"/>
    <w:rsid w:val="007B109C"/>
    <w:rsid w:val="007B1125"/>
    <w:rsid w:val="007B1EAF"/>
    <w:rsid w:val="007B2356"/>
    <w:rsid w:val="007B241B"/>
    <w:rsid w:val="007B2B8F"/>
    <w:rsid w:val="007B30E4"/>
    <w:rsid w:val="007B3CF3"/>
    <w:rsid w:val="007B5247"/>
    <w:rsid w:val="007B60A3"/>
    <w:rsid w:val="007B6663"/>
    <w:rsid w:val="007B674A"/>
    <w:rsid w:val="007B678A"/>
    <w:rsid w:val="007B6AAC"/>
    <w:rsid w:val="007B7467"/>
    <w:rsid w:val="007B7564"/>
    <w:rsid w:val="007B7D5E"/>
    <w:rsid w:val="007C0C32"/>
    <w:rsid w:val="007C1B20"/>
    <w:rsid w:val="007C1F1F"/>
    <w:rsid w:val="007C205A"/>
    <w:rsid w:val="007C2515"/>
    <w:rsid w:val="007C35BA"/>
    <w:rsid w:val="007C3CAB"/>
    <w:rsid w:val="007C45B9"/>
    <w:rsid w:val="007C4AD0"/>
    <w:rsid w:val="007C4F49"/>
    <w:rsid w:val="007C4F75"/>
    <w:rsid w:val="007C57B3"/>
    <w:rsid w:val="007C5A46"/>
    <w:rsid w:val="007C5FF1"/>
    <w:rsid w:val="007C6B35"/>
    <w:rsid w:val="007C6F7B"/>
    <w:rsid w:val="007D17DF"/>
    <w:rsid w:val="007D1FF0"/>
    <w:rsid w:val="007D2727"/>
    <w:rsid w:val="007D287C"/>
    <w:rsid w:val="007D3852"/>
    <w:rsid w:val="007D3B07"/>
    <w:rsid w:val="007D4210"/>
    <w:rsid w:val="007D4295"/>
    <w:rsid w:val="007D44F2"/>
    <w:rsid w:val="007D4A8F"/>
    <w:rsid w:val="007D4ADE"/>
    <w:rsid w:val="007D50F5"/>
    <w:rsid w:val="007D6A2D"/>
    <w:rsid w:val="007D6F4A"/>
    <w:rsid w:val="007E0288"/>
    <w:rsid w:val="007E104B"/>
    <w:rsid w:val="007E1979"/>
    <w:rsid w:val="007E22A5"/>
    <w:rsid w:val="007E2B6D"/>
    <w:rsid w:val="007E3FD1"/>
    <w:rsid w:val="007E4336"/>
    <w:rsid w:val="007E47B3"/>
    <w:rsid w:val="007E4979"/>
    <w:rsid w:val="007E4B6D"/>
    <w:rsid w:val="007E5AF6"/>
    <w:rsid w:val="007E72A3"/>
    <w:rsid w:val="007E74C3"/>
    <w:rsid w:val="007F057E"/>
    <w:rsid w:val="007F08FF"/>
    <w:rsid w:val="007F16D4"/>
    <w:rsid w:val="007F1C57"/>
    <w:rsid w:val="007F272E"/>
    <w:rsid w:val="007F2B9F"/>
    <w:rsid w:val="007F4851"/>
    <w:rsid w:val="007F64E7"/>
    <w:rsid w:val="007F69B0"/>
    <w:rsid w:val="007F6CF7"/>
    <w:rsid w:val="007F74C1"/>
    <w:rsid w:val="00801168"/>
    <w:rsid w:val="00801203"/>
    <w:rsid w:val="00801261"/>
    <w:rsid w:val="00802920"/>
    <w:rsid w:val="00802F57"/>
    <w:rsid w:val="008030D0"/>
    <w:rsid w:val="00803D65"/>
    <w:rsid w:val="00804A09"/>
    <w:rsid w:val="00804F2C"/>
    <w:rsid w:val="00806B48"/>
    <w:rsid w:val="00806BB8"/>
    <w:rsid w:val="00806F05"/>
    <w:rsid w:val="00806F1C"/>
    <w:rsid w:val="008072A7"/>
    <w:rsid w:val="008113C3"/>
    <w:rsid w:val="0081167A"/>
    <w:rsid w:val="008124B1"/>
    <w:rsid w:val="008125B3"/>
    <w:rsid w:val="00812653"/>
    <w:rsid w:val="00813504"/>
    <w:rsid w:val="00814545"/>
    <w:rsid w:val="0081488F"/>
    <w:rsid w:val="008148D7"/>
    <w:rsid w:val="00814A8C"/>
    <w:rsid w:val="00815424"/>
    <w:rsid w:val="008154B3"/>
    <w:rsid w:val="00815AEF"/>
    <w:rsid w:val="00816E52"/>
    <w:rsid w:val="00816FAA"/>
    <w:rsid w:val="008170FA"/>
    <w:rsid w:val="00817169"/>
    <w:rsid w:val="00820054"/>
    <w:rsid w:val="00820B67"/>
    <w:rsid w:val="0082218F"/>
    <w:rsid w:val="008221FE"/>
    <w:rsid w:val="00825571"/>
    <w:rsid w:val="0082586A"/>
    <w:rsid w:val="0082627B"/>
    <w:rsid w:val="00832089"/>
    <w:rsid w:val="00832EAF"/>
    <w:rsid w:val="0083310A"/>
    <w:rsid w:val="008337E3"/>
    <w:rsid w:val="008350DD"/>
    <w:rsid w:val="00836051"/>
    <w:rsid w:val="008360B7"/>
    <w:rsid w:val="0083634C"/>
    <w:rsid w:val="0083684B"/>
    <w:rsid w:val="00836D76"/>
    <w:rsid w:val="0083704F"/>
    <w:rsid w:val="00837A44"/>
    <w:rsid w:val="00840849"/>
    <w:rsid w:val="00841909"/>
    <w:rsid w:val="00841E67"/>
    <w:rsid w:val="00842A42"/>
    <w:rsid w:val="00842B42"/>
    <w:rsid w:val="008435C9"/>
    <w:rsid w:val="008445EF"/>
    <w:rsid w:val="00844DC7"/>
    <w:rsid w:val="008458AC"/>
    <w:rsid w:val="00845CDE"/>
    <w:rsid w:val="00845EB8"/>
    <w:rsid w:val="0084611B"/>
    <w:rsid w:val="008461D8"/>
    <w:rsid w:val="008476B9"/>
    <w:rsid w:val="00850B53"/>
    <w:rsid w:val="00850B5E"/>
    <w:rsid w:val="00850C65"/>
    <w:rsid w:val="0085149B"/>
    <w:rsid w:val="00851E39"/>
    <w:rsid w:val="00851EC8"/>
    <w:rsid w:val="00852C7E"/>
    <w:rsid w:val="0085494F"/>
    <w:rsid w:val="00854A59"/>
    <w:rsid w:val="008550D3"/>
    <w:rsid w:val="00855204"/>
    <w:rsid w:val="00855A23"/>
    <w:rsid w:val="008565B2"/>
    <w:rsid w:val="0085776C"/>
    <w:rsid w:val="00857F24"/>
    <w:rsid w:val="0086055E"/>
    <w:rsid w:val="00860C1C"/>
    <w:rsid w:val="0086200A"/>
    <w:rsid w:val="00862C97"/>
    <w:rsid w:val="00863576"/>
    <w:rsid w:val="00864257"/>
    <w:rsid w:val="00864D52"/>
    <w:rsid w:val="00864DC2"/>
    <w:rsid w:val="00864DEA"/>
    <w:rsid w:val="00865F8F"/>
    <w:rsid w:val="008660AA"/>
    <w:rsid w:val="00866D93"/>
    <w:rsid w:val="00866F5F"/>
    <w:rsid w:val="0086793E"/>
    <w:rsid w:val="00870789"/>
    <w:rsid w:val="00870A05"/>
    <w:rsid w:val="00871429"/>
    <w:rsid w:val="00871A7A"/>
    <w:rsid w:val="00872415"/>
    <w:rsid w:val="0087298B"/>
    <w:rsid w:val="00872E9C"/>
    <w:rsid w:val="00873E59"/>
    <w:rsid w:val="008744A2"/>
    <w:rsid w:val="00874C33"/>
    <w:rsid w:val="008758D5"/>
    <w:rsid w:val="00875FB9"/>
    <w:rsid w:val="008760EB"/>
    <w:rsid w:val="0087618D"/>
    <w:rsid w:val="00876821"/>
    <w:rsid w:val="00876B77"/>
    <w:rsid w:val="008772A8"/>
    <w:rsid w:val="00877865"/>
    <w:rsid w:val="00877AAB"/>
    <w:rsid w:val="00877D65"/>
    <w:rsid w:val="00880833"/>
    <w:rsid w:val="00880CD8"/>
    <w:rsid w:val="00881D4D"/>
    <w:rsid w:val="008824AB"/>
    <w:rsid w:val="00882872"/>
    <w:rsid w:val="0088296C"/>
    <w:rsid w:val="008848D9"/>
    <w:rsid w:val="00884CB4"/>
    <w:rsid w:val="00885685"/>
    <w:rsid w:val="008859EE"/>
    <w:rsid w:val="00885C04"/>
    <w:rsid w:val="008869F3"/>
    <w:rsid w:val="00886BB0"/>
    <w:rsid w:val="0088745F"/>
    <w:rsid w:val="008877B9"/>
    <w:rsid w:val="00887B17"/>
    <w:rsid w:val="00887D2F"/>
    <w:rsid w:val="00887D87"/>
    <w:rsid w:val="00887FD4"/>
    <w:rsid w:val="00890111"/>
    <w:rsid w:val="00891016"/>
    <w:rsid w:val="0089171E"/>
    <w:rsid w:val="00892374"/>
    <w:rsid w:val="00892A62"/>
    <w:rsid w:val="00893711"/>
    <w:rsid w:val="0089394E"/>
    <w:rsid w:val="008939CB"/>
    <w:rsid w:val="00895249"/>
    <w:rsid w:val="008956B9"/>
    <w:rsid w:val="00895F39"/>
    <w:rsid w:val="008962B3"/>
    <w:rsid w:val="00896741"/>
    <w:rsid w:val="0089677A"/>
    <w:rsid w:val="00897784"/>
    <w:rsid w:val="008977E6"/>
    <w:rsid w:val="008A0793"/>
    <w:rsid w:val="008A0A7E"/>
    <w:rsid w:val="008A141D"/>
    <w:rsid w:val="008A1478"/>
    <w:rsid w:val="008A216D"/>
    <w:rsid w:val="008A2A27"/>
    <w:rsid w:val="008A49FE"/>
    <w:rsid w:val="008A567F"/>
    <w:rsid w:val="008A5CF9"/>
    <w:rsid w:val="008A65FA"/>
    <w:rsid w:val="008A6B63"/>
    <w:rsid w:val="008A7072"/>
    <w:rsid w:val="008A723A"/>
    <w:rsid w:val="008B1D2D"/>
    <w:rsid w:val="008B1F76"/>
    <w:rsid w:val="008B228F"/>
    <w:rsid w:val="008B349F"/>
    <w:rsid w:val="008B3F9F"/>
    <w:rsid w:val="008B4408"/>
    <w:rsid w:val="008B4E92"/>
    <w:rsid w:val="008B56DE"/>
    <w:rsid w:val="008B5BD2"/>
    <w:rsid w:val="008B68DC"/>
    <w:rsid w:val="008B741B"/>
    <w:rsid w:val="008C08A3"/>
    <w:rsid w:val="008C1741"/>
    <w:rsid w:val="008C1BAC"/>
    <w:rsid w:val="008C1BF9"/>
    <w:rsid w:val="008C3514"/>
    <w:rsid w:val="008C3A06"/>
    <w:rsid w:val="008C3BDC"/>
    <w:rsid w:val="008C5813"/>
    <w:rsid w:val="008C6C2D"/>
    <w:rsid w:val="008C6E23"/>
    <w:rsid w:val="008C75B2"/>
    <w:rsid w:val="008C79B1"/>
    <w:rsid w:val="008C7A00"/>
    <w:rsid w:val="008D07A7"/>
    <w:rsid w:val="008D1B14"/>
    <w:rsid w:val="008D2163"/>
    <w:rsid w:val="008D2A18"/>
    <w:rsid w:val="008D3169"/>
    <w:rsid w:val="008D3643"/>
    <w:rsid w:val="008D372C"/>
    <w:rsid w:val="008D38BA"/>
    <w:rsid w:val="008D3B01"/>
    <w:rsid w:val="008D4B34"/>
    <w:rsid w:val="008D6798"/>
    <w:rsid w:val="008D6AD8"/>
    <w:rsid w:val="008D6D50"/>
    <w:rsid w:val="008D7356"/>
    <w:rsid w:val="008E1767"/>
    <w:rsid w:val="008E19AF"/>
    <w:rsid w:val="008E1DF5"/>
    <w:rsid w:val="008E2A04"/>
    <w:rsid w:val="008E2FBC"/>
    <w:rsid w:val="008E3C0F"/>
    <w:rsid w:val="008E428A"/>
    <w:rsid w:val="008E433E"/>
    <w:rsid w:val="008E49F7"/>
    <w:rsid w:val="008E4CAF"/>
    <w:rsid w:val="008E518B"/>
    <w:rsid w:val="008E556D"/>
    <w:rsid w:val="008E5EC9"/>
    <w:rsid w:val="008E6601"/>
    <w:rsid w:val="008E6BF3"/>
    <w:rsid w:val="008E72EC"/>
    <w:rsid w:val="008E7EFF"/>
    <w:rsid w:val="008F1A39"/>
    <w:rsid w:val="008F3204"/>
    <w:rsid w:val="008F48DE"/>
    <w:rsid w:val="008F5059"/>
    <w:rsid w:val="008F5308"/>
    <w:rsid w:val="008F62C3"/>
    <w:rsid w:val="008F6676"/>
    <w:rsid w:val="008F66B5"/>
    <w:rsid w:val="008F758C"/>
    <w:rsid w:val="008F78B2"/>
    <w:rsid w:val="00900242"/>
    <w:rsid w:val="0090102F"/>
    <w:rsid w:val="00901843"/>
    <w:rsid w:val="00902282"/>
    <w:rsid w:val="009025D7"/>
    <w:rsid w:val="00902C81"/>
    <w:rsid w:val="009036DF"/>
    <w:rsid w:val="00903D65"/>
    <w:rsid w:val="00904369"/>
    <w:rsid w:val="00904F5B"/>
    <w:rsid w:val="009056C6"/>
    <w:rsid w:val="00905B14"/>
    <w:rsid w:val="00906903"/>
    <w:rsid w:val="009069FD"/>
    <w:rsid w:val="009070D0"/>
    <w:rsid w:val="00907528"/>
    <w:rsid w:val="00907611"/>
    <w:rsid w:val="00907A91"/>
    <w:rsid w:val="00907D2A"/>
    <w:rsid w:val="00911A9E"/>
    <w:rsid w:val="009125B5"/>
    <w:rsid w:val="00913221"/>
    <w:rsid w:val="0091416A"/>
    <w:rsid w:val="0091548A"/>
    <w:rsid w:val="00915812"/>
    <w:rsid w:val="00915B57"/>
    <w:rsid w:val="00916D9E"/>
    <w:rsid w:val="00917CC6"/>
    <w:rsid w:val="0092000E"/>
    <w:rsid w:val="00920238"/>
    <w:rsid w:val="009226EA"/>
    <w:rsid w:val="00922740"/>
    <w:rsid w:val="009228EB"/>
    <w:rsid w:val="00922BA3"/>
    <w:rsid w:val="00923C44"/>
    <w:rsid w:val="00923D3A"/>
    <w:rsid w:val="009244FD"/>
    <w:rsid w:val="009246B9"/>
    <w:rsid w:val="00924FBD"/>
    <w:rsid w:val="00925490"/>
    <w:rsid w:val="0092563D"/>
    <w:rsid w:val="009256CC"/>
    <w:rsid w:val="00926D98"/>
    <w:rsid w:val="00926FA4"/>
    <w:rsid w:val="00927CA3"/>
    <w:rsid w:val="0093066A"/>
    <w:rsid w:val="00930F63"/>
    <w:rsid w:val="009316C7"/>
    <w:rsid w:val="0093176A"/>
    <w:rsid w:val="00931B42"/>
    <w:rsid w:val="0093293F"/>
    <w:rsid w:val="0093330E"/>
    <w:rsid w:val="009339D7"/>
    <w:rsid w:val="0093492E"/>
    <w:rsid w:val="00934943"/>
    <w:rsid w:val="00934BC0"/>
    <w:rsid w:val="00935E0D"/>
    <w:rsid w:val="0093601D"/>
    <w:rsid w:val="009367A1"/>
    <w:rsid w:val="00937443"/>
    <w:rsid w:val="00940272"/>
    <w:rsid w:val="009418BD"/>
    <w:rsid w:val="00941B51"/>
    <w:rsid w:val="00941B7F"/>
    <w:rsid w:val="00942AF7"/>
    <w:rsid w:val="009431B5"/>
    <w:rsid w:val="00944315"/>
    <w:rsid w:val="009451C5"/>
    <w:rsid w:val="009452BD"/>
    <w:rsid w:val="00945C2E"/>
    <w:rsid w:val="00945ED4"/>
    <w:rsid w:val="0094705A"/>
    <w:rsid w:val="00950132"/>
    <w:rsid w:val="00950A52"/>
    <w:rsid w:val="00951769"/>
    <w:rsid w:val="00953D4E"/>
    <w:rsid w:val="0095635E"/>
    <w:rsid w:val="0095653F"/>
    <w:rsid w:val="00956767"/>
    <w:rsid w:val="00956842"/>
    <w:rsid w:val="009579C5"/>
    <w:rsid w:val="00957A09"/>
    <w:rsid w:val="00957A44"/>
    <w:rsid w:val="00957A7F"/>
    <w:rsid w:val="00960171"/>
    <w:rsid w:val="00960191"/>
    <w:rsid w:val="00960851"/>
    <w:rsid w:val="00961BA8"/>
    <w:rsid w:val="009622B3"/>
    <w:rsid w:val="00962393"/>
    <w:rsid w:val="00962717"/>
    <w:rsid w:val="0096338B"/>
    <w:rsid w:val="009636ED"/>
    <w:rsid w:val="00964832"/>
    <w:rsid w:val="00964A69"/>
    <w:rsid w:val="00964C59"/>
    <w:rsid w:val="009658A2"/>
    <w:rsid w:val="00966702"/>
    <w:rsid w:val="00966790"/>
    <w:rsid w:val="00966D4D"/>
    <w:rsid w:val="00970046"/>
    <w:rsid w:val="009700FE"/>
    <w:rsid w:val="009709CD"/>
    <w:rsid w:val="00971BEA"/>
    <w:rsid w:val="00971D2D"/>
    <w:rsid w:val="00972967"/>
    <w:rsid w:val="00972D5F"/>
    <w:rsid w:val="009758A5"/>
    <w:rsid w:val="00975C16"/>
    <w:rsid w:val="009761B5"/>
    <w:rsid w:val="00977346"/>
    <w:rsid w:val="00977857"/>
    <w:rsid w:val="00980B7E"/>
    <w:rsid w:val="00981D0D"/>
    <w:rsid w:val="009823CB"/>
    <w:rsid w:val="0098248B"/>
    <w:rsid w:val="00982632"/>
    <w:rsid w:val="00983098"/>
    <w:rsid w:val="00983757"/>
    <w:rsid w:val="00983999"/>
    <w:rsid w:val="00983FC6"/>
    <w:rsid w:val="00984C20"/>
    <w:rsid w:val="00984F60"/>
    <w:rsid w:val="00984F6B"/>
    <w:rsid w:val="00986BC0"/>
    <w:rsid w:val="00986E09"/>
    <w:rsid w:val="00986FAC"/>
    <w:rsid w:val="00987941"/>
    <w:rsid w:val="00987B32"/>
    <w:rsid w:val="00990EE9"/>
    <w:rsid w:val="009912E1"/>
    <w:rsid w:val="009914AE"/>
    <w:rsid w:val="00991AE1"/>
    <w:rsid w:val="00993381"/>
    <w:rsid w:val="009939A6"/>
    <w:rsid w:val="00993ADE"/>
    <w:rsid w:val="00995A4E"/>
    <w:rsid w:val="00995B93"/>
    <w:rsid w:val="00995EE2"/>
    <w:rsid w:val="00996669"/>
    <w:rsid w:val="00996A64"/>
    <w:rsid w:val="00996D55"/>
    <w:rsid w:val="00997385"/>
    <w:rsid w:val="009974C0"/>
    <w:rsid w:val="00997839"/>
    <w:rsid w:val="00997CE8"/>
    <w:rsid w:val="009A00A5"/>
    <w:rsid w:val="009A03EF"/>
    <w:rsid w:val="009A056C"/>
    <w:rsid w:val="009A066D"/>
    <w:rsid w:val="009A17A5"/>
    <w:rsid w:val="009A23EB"/>
    <w:rsid w:val="009A26CF"/>
    <w:rsid w:val="009A2B0C"/>
    <w:rsid w:val="009A2C53"/>
    <w:rsid w:val="009A36B4"/>
    <w:rsid w:val="009A3D8A"/>
    <w:rsid w:val="009A4B2F"/>
    <w:rsid w:val="009A5FA8"/>
    <w:rsid w:val="009A6984"/>
    <w:rsid w:val="009A6D63"/>
    <w:rsid w:val="009A7AF4"/>
    <w:rsid w:val="009B00FF"/>
    <w:rsid w:val="009B11AC"/>
    <w:rsid w:val="009B1925"/>
    <w:rsid w:val="009B2435"/>
    <w:rsid w:val="009B46E1"/>
    <w:rsid w:val="009B4CF9"/>
    <w:rsid w:val="009B50E6"/>
    <w:rsid w:val="009B5310"/>
    <w:rsid w:val="009B5EC6"/>
    <w:rsid w:val="009B7013"/>
    <w:rsid w:val="009B71F8"/>
    <w:rsid w:val="009B76CB"/>
    <w:rsid w:val="009B7AAD"/>
    <w:rsid w:val="009B7DCB"/>
    <w:rsid w:val="009C2072"/>
    <w:rsid w:val="009C2BF1"/>
    <w:rsid w:val="009C34E2"/>
    <w:rsid w:val="009C42BF"/>
    <w:rsid w:val="009C4E58"/>
    <w:rsid w:val="009C51AE"/>
    <w:rsid w:val="009C52C8"/>
    <w:rsid w:val="009C5437"/>
    <w:rsid w:val="009C5732"/>
    <w:rsid w:val="009D012F"/>
    <w:rsid w:val="009D01F9"/>
    <w:rsid w:val="009D04D5"/>
    <w:rsid w:val="009D13AB"/>
    <w:rsid w:val="009D1AF4"/>
    <w:rsid w:val="009D2480"/>
    <w:rsid w:val="009D2798"/>
    <w:rsid w:val="009D349B"/>
    <w:rsid w:val="009D46CB"/>
    <w:rsid w:val="009D6309"/>
    <w:rsid w:val="009D653E"/>
    <w:rsid w:val="009D69AB"/>
    <w:rsid w:val="009D6CC9"/>
    <w:rsid w:val="009D79BD"/>
    <w:rsid w:val="009D7F19"/>
    <w:rsid w:val="009E015D"/>
    <w:rsid w:val="009E028C"/>
    <w:rsid w:val="009E03F6"/>
    <w:rsid w:val="009E0586"/>
    <w:rsid w:val="009E0D2F"/>
    <w:rsid w:val="009E106A"/>
    <w:rsid w:val="009E1A0A"/>
    <w:rsid w:val="009E2850"/>
    <w:rsid w:val="009E2E8A"/>
    <w:rsid w:val="009E343D"/>
    <w:rsid w:val="009E3705"/>
    <w:rsid w:val="009E43E2"/>
    <w:rsid w:val="009E4AAD"/>
    <w:rsid w:val="009E5EC4"/>
    <w:rsid w:val="009E67F9"/>
    <w:rsid w:val="009E6CA4"/>
    <w:rsid w:val="009E6FD3"/>
    <w:rsid w:val="009F010E"/>
    <w:rsid w:val="009F048B"/>
    <w:rsid w:val="009F17E4"/>
    <w:rsid w:val="009F38CA"/>
    <w:rsid w:val="009F39DE"/>
    <w:rsid w:val="009F529C"/>
    <w:rsid w:val="009F5346"/>
    <w:rsid w:val="009F62D4"/>
    <w:rsid w:val="009F6CB1"/>
    <w:rsid w:val="009F6E0A"/>
    <w:rsid w:val="009F7B66"/>
    <w:rsid w:val="00A00817"/>
    <w:rsid w:val="00A028E6"/>
    <w:rsid w:val="00A02CC8"/>
    <w:rsid w:val="00A053B5"/>
    <w:rsid w:val="00A06BAA"/>
    <w:rsid w:val="00A07482"/>
    <w:rsid w:val="00A07706"/>
    <w:rsid w:val="00A1044F"/>
    <w:rsid w:val="00A11757"/>
    <w:rsid w:val="00A124E5"/>
    <w:rsid w:val="00A1260A"/>
    <w:rsid w:val="00A12FBA"/>
    <w:rsid w:val="00A13BC4"/>
    <w:rsid w:val="00A14CFB"/>
    <w:rsid w:val="00A1551D"/>
    <w:rsid w:val="00A157B6"/>
    <w:rsid w:val="00A16143"/>
    <w:rsid w:val="00A163A0"/>
    <w:rsid w:val="00A16DB4"/>
    <w:rsid w:val="00A178D9"/>
    <w:rsid w:val="00A2080B"/>
    <w:rsid w:val="00A23729"/>
    <w:rsid w:val="00A2377B"/>
    <w:rsid w:val="00A24943"/>
    <w:rsid w:val="00A24BC9"/>
    <w:rsid w:val="00A27B1A"/>
    <w:rsid w:val="00A27C00"/>
    <w:rsid w:val="00A27FE3"/>
    <w:rsid w:val="00A307C3"/>
    <w:rsid w:val="00A3089C"/>
    <w:rsid w:val="00A31931"/>
    <w:rsid w:val="00A34B1F"/>
    <w:rsid w:val="00A35313"/>
    <w:rsid w:val="00A3547E"/>
    <w:rsid w:val="00A355C8"/>
    <w:rsid w:val="00A36561"/>
    <w:rsid w:val="00A406F7"/>
    <w:rsid w:val="00A40E54"/>
    <w:rsid w:val="00A41111"/>
    <w:rsid w:val="00A41193"/>
    <w:rsid w:val="00A41217"/>
    <w:rsid w:val="00A4182F"/>
    <w:rsid w:val="00A41DF6"/>
    <w:rsid w:val="00A41E83"/>
    <w:rsid w:val="00A42E4E"/>
    <w:rsid w:val="00A43149"/>
    <w:rsid w:val="00A43213"/>
    <w:rsid w:val="00A43335"/>
    <w:rsid w:val="00A451BD"/>
    <w:rsid w:val="00A45299"/>
    <w:rsid w:val="00A45339"/>
    <w:rsid w:val="00A4593A"/>
    <w:rsid w:val="00A46D45"/>
    <w:rsid w:val="00A4730F"/>
    <w:rsid w:val="00A473EC"/>
    <w:rsid w:val="00A47416"/>
    <w:rsid w:val="00A50A0C"/>
    <w:rsid w:val="00A50B21"/>
    <w:rsid w:val="00A511B0"/>
    <w:rsid w:val="00A53042"/>
    <w:rsid w:val="00A535B0"/>
    <w:rsid w:val="00A5546D"/>
    <w:rsid w:val="00A575AD"/>
    <w:rsid w:val="00A5781C"/>
    <w:rsid w:val="00A6088A"/>
    <w:rsid w:val="00A61D1C"/>
    <w:rsid w:val="00A61DDA"/>
    <w:rsid w:val="00A64606"/>
    <w:rsid w:val="00A64980"/>
    <w:rsid w:val="00A64AD5"/>
    <w:rsid w:val="00A64C41"/>
    <w:rsid w:val="00A64E37"/>
    <w:rsid w:val="00A64E5B"/>
    <w:rsid w:val="00A65CB3"/>
    <w:rsid w:val="00A669BD"/>
    <w:rsid w:val="00A66E13"/>
    <w:rsid w:val="00A7038B"/>
    <w:rsid w:val="00A71787"/>
    <w:rsid w:val="00A71FC4"/>
    <w:rsid w:val="00A7222C"/>
    <w:rsid w:val="00A72CB2"/>
    <w:rsid w:val="00A7335E"/>
    <w:rsid w:val="00A739E7"/>
    <w:rsid w:val="00A73A74"/>
    <w:rsid w:val="00A74B6F"/>
    <w:rsid w:val="00A75FD1"/>
    <w:rsid w:val="00A77174"/>
    <w:rsid w:val="00A771B4"/>
    <w:rsid w:val="00A77C92"/>
    <w:rsid w:val="00A824E3"/>
    <w:rsid w:val="00A82B35"/>
    <w:rsid w:val="00A82D5A"/>
    <w:rsid w:val="00A82FE2"/>
    <w:rsid w:val="00A834FB"/>
    <w:rsid w:val="00A835A9"/>
    <w:rsid w:val="00A83D13"/>
    <w:rsid w:val="00A8578E"/>
    <w:rsid w:val="00A85E47"/>
    <w:rsid w:val="00A85E83"/>
    <w:rsid w:val="00A8613B"/>
    <w:rsid w:val="00A86371"/>
    <w:rsid w:val="00A90293"/>
    <w:rsid w:val="00A912EC"/>
    <w:rsid w:val="00A91607"/>
    <w:rsid w:val="00A917EE"/>
    <w:rsid w:val="00A941C0"/>
    <w:rsid w:val="00A94384"/>
    <w:rsid w:val="00A94D09"/>
    <w:rsid w:val="00A94E74"/>
    <w:rsid w:val="00A95873"/>
    <w:rsid w:val="00A95B83"/>
    <w:rsid w:val="00A95D2B"/>
    <w:rsid w:val="00A9617A"/>
    <w:rsid w:val="00A968F5"/>
    <w:rsid w:val="00A97193"/>
    <w:rsid w:val="00A974FA"/>
    <w:rsid w:val="00A97FF4"/>
    <w:rsid w:val="00AA0584"/>
    <w:rsid w:val="00AA40E3"/>
    <w:rsid w:val="00AA553B"/>
    <w:rsid w:val="00AA56BF"/>
    <w:rsid w:val="00AA7562"/>
    <w:rsid w:val="00AA7959"/>
    <w:rsid w:val="00AB0293"/>
    <w:rsid w:val="00AB031A"/>
    <w:rsid w:val="00AB29BD"/>
    <w:rsid w:val="00AB3526"/>
    <w:rsid w:val="00AB4CDF"/>
    <w:rsid w:val="00AB556C"/>
    <w:rsid w:val="00AB7408"/>
    <w:rsid w:val="00AC0F19"/>
    <w:rsid w:val="00AC18E2"/>
    <w:rsid w:val="00AC2531"/>
    <w:rsid w:val="00AC2611"/>
    <w:rsid w:val="00AC2B6D"/>
    <w:rsid w:val="00AC30EF"/>
    <w:rsid w:val="00AC363C"/>
    <w:rsid w:val="00AC3ABB"/>
    <w:rsid w:val="00AC3BAD"/>
    <w:rsid w:val="00AC4161"/>
    <w:rsid w:val="00AC42BE"/>
    <w:rsid w:val="00AC46D6"/>
    <w:rsid w:val="00AC6A07"/>
    <w:rsid w:val="00AC6B41"/>
    <w:rsid w:val="00AD0609"/>
    <w:rsid w:val="00AD070C"/>
    <w:rsid w:val="00AD0E50"/>
    <w:rsid w:val="00AD0FD4"/>
    <w:rsid w:val="00AD2329"/>
    <w:rsid w:val="00AD3308"/>
    <w:rsid w:val="00AD35B7"/>
    <w:rsid w:val="00AD4347"/>
    <w:rsid w:val="00AD5026"/>
    <w:rsid w:val="00AD51D5"/>
    <w:rsid w:val="00AD587D"/>
    <w:rsid w:val="00AD5DAB"/>
    <w:rsid w:val="00AD5F1C"/>
    <w:rsid w:val="00AD75BD"/>
    <w:rsid w:val="00AE01C0"/>
    <w:rsid w:val="00AE08B0"/>
    <w:rsid w:val="00AE0972"/>
    <w:rsid w:val="00AE16E6"/>
    <w:rsid w:val="00AE1AC2"/>
    <w:rsid w:val="00AE1B6C"/>
    <w:rsid w:val="00AE1F1C"/>
    <w:rsid w:val="00AE2269"/>
    <w:rsid w:val="00AE294C"/>
    <w:rsid w:val="00AE31CD"/>
    <w:rsid w:val="00AE36D3"/>
    <w:rsid w:val="00AE3E67"/>
    <w:rsid w:val="00AE46AB"/>
    <w:rsid w:val="00AE4AAE"/>
    <w:rsid w:val="00AE600D"/>
    <w:rsid w:val="00AE6AD4"/>
    <w:rsid w:val="00AE7801"/>
    <w:rsid w:val="00AE7DFB"/>
    <w:rsid w:val="00AF0BE2"/>
    <w:rsid w:val="00AF0D55"/>
    <w:rsid w:val="00AF138A"/>
    <w:rsid w:val="00AF23DD"/>
    <w:rsid w:val="00AF322D"/>
    <w:rsid w:val="00AF38F5"/>
    <w:rsid w:val="00AF4371"/>
    <w:rsid w:val="00AF4D18"/>
    <w:rsid w:val="00AF5738"/>
    <w:rsid w:val="00AF575D"/>
    <w:rsid w:val="00AF6606"/>
    <w:rsid w:val="00AF6725"/>
    <w:rsid w:val="00AF6834"/>
    <w:rsid w:val="00AF7345"/>
    <w:rsid w:val="00B00395"/>
    <w:rsid w:val="00B00642"/>
    <w:rsid w:val="00B0072B"/>
    <w:rsid w:val="00B00C93"/>
    <w:rsid w:val="00B0125C"/>
    <w:rsid w:val="00B015F1"/>
    <w:rsid w:val="00B01980"/>
    <w:rsid w:val="00B030AD"/>
    <w:rsid w:val="00B03A5E"/>
    <w:rsid w:val="00B03D68"/>
    <w:rsid w:val="00B040AB"/>
    <w:rsid w:val="00B0452C"/>
    <w:rsid w:val="00B04B2D"/>
    <w:rsid w:val="00B04D18"/>
    <w:rsid w:val="00B04F42"/>
    <w:rsid w:val="00B05E7E"/>
    <w:rsid w:val="00B06F04"/>
    <w:rsid w:val="00B076D2"/>
    <w:rsid w:val="00B07E32"/>
    <w:rsid w:val="00B11C29"/>
    <w:rsid w:val="00B120C7"/>
    <w:rsid w:val="00B131BE"/>
    <w:rsid w:val="00B13EDE"/>
    <w:rsid w:val="00B146F5"/>
    <w:rsid w:val="00B149D0"/>
    <w:rsid w:val="00B14DF5"/>
    <w:rsid w:val="00B14E29"/>
    <w:rsid w:val="00B150B5"/>
    <w:rsid w:val="00B15797"/>
    <w:rsid w:val="00B1706E"/>
    <w:rsid w:val="00B1726B"/>
    <w:rsid w:val="00B175A1"/>
    <w:rsid w:val="00B2098F"/>
    <w:rsid w:val="00B20A6D"/>
    <w:rsid w:val="00B210FD"/>
    <w:rsid w:val="00B2144E"/>
    <w:rsid w:val="00B2145E"/>
    <w:rsid w:val="00B2173F"/>
    <w:rsid w:val="00B21BC4"/>
    <w:rsid w:val="00B21C2B"/>
    <w:rsid w:val="00B22346"/>
    <w:rsid w:val="00B23483"/>
    <w:rsid w:val="00B23D16"/>
    <w:rsid w:val="00B2512F"/>
    <w:rsid w:val="00B2539A"/>
    <w:rsid w:val="00B2541A"/>
    <w:rsid w:val="00B257D3"/>
    <w:rsid w:val="00B25A6F"/>
    <w:rsid w:val="00B27740"/>
    <w:rsid w:val="00B27776"/>
    <w:rsid w:val="00B3073D"/>
    <w:rsid w:val="00B30CBE"/>
    <w:rsid w:val="00B311FA"/>
    <w:rsid w:val="00B32196"/>
    <w:rsid w:val="00B32493"/>
    <w:rsid w:val="00B32B2B"/>
    <w:rsid w:val="00B333D4"/>
    <w:rsid w:val="00B33513"/>
    <w:rsid w:val="00B33BAA"/>
    <w:rsid w:val="00B344F9"/>
    <w:rsid w:val="00B3464B"/>
    <w:rsid w:val="00B34ACB"/>
    <w:rsid w:val="00B34CDE"/>
    <w:rsid w:val="00B35462"/>
    <w:rsid w:val="00B3576B"/>
    <w:rsid w:val="00B35DF4"/>
    <w:rsid w:val="00B361F7"/>
    <w:rsid w:val="00B36615"/>
    <w:rsid w:val="00B369FD"/>
    <w:rsid w:val="00B371B0"/>
    <w:rsid w:val="00B3769F"/>
    <w:rsid w:val="00B402CA"/>
    <w:rsid w:val="00B403DC"/>
    <w:rsid w:val="00B404E5"/>
    <w:rsid w:val="00B405F5"/>
    <w:rsid w:val="00B412E1"/>
    <w:rsid w:val="00B4174D"/>
    <w:rsid w:val="00B41FE5"/>
    <w:rsid w:val="00B42B95"/>
    <w:rsid w:val="00B42E3E"/>
    <w:rsid w:val="00B42FBC"/>
    <w:rsid w:val="00B43E22"/>
    <w:rsid w:val="00B447A3"/>
    <w:rsid w:val="00B44D98"/>
    <w:rsid w:val="00B455D5"/>
    <w:rsid w:val="00B4644B"/>
    <w:rsid w:val="00B47D6C"/>
    <w:rsid w:val="00B50049"/>
    <w:rsid w:val="00B50997"/>
    <w:rsid w:val="00B50DA9"/>
    <w:rsid w:val="00B5141F"/>
    <w:rsid w:val="00B51524"/>
    <w:rsid w:val="00B51EFD"/>
    <w:rsid w:val="00B524BB"/>
    <w:rsid w:val="00B5387B"/>
    <w:rsid w:val="00B5419D"/>
    <w:rsid w:val="00B54870"/>
    <w:rsid w:val="00B54E11"/>
    <w:rsid w:val="00B5660C"/>
    <w:rsid w:val="00B5670E"/>
    <w:rsid w:val="00B57667"/>
    <w:rsid w:val="00B57C85"/>
    <w:rsid w:val="00B606D9"/>
    <w:rsid w:val="00B60EC6"/>
    <w:rsid w:val="00B6125F"/>
    <w:rsid w:val="00B61746"/>
    <w:rsid w:val="00B6323C"/>
    <w:rsid w:val="00B6398A"/>
    <w:rsid w:val="00B63E12"/>
    <w:rsid w:val="00B6419F"/>
    <w:rsid w:val="00B64441"/>
    <w:rsid w:val="00B65606"/>
    <w:rsid w:val="00B6604A"/>
    <w:rsid w:val="00B66FFF"/>
    <w:rsid w:val="00B679A7"/>
    <w:rsid w:val="00B679A9"/>
    <w:rsid w:val="00B70074"/>
    <w:rsid w:val="00B705C7"/>
    <w:rsid w:val="00B7084D"/>
    <w:rsid w:val="00B71FAB"/>
    <w:rsid w:val="00B727DF"/>
    <w:rsid w:val="00B738D8"/>
    <w:rsid w:val="00B740C9"/>
    <w:rsid w:val="00B774B9"/>
    <w:rsid w:val="00B7786B"/>
    <w:rsid w:val="00B77FBA"/>
    <w:rsid w:val="00B800B5"/>
    <w:rsid w:val="00B803F5"/>
    <w:rsid w:val="00B8080A"/>
    <w:rsid w:val="00B81662"/>
    <w:rsid w:val="00B819F4"/>
    <w:rsid w:val="00B82B78"/>
    <w:rsid w:val="00B82E57"/>
    <w:rsid w:val="00B82E96"/>
    <w:rsid w:val="00B83116"/>
    <w:rsid w:val="00B83B07"/>
    <w:rsid w:val="00B83B46"/>
    <w:rsid w:val="00B84295"/>
    <w:rsid w:val="00B84549"/>
    <w:rsid w:val="00B84D04"/>
    <w:rsid w:val="00B85D17"/>
    <w:rsid w:val="00B8786E"/>
    <w:rsid w:val="00B90484"/>
    <w:rsid w:val="00B90957"/>
    <w:rsid w:val="00B928D3"/>
    <w:rsid w:val="00B93110"/>
    <w:rsid w:val="00B94091"/>
    <w:rsid w:val="00B94141"/>
    <w:rsid w:val="00B954D6"/>
    <w:rsid w:val="00B95B64"/>
    <w:rsid w:val="00B95F2F"/>
    <w:rsid w:val="00B96BEF"/>
    <w:rsid w:val="00BA014F"/>
    <w:rsid w:val="00BA10DD"/>
    <w:rsid w:val="00BA218E"/>
    <w:rsid w:val="00BA2B26"/>
    <w:rsid w:val="00BA3A2F"/>
    <w:rsid w:val="00BA4400"/>
    <w:rsid w:val="00BA6184"/>
    <w:rsid w:val="00BA6B31"/>
    <w:rsid w:val="00BB0448"/>
    <w:rsid w:val="00BB0DB0"/>
    <w:rsid w:val="00BB215D"/>
    <w:rsid w:val="00BB3ACE"/>
    <w:rsid w:val="00BB40A3"/>
    <w:rsid w:val="00BB6B6E"/>
    <w:rsid w:val="00BB6E72"/>
    <w:rsid w:val="00BB70C2"/>
    <w:rsid w:val="00BC0278"/>
    <w:rsid w:val="00BC05C2"/>
    <w:rsid w:val="00BC06DD"/>
    <w:rsid w:val="00BC0E78"/>
    <w:rsid w:val="00BC1274"/>
    <w:rsid w:val="00BC20C7"/>
    <w:rsid w:val="00BC2653"/>
    <w:rsid w:val="00BC4206"/>
    <w:rsid w:val="00BC5348"/>
    <w:rsid w:val="00BC5932"/>
    <w:rsid w:val="00BC63CC"/>
    <w:rsid w:val="00BC652D"/>
    <w:rsid w:val="00BC6F92"/>
    <w:rsid w:val="00BC70EA"/>
    <w:rsid w:val="00BC7286"/>
    <w:rsid w:val="00BC7603"/>
    <w:rsid w:val="00BC771B"/>
    <w:rsid w:val="00BC7BC1"/>
    <w:rsid w:val="00BD007E"/>
    <w:rsid w:val="00BD05B5"/>
    <w:rsid w:val="00BD0B06"/>
    <w:rsid w:val="00BD0D98"/>
    <w:rsid w:val="00BD10D6"/>
    <w:rsid w:val="00BD1259"/>
    <w:rsid w:val="00BD1D8A"/>
    <w:rsid w:val="00BD1F75"/>
    <w:rsid w:val="00BD21CA"/>
    <w:rsid w:val="00BD2646"/>
    <w:rsid w:val="00BD36D2"/>
    <w:rsid w:val="00BD4037"/>
    <w:rsid w:val="00BD4EFB"/>
    <w:rsid w:val="00BD5A7C"/>
    <w:rsid w:val="00BD5E84"/>
    <w:rsid w:val="00BD60FE"/>
    <w:rsid w:val="00BD65C5"/>
    <w:rsid w:val="00BD665C"/>
    <w:rsid w:val="00BD6C2C"/>
    <w:rsid w:val="00BD70F9"/>
    <w:rsid w:val="00BD7B26"/>
    <w:rsid w:val="00BD7F24"/>
    <w:rsid w:val="00BE02FC"/>
    <w:rsid w:val="00BE0736"/>
    <w:rsid w:val="00BE07A4"/>
    <w:rsid w:val="00BE0917"/>
    <w:rsid w:val="00BE0969"/>
    <w:rsid w:val="00BE108E"/>
    <w:rsid w:val="00BE23B3"/>
    <w:rsid w:val="00BE4B5A"/>
    <w:rsid w:val="00BE4FE9"/>
    <w:rsid w:val="00BE5427"/>
    <w:rsid w:val="00BE5605"/>
    <w:rsid w:val="00BE5894"/>
    <w:rsid w:val="00BE5CF9"/>
    <w:rsid w:val="00BE65B2"/>
    <w:rsid w:val="00BE7708"/>
    <w:rsid w:val="00BE781E"/>
    <w:rsid w:val="00BF0E8E"/>
    <w:rsid w:val="00BF1025"/>
    <w:rsid w:val="00BF11ED"/>
    <w:rsid w:val="00BF1581"/>
    <w:rsid w:val="00BF1FFF"/>
    <w:rsid w:val="00BF2871"/>
    <w:rsid w:val="00BF3817"/>
    <w:rsid w:val="00BF4199"/>
    <w:rsid w:val="00BF460F"/>
    <w:rsid w:val="00BF4860"/>
    <w:rsid w:val="00BF5BE3"/>
    <w:rsid w:val="00BF7012"/>
    <w:rsid w:val="00BF75E3"/>
    <w:rsid w:val="00BF7ACA"/>
    <w:rsid w:val="00C00EFF"/>
    <w:rsid w:val="00C01421"/>
    <w:rsid w:val="00C017D2"/>
    <w:rsid w:val="00C0205C"/>
    <w:rsid w:val="00C0331E"/>
    <w:rsid w:val="00C035C6"/>
    <w:rsid w:val="00C037FF"/>
    <w:rsid w:val="00C0385F"/>
    <w:rsid w:val="00C03E22"/>
    <w:rsid w:val="00C04220"/>
    <w:rsid w:val="00C05BFD"/>
    <w:rsid w:val="00C068C9"/>
    <w:rsid w:val="00C0732F"/>
    <w:rsid w:val="00C07BC7"/>
    <w:rsid w:val="00C07E96"/>
    <w:rsid w:val="00C10938"/>
    <w:rsid w:val="00C118E1"/>
    <w:rsid w:val="00C12146"/>
    <w:rsid w:val="00C1274B"/>
    <w:rsid w:val="00C12AC6"/>
    <w:rsid w:val="00C12F0A"/>
    <w:rsid w:val="00C13142"/>
    <w:rsid w:val="00C14F38"/>
    <w:rsid w:val="00C1515D"/>
    <w:rsid w:val="00C16618"/>
    <w:rsid w:val="00C17CD2"/>
    <w:rsid w:val="00C20B92"/>
    <w:rsid w:val="00C213F7"/>
    <w:rsid w:val="00C218DF"/>
    <w:rsid w:val="00C220CF"/>
    <w:rsid w:val="00C220EF"/>
    <w:rsid w:val="00C225E8"/>
    <w:rsid w:val="00C233EC"/>
    <w:rsid w:val="00C23926"/>
    <w:rsid w:val="00C2478D"/>
    <w:rsid w:val="00C25001"/>
    <w:rsid w:val="00C2797B"/>
    <w:rsid w:val="00C305B8"/>
    <w:rsid w:val="00C306AD"/>
    <w:rsid w:val="00C31752"/>
    <w:rsid w:val="00C3234A"/>
    <w:rsid w:val="00C32F9C"/>
    <w:rsid w:val="00C3389C"/>
    <w:rsid w:val="00C3427F"/>
    <w:rsid w:val="00C34D3E"/>
    <w:rsid w:val="00C350F2"/>
    <w:rsid w:val="00C35282"/>
    <w:rsid w:val="00C35303"/>
    <w:rsid w:val="00C363E5"/>
    <w:rsid w:val="00C40580"/>
    <w:rsid w:val="00C4131A"/>
    <w:rsid w:val="00C414F9"/>
    <w:rsid w:val="00C425E4"/>
    <w:rsid w:val="00C42812"/>
    <w:rsid w:val="00C4324A"/>
    <w:rsid w:val="00C44BCD"/>
    <w:rsid w:val="00C44EFF"/>
    <w:rsid w:val="00C45196"/>
    <w:rsid w:val="00C453B5"/>
    <w:rsid w:val="00C4556C"/>
    <w:rsid w:val="00C4602B"/>
    <w:rsid w:val="00C46997"/>
    <w:rsid w:val="00C47A3C"/>
    <w:rsid w:val="00C47BC1"/>
    <w:rsid w:val="00C506EA"/>
    <w:rsid w:val="00C50BC7"/>
    <w:rsid w:val="00C514D8"/>
    <w:rsid w:val="00C518AF"/>
    <w:rsid w:val="00C51CFD"/>
    <w:rsid w:val="00C527DD"/>
    <w:rsid w:val="00C5348D"/>
    <w:rsid w:val="00C53B7B"/>
    <w:rsid w:val="00C53C7E"/>
    <w:rsid w:val="00C53E34"/>
    <w:rsid w:val="00C564E3"/>
    <w:rsid w:val="00C567DF"/>
    <w:rsid w:val="00C5688B"/>
    <w:rsid w:val="00C568FE"/>
    <w:rsid w:val="00C56E77"/>
    <w:rsid w:val="00C57B58"/>
    <w:rsid w:val="00C6115A"/>
    <w:rsid w:val="00C61251"/>
    <w:rsid w:val="00C6171C"/>
    <w:rsid w:val="00C61A8D"/>
    <w:rsid w:val="00C61DF0"/>
    <w:rsid w:val="00C62370"/>
    <w:rsid w:val="00C64719"/>
    <w:rsid w:val="00C64AD3"/>
    <w:rsid w:val="00C656CF"/>
    <w:rsid w:val="00C66185"/>
    <w:rsid w:val="00C67A9E"/>
    <w:rsid w:val="00C67D64"/>
    <w:rsid w:val="00C70338"/>
    <w:rsid w:val="00C7045B"/>
    <w:rsid w:val="00C70F5F"/>
    <w:rsid w:val="00C714AB"/>
    <w:rsid w:val="00C722DC"/>
    <w:rsid w:val="00C73980"/>
    <w:rsid w:val="00C74227"/>
    <w:rsid w:val="00C753E7"/>
    <w:rsid w:val="00C75642"/>
    <w:rsid w:val="00C7598F"/>
    <w:rsid w:val="00C76EDE"/>
    <w:rsid w:val="00C77A46"/>
    <w:rsid w:val="00C806BC"/>
    <w:rsid w:val="00C809CB"/>
    <w:rsid w:val="00C80BA1"/>
    <w:rsid w:val="00C811A8"/>
    <w:rsid w:val="00C83782"/>
    <w:rsid w:val="00C83C5E"/>
    <w:rsid w:val="00C84D84"/>
    <w:rsid w:val="00C85BB6"/>
    <w:rsid w:val="00C86050"/>
    <w:rsid w:val="00C8612D"/>
    <w:rsid w:val="00C867D6"/>
    <w:rsid w:val="00C87DA9"/>
    <w:rsid w:val="00C87EDC"/>
    <w:rsid w:val="00C911F7"/>
    <w:rsid w:val="00C91BA5"/>
    <w:rsid w:val="00C91DDC"/>
    <w:rsid w:val="00C9299A"/>
    <w:rsid w:val="00C92F54"/>
    <w:rsid w:val="00C935E6"/>
    <w:rsid w:val="00C94091"/>
    <w:rsid w:val="00C95042"/>
    <w:rsid w:val="00C967E7"/>
    <w:rsid w:val="00C9788E"/>
    <w:rsid w:val="00CA004D"/>
    <w:rsid w:val="00CA1800"/>
    <w:rsid w:val="00CA2727"/>
    <w:rsid w:val="00CA2A5F"/>
    <w:rsid w:val="00CA4871"/>
    <w:rsid w:val="00CA4971"/>
    <w:rsid w:val="00CA4C19"/>
    <w:rsid w:val="00CA4D0B"/>
    <w:rsid w:val="00CA5209"/>
    <w:rsid w:val="00CA59BB"/>
    <w:rsid w:val="00CA6CA0"/>
    <w:rsid w:val="00CA6ECA"/>
    <w:rsid w:val="00CA700E"/>
    <w:rsid w:val="00CA7120"/>
    <w:rsid w:val="00CA7648"/>
    <w:rsid w:val="00CA76EA"/>
    <w:rsid w:val="00CB0E2F"/>
    <w:rsid w:val="00CB16C2"/>
    <w:rsid w:val="00CB2218"/>
    <w:rsid w:val="00CB2399"/>
    <w:rsid w:val="00CB2A02"/>
    <w:rsid w:val="00CB2F62"/>
    <w:rsid w:val="00CB3917"/>
    <w:rsid w:val="00CB528B"/>
    <w:rsid w:val="00CB5FB4"/>
    <w:rsid w:val="00CB6221"/>
    <w:rsid w:val="00CB7612"/>
    <w:rsid w:val="00CB77DB"/>
    <w:rsid w:val="00CC09A0"/>
    <w:rsid w:val="00CC1253"/>
    <w:rsid w:val="00CC1C18"/>
    <w:rsid w:val="00CC1DB7"/>
    <w:rsid w:val="00CC2918"/>
    <w:rsid w:val="00CC3753"/>
    <w:rsid w:val="00CC376D"/>
    <w:rsid w:val="00CC3F1F"/>
    <w:rsid w:val="00CC3FE6"/>
    <w:rsid w:val="00CC4A0F"/>
    <w:rsid w:val="00CC5939"/>
    <w:rsid w:val="00CC5B1E"/>
    <w:rsid w:val="00CC5D01"/>
    <w:rsid w:val="00CC6DD7"/>
    <w:rsid w:val="00CD0397"/>
    <w:rsid w:val="00CD0890"/>
    <w:rsid w:val="00CD188B"/>
    <w:rsid w:val="00CD20DD"/>
    <w:rsid w:val="00CD2577"/>
    <w:rsid w:val="00CD329B"/>
    <w:rsid w:val="00CD3413"/>
    <w:rsid w:val="00CD4914"/>
    <w:rsid w:val="00CD6012"/>
    <w:rsid w:val="00CD64A1"/>
    <w:rsid w:val="00CD659F"/>
    <w:rsid w:val="00CD75E3"/>
    <w:rsid w:val="00CD7A60"/>
    <w:rsid w:val="00CE01CC"/>
    <w:rsid w:val="00CE04C4"/>
    <w:rsid w:val="00CE0BC1"/>
    <w:rsid w:val="00CE22A1"/>
    <w:rsid w:val="00CE261D"/>
    <w:rsid w:val="00CE3270"/>
    <w:rsid w:val="00CE34EF"/>
    <w:rsid w:val="00CE3996"/>
    <w:rsid w:val="00CE3D6F"/>
    <w:rsid w:val="00CE3F22"/>
    <w:rsid w:val="00CE4ACD"/>
    <w:rsid w:val="00CE52C0"/>
    <w:rsid w:val="00CE67E9"/>
    <w:rsid w:val="00CE7338"/>
    <w:rsid w:val="00CE7A59"/>
    <w:rsid w:val="00CF0905"/>
    <w:rsid w:val="00CF12A6"/>
    <w:rsid w:val="00CF20ED"/>
    <w:rsid w:val="00CF2505"/>
    <w:rsid w:val="00CF2D6D"/>
    <w:rsid w:val="00CF31E8"/>
    <w:rsid w:val="00CF31F9"/>
    <w:rsid w:val="00CF32A0"/>
    <w:rsid w:val="00CF3A6C"/>
    <w:rsid w:val="00CF3BDC"/>
    <w:rsid w:val="00CF5C95"/>
    <w:rsid w:val="00CF6500"/>
    <w:rsid w:val="00CF661B"/>
    <w:rsid w:val="00D000E6"/>
    <w:rsid w:val="00D00190"/>
    <w:rsid w:val="00D001F7"/>
    <w:rsid w:val="00D004F0"/>
    <w:rsid w:val="00D00B77"/>
    <w:rsid w:val="00D01C4C"/>
    <w:rsid w:val="00D01D08"/>
    <w:rsid w:val="00D01E23"/>
    <w:rsid w:val="00D02A6D"/>
    <w:rsid w:val="00D02D0C"/>
    <w:rsid w:val="00D03087"/>
    <w:rsid w:val="00D04456"/>
    <w:rsid w:val="00D05A08"/>
    <w:rsid w:val="00D05CD5"/>
    <w:rsid w:val="00D06915"/>
    <w:rsid w:val="00D06D91"/>
    <w:rsid w:val="00D10908"/>
    <w:rsid w:val="00D10CE8"/>
    <w:rsid w:val="00D1140A"/>
    <w:rsid w:val="00D118CD"/>
    <w:rsid w:val="00D1599A"/>
    <w:rsid w:val="00D1734B"/>
    <w:rsid w:val="00D17FA4"/>
    <w:rsid w:val="00D2001A"/>
    <w:rsid w:val="00D20493"/>
    <w:rsid w:val="00D21ADD"/>
    <w:rsid w:val="00D21D36"/>
    <w:rsid w:val="00D21DD8"/>
    <w:rsid w:val="00D21E33"/>
    <w:rsid w:val="00D22D99"/>
    <w:rsid w:val="00D234FC"/>
    <w:rsid w:val="00D23F43"/>
    <w:rsid w:val="00D24013"/>
    <w:rsid w:val="00D24CF4"/>
    <w:rsid w:val="00D25EA5"/>
    <w:rsid w:val="00D261B5"/>
    <w:rsid w:val="00D266DB"/>
    <w:rsid w:val="00D27684"/>
    <w:rsid w:val="00D30F1C"/>
    <w:rsid w:val="00D30F97"/>
    <w:rsid w:val="00D316EB"/>
    <w:rsid w:val="00D3264F"/>
    <w:rsid w:val="00D330C4"/>
    <w:rsid w:val="00D33F82"/>
    <w:rsid w:val="00D34295"/>
    <w:rsid w:val="00D34472"/>
    <w:rsid w:val="00D34CB4"/>
    <w:rsid w:val="00D3534B"/>
    <w:rsid w:val="00D366E6"/>
    <w:rsid w:val="00D368D5"/>
    <w:rsid w:val="00D376EC"/>
    <w:rsid w:val="00D406D8"/>
    <w:rsid w:val="00D409D1"/>
    <w:rsid w:val="00D41A6F"/>
    <w:rsid w:val="00D42323"/>
    <w:rsid w:val="00D42F28"/>
    <w:rsid w:val="00D44A09"/>
    <w:rsid w:val="00D45AC7"/>
    <w:rsid w:val="00D46522"/>
    <w:rsid w:val="00D4660B"/>
    <w:rsid w:val="00D46C13"/>
    <w:rsid w:val="00D47222"/>
    <w:rsid w:val="00D506CA"/>
    <w:rsid w:val="00D51410"/>
    <w:rsid w:val="00D52B5A"/>
    <w:rsid w:val="00D52E46"/>
    <w:rsid w:val="00D52E59"/>
    <w:rsid w:val="00D53F23"/>
    <w:rsid w:val="00D548BA"/>
    <w:rsid w:val="00D5575D"/>
    <w:rsid w:val="00D5599D"/>
    <w:rsid w:val="00D55A52"/>
    <w:rsid w:val="00D57E25"/>
    <w:rsid w:val="00D60899"/>
    <w:rsid w:val="00D60BE2"/>
    <w:rsid w:val="00D62CB4"/>
    <w:rsid w:val="00D6317F"/>
    <w:rsid w:val="00D6342A"/>
    <w:rsid w:val="00D654D8"/>
    <w:rsid w:val="00D66591"/>
    <w:rsid w:val="00D66601"/>
    <w:rsid w:val="00D66BC2"/>
    <w:rsid w:val="00D70401"/>
    <w:rsid w:val="00D704CA"/>
    <w:rsid w:val="00D706DB"/>
    <w:rsid w:val="00D71C98"/>
    <w:rsid w:val="00D7441C"/>
    <w:rsid w:val="00D744A2"/>
    <w:rsid w:val="00D745D2"/>
    <w:rsid w:val="00D74936"/>
    <w:rsid w:val="00D755C3"/>
    <w:rsid w:val="00D7572C"/>
    <w:rsid w:val="00D76504"/>
    <w:rsid w:val="00D765D0"/>
    <w:rsid w:val="00D767FA"/>
    <w:rsid w:val="00D7751F"/>
    <w:rsid w:val="00D77A22"/>
    <w:rsid w:val="00D77C2B"/>
    <w:rsid w:val="00D77C72"/>
    <w:rsid w:val="00D80692"/>
    <w:rsid w:val="00D80851"/>
    <w:rsid w:val="00D80B0E"/>
    <w:rsid w:val="00D81247"/>
    <w:rsid w:val="00D816CD"/>
    <w:rsid w:val="00D81FEC"/>
    <w:rsid w:val="00D82513"/>
    <w:rsid w:val="00D82733"/>
    <w:rsid w:val="00D82B5A"/>
    <w:rsid w:val="00D82BCB"/>
    <w:rsid w:val="00D835AA"/>
    <w:rsid w:val="00D85871"/>
    <w:rsid w:val="00D86BA2"/>
    <w:rsid w:val="00D8769C"/>
    <w:rsid w:val="00D87F80"/>
    <w:rsid w:val="00D905CB"/>
    <w:rsid w:val="00D905FF"/>
    <w:rsid w:val="00D908C5"/>
    <w:rsid w:val="00D909BF"/>
    <w:rsid w:val="00D90B1F"/>
    <w:rsid w:val="00D90DF0"/>
    <w:rsid w:val="00D914B0"/>
    <w:rsid w:val="00D91CE7"/>
    <w:rsid w:val="00D91ED5"/>
    <w:rsid w:val="00D92F45"/>
    <w:rsid w:val="00D941D8"/>
    <w:rsid w:val="00D95BD6"/>
    <w:rsid w:val="00D95DBA"/>
    <w:rsid w:val="00D975E5"/>
    <w:rsid w:val="00D97653"/>
    <w:rsid w:val="00D97E86"/>
    <w:rsid w:val="00DA078C"/>
    <w:rsid w:val="00DA09E7"/>
    <w:rsid w:val="00DA09F2"/>
    <w:rsid w:val="00DA0C87"/>
    <w:rsid w:val="00DA1062"/>
    <w:rsid w:val="00DA1CEF"/>
    <w:rsid w:val="00DA2CE3"/>
    <w:rsid w:val="00DA2CFA"/>
    <w:rsid w:val="00DA34A1"/>
    <w:rsid w:val="00DA3639"/>
    <w:rsid w:val="00DA38E1"/>
    <w:rsid w:val="00DA4B36"/>
    <w:rsid w:val="00DA50C5"/>
    <w:rsid w:val="00DA53B3"/>
    <w:rsid w:val="00DA5C45"/>
    <w:rsid w:val="00DA68CF"/>
    <w:rsid w:val="00DA6A35"/>
    <w:rsid w:val="00DA73EA"/>
    <w:rsid w:val="00DA762F"/>
    <w:rsid w:val="00DB19AA"/>
    <w:rsid w:val="00DB33E1"/>
    <w:rsid w:val="00DB37C7"/>
    <w:rsid w:val="00DB48C9"/>
    <w:rsid w:val="00DB496D"/>
    <w:rsid w:val="00DB4BC5"/>
    <w:rsid w:val="00DB612F"/>
    <w:rsid w:val="00DB7670"/>
    <w:rsid w:val="00DC1691"/>
    <w:rsid w:val="00DC174E"/>
    <w:rsid w:val="00DC1916"/>
    <w:rsid w:val="00DC19BE"/>
    <w:rsid w:val="00DC1C37"/>
    <w:rsid w:val="00DC1D59"/>
    <w:rsid w:val="00DC1FFE"/>
    <w:rsid w:val="00DC20C8"/>
    <w:rsid w:val="00DC21CF"/>
    <w:rsid w:val="00DC248B"/>
    <w:rsid w:val="00DC37BF"/>
    <w:rsid w:val="00DC4541"/>
    <w:rsid w:val="00DC4815"/>
    <w:rsid w:val="00DC4910"/>
    <w:rsid w:val="00DC66AF"/>
    <w:rsid w:val="00DC6B6C"/>
    <w:rsid w:val="00DC77CD"/>
    <w:rsid w:val="00DD062C"/>
    <w:rsid w:val="00DD0672"/>
    <w:rsid w:val="00DD0896"/>
    <w:rsid w:val="00DD08E7"/>
    <w:rsid w:val="00DD1390"/>
    <w:rsid w:val="00DD1C6B"/>
    <w:rsid w:val="00DD1D12"/>
    <w:rsid w:val="00DD2BB5"/>
    <w:rsid w:val="00DD2C08"/>
    <w:rsid w:val="00DD2E2A"/>
    <w:rsid w:val="00DD2EE3"/>
    <w:rsid w:val="00DD3D5F"/>
    <w:rsid w:val="00DD4392"/>
    <w:rsid w:val="00DD589D"/>
    <w:rsid w:val="00DD5ED9"/>
    <w:rsid w:val="00DD6133"/>
    <w:rsid w:val="00DD645D"/>
    <w:rsid w:val="00DD68F2"/>
    <w:rsid w:val="00DD72DB"/>
    <w:rsid w:val="00DD7D10"/>
    <w:rsid w:val="00DE0BE6"/>
    <w:rsid w:val="00DE0E81"/>
    <w:rsid w:val="00DE1880"/>
    <w:rsid w:val="00DE192C"/>
    <w:rsid w:val="00DE1F60"/>
    <w:rsid w:val="00DE249F"/>
    <w:rsid w:val="00DE2647"/>
    <w:rsid w:val="00DE32E2"/>
    <w:rsid w:val="00DE3965"/>
    <w:rsid w:val="00DE39BF"/>
    <w:rsid w:val="00DE3C3C"/>
    <w:rsid w:val="00DE3E0D"/>
    <w:rsid w:val="00DE4346"/>
    <w:rsid w:val="00DE4852"/>
    <w:rsid w:val="00DE4DBD"/>
    <w:rsid w:val="00DE5D30"/>
    <w:rsid w:val="00DE6047"/>
    <w:rsid w:val="00DE67A2"/>
    <w:rsid w:val="00DE6AA8"/>
    <w:rsid w:val="00DE6ABF"/>
    <w:rsid w:val="00DE779F"/>
    <w:rsid w:val="00DF0EE1"/>
    <w:rsid w:val="00DF1D33"/>
    <w:rsid w:val="00DF205C"/>
    <w:rsid w:val="00DF2AC1"/>
    <w:rsid w:val="00DF3BBE"/>
    <w:rsid w:val="00DF3E22"/>
    <w:rsid w:val="00DF41FF"/>
    <w:rsid w:val="00DF503C"/>
    <w:rsid w:val="00DF57F2"/>
    <w:rsid w:val="00E00510"/>
    <w:rsid w:val="00E00743"/>
    <w:rsid w:val="00E02EA1"/>
    <w:rsid w:val="00E032E1"/>
    <w:rsid w:val="00E032E9"/>
    <w:rsid w:val="00E0333F"/>
    <w:rsid w:val="00E03BB4"/>
    <w:rsid w:val="00E05523"/>
    <w:rsid w:val="00E05CF0"/>
    <w:rsid w:val="00E066C3"/>
    <w:rsid w:val="00E06FBE"/>
    <w:rsid w:val="00E07258"/>
    <w:rsid w:val="00E07791"/>
    <w:rsid w:val="00E07FF0"/>
    <w:rsid w:val="00E10492"/>
    <w:rsid w:val="00E10AC7"/>
    <w:rsid w:val="00E110E7"/>
    <w:rsid w:val="00E12233"/>
    <w:rsid w:val="00E137FA"/>
    <w:rsid w:val="00E13DB0"/>
    <w:rsid w:val="00E14EAD"/>
    <w:rsid w:val="00E1521A"/>
    <w:rsid w:val="00E152BB"/>
    <w:rsid w:val="00E1663E"/>
    <w:rsid w:val="00E174B1"/>
    <w:rsid w:val="00E17EF2"/>
    <w:rsid w:val="00E20858"/>
    <w:rsid w:val="00E20A91"/>
    <w:rsid w:val="00E213D6"/>
    <w:rsid w:val="00E2152C"/>
    <w:rsid w:val="00E22E9E"/>
    <w:rsid w:val="00E22F76"/>
    <w:rsid w:val="00E22FE3"/>
    <w:rsid w:val="00E23983"/>
    <w:rsid w:val="00E23B45"/>
    <w:rsid w:val="00E24EAA"/>
    <w:rsid w:val="00E27318"/>
    <w:rsid w:val="00E27467"/>
    <w:rsid w:val="00E27F75"/>
    <w:rsid w:val="00E3106A"/>
    <w:rsid w:val="00E320F9"/>
    <w:rsid w:val="00E3248A"/>
    <w:rsid w:val="00E32D02"/>
    <w:rsid w:val="00E331D7"/>
    <w:rsid w:val="00E338F1"/>
    <w:rsid w:val="00E33E91"/>
    <w:rsid w:val="00E34624"/>
    <w:rsid w:val="00E3491E"/>
    <w:rsid w:val="00E34A56"/>
    <w:rsid w:val="00E3531E"/>
    <w:rsid w:val="00E35432"/>
    <w:rsid w:val="00E35A50"/>
    <w:rsid w:val="00E36677"/>
    <w:rsid w:val="00E37602"/>
    <w:rsid w:val="00E40010"/>
    <w:rsid w:val="00E414C3"/>
    <w:rsid w:val="00E424EA"/>
    <w:rsid w:val="00E427DA"/>
    <w:rsid w:val="00E43638"/>
    <w:rsid w:val="00E43C70"/>
    <w:rsid w:val="00E43DAD"/>
    <w:rsid w:val="00E44818"/>
    <w:rsid w:val="00E45540"/>
    <w:rsid w:val="00E46F79"/>
    <w:rsid w:val="00E50951"/>
    <w:rsid w:val="00E50A1E"/>
    <w:rsid w:val="00E52083"/>
    <w:rsid w:val="00E52319"/>
    <w:rsid w:val="00E534EC"/>
    <w:rsid w:val="00E54810"/>
    <w:rsid w:val="00E54E8D"/>
    <w:rsid w:val="00E55B68"/>
    <w:rsid w:val="00E55CBE"/>
    <w:rsid w:val="00E56280"/>
    <w:rsid w:val="00E563E3"/>
    <w:rsid w:val="00E56D15"/>
    <w:rsid w:val="00E572DA"/>
    <w:rsid w:val="00E602CC"/>
    <w:rsid w:val="00E60F19"/>
    <w:rsid w:val="00E62EDB"/>
    <w:rsid w:val="00E646EE"/>
    <w:rsid w:val="00E65536"/>
    <w:rsid w:val="00E65823"/>
    <w:rsid w:val="00E6662D"/>
    <w:rsid w:val="00E66669"/>
    <w:rsid w:val="00E67154"/>
    <w:rsid w:val="00E67200"/>
    <w:rsid w:val="00E6738B"/>
    <w:rsid w:val="00E67801"/>
    <w:rsid w:val="00E67914"/>
    <w:rsid w:val="00E67B45"/>
    <w:rsid w:val="00E70CC5"/>
    <w:rsid w:val="00E71609"/>
    <w:rsid w:val="00E71877"/>
    <w:rsid w:val="00E719C9"/>
    <w:rsid w:val="00E71CAD"/>
    <w:rsid w:val="00E73A63"/>
    <w:rsid w:val="00E73ADC"/>
    <w:rsid w:val="00E74AA0"/>
    <w:rsid w:val="00E74EFA"/>
    <w:rsid w:val="00E7512D"/>
    <w:rsid w:val="00E75897"/>
    <w:rsid w:val="00E75F84"/>
    <w:rsid w:val="00E761FD"/>
    <w:rsid w:val="00E76238"/>
    <w:rsid w:val="00E76739"/>
    <w:rsid w:val="00E76D38"/>
    <w:rsid w:val="00E80A2C"/>
    <w:rsid w:val="00E81501"/>
    <w:rsid w:val="00E81D4B"/>
    <w:rsid w:val="00E82A4A"/>
    <w:rsid w:val="00E832E0"/>
    <w:rsid w:val="00E83D0A"/>
    <w:rsid w:val="00E83F7F"/>
    <w:rsid w:val="00E84030"/>
    <w:rsid w:val="00E84C50"/>
    <w:rsid w:val="00E84D61"/>
    <w:rsid w:val="00E855D1"/>
    <w:rsid w:val="00E874EC"/>
    <w:rsid w:val="00E879BE"/>
    <w:rsid w:val="00E91D2E"/>
    <w:rsid w:val="00E92483"/>
    <w:rsid w:val="00E92904"/>
    <w:rsid w:val="00E92BBC"/>
    <w:rsid w:val="00E92C86"/>
    <w:rsid w:val="00E9363A"/>
    <w:rsid w:val="00E96486"/>
    <w:rsid w:val="00E96799"/>
    <w:rsid w:val="00E976CD"/>
    <w:rsid w:val="00E97B76"/>
    <w:rsid w:val="00EA0C1F"/>
    <w:rsid w:val="00EA0DD9"/>
    <w:rsid w:val="00EA2117"/>
    <w:rsid w:val="00EA246E"/>
    <w:rsid w:val="00EA5281"/>
    <w:rsid w:val="00EA6069"/>
    <w:rsid w:val="00EA6A81"/>
    <w:rsid w:val="00EA6C3E"/>
    <w:rsid w:val="00EA6CC3"/>
    <w:rsid w:val="00EA6FCB"/>
    <w:rsid w:val="00EA756B"/>
    <w:rsid w:val="00EA76D9"/>
    <w:rsid w:val="00EA7B13"/>
    <w:rsid w:val="00EB0371"/>
    <w:rsid w:val="00EB085C"/>
    <w:rsid w:val="00EB12DB"/>
    <w:rsid w:val="00EB1FCE"/>
    <w:rsid w:val="00EB2414"/>
    <w:rsid w:val="00EB38F2"/>
    <w:rsid w:val="00EB3983"/>
    <w:rsid w:val="00EB4389"/>
    <w:rsid w:val="00EB5396"/>
    <w:rsid w:val="00EB5449"/>
    <w:rsid w:val="00EB620E"/>
    <w:rsid w:val="00EB658E"/>
    <w:rsid w:val="00EB67C3"/>
    <w:rsid w:val="00EB7D5A"/>
    <w:rsid w:val="00EC0E56"/>
    <w:rsid w:val="00EC2644"/>
    <w:rsid w:val="00EC3340"/>
    <w:rsid w:val="00EC36D9"/>
    <w:rsid w:val="00EC40A5"/>
    <w:rsid w:val="00EC44D2"/>
    <w:rsid w:val="00EC4B23"/>
    <w:rsid w:val="00EC53C2"/>
    <w:rsid w:val="00EC60E9"/>
    <w:rsid w:val="00EC7980"/>
    <w:rsid w:val="00ED0512"/>
    <w:rsid w:val="00ED06F2"/>
    <w:rsid w:val="00ED07C6"/>
    <w:rsid w:val="00ED19DF"/>
    <w:rsid w:val="00ED1B03"/>
    <w:rsid w:val="00ED278B"/>
    <w:rsid w:val="00ED3019"/>
    <w:rsid w:val="00ED3A73"/>
    <w:rsid w:val="00ED3CCA"/>
    <w:rsid w:val="00ED3F07"/>
    <w:rsid w:val="00ED4399"/>
    <w:rsid w:val="00ED46E8"/>
    <w:rsid w:val="00ED4C19"/>
    <w:rsid w:val="00ED5565"/>
    <w:rsid w:val="00ED57B9"/>
    <w:rsid w:val="00EE0089"/>
    <w:rsid w:val="00EE126B"/>
    <w:rsid w:val="00EE23D7"/>
    <w:rsid w:val="00EE3010"/>
    <w:rsid w:val="00EE31D5"/>
    <w:rsid w:val="00EE548E"/>
    <w:rsid w:val="00EE6739"/>
    <w:rsid w:val="00EF0737"/>
    <w:rsid w:val="00EF0F89"/>
    <w:rsid w:val="00EF1730"/>
    <w:rsid w:val="00EF1D56"/>
    <w:rsid w:val="00EF3546"/>
    <w:rsid w:val="00EF5115"/>
    <w:rsid w:val="00EF5D78"/>
    <w:rsid w:val="00EF5F19"/>
    <w:rsid w:val="00EF663B"/>
    <w:rsid w:val="00EF797D"/>
    <w:rsid w:val="00F0068C"/>
    <w:rsid w:val="00F0097C"/>
    <w:rsid w:val="00F0179C"/>
    <w:rsid w:val="00F02600"/>
    <w:rsid w:val="00F02AD0"/>
    <w:rsid w:val="00F03112"/>
    <w:rsid w:val="00F03A8F"/>
    <w:rsid w:val="00F03D16"/>
    <w:rsid w:val="00F03FAD"/>
    <w:rsid w:val="00F04449"/>
    <w:rsid w:val="00F04861"/>
    <w:rsid w:val="00F04A7B"/>
    <w:rsid w:val="00F0533C"/>
    <w:rsid w:val="00F05D61"/>
    <w:rsid w:val="00F073C3"/>
    <w:rsid w:val="00F07B3B"/>
    <w:rsid w:val="00F1076E"/>
    <w:rsid w:val="00F11265"/>
    <w:rsid w:val="00F1178E"/>
    <w:rsid w:val="00F1204C"/>
    <w:rsid w:val="00F1206F"/>
    <w:rsid w:val="00F12C7B"/>
    <w:rsid w:val="00F1330D"/>
    <w:rsid w:val="00F1498E"/>
    <w:rsid w:val="00F1506D"/>
    <w:rsid w:val="00F16672"/>
    <w:rsid w:val="00F16850"/>
    <w:rsid w:val="00F177E9"/>
    <w:rsid w:val="00F17AA3"/>
    <w:rsid w:val="00F17C11"/>
    <w:rsid w:val="00F2001C"/>
    <w:rsid w:val="00F2006A"/>
    <w:rsid w:val="00F201AB"/>
    <w:rsid w:val="00F203C7"/>
    <w:rsid w:val="00F204A1"/>
    <w:rsid w:val="00F22752"/>
    <w:rsid w:val="00F234B2"/>
    <w:rsid w:val="00F236E7"/>
    <w:rsid w:val="00F2458D"/>
    <w:rsid w:val="00F24FD3"/>
    <w:rsid w:val="00F25374"/>
    <w:rsid w:val="00F25A3B"/>
    <w:rsid w:val="00F25D73"/>
    <w:rsid w:val="00F26535"/>
    <w:rsid w:val="00F26BE8"/>
    <w:rsid w:val="00F26CC0"/>
    <w:rsid w:val="00F273BF"/>
    <w:rsid w:val="00F303E0"/>
    <w:rsid w:val="00F30C48"/>
    <w:rsid w:val="00F31CBE"/>
    <w:rsid w:val="00F320C1"/>
    <w:rsid w:val="00F335C6"/>
    <w:rsid w:val="00F33BE6"/>
    <w:rsid w:val="00F34200"/>
    <w:rsid w:val="00F35955"/>
    <w:rsid w:val="00F35BF0"/>
    <w:rsid w:val="00F366F5"/>
    <w:rsid w:val="00F37802"/>
    <w:rsid w:val="00F405CA"/>
    <w:rsid w:val="00F41690"/>
    <w:rsid w:val="00F41B41"/>
    <w:rsid w:val="00F4213B"/>
    <w:rsid w:val="00F423BE"/>
    <w:rsid w:val="00F42EF4"/>
    <w:rsid w:val="00F44098"/>
    <w:rsid w:val="00F473F6"/>
    <w:rsid w:val="00F47537"/>
    <w:rsid w:val="00F508CF"/>
    <w:rsid w:val="00F52403"/>
    <w:rsid w:val="00F5288C"/>
    <w:rsid w:val="00F5288D"/>
    <w:rsid w:val="00F52B57"/>
    <w:rsid w:val="00F52F06"/>
    <w:rsid w:val="00F53A75"/>
    <w:rsid w:val="00F53DAB"/>
    <w:rsid w:val="00F55383"/>
    <w:rsid w:val="00F55FD7"/>
    <w:rsid w:val="00F561AC"/>
    <w:rsid w:val="00F5630B"/>
    <w:rsid w:val="00F56AB2"/>
    <w:rsid w:val="00F5703E"/>
    <w:rsid w:val="00F61401"/>
    <w:rsid w:val="00F6189A"/>
    <w:rsid w:val="00F618F7"/>
    <w:rsid w:val="00F61CA5"/>
    <w:rsid w:val="00F61E48"/>
    <w:rsid w:val="00F62F9E"/>
    <w:rsid w:val="00F64AA9"/>
    <w:rsid w:val="00F64C53"/>
    <w:rsid w:val="00F65D41"/>
    <w:rsid w:val="00F669FD"/>
    <w:rsid w:val="00F6708B"/>
    <w:rsid w:val="00F67689"/>
    <w:rsid w:val="00F71A37"/>
    <w:rsid w:val="00F71CC6"/>
    <w:rsid w:val="00F720F0"/>
    <w:rsid w:val="00F72A97"/>
    <w:rsid w:val="00F73047"/>
    <w:rsid w:val="00F74206"/>
    <w:rsid w:val="00F7475B"/>
    <w:rsid w:val="00F7518C"/>
    <w:rsid w:val="00F76D23"/>
    <w:rsid w:val="00F779CB"/>
    <w:rsid w:val="00F77B82"/>
    <w:rsid w:val="00F8094F"/>
    <w:rsid w:val="00F80B59"/>
    <w:rsid w:val="00F80B87"/>
    <w:rsid w:val="00F8130D"/>
    <w:rsid w:val="00F82585"/>
    <w:rsid w:val="00F82CEF"/>
    <w:rsid w:val="00F82E3D"/>
    <w:rsid w:val="00F82E67"/>
    <w:rsid w:val="00F83649"/>
    <w:rsid w:val="00F83693"/>
    <w:rsid w:val="00F8473A"/>
    <w:rsid w:val="00F84AD9"/>
    <w:rsid w:val="00F85F03"/>
    <w:rsid w:val="00F87545"/>
    <w:rsid w:val="00F877F8"/>
    <w:rsid w:val="00F914CA"/>
    <w:rsid w:val="00F920C3"/>
    <w:rsid w:val="00F921FB"/>
    <w:rsid w:val="00F92454"/>
    <w:rsid w:val="00F9319F"/>
    <w:rsid w:val="00F93FA7"/>
    <w:rsid w:val="00F9401C"/>
    <w:rsid w:val="00F946A3"/>
    <w:rsid w:val="00F9529C"/>
    <w:rsid w:val="00F95525"/>
    <w:rsid w:val="00F96A1C"/>
    <w:rsid w:val="00F96A78"/>
    <w:rsid w:val="00FA08C4"/>
    <w:rsid w:val="00FA099F"/>
    <w:rsid w:val="00FA12E3"/>
    <w:rsid w:val="00FA320A"/>
    <w:rsid w:val="00FA32E0"/>
    <w:rsid w:val="00FA3557"/>
    <w:rsid w:val="00FA360A"/>
    <w:rsid w:val="00FA3E3D"/>
    <w:rsid w:val="00FA4A87"/>
    <w:rsid w:val="00FA535A"/>
    <w:rsid w:val="00FA5BFC"/>
    <w:rsid w:val="00FA6B65"/>
    <w:rsid w:val="00FB104D"/>
    <w:rsid w:val="00FB1C6A"/>
    <w:rsid w:val="00FB39A9"/>
    <w:rsid w:val="00FB5306"/>
    <w:rsid w:val="00FB5638"/>
    <w:rsid w:val="00FB5667"/>
    <w:rsid w:val="00FB5BAE"/>
    <w:rsid w:val="00FB638D"/>
    <w:rsid w:val="00FB640A"/>
    <w:rsid w:val="00FB6767"/>
    <w:rsid w:val="00FB691E"/>
    <w:rsid w:val="00FC032B"/>
    <w:rsid w:val="00FC0511"/>
    <w:rsid w:val="00FC060B"/>
    <w:rsid w:val="00FC10F3"/>
    <w:rsid w:val="00FC148E"/>
    <w:rsid w:val="00FC18DB"/>
    <w:rsid w:val="00FC1FA2"/>
    <w:rsid w:val="00FC2552"/>
    <w:rsid w:val="00FC2670"/>
    <w:rsid w:val="00FC2E39"/>
    <w:rsid w:val="00FC3FF0"/>
    <w:rsid w:val="00FC5EF4"/>
    <w:rsid w:val="00FC6D2B"/>
    <w:rsid w:val="00FC6F93"/>
    <w:rsid w:val="00FC738F"/>
    <w:rsid w:val="00FC75E1"/>
    <w:rsid w:val="00FC7A74"/>
    <w:rsid w:val="00FD112F"/>
    <w:rsid w:val="00FD212B"/>
    <w:rsid w:val="00FD230B"/>
    <w:rsid w:val="00FD27BE"/>
    <w:rsid w:val="00FD28A9"/>
    <w:rsid w:val="00FD2D47"/>
    <w:rsid w:val="00FD3B14"/>
    <w:rsid w:val="00FD4E52"/>
    <w:rsid w:val="00FD5AF5"/>
    <w:rsid w:val="00FD7CF9"/>
    <w:rsid w:val="00FD7E7A"/>
    <w:rsid w:val="00FE00E3"/>
    <w:rsid w:val="00FE1468"/>
    <w:rsid w:val="00FE14D6"/>
    <w:rsid w:val="00FE1D7B"/>
    <w:rsid w:val="00FE334C"/>
    <w:rsid w:val="00FE36FB"/>
    <w:rsid w:val="00FE3E4B"/>
    <w:rsid w:val="00FE4311"/>
    <w:rsid w:val="00FE43EC"/>
    <w:rsid w:val="00FE47E2"/>
    <w:rsid w:val="00FE4B58"/>
    <w:rsid w:val="00FE51EF"/>
    <w:rsid w:val="00FE5DE6"/>
    <w:rsid w:val="00FE5F65"/>
    <w:rsid w:val="00FE71BC"/>
    <w:rsid w:val="00FF09E1"/>
    <w:rsid w:val="00FF0AE5"/>
    <w:rsid w:val="00FF190F"/>
    <w:rsid w:val="00FF1CBF"/>
    <w:rsid w:val="00FF1D45"/>
    <w:rsid w:val="00FF23A5"/>
    <w:rsid w:val="00FF2931"/>
    <w:rsid w:val="00FF359C"/>
    <w:rsid w:val="00FF46BA"/>
    <w:rsid w:val="00FF49DE"/>
    <w:rsid w:val="00FF5447"/>
    <w:rsid w:val="00FF6123"/>
    <w:rsid w:val="00FF67B5"/>
    <w:rsid w:val="0132473D"/>
    <w:rsid w:val="018B2148"/>
    <w:rsid w:val="023A7385"/>
    <w:rsid w:val="024C1A38"/>
    <w:rsid w:val="02A70E92"/>
    <w:rsid w:val="02A87645"/>
    <w:rsid w:val="03276536"/>
    <w:rsid w:val="037733E8"/>
    <w:rsid w:val="04583BB6"/>
    <w:rsid w:val="0458732C"/>
    <w:rsid w:val="04882F4C"/>
    <w:rsid w:val="059953A6"/>
    <w:rsid w:val="06073EC7"/>
    <w:rsid w:val="06087485"/>
    <w:rsid w:val="065E382A"/>
    <w:rsid w:val="068D65BF"/>
    <w:rsid w:val="068E4E62"/>
    <w:rsid w:val="06B70D37"/>
    <w:rsid w:val="06C10448"/>
    <w:rsid w:val="06C46FE2"/>
    <w:rsid w:val="06F97FB1"/>
    <w:rsid w:val="070D7102"/>
    <w:rsid w:val="07181EBF"/>
    <w:rsid w:val="075828B5"/>
    <w:rsid w:val="075F4C11"/>
    <w:rsid w:val="07776FC2"/>
    <w:rsid w:val="079C020F"/>
    <w:rsid w:val="07B51593"/>
    <w:rsid w:val="07CD0FB6"/>
    <w:rsid w:val="08075146"/>
    <w:rsid w:val="081D2672"/>
    <w:rsid w:val="08385242"/>
    <w:rsid w:val="084B3A2B"/>
    <w:rsid w:val="09112EF5"/>
    <w:rsid w:val="0969023C"/>
    <w:rsid w:val="096E597F"/>
    <w:rsid w:val="0A7D3BAE"/>
    <w:rsid w:val="0B09584B"/>
    <w:rsid w:val="0B5526BB"/>
    <w:rsid w:val="0BDE5E92"/>
    <w:rsid w:val="0C5C5D16"/>
    <w:rsid w:val="0C795920"/>
    <w:rsid w:val="0CA61B76"/>
    <w:rsid w:val="0CB35ED9"/>
    <w:rsid w:val="0CD34AC8"/>
    <w:rsid w:val="0CEE4DF7"/>
    <w:rsid w:val="0D8A420A"/>
    <w:rsid w:val="0D92702B"/>
    <w:rsid w:val="0DAA2DC0"/>
    <w:rsid w:val="0E985F9A"/>
    <w:rsid w:val="0F454036"/>
    <w:rsid w:val="0F6E5A6E"/>
    <w:rsid w:val="0F8F5336"/>
    <w:rsid w:val="0FB55A32"/>
    <w:rsid w:val="0FCE34F3"/>
    <w:rsid w:val="0FE9679C"/>
    <w:rsid w:val="10AC3D11"/>
    <w:rsid w:val="10C77F5F"/>
    <w:rsid w:val="10F64D3C"/>
    <w:rsid w:val="11667FD2"/>
    <w:rsid w:val="12502D39"/>
    <w:rsid w:val="12AE3D99"/>
    <w:rsid w:val="12FA464E"/>
    <w:rsid w:val="130F3CB5"/>
    <w:rsid w:val="13370063"/>
    <w:rsid w:val="1339105E"/>
    <w:rsid w:val="133D06BD"/>
    <w:rsid w:val="13875038"/>
    <w:rsid w:val="13B562BC"/>
    <w:rsid w:val="13C8392B"/>
    <w:rsid w:val="14326E99"/>
    <w:rsid w:val="14352566"/>
    <w:rsid w:val="143A4F18"/>
    <w:rsid w:val="14DE5E73"/>
    <w:rsid w:val="155F0C2C"/>
    <w:rsid w:val="160D6454"/>
    <w:rsid w:val="16404626"/>
    <w:rsid w:val="176D09EE"/>
    <w:rsid w:val="17731485"/>
    <w:rsid w:val="17995F85"/>
    <w:rsid w:val="1803336C"/>
    <w:rsid w:val="188D3AE4"/>
    <w:rsid w:val="18F81EF9"/>
    <w:rsid w:val="192A7FDE"/>
    <w:rsid w:val="19470A1D"/>
    <w:rsid w:val="198A575F"/>
    <w:rsid w:val="19EE181A"/>
    <w:rsid w:val="1A12259C"/>
    <w:rsid w:val="1A6159BF"/>
    <w:rsid w:val="1AA57BD6"/>
    <w:rsid w:val="1B317BFC"/>
    <w:rsid w:val="1C5A2B21"/>
    <w:rsid w:val="1C840B9B"/>
    <w:rsid w:val="1D022E50"/>
    <w:rsid w:val="1D370AFC"/>
    <w:rsid w:val="1D495661"/>
    <w:rsid w:val="1D652065"/>
    <w:rsid w:val="1E4331BE"/>
    <w:rsid w:val="1E753B0D"/>
    <w:rsid w:val="1E7F67A8"/>
    <w:rsid w:val="1EE00167"/>
    <w:rsid w:val="1EE85267"/>
    <w:rsid w:val="1F0C349E"/>
    <w:rsid w:val="1F160235"/>
    <w:rsid w:val="1F2205F8"/>
    <w:rsid w:val="1FEC7391"/>
    <w:rsid w:val="20367E0F"/>
    <w:rsid w:val="20A12F09"/>
    <w:rsid w:val="20B22C20"/>
    <w:rsid w:val="21417EE3"/>
    <w:rsid w:val="214927FE"/>
    <w:rsid w:val="216325EE"/>
    <w:rsid w:val="23A12B1A"/>
    <w:rsid w:val="23AA0427"/>
    <w:rsid w:val="23E71A0D"/>
    <w:rsid w:val="241635B9"/>
    <w:rsid w:val="24271935"/>
    <w:rsid w:val="24DC4817"/>
    <w:rsid w:val="24FC51E3"/>
    <w:rsid w:val="252D25B7"/>
    <w:rsid w:val="255A11A7"/>
    <w:rsid w:val="25E83032"/>
    <w:rsid w:val="2606757C"/>
    <w:rsid w:val="263E6DC5"/>
    <w:rsid w:val="2697098A"/>
    <w:rsid w:val="26B959DC"/>
    <w:rsid w:val="26C54199"/>
    <w:rsid w:val="276F3F10"/>
    <w:rsid w:val="28604DA6"/>
    <w:rsid w:val="28B61BCE"/>
    <w:rsid w:val="2976485C"/>
    <w:rsid w:val="2A0917CA"/>
    <w:rsid w:val="2A223110"/>
    <w:rsid w:val="2A2478DA"/>
    <w:rsid w:val="2A3A0386"/>
    <w:rsid w:val="2A557025"/>
    <w:rsid w:val="2AD3005C"/>
    <w:rsid w:val="2B3B223B"/>
    <w:rsid w:val="2B8D17F9"/>
    <w:rsid w:val="2BB04507"/>
    <w:rsid w:val="2BFA427E"/>
    <w:rsid w:val="2C3364FB"/>
    <w:rsid w:val="2D126BAA"/>
    <w:rsid w:val="2D225707"/>
    <w:rsid w:val="2D2C0D79"/>
    <w:rsid w:val="2D963038"/>
    <w:rsid w:val="2DE14BE9"/>
    <w:rsid w:val="2DF63245"/>
    <w:rsid w:val="2E7017B9"/>
    <w:rsid w:val="2E997EC6"/>
    <w:rsid w:val="2EB848A0"/>
    <w:rsid w:val="2EC4672C"/>
    <w:rsid w:val="2EFD1C2F"/>
    <w:rsid w:val="2F0013CA"/>
    <w:rsid w:val="2F4673A8"/>
    <w:rsid w:val="2F7268D5"/>
    <w:rsid w:val="2F7E4D1E"/>
    <w:rsid w:val="2FAA4FE6"/>
    <w:rsid w:val="3068716B"/>
    <w:rsid w:val="30CF5E22"/>
    <w:rsid w:val="30FB6E40"/>
    <w:rsid w:val="311A020B"/>
    <w:rsid w:val="311E044B"/>
    <w:rsid w:val="314B42E1"/>
    <w:rsid w:val="3177633A"/>
    <w:rsid w:val="31C87DC9"/>
    <w:rsid w:val="32002203"/>
    <w:rsid w:val="322B6518"/>
    <w:rsid w:val="3296466F"/>
    <w:rsid w:val="33096F49"/>
    <w:rsid w:val="33C223B0"/>
    <w:rsid w:val="340F4E7A"/>
    <w:rsid w:val="34184EAF"/>
    <w:rsid w:val="34A20B41"/>
    <w:rsid w:val="34B1099D"/>
    <w:rsid w:val="34F21A1D"/>
    <w:rsid w:val="356D638B"/>
    <w:rsid w:val="35E3081D"/>
    <w:rsid w:val="35F50C9B"/>
    <w:rsid w:val="37133CD8"/>
    <w:rsid w:val="37AC42D9"/>
    <w:rsid w:val="37CE50AB"/>
    <w:rsid w:val="381237BF"/>
    <w:rsid w:val="3812570D"/>
    <w:rsid w:val="384D75D2"/>
    <w:rsid w:val="38D3171A"/>
    <w:rsid w:val="39390A0D"/>
    <w:rsid w:val="39917588"/>
    <w:rsid w:val="3A3047B5"/>
    <w:rsid w:val="3A5C3A6D"/>
    <w:rsid w:val="3A65337B"/>
    <w:rsid w:val="3A864F72"/>
    <w:rsid w:val="3A9C5710"/>
    <w:rsid w:val="3B2C128B"/>
    <w:rsid w:val="3B4547C5"/>
    <w:rsid w:val="3BBE2226"/>
    <w:rsid w:val="3BDA5454"/>
    <w:rsid w:val="3C205C04"/>
    <w:rsid w:val="3C716172"/>
    <w:rsid w:val="3C9B15A1"/>
    <w:rsid w:val="3D563C43"/>
    <w:rsid w:val="3D78139C"/>
    <w:rsid w:val="3D8C4AA2"/>
    <w:rsid w:val="3DB80BA9"/>
    <w:rsid w:val="3DE87EEA"/>
    <w:rsid w:val="3E8774D2"/>
    <w:rsid w:val="3EAE1978"/>
    <w:rsid w:val="3EDE0B8D"/>
    <w:rsid w:val="3EDE6B03"/>
    <w:rsid w:val="3EE4251A"/>
    <w:rsid w:val="3EF251BD"/>
    <w:rsid w:val="3F5E11D2"/>
    <w:rsid w:val="3F9B6F65"/>
    <w:rsid w:val="3FC661B5"/>
    <w:rsid w:val="40E902F5"/>
    <w:rsid w:val="41A249C5"/>
    <w:rsid w:val="41C1315B"/>
    <w:rsid w:val="41EF1584"/>
    <w:rsid w:val="41FB5B69"/>
    <w:rsid w:val="424703D0"/>
    <w:rsid w:val="42CF2CAA"/>
    <w:rsid w:val="42E5592B"/>
    <w:rsid w:val="43192695"/>
    <w:rsid w:val="432261AF"/>
    <w:rsid w:val="436A39CC"/>
    <w:rsid w:val="43957EA6"/>
    <w:rsid w:val="4548512E"/>
    <w:rsid w:val="455C329C"/>
    <w:rsid w:val="45691097"/>
    <w:rsid w:val="459015CD"/>
    <w:rsid w:val="459532A3"/>
    <w:rsid w:val="45E404B9"/>
    <w:rsid w:val="46013657"/>
    <w:rsid w:val="46AD07A9"/>
    <w:rsid w:val="46CE71CF"/>
    <w:rsid w:val="473830BD"/>
    <w:rsid w:val="47440F4D"/>
    <w:rsid w:val="474B3054"/>
    <w:rsid w:val="476F0BD3"/>
    <w:rsid w:val="477C6F94"/>
    <w:rsid w:val="478D1B02"/>
    <w:rsid w:val="47FB336E"/>
    <w:rsid w:val="47FD4DEA"/>
    <w:rsid w:val="48150707"/>
    <w:rsid w:val="481D4A82"/>
    <w:rsid w:val="483D3223"/>
    <w:rsid w:val="48B20B9D"/>
    <w:rsid w:val="48C35CC1"/>
    <w:rsid w:val="491D6E6F"/>
    <w:rsid w:val="491E4FEF"/>
    <w:rsid w:val="493D4449"/>
    <w:rsid w:val="495A5625"/>
    <w:rsid w:val="498446D0"/>
    <w:rsid w:val="49B43282"/>
    <w:rsid w:val="4A7B30A0"/>
    <w:rsid w:val="4A9D69A2"/>
    <w:rsid w:val="4AB93659"/>
    <w:rsid w:val="4AD2136D"/>
    <w:rsid w:val="4AD974D7"/>
    <w:rsid w:val="4B304AC1"/>
    <w:rsid w:val="4BC46339"/>
    <w:rsid w:val="4CF96BA3"/>
    <w:rsid w:val="4D5D7F57"/>
    <w:rsid w:val="4DDF03D6"/>
    <w:rsid w:val="4E235096"/>
    <w:rsid w:val="4F112F44"/>
    <w:rsid w:val="4F650EB3"/>
    <w:rsid w:val="4F674399"/>
    <w:rsid w:val="4FA80021"/>
    <w:rsid w:val="4FC3400B"/>
    <w:rsid w:val="50BC6C74"/>
    <w:rsid w:val="50F22CA7"/>
    <w:rsid w:val="510C1195"/>
    <w:rsid w:val="51146F68"/>
    <w:rsid w:val="511A696D"/>
    <w:rsid w:val="512F57EF"/>
    <w:rsid w:val="51480E10"/>
    <w:rsid w:val="51A87A94"/>
    <w:rsid w:val="51BB3E2B"/>
    <w:rsid w:val="52306627"/>
    <w:rsid w:val="527B179A"/>
    <w:rsid w:val="52AC13A7"/>
    <w:rsid w:val="52F7301C"/>
    <w:rsid w:val="5338702E"/>
    <w:rsid w:val="545175CF"/>
    <w:rsid w:val="54846A8C"/>
    <w:rsid w:val="54B06D0A"/>
    <w:rsid w:val="54F333AE"/>
    <w:rsid w:val="55253D42"/>
    <w:rsid w:val="55537607"/>
    <w:rsid w:val="555C35F4"/>
    <w:rsid w:val="5575408D"/>
    <w:rsid w:val="55D81A86"/>
    <w:rsid w:val="55DE130B"/>
    <w:rsid w:val="55EF6684"/>
    <w:rsid w:val="562056DC"/>
    <w:rsid w:val="56BF5C5E"/>
    <w:rsid w:val="56D11558"/>
    <w:rsid w:val="578F4319"/>
    <w:rsid w:val="5801626C"/>
    <w:rsid w:val="58955BE7"/>
    <w:rsid w:val="59233858"/>
    <w:rsid w:val="5970357E"/>
    <w:rsid w:val="59867460"/>
    <w:rsid w:val="59D038F6"/>
    <w:rsid w:val="5A3550C9"/>
    <w:rsid w:val="5A3E4DB1"/>
    <w:rsid w:val="5AB01280"/>
    <w:rsid w:val="5AD73066"/>
    <w:rsid w:val="5B5201D4"/>
    <w:rsid w:val="5BDA1E2A"/>
    <w:rsid w:val="5CBE75F1"/>
    <w:rsid w:val="5D02423C"/>
    <w:rsid w:val="5D3A24E4"/>
    <w:rsid w:val="5D5546B9"/>
    <w:rsid w:val="5D562DC6"/>
    <w:rsid w:val="5DAA4F58"/>
    <w:rsid w:val="5DBD1701"/>
    <w:rsid w:val="5DE9539A"/>
    <w:rsid w:val="5E1B3A56"/>
    <w:rsid w:val="5E442B76"/>
    <w:rsid w:val="5E9D0B8A"/>
    <w:rsid w:val="5EA64F3B"/>
    <w:rsid w:val="5F011031"/>
    <w:rsid w:val="5F911DE3"/>
    <w:rsid w:val="5F9D1EC6"/>
    <w:rsid w:val="5FFB55C7"/>
    <w:rsid w:val="602F533E"/>
    <w:rsid w:val="60381B0C"/>
    <w:rsid w:val="604B3CC4"/>
    <w:rsid w:val="604D3FC7"/>
    <w:rsid w:val="606122A2"/>
    <w:rsid w:val="606B4F27"/>
    <w:rsid w:val="60B51FB6"/>
    <w:rsid w:val="612663FA"/>
    <w:rsid w:val="61BB5003"/>
    <w:rsid w:val="61F122F3"/>
    <w:rsid w:val="623779ED"/>
    <w:rsid w:val="62AD659E"/>
    <w:rsid w:val="62D96BBE"/>
    <w:rsid w:val="62F53D37"/>
    <w:rsid w:val="6378728B"/>
    <w:rsid w:val="63924C73"/>
    <w:rsid w:val="64432F3F"/>
    <w:rsid w:val="65316493"/>
    <w:rsid w:val="664159AD"/>
    <w:rsid w:val="67290762"/>
    <w:rsid w:val="67784AD8"/>
    <w:rsid w:val="6779488C"/>
    <w:rsid w:val="67875A28"/>
    <w:rsid w:val="685C70C0"/>
    <w:rsid w:val="68612D12"/>
    <w:rsid w:val="68B50F84"/>
    <w:rsid w:val="68D7221A"/>
    <w:rsid w:val="69680FB6"/>
    <w:rsid w:val="69771FBB"/>
    <w:rsid w:val="69BE3BD0"/>
    <w:rsid w:val="6A1560B2"/>
    <w:rsid w:val="6A481C33"/>
    <w:rsid w:val="6A4D2317"/>
    <w:rsid w:val="6AAA02EA"/>
    <w:rsid w:val="6AB8181F"/>
    <w:rsid w:val="6AEB2E5A"/>
    <w:rsid w:val="6B26298C"/>
    <w:rsid w:val="6B2A53A5"/>
    <w:rsid w:val="6B6B3F10"/>
    <w:rsid w:val="6BBF2ABB"/>
    <w:rsid w:val="6BC12368"/>
    <w:rsid w:val="6BD805A3"/>
    <w:rsid w:val="6C2676EC"/>
    <w:rsid w:val="6C5C4715"/>
    <w:rsid w:val="6C606809"/>
    <w:rsid w:val="6D5D7454"/>
    <w:rsid w:val="6DEE0B05"/>
    <w:rsid w:val="6E297842"/>
    <w:rsid w:val="6E874BEE"/>
    <w:rsid w:val="6EB23262"/>
    <w:rsid w:val="6F2F360F"/>
    <w:rsid w:val="6F3758A1"/>
    <w:rsid w:val="6FA94B8E"/>
    <w:rsid w:val="707520CA"/>
    <w:rsid w:val="70CD612D"/>
    <w:rsid w:val="70EA52B5"/>
    <w:rsid w:val="71566277"/>
    <w:rsid w:val="716B21B8"/>
    <w:rsid w:val="719802C0"/>
    <w:rsid w:val="71994237"/>
    <w:rsid w:val="71C938C1"/>
    <w:rsid w:val="72584E1F"/>
    <w:rsid w:val="728F637A"/>
    <w:rsid w:val="733337C8"/>
    <w:rsid w:val="73553B3B"/>
    <w:rsid w:val="73C43A44"/>
    <w:rsid w:val="74123008"/>
    <w:rsid w:val="74445FEC"/>
    <w:rsid w:val="75B7241E"/>
    <w:rsid w:val="75CA4ABA"/>
    <w:rsid w:val="7610464D"/>
    <w:rsid w:val="769F132D"/>
    <w:rsid w:val="775C3EE3"/>
    <w:rsid w:val="78055FC8"/>
    <w:rsid w:val="788479DD"/>
    <w:rsid w:val="78A4749A"/>
    <w:rsid w:val="793817D1"/>
    <w:rsid w:val="79E477AA"/>
    <w:rsid w:val="79FB4BD2"/>
    <w:rsid w:val="7A831FB1"/>
    <w:rsid w:val="7A8C666B"/>
    <w:rsid w:val="7B901AAD"/>
    <w:rsid w:val="7B912128"/>
    <w:rsid w:val="7BB63D75"/>
    <w:rsid w:val="7BE373D4"/>
    <w:rsid w:val="7BEF1933"/>
    <w:rsid w:val="7C160DCF"/>
    <w:rsid w:val="7C1830A2"/>
    <w:rsid w:val="7C453E0E"/>
    <w:rsid w:val="7C8C66DD"/>
    <w:rsid w:val="7CAA383D"/>
    <w:rsid w:val="7CDB1B6A"/>
    <w:rsid w:val="7D182AC8"/>
    <w:rsid w:val="7D225826"/>
    <w:rsid w:val="7D466F9B"/>
    <w:rsid w:val="7D842909"/>
    <w:rsid w:val="7E57321F"/>
    <w:rsid w:val="7F162659"/>
    <w:rsid w:val="7F7A251D"/>
    <w:rsid w:val="7FA75DC6"/>
    <w:rsid w:val="7FB86DEC"/>
    <w:rsid w:val="7FC71C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0"/>
    <w:qFormat/>
    <w:uiPriority w:val="0"/>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link w:val="34"/>
    <w:qFormat/>
    <w:uiPriority w:val="0"/>
    <w:pPr>
      <w:keepNext/>
      <w:keepLines/>
      <w:spacing w:before="260" w:after="260" w:line="416" w:lineRule="auto"/>
      <w:outlineLvl w:val="1"/>
    </w:pPr>
    <w:rPr>
      <w:rFonts w:ascii="宋体" w:hAnsi="宋体"/>
      <w:b/>
      <w:bCs/>
      <w:sz w:val="24"/>
    </w:rPr>
  </w:style>
  <w:style w:type="paragraph" w:styleId="6">
    <w:name w:val="heading 3"/>
    <w:basedOn w:val="1"/>
    <w:next w:val="1"/>
    <w:link w:val="65"/>
    <w:qFormat/>
    <w:uiPriority w:val="99"/>
    <w:pPr>
      <w:keepNext/>
      <w:keepLines/>
      <w:outlineLvl w:val="2"/>
    </w:pPr>
    <w:rPr>
      <w:rFonts w:eastAsia="楷体_GB2312"/>
      <w:b/>
      <w:bCs/>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5"/>
    <w:qFormat/>
    <w:uiPriority w:val="0"/>
    <w:pPr>
      <w:spacing w:after="120"/>
    </w:pPr>
    <w:rPr>
      <w:rFonts w:ascii="Calibri" w:hAnsi="Calibri"/>
    </w:rPr>
  </w:style>
  <w:style w:type="paragraph" w:styleId="3">
    <w:name w:val="Body Text First Indent"/>
    <w:basedOn w:val="2"/>
    <w:qFormat/>
    <w:uiPriority w:val="0"/>
    <w:pPr>
      <w:ind w:firstLine="420" w:firstLineChars="100"/>
    </w:pPr>
  </w:style>
  <w:style w:type="paragraph" w:styleId="7">
    <w:name w:val="Normal Indent"/>
    <w:basedOn w:val="1"/>
    <w:link w:val="46"/>
    <w:qFormat/>
    <w:uiPriority w:val="0"/>
    <w:pPr>
      <w:ind w:firstLine="420"/>
    </w:pPr>
    <w:rPr>
      <w:szCs w:val="20"/>
    </w:rPr>
  </w:style>
  <w:style w:type="paragraph" w:styleId="8">
    <w:name w:val="annotation text"/>
    <w:basedOn w:val="1"/>
    <w:link w:val="62"/>
    <w:qFormat/>
    <w:uiPriority w:val="0"/>
    <w:pPr>
      <w:jc w:val="left"/>
    </w:pPr>
    <w:rPr>
      <w:rFonts w:ascii="Tahoma" w:hAnsi="Tahoma"/>
    </w:rPr>
  </w:style>
  <w:style w:type="paragraph" w:styleId="9">
    <w:name w:val="Body Text Indent"/>
    <w:basedOn w:val="1"/>
    <w:next w:val="1"/>
    <w:link w:val="36"/>
    <w:qFormat/>
    <w:uiPriority w:val="0"/>
    <w:pPr>
      <w:spacing w:after="120"/>
      <w:ind w:left="420" w:leftChars="200"/>
    </w:pPr>
    <w:rPr>
      <w:rFonts w:ascii="Calibri" w:hAnsi="Calibri"/>
    </w:rPr>
  </w:style>
  <w:style w:type="paragraph" w:styleId="10">
    <w:name w:val="List 2"/>
    <w:basedOn w:val="1"/>
    <w:qFormat/>
    <w:uiPriority w:val="0"/>
    <w:pPr>
      <w:ind w:left="100" w:leftChars="200" w:hanging="200" w:hangingChars="200"/>
    </w:pPr>
    <w:rPr>
      <w:rFonts w:asciiTheme="minorHAnsi" w:hAnsiTheme="minorHAnsi" w:eastAsiaTheme="minorEastAsia" w:cstheme="minorBidi"/>
    </w:rPr>
  </w:style>
  <w:style w:type="paragraph" w:styleId="11">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12">
    <w:name w:val="Plain Text"/>
    <w:basedOn w:val="1"/>
    <w:link w:val="37"/>
    <w:qFormat/>
    <w:uiPriority w:val="0"/>
    <w:pPr>
      <w:spacing w:beforeLines="50" w:afterLines="50" w:line="400" w:lineRule="exact"/>
    </w:pPr>
    <w:rPr>
      <w:rFonts w:ascii="宋体" w:hAnsi="Courier New"/>
      <w:sz w:val="24"/>
    </w:rPr>
  </w:style>
  <w:style w:type="paragraph" w:styleId="13">
    <w:name w:val="Date"/>
    <w:basedOn w:val="1"/>
    <w:next w:val="1"/>
    <w:qFormat/>
    <w:uiPriority w:val="0"/>
    <w:pPr>
      <w:ind w:leftChars="2500"/>
    </w:pPr>
    <w:rPr>
      <w:rFonts w:eastAsia="楷体_GB2312"/>
      <w:sz w:val="32"/>
    </w:rPr>
  </w:style>
  <w:style w:type="paragraph" w:styleId="14">
    <w:name w:val="Body Text Indent 2"/>
    <w:basedOn w:val="1"/>
    <w:link w:val="60"/>
    <w:semiHidden/>
    <w:unhideWhenUsed/>
    <w:qFormat/>
    <w:uiPriority w:val="99"/>
    <w:pPr>
      <w:spacing w:after="120" w:line="480" w:lineRule="auto"/>
      <w:ind w:left="420" w:leftChars="200"/>
    </w:pPr>
  </w:style>
  <w:style w:type="paragraph" w:styleId="15">
    <w:name w:val="Balloon Text"/>
    <w:basedOn w:val="1"/>
    <w:link w:val="44"/>
    <w:unhideWhenUsed/>
    <w:qFormat/>
    <w:uiPriority w:val="0"/>
    <w:rPr>
      <w:sz w:val="18"/>
      <w:szCs w:val="18"/>
    </w:rPr>
  </w:style>
  <w:style w:type="paragraph" w:styleId="16">
    <w:name w:val="footer"/>
    <w:basedOn w:val="1"/>
    <w:link w:val="38"/>
    <w:unhideWhenUsed/>
    <w:qFormat/>
    <w:uiPriority w:val="0"/>
    <w:pPr>
      <w:tabs>
        <w:tab w:val="center" w:pos="4153"/>
        <w:tab w:val="right" w:pos="8306"/>
      </w:tabs>
      <w:snapToGrid w:val="0"/>
      <w:jc w:val="left"/>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0"/>
    <w:pPr>
      <w:widowControl/>
      <w:spacing w:after="100" w:line="259" w:lineRule="auto"/>
      <w:jc w:val="left"/>
    </w:pPr>
    <w:rPr>
      <w:rFonts w:asciiTheme="minorHAnsi" w:hAnsiTheme="minorHAnsi" w:eastAsiaTheme="minorEastAsia"/>
      <w:kern w:val="0"/>
      <w:sz w:val="22"/>
      <w:szCs w:val="22"/>
    </w:rPr>
  </w:style>
  <w:style w:type="paragraph" w:styleId="19">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20">
    <w:name w:val="Body Text 2"/>
    <w:basedOn w:val="1"/>
    <w:link w:val="40"/>
    <w:qFormat/>
    <w:uiPriority w:val="0"/>
    <w:pPr>
      <w:widowControl/>
      <w:snapToGrid w:val="0"/>
      <w:spacing w:before="50" w:afterLines="50" w:line="400" w:lineRule="exact"/>
      <w:jc w:val="left"/>
    </w:pPr>
    <w:rPr>
      <w:rFonts w:ascii="宋体" w:hAnsi="宋体"/>
      <w:color w:val="000000"/>
      <w:sz w:val="24"/>
    </w:rPr>
  </w:style>
  <w:style w:type="paragraph" w:styleId="21">
    <w:name w:val="HTML Preformatted"/>
    <w:basedOn w:val="1"/>
    <w:link w:val="7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2">
    <w:name w:val="Normal (Web)"/>
    <w:basedOn w:val="1"/>
    <w:qFormat/>
    <w:uiPriority w:val="0"/>
    <w:pPr>
      <w:widowControl/>
      <w:spacing w:before="100" w:beforeAutospacing="1" w:after="100" w:afterAutospacing="1"/>
      <w:jc w:val="left"/>
    </w:pPr>
    <w:rPr>
      <w:kern w:val="0"/>
      <w:sz w:val="24"/>
    </w:rPr>
  </w:style>
  <w:style w:type="paragraph" w:styleId="23">
    <w:name w:val="Title"/>
    <w:basedOn w:val="1"/>
    <w:next w:val="1"/>
    <w:link w:val="76"/>
    <w:qFormat/>
    <w:uiPriority w:val="10"/>
    <w:pPr>
      <w:widowControl/>
      <w:spacing w:before="240" w:after="60" w:line="480" w:lineRule="exact"/>
      <w:ind w:firstLine="480"/>
      <w:jc w:val="center"/>
      <w:outlineLvl w:val="0"/>
    </w:pPr>
    <w:rPr>
      <w:rFonts w:ascii="等线 Light" w:hAnsi="等线 Light"/>
      <w:b/>
      <w:bCs/>
      <w:color w:val="000000"/>
      <w:kern w:val="0"/>
      <w:sz w:val="32"/>
      <w:szCs w:val="32"/>
    </w:rPr>
  </w:style>
  <w:style w:type="paragraph" w:styleId="24">
    <w:name w:val="Body Text First Indent 2"/>
    <w:basedOn w:val="9"/>
    <w:next w:val="1"/>
    <w:link w:val="41"/>
    <w:semiHidden/>
    <w:unhideWhenUsed/>
    <w:qFormat/>
    <w:uiPriority w:val="99"/>
    <w:pPr>
      <w:ind w:firstLine="420" w:firstLineChars="200"/>
    </w:pPr>
    <w:rPr>
      <w:rFonts w:ascii="Times New Roman" w:hAnsi="Times New Roman"/>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bCs/>
    </w:rPr>
  </w:style>
  <w:style w:type="character" w:styleId="29">
    <w:name w:val="page number"/>
    <w:basedOn w:val="27"/>
    <w:qFormat/>
    <w:uiPriority w:val="0"/>
  </w:style>
  <w:style w:type="character" w:styleId="30">
    <w:name w:val="FollowedHyperlink"/>
    <w:basedOn w:val="27"/>
    <w:semiHidden/>
    <w:unhideWhenUsed/>
    <w:qFormat/>
    <w:uiPriority w:val="99"/>
    <w:rPr>
      <w:color w:val="800080" w:themeColor="followedHyperlink"/>
      <w:u w:val="single"/>
    </w:rPr>
  </w:style>
  <w:style w:type="character" w:styleId="31">
    <w:name w:val="line number"/>
    <w:basedOn w:val="27"/>
    <w:qFormat/>
    <w:uiPriority w:val="0"/>
    <w:rPr>
      <w:rFonts w:ascii="Arial" w:hAnsi="Arial" w:eastAsia="黑体" w:cs="Arial"/>
      <w:snapToGrid w:val="0"/>
      <w:kern w:val="0"/>
      <w:szCs w:val="21"/>
    </w:rPr>
  </w:style>
  <w:style w:type="character" w:styleId="32">
    <w:name w:val="Hyperlink"/>
    <w:qFormat/>
    <w:uiPriority w:val="0"/>
    <w:rPr>
      <w:color w:val="0000FF"/>
      <w:u w:val="single"/>
    </w:rPr>
  </w:style>
  <w:style w:type="paragraph" w:customStyle="1" w:styleId="33">
    <w:name w:val="正文1"/>
    <w:basedOn w:val="1"/>
    <w:qFormat/>
    <w:uiPriority w:val="0"/>
    <w:pPr>
      <w:adjustRightInd w:val="0"/>
      <w:spacing w:line="318" w:lineRule="atLeast"/>
      <w:ind w:left="369" w:firstLine="369"/>
      <w:textAlignment w:val="baseline"/>
    </w:pPr>
    <w:rPr>
      <w:rFonts w:ascii="宋体"/>
      <w:szCs w:val="20"/>
    </w:rPr>
  </w:style>
  <w:style w:type="character" w:customStyle="1" w:styleId="34">
    <w:name w:val="标题 2 Char"/>
    <w:basedOn w:val="27"/>
    <w:link w:val="5"/>
    <w:qFormat/>
    <w:uiPriority w:val="0"/>
    <w:rPr>
      <w:rFonts w:ascii="宋体" w:hAnsi="宋体" w:eastAsia="宋体" w:cs="Times New Roman"/>
      <w:b/>
      <w:bCs/>
      <w:sz w:val="24"/>
      <w:szCs w:val="24"/>
    </w:rPr>
  </w:style>
  <w:style w:type="character" w:customStyle="1" w:styleId="35">
    <w:name w:val="正文文本 Char"/>
    <w:basedOn w:val="27"/>
    <w:link w:val="2"/>
    <w:qFormat/>
    <w:uiPriority w:val="0"/>
    <w:rPr>
      <w:rFonts w:ascii="Calibri" w:hAnsi="Calibri" w:eastAsia="宋体" w:cs="Times New Roman"/>
      <w:szCs w:val="24"/>
    </w:rPr>
  </w:style>
  <w:style w:type="character" w:customStyle="1" w:styleId="36">
    <w:name w:val="正文文本缩进 Char"/>
    <w:basedOn w:val="27"/>
    <w:link w:val="9"/>
    <w:qFormat/>
    <w:uiPriority w:val="0"/>
    <w:rPr>
      <w:rFonts w:ascii="Calibri" w:hAnsi="Calibri" w:eastAsia="宋体" w:cs="Times New Roman"/>
      <w:szCs w:val="24"/>
    </w:rPr>
  </w:style>
  <w:style w:type="character" w:customStyle="1" w:styleId="37">
    <w:name w:val="纯文本 Char"/>
    <w:basedOn w:val="27"/>
    <w:link w:val="12"/>
    <w:qFormat/>
    <w:uiPriority w:val="0"/>
    <w:rPr>
      <w:rFonts w:ascii="宋体" w:hAnsi="Courier New" w:eastAsia="宋体" w:cs="Times New Roman"/>
      <w:sz w:val="24"/>
      <w:szCs w:val="24"/>
    </w:rPr>
  </w:style>
  <w:style w:type="character" w:customStyle="1" w:styleId="38">
    <w:name w:val="页脚 Char"/>
    <w:basedOn w:val="27"/>
    <w:link w:val="16"/>
    <w:qFormat/>
    <w:uiPriority w:val="0"/>
    <w:rPr>
      <w:rFonts w:ascii="Times New Roman" w:hAnsi="Times New Roman" w:eastAsia="宋体" w:cs="Times New Roman"/>
      <w:sz w:val="18"/>
      <w:szCs w:val="18"/>
    </w:rPr>
  </w:style>
  <w:style w:type="character" w:customStyle="1" w:styleId="39">
    <w:name w:val="页眉 Char"/>
    <w:basedOn w:val="27"/>
    <w:link w:val="17"/>
    <w:qFormat/>
    <w:uiPriority w:val="0"/>
    <w:rPr>
      <w:rFonts w:ascii="Times New Roman" w:hAnsi="Times New Roman" w:eastAsia="宋体" w:cs="Times New Roman"/>
      <w:sz w:val="18"/>
      <w:szCs w:val="18"/>
    </w:rPr>
  </w:style>
  <w:style w:type="character" w:customStyle="1" w:styleId="40">
    <w:name w:val="正文文本 2 Char"/>
    <w:basedOn w:val="27"/>
    <w:link w:val="20"/>
    <w:qFormat/>
    <w:uiPriority w:val="0"/>
    <w:rPr>
      <w:rFonts w:ascii="宋体" w:hAnsi="宋体" w:eastAsia="宋体" w:cs="Times New Roman"/>
      <w:color w:val="000000"/>
      <w:sz w:val="24"/>
      <w:szCs w:val="24"/>
    </w:rPr>
  </w:style>
  <w:style w:type="character" w:customStyle="1" w:styleId="41">
    <w:name w:val="正文首行缩进 2 Char"/>
    <w:basedOn w:val="36"/>
    <w:link w:val="24"/>
    <w:semiHidden/>
    <w:qFormat/>
    <w:uiPriority w:val="99"/>
    <w:rPr>
      <w:rFonts w:ascii="Times New Roman" w:hAnsi="Times New Roman" w:eastAsia="宋体" w:cs="Times New Roman"/>
      <w:szCs w:val="24"/>
    </w:rPr>
  </w:style>
  <w:style w:type="paragraph" w:customStyle="1" w:styleId="42">
    <w:name w:val="*正文"/>
    <w:basedOn w:val="1"/>
    <w:qFormat/>
    <w:uiPriority w:val="0"/>
    <w:pPr>
      <w:spacing w:line="360" w:lineRule="auto"/>
      <w:ind w:firstLine="200" w:firstLineChars="200"/>
    </w:pPr>
    <w:rPr>
      <w:rFonts w:ascii="宋体" w:hAnsi="宋体" w:cstheme="minorBidi"/>
      <w:sz w:val="22"/>
    </w:rPr>
  </w:style>
  <w:style w:type="character" w:customStyle="1" w:styleId="43">
    <w:name w:val="font61"/>
    <w:basedOn w:val="27"/>
    <w:qFormat/>
    <w:uiPriority w:val="0"/>
    <w:rPr>
      <w:rFonts w:hint="eastAsia" w:ascii="宋体" w:hAnsi="宋体" w:eastAsia="宋体" w:cs="宋体"/>
      <w:color w:val="000000"/>
      <w:sz w:val="22"/>
      <w:szCs w:val="22"/>
      <w:u w:val="none"/>
    </w:rPr>
  </w:style>
  <w:style w:type="character" w:customStyle="1" w:styleId="44">
    <w:name w:val="批注框文本 Char"/>
    <w:basedOn w:val="27"/>
    <w:link w:val="15"/>
    <w:qFormat/>
    <w:uiPriority w:val="0"/>
    <w:rPr>
      <w:rFonts w:ascii="Times New Roman" w:hAnsi="Times New Roman" w:eastAsia="宋体" w:cs="Times New Roman"/>
      <w:sz w:val="18"/>
      <w:szCs w:val="18"/>
    </w:rPr>
  </w:style>
  <w:style w:type="character" w:customStyle="1" w:styleId="45">
    <w:name w:val="纯文本 Char1"/>
    <w:basedOn w:val="27"/>
    <w:qFormat/>
    <w:uiPriority w:val="0"/>
    <w:rPr>
      <w:rFonts w:ascii="宋体" w:hAnsi="Courier New" w:eastAsia="宋体" w:cs="Times New Roman"/>
      <w:sz w:val="24"/>
      <w:szCs w:val="24"/>
    </w:rPr>
  </w:style>
  <w:style w:type="character" w:customStyle="1" w:styleId="46">
    <w:name w:val="正文缩进 Char"/>
    <w:basedOn w:val="27"/>
    <w:link w:val="7"/>
    <w:qFormat/>
    <w:uiPriority w:val="0"/>
    <w:rPr>
      <w:rFonts w:ascii="Times New Roman" w:hAnsi="Times New Roman" w:eastAsia="宋体" w:cs="Times New Roman"/>
      <w:szCs w:val="20"/>
    </w:rPr>
  </w:style>
  <w:style w:type="character" w:customStyle="1" w:styleId="47">
    <w:name w:val="正文文本缩进 Char1"/>
    <w:basedOn w:val="27"/>
    <w:qFormat/>
    <w:uiPriority w:val="0"/>
    <w:rPr>
      <w:rFonts w:ascii="Calibri" w:hAnsi="Calibri" w:eastAsia="宋体" w:cs="Times New Roman"/>
      <w:szCs w:val="24"/>
    </w:rPr>
  </w:style>
  <w:style w:type="paragraph" w:styleId="48">
    <w:name w:val="List Paragraph"/>
    <w:basedOn w:val="1"/>
    <w:qFormat/>
    <w:uiPriority w:val="99"/>
    <w:pPr>
      <w:ind w:firstLine="420" w:firstLineChars="200"/>
    </w:pPr>
    <w:rPr>
      <w:rFonts w:ascii="Calibri" w:hAnsi="Calibri" w:cs="黑体"/>
    </w:rPr>
  </w:style>
  <w:style w:type="character" w:customStyle="1" w:styleId="49">
    <w:name w:val="font41"/>
    <w:basedOn w:val="27"/>
    <w:qFormat/>
    <w:uiPriority w:val="0"/>
    <w:rPr>
      <w:rFonts w:hint="eastAsia" w:ascii="宋体" w:hAnsi="宋体" w:eastAsia="宋体" w:cs="宋体"/>
      <w:b/>
      <w:color w:val="000000"/>
      <w:sz w:val="20"/>
      <w:szCs w:val="20"/>
      <w:u w:val="none"/>
    </w:rPr>
  </w:style>
  <w:style w:type="character" w:customStyle="1" w:styleId="50">
    <w:name w:val="标题 1 Char"/>
    <w:basedOn w:val="27"/>
    <w:link w:val="4"/>
    <w:qFormat/>
    <w:uiPriority w:val="0"/>
    <w:rPr>
      <w:rFonts w:ascii="Calibri" w:hAnsi="Calibri" w:eastAsia="宋体" w:cs="Times New Roman"/>
      <w:b/>
      <w:bCs/>
      <w:kern w:val="44"/>
      <w:sz w:val="44"/>
      <w:szCs w:val="44"/>
    </w:rPr>
  </w:style>
  <w:style w:type="character" w:customStyle="1" w:styleId="51">
    <w:name w:val="4 Char"/>
    <w:link w:val="52"/>
    <w:qFormat/>
    <w:uiPriority w:val="0"/>
    <w:rPr>
      <w:rFonts w:eastAsia="仿宋_GB2312"/>
      <w:sz w:val="32"/>
      <w:szCs w:val="24"/>
    </w:rPr>
  </w:style>
  <w:style w:type="paragraph" w:customStyle="1" w:styleId="52">
    <w:name w:val="4"/>
    <w:basedOn w:val="1"/>
    <w:link w:val="51"/>
    <w:qFormat/>
    <w:uiPriority w:val="0"/>
    <w:pPr>
      <w:spacing w:line="360" w:lineRule="auto"/>
      <w:ind w:firstLine="640" w:firstLineChars="200"/>
    </w:pPr>
    <w:rPr>
      <w:rFonts w:eastAsia="仿宋_GB2312" w:asciiTheme="minorHAnsi" w:hAnsiTheme="minorHAnsi" w:cstheme="minorBidi"/>
      <w:sz w:val="32"/>
    </w:rPr>
  </w:style>
  <w:style w:type="character" w:customStyle="1" w:styleId="53">
    <w:name w:val="3 Char"/>
    <w:link w:val="54"/>
    <w:qFormat/>
    <w:uiPriority w:val="0"/>
    <w:rPr>
      <w:rFonts w:eastAsia="仿宋_GB2312"/>
      <w:b/>
      <w:sz w:val="32"/>
      <w:szCs w:val="24"/>
    </w:rPr>
  </w:style>
  <w:style w:type="paragraph" w:customStyle="1" w:styleId="54">
    <w:name w:val="3"/>
    <w:basedOn w:val="1"/>
    <w:link w:val="53"/>
    <w:qFormat/>
    <w:uiPriority w:val="0"/>
    <w:pPr>
      <w:spacing w:beforeLines="50" w:afterLines="50" w:line="360" w:lineRule="auto"/>
    </w:pPr>
    <w:rPr>
      <w:rFonts w:eastAsia="仿宋_GB2312" w:asciiTheme="minorHAnsi" w:hAnsiTheme="minorHAnsi" w:cstheme="minorBidi"/>
      <w:b/>
      <w:sz w:val="32"/>
    </w:rPr>
  </w:style>
  <w:style w:type="paragraph" w:customStyle="1" w:styleId="55">
    <w:name w:val="1"/>
    <w:basedOn w:val="1"/>
    <w:qFormat/>
    <w:uiPriority w:val="0"/>
    <w:pPr>
      <w:spacing w:beforeLines="50" w:afterLines="50" w:line="360" w:lineRule="auto"/>
    </w:pPr>
    <w:rPr>
      <w:rFonts w:eastAsia="仿宋_GB2312"/>
      <w:b/>
      <w:sz w:val="32"/>
    </w:rPr>
  </w:style>
  <w:style w:type="paragraph" w:customStyle="1" w:styleId="56">
    <w:name w:val="正文ok"/>
    <w:basedOn w:val="1"/>
    <w:qFormat/>
    <w:uiPriority w:val="0"/>
    <w:pPr>
      <w:spacing w:beforeLines="50" w:afterLines="50" w:line="480" w:lineRule="auto"/>
      <w:ind w:firstLine="200" w:firstLineChars="200"/>
    </w:pPr>
    <w:rPr>
      <w:rFonts w:ascii="Calibri" w:hAnsi="Calibri"/>
      <w:sz w:val="28"/>
    </w:rPr>
  </w:style>
  <w:style w:type="paragraph" w:customStyle="1" w:styleId="57">
    <w:name w:val="trs_editor"/>
    <w:basedOn w:val="1"/>
    <w:qFormat/>
    <w:uiPriority w:val="0"/>
    <w:pPr>
      <w:widowControl/>
      <w:spacing w:before="100" w:beforeAutospacing="1" w:after="100" w:afterAutospacing="1"/>
      <w:jc w:val="left"/>
    </w:pPr>
    <w:rPr>
      <w:rFonts w:ascii="宋体" w:hAnsi="宋体" w:cs="宋体"/>
      <w:kern w:val="0"/>
      <w:sz w:val="24"/>
    </w:rPr>
  </w:style>
  <w:style w:type="character" w:customStyle="1" w:styleId="58">
    <w:name w:val="正文2 Char Char"/>
    <w:link w:val="59"/>
    <w:qFormat/>
    <w:uiPriority w:val="0"/>
    <w:rPr>
      <w:rFonts w:eastAsia="宋体"/>
      <w:sz w:val="24"/>
    </w:rPr>
  </w:style>
  <w:style w:type="paragraph" w:customStyle="1" w:styleId="59">
    <w:name w:val="正文2"/>
    <w:basedOn w:val="1"/>
    <w:link w:val="58"/>
    <w:qFormat/>
    <w:uiPriority w:val="0"/>
    <w:pPr>
      <w:adjustRightInd w:val="0"/>
      <w:spacing w:before="156" w:line="360" w:lineRule="auto"/>
      <w:ind w:firstLine="510" w:firstLineChars="200"/>
    </w:pPr>
    <w:rPr>
      <w:rFonts w:asciiTheme="minorHAnsi" w:hAnsiTheme="minorHAnsi" w:cstheme="minorBidi"/>
      <w:sz w:val="24"/>
      <w:szCs w:val="22"/>
    </w:rPr>
  </w:style>
  <w:style w:type="character" w:customStyle="1" w:styleId="60">
    <w:name w:val="正文文本缩进 2 Char"/>
    <w:basedOn w:val="27"/>
    <w:link w:val="14"/>
    <w:semiHidden/>
    <w:qFormat/>
    <w:uiPriority w:val="99"/>
    <w:rPr>
      <w:rFonts w:ascii="Times New Roman" w:hAnsi="Times New Roman" w:eastAsia="宋体" w:cs="Times New Roman"/>
      <w:szCs w:val="24"/>
    </w:rPr>
  </w:style>
  <w:style w:type="paragraph" w:customStyle="1" w:styleId="61">
    <w:name w:val="正文段"/>
    <w:basedOn w:val="1"/>
    <w:qFormat/>
    <w:uiPriority w:val="0"/>
    <w:pPr>
      <w:widowControl/>
      <w:snapToGrid w:val="0"/>
      <w:spacing w:afterLines="50"/>
      <w:ind w:firstLine="200" w:firstLineChars="200"/>
    </w:pPr>
    <w:rPr>
      <w:rFonts w:ascii="Calibri" w:hAnsi="Calibri"/>
      <w:kern w:val="0"/>
      <w:sz w:val="24"/>
      <w:szCs w:val="20"/>
    </w:rPr>
  </w:style>
  <w:style w:type="character" w:customStyle="1" w:styleId="62">
    <w:name w:val="批注文字 Char"/>
    <w:basedOn w:val="27"/>
    <w:link w:val="8"/>
    <w:qFormat/>
    <w:uiPriority w:val="0"/>
    <w:rPr>
      <w:rFonts w:ascii="Tahoma" w:hAnsi="Tahoma" w:eastAsia="宋体" w:cs="Times New Roman"/>
      <w:szCs w:val="24"/>
    </w:rPr>
  </w:style>
  <w:style w:type="character" w:customStyle="1" w:styleId="63">
    <w:name w:val="font11"/>
    <w:basedOn w:val="27"/>
    <w:qFormat/>
    <w:uiPriority w:val="0"/>
    <w:rPr>
      <w:rFonts w:hint="eastAsia" w:ascii="宋体" w:hAnsi="宋体" w:eastAsia="宋体" w:cs="宋体"/>
      <w:color w:val="000000"/>
      <w:sz w:val="23"/>
      <w:szCs w:val="23"/>
      <w:u w:val="none"/>
    </w:rPr>
  </w:style>
  <w:style w:type="character" w:customStyle="1" w:styleId="64">
    <w:name w:val="font31"/>
    <w:basedOn w:val="27"/>
    <w:qFormat/>
    <w:uiPriority w:val="0"/>
    <w:rPr>
      <w:rFonts w:hint="default" w:ascii="Times New Roman" w:hAnsi="Times New Roman" w:cs="Times New Roman"/>
      <w:color w:val="000000"/>
      <w:sz w:val="23"/>
      <w:szCs w:val="23"/>
      <w:u w:val="none"/>
    </w:rPr>
  </w:style>
  <w:style w:type="character" w:customStyle="1" w:styleId="65">
    <w:name w:val="标题 3 Char"/>
    <w:link w:val="6"/>
    <w:qFormat/>
    <w:locked/>
    <w:uiPriority w:val="99"/>
    <w:rPr>
      <w:rFonts w:eastAsia="楷体_GB2312"/>
      <w:b/>
      <w:bCs/>
      <w:szCs w:val="32"/>
    </w:rPr>
  </w:style>
  <w:style w:type="character" w:customStyle="1" w:styleId="66">
    <w:name w:val="font21"/>
    <w:basedOn w:val="27"/>
    <w:qFormat/>
    <w:uiPriority w:val="0"/>
    <w:rPr>
      <w:rFonts w:hint="eastAsia" w:ascii="宋体" w:hAnsi="宋体" w:eastAsia="宋体" w:cs="宋体"/>
      <w:color w:val="000000"/>
      <w:sz w:val="23"/>
      <w:szCs w:val="23"/>
      <w:u w:val="none"/>
    </w:rPr>
  </w:style>
  <w:style w:type="character" w:customStyle="1" w:styleId="67">
    <w:name w:val="font51"/>
    <w:basedOn w:val="27"/>
    <w:qFormat/>
    <w:uiPriority w:val="0"/>
    <w:rPr>
      <w:rFonts w:hint="default" w:ascii="Times New Roman" w:hAnsi="Times New Roman" w:cs="Times New Roman"/>
      <w:color w:val="000000"/>
      <w:sz w:val="23"/>
      <w:szCs w:val="23"/>
      <w:u w:val="none"/>
    </w:rPr>
  </w:style>
  <w:style w:type="character" w:customStyle="1" w:styleId="68">
    <w:name w:val="font81"/>
    <w:basedOn w:val="27"/>
    <w:qFormat/>
    <w:uiPriority w:val="0"/>
    <w:rPr>
      <w:rFonts w:hint="default" w:ascii="Times New Roman" w:hAnsi="Times New Roman" w:cs="Times New Roman"/>
      <w:b/>
      <w:color w:val="000000"/>
      <w:sz w:val="23"/>
      <w:szCs w:val="23"/>
      <w:u w:val="none"/>
    </w:rPr>
  </w:style>
  <w:style w:type="paragraph" w:customStyle="1" w:styleId="69">
    <w:name w:val="_Style 2"/>
    <w:basedOn w:val="1"/>
    <w:qFormat/>
    <w:uiPriority w:val="34"/>
    <w:pPr>
      <w:autoSpaceDE w:val="0"/>
      <w:autoSpaceDN w:val="0"/>
      <w:adjustRightInd w:val="0"/>
      <w:ind w:firstLine="420" w:firstLineChars="200"/>
    </w:pPr>
    <w:rPr>
      <w:color w:val="000000"/>
      <w:kern w:val="0"/>
      <w:szCs w:val="21"/>
    </w:rPr>
  </w:style>
  <w:style w:type="paragraph" w:customStyle="1" w:styleId="70">
    <w:name w:val="00正文"/>
    <w:basedOn w:val="1"/>
    <w:qFormat/>
    <w:uiPriority w:val="0"/>
    <w:pPr>
      <w:snapToGrid w:val="0"/>
      <w:spacing w:line="360" w:lineRule="exact"/>
      <w:ind w:firstLine="200" w:firstLineChars="200"/>
    </w:pPr>
    <w:rPr>
      <w:szCs w:val="22"/>
    </w:rPr>
  </w:style>
  <w:style w:type="character" w:customStyle="1" w:styleId="71">
    <w:name w:val="HTML 预设格式 Char"/>
    <w:basedOn w:val="27"/>
    <w:link w:val="21"/>
    <w:semiHidden/>
    <w:qFormat/>
    <w:uiPriority w:val="99"/>
    <w:rPr>
      <w:rFonts w:ascii="宋体" w:hAnsi="宋体"/>
      <w:sz w:val="24"/>
      <w:szCs w:val="24"/>
    </w:rPr>
  </w:style>
  <w:style w:type="character" w:customStyle="1" w:styleId="72">
    <w:name w:val="font01"/>
    <w:basedOn w:val="27"/>
    <w:qFormat/>
    <w:uiPriority w:val="0"/>
    <w:rPr>
      <w:rFonts w:hint="eastAsia" w:ascii="宋体" w:hAnsi="宋体" w:eastAsia="宋体" w:cs="宋体"/>
      <w:b/>
      <w:color w:val="000000"/>
      <w:sz w:val="36"/>
      <w:szCs w:val="36"/>
      <w:u w:val="none"/>
      <w:vertAlign w:val="subscript"/>
    </w:rPr>
  </w:style>
  <w:style w:type="character" w:customStyle="1" w:styleId="73">
    <w:name w:val="font122"/>
    <w:basedOn w:val="27"/>
    <w:qFormat/>
    <w:uiPriority w:val="0"/>
    <w:rPr>
      <w:rFonts w:hint="eastAsia" w:ascii="宋体" w:hAnsi="宋体" w:eastAsia="宋体" w:cs="宋体"/>
      <w:color w:val="000000"/>
      <w:sz w:val="24"/>
      <w:szCs w:val="24"/>
      <w:u w:val="none"/>
    </w:rPr>
  </w:style>
  <w:style w:type="paragraph" w:customStyle="1" w:styleId="74">
    <w:name w:val="TOC Heading"/>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75">
    <w:name w:val="标题 Char"/>
    <w:basedOn w:val="27"/>
    <w:link w:val="23"/>
    <w:qFormat/>
    <w:uiPriority w:val="10"/>
    <w:rPr>
      <w:rFonts w:asciiTheme="majorHAnsi" w:hAnsiTheme="majorHAnsi" w:cstheme="majorBidi"/>
      <w:b/>
      <w:bCs/>
      <w:kern w:val="2"/>
      <w:sz w:val="32"/>
      <w:szCs w:val="32"/>
    </w:rPr>
  </w:style>
  <w:style w:type="character" w:customStyle="1" w:styleId="76">
    <w:name w:val="标题 Char1"/>
    <w:link w:val="23"/>
    <w:qFormat/>
    <w:uiPriority w:val="10"/>
    <w:rPr>
      <w:rFonts w:ascii="等线 Light" w:hAnsi="等线 Light"/>
      <w:b/>
      <w:bCs/>
      <w:color w:val="000000"/>
      <w:sz w:val="32"/>
      <w:szCs w:val="32"/>
    </w:rPr>
  </w:style>
  <w:style w:type="paragraph" w:customStyle="1" w:styleId="7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8">
    <w:name w:val="ui-spinner"/>
    <w:basedOn w:val="27"/>
    <w:qFormat/>
    <w:uiPriority w:val="0"/>
    <w:rPr>
      <w:rFonts w:cs="Times New Roman"/>
    </w:rPr>
  </w:style>
  <w:style w:type="paragraph" w:customStyle="1" w:styleId="79">
    <w:name w:val="样式5"/>
    <w:basedOn w:val="1"/>
    <w:qFormat/>
    <w:uiPriority w:val="0"/>
    <w:pPr>
      <w:spacing w:before="120" w:beforeLines="0" w:line="360" w:lineRule="auto"/>
      <w:ind w:firstLine="425" w:firstLineChars="177"/>
    </w:pPr>
    <w:rPr>
      <w:rFonts w:ascii="华文细黑" w:hAnsi="华文细黑" w:eastAsia="华文细黑"/>
      <w:sz w:val="24"/>
    </w:rPr>
  </w:style>
  <w:style w:type="paragraph" w:customStyle="1" w:styleId="80">
    <w:name w:val="标题1"/>
    <w:basedOn w:val="12"/>
    <w:qFormat/>
    <w:uiPriority w:val="0"/>
    <w:pPr>
      <w:widowControl w:val="0"/>
      <w:overflowPunct/>
      <w:autoSpaceDE/>
      <w:autoSpaceDN/>
      <w:adjustRightInd/>
      <w:spacing w:line="360" w:lineRule="auto"/>
      <w:jc w:val="both"/>
      <w:textAlignment w:val="auto"/>
    </w:pPr>
    <w:rPr>
      <w:b/>
      <w:kern w:val="2"/>
      <w:sz w:val="30"/>
    </w:rPr>
  </w:style>
  <w:style w:type="character" w:customStyle="1" w:styleId="81">
    <w:name w:val="标题 1 Char Char"/>
    <w:qFormat/>
    <w:uiPriority w:val="0"/>
    <w:rPr>
      <w:rFonts w:eastAsia="宋体"/>
      <w:b/>
      <w:spacing w:val="-2"/>
      <w:sz w:val="24"/>
      <w:lang w:val="en-US" w:eastAsia="zh-CN" w:bidi="ar-SA"/>
    </w:rPr>
  </w:style>
  <w:style w:type="paragraph" w:customStyle="1" w:styleId="82">
    <w:name w:val="文档正文"/>
    <w:basedOn w:val="1"/>
    <w:qFormat/>
    <w:uiPriority w:val="0"/>
    <w:pPr>
      <w:adjustRightInd w:val="0"/>
      <w:spacing w:line="312" w:lineRule="atLeast"/>
      <w:ind w:firstLine="567"/>
      <w:textAlignment w:val="baseline"/>
    </w:pPr>
    <w:rPr>
      <w:rFonts w:ascii="长城仿宋" w:eastAsia="长城仿宋"/>
      <w:kern w:val="0"/>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6" textRotate="1"/>
    <customShpInfo spid="_x0000_s3075" textRotate="1"/>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641268-9A8D-4351-A127-777CBDAC0AE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34731</Words>
  <Characters>36918</Characters>
  <Lines>256</Lines>
  <Paragraphs>72</Paragraphs>
  <TotalTime>8</TotalTime>
  <ScaleCrop>false</ScaleCrop>
  <LinksUpToDate>false</LinksUpToDate>
  <CharactersWithSpaces>40006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2020-10-27T00:28:00Z</dcterms:created>
  <dc:creator>gf</dc:creator>
  <cp:lastModifiedBy>CC</cp:lastModifiedBy>
  <cp:lastPrinted>2021-09-08T00:26:00Z</cp:lastPrinted>
  <dcterms:modified xsi:type="dcterms:W3CDTF">2021-10-22T04:51:39Z</dcterms:modified>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D7ED64728A1646DF9C4920B1FEBA2F18</vt:lpwstr>
  </property>
</Properties>
</file>