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0BEA0">
      <w:pPr>
        <w:tabs>
          <w:tab w:val="left" w:pos="4620"/>
        </w:tabs>
        <w:adjustRightInd w:val="0"/>
        <w:snapToGrid w:val="0"/>
        <w:ind w:left="664" w:leftChars="-293" w:hanging="1279" w:hangingChars="354"/>
        <w:jc w:val="center"/>
        <w:rPr>
          <w:rFonts w:hint="eastAsia" w:ascii="宋体" w:hAnsi="宋体" w:cs="宋体"/>
          <w:b/>
          <w:color w:val="auto"/>
          <w:sz w:val="36"/>
          <w:highlight w:val="none"/>
        </w:rPr>
      </w:pPr>
    </w:p>
    <w:p w14:paraId="5E3FA372">
      <w:pPr>
        <w:tabs>
          <w:tab w:val="left" w:pos="4620"/>
        </w:tabs>
        <w:adjustRightInd w:val="0"/>
        <w:snapToGrid w:val="0"/>
        <w:ind w:left="664" w:leftChars="-293" w:hanging="1279" w:hangingChars="354"/>
        <w:jc w:val="center"/>
        <w:rPr>
          <w:rFonts w:hint="eastAsia" w:ascii="宋体" w:hAnsi="宋体" w:cs="宋体"/>
          <w:b/>
          <w:color w:val="auto"/>
          <w:sz w:val="36"/>
          <w:highlight w:val="none"/>
        </w:rPr>
      </w:pPr>
    </w:p>
    <w:p w14:paraId="7880CE10">
      <w:pPr>
        <w:tabs>
          <w:tab w:val="left" w:pos="4620"/>
        </w:tabs>
        <w:adjustRightInd w:val="0"/>
        <w:snapToGrid w:val="0"/>
        <w:spacing w:line="600" w:lineRule="exact"/>
        <w:ind w:left="1279" w:hanging="1279" w:hangingChars="354"/>
        <w:jc w:val="center"/>
        <w:rPr>
          <w:rFonts w:hint="eastAsia" w:ascii="宋体" w:hAnsi="宋体" w:cs="宋体"/>
          <w:b/>
          <w:color w:val="auto"/>
          <w:sz w:val="36"/>
          <w:szCs w:val="36"/>
          <w:highlight w:val="none"/>
        </w:rPr>
      </w:pPr>
    </w:p>
    <w:p w14:paraId="461E0F88">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宋体" w:hAnsi="宋体" w:eastAsia="宋体" w:cs="宋体"/>
          <w:b/>
          <w:color w:val="auto"/>
          <w:sz w:val="30"/>
          <w:szCs w:val="30"/>
          <w:highlight w:val="none"/>
          <w:u w:val="none"/>
          <w:lang w:eastAsia="zh-CN"/>
        </w:rPr>
      </w:pPr>
      <w:r>
        <w:rPr>
          <w:rFonts w:hint="eastAsia" w:ascii="宋体" w:hAnsi="宋体" w:cs="宋体"/>
          <w:b/>
          <w:bCs/>
          <w:i w:val="0"/>
          <w:iCs w:val="0"/>
          <w:color w:val="000000"/>
          <w:sz w:val="36"/>
          <w:szCs w:val="36"/>
          <w:highlight w:val="none"/>
          <w:u w:val="none"/>
          <w:lang w:eastAsia="zh-CN"/>
        </w:rPr>
        <w:t>象山县贤庠镇敬老院认知症照护专区改造项目</w:t>
      </w:r>
    </w:p>
    <w:p w14:paraId="680646B1">
      <w:pPr>
        <w:tabs>
          <w:tab w:val="left" w:pos="4620"/>
        </w:tabs>
        <w:adjustRightInd w:val="0"/>
        <w:snapToGrid w:val="0"/>
        <w:spacing w:before="120" w:beforeLines="50" w:after="360" w:afterLines="150" w:line="360" w:lineRule="auto"/>
        <w:ind w:left="3051" w:hanging="3051" w:hangingChars="1013"/>
        <w:jc w:val="center"/>
        <w:rPr>
          <w:rFonts w:hint="default" w:ascii="宋体" w:hAnsi="宋体" w:eastAsia="宋体" w:cs="宋体"/>
          <w:b/>
          <w:color w:val="auto"/>
          <w:sz w:val="30"/>
          <w:szCs w:val="30"/>
          <w:highlight w:val="none"/>
          <w:u w:val="none"/>
          <w:lang w:val="en-US" w:eastAsia="zh-CN"/>
        </w:rPr>
      </w:pPr>
      <w:r>
        <w:rPr>
          <w:rFonts w:hint="eastAsia" w:ascii="宋体" w:hAnsi="宋体" w:cs="宋体"/>
          <w:b/>
          <w:color w:val="auto"/>
          <w:sz w:val="30"/>
          <w:szCs w:val="30"/>
          <w:highlight w:val="none"/>
          <w:u w:val="none"/>
        </w:rPr>
        <w:t>项目编号：</w:t>
      </w:r>
      <w:r>
        <w:rPr>
          <w:rFonts w:hint="eastAsia" w:ascii="宋体" w:hAnsi="宋体" w:cs="宋体"/>
          <w:b/>
          <w:color w:val="auto"/>
          <w:sz w:val="30"/>
          <w:szCs w:val="30"/>
          <w:highlight w:val="none"/>
          <w:u w:val="none"/>
          <w:lang w:val="en-US" w:eastAsia="zh-CN"/>
        </w:rPr>
        <w:t>ZJQY-2025-011CG</w:t>
      </w:r>
    </w:p>
    <w:p w14:paraId="04D4220B">
      <w:pPr>
        <w:tabs>
          <w:tab w:val="left" w:pos="4620"/>
        </w:tabs>
        <w:snapToGrid w:val="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采</w:t>
      </w:r>
    </w:p>
    <w:p w14:paraId="4BC58601">
      <w:pPr>
        <w:tabs>
          <w:tab w:val="left" w:pos="4620"/>
        </w:tabs>
        <w:snapToGrid w:val="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购</w:t>
      </w:r>
    </w:p>
    <w:p w14:paraId="41A440E1">
      <w:pPr>
        <w:tabs>
          <w:tab w:val="left" w:pos="4620"/>
        </w:tabs>
        <w:snapToGrid w:val="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招</w:t>
      </w:r>
    </w:p>
    <w:p w14:paraId="25153783">
      <w:pPr>
        <w:tabs>
          <w:tab w:val="left" w:pos="4620"/>
        </w:tabs>
        <w:snapToGrid w:val="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标</w:t>
      </w:r>
    </w:p>
    <w:p w14:paraId="33D42DBF">
      <w:pPr>
        <w:tabs>
          <w:tab w:val="left" w:pos="4620"/>
        </w:tabs>
        <w:snapToGrid w:val="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文</w:t>
      </w:r>
    </w:p>
    <w:p w14:paraId="2E4D1697">
      <w:pPr>
        <w:tabs>
          <w:tab w:val="left" w:pos="4620"/>
        </w:tabs>
        <w:snapToGrid w:val="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件</w:t>
      </w:r>
    </w:p>
    <w:p w14:paraId="62AD76F7">
      <w:pPr>
        <w:rPr>
          <w:rFonts w:hint="eastAsia"/>
          <w:color w:val="auto"/>
          <w:highlight w:val="none"/>
        </w:rPr>
      </w:pPr>
    </w:p>
    <w:p w14:paraId="2A25DE2B">
      <w:pPr>
        <w:pStyle w:val="21"/>
        <w:adjustRightInd w:val="0"/>
        <w:snapToGrid w:val="0"/>
        <w:spacing w:line="480" w:lineRule="auto"/>
        <w:ind w:left="0" w:leftChars="0" w:firstLine="1506" w:firstLineChars="500"/>
        <w:rPr>
          <w:rFonts w:hint="eastAsia" w:ascii="宋体" w:hAnsi="宋体" w:eastAsia="宋体" w:cs="宋体"/>
          <w:b/>
          <w:color w:val="auto"/>
          <w:sz w:val="30"/>
          <w:szCs w:val="30"/>
          <w:highlight w:val="none"/>
        </w:rPr>
      </w:pPr>
    </w:p>
    <w:p w14:paraId="560CBFC0">
      <w:pPr>
        <w:rPr>
          <w:rFonts w:hint="eastAsia"/>
          <w:highlight w:val="none"/>
        </w:rPr>
      </w:pPr>
    </w:p>
    <w:p w14:paraId="1D2B0184">
      <w:pPr>
        <w:pStyle w:val="21"/>
        <w:adjustRightInd w:val="0"/>
        <w:snapToGrid w:val="0"/>
        <w:spacing w:line="480" w:lineRule="auto"/>
        <w:ind w:left="0" w:leftChars="0" w:firstLine="1506" w:firstLineChars="5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eastAsia="宋体" w:cs="宋体"/>
          <w:b/>
          <w:color w:val="auto"/>
          <w:sz w:val="30"/>
          <w:szCs w:val="30"/>
          <w:highlight w:val="none"/>
          <w:lang w:val="en-US" w:eastAsia="zh-CN"/>
        </w:rPr>
        <w:t>象山县贤庠镇人民政府</w:t>
      </w:r>
    </w:p>
    <w:p w14:paraId="360905B9">
      <w:pPr>
        <w:pStyle w:val="21"/>
        <w:adjustRightInd w:val="0"/>
        <w:snapToGrid w:val="0"/>
        <w:spacing w:line="480" w:lineRule="auto"/>
        <w:ind w:left="0" w:leftChars="0" w:firstLine="1506" w:firstLineChars="5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代理机构：</w:t>
      </w:r>
      <w:r>
        <w:rPr>
          <w:rFonts w:hint="eastAsia" w:ascii="宋体" w:hAnsi="宋体" w:eastAsia="宋体" w:cs="宋体"/>
          <w:b/>
          <w:color w:val="auto"/>
          <w:sz w:val="30"/>
          <w:szCs w:val="30"/>
          <w:highlight w:val="none"/>
          <w:lang w:eastAsia="zh-CN"/>
        </w:rPr>
        <w:t>浙江乾原工程管理有限公司</w:t>
      </w:r>
    </w:p>
    <w:p w14:paraId="50D37BC5">
      <w:pPr>
        <w:pStyle w:val="21"/>
        <w:adjustRightInd w:val="0"/>
        <w:snapToGrid w:val="0"/>
        <w:spacing w:line="480" w:lineRule="auto"/>
        <w:ind w:left="99" w:leftChars="47" w:firstLine="2861" w:firstLineChars="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二零二</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七</w:t>
      </w:r>
      <w:r>
        <w:rPr>
          <w:rFonts w:hint="eastAsia" w:ascii="宋体" w:hAnsi="宋体" w:eastAsia="宋体" w:cs="宋体"/>
          <w:color w:val="auto"/>
          <w:sz w:val="30"/>
          <w:szCs w:val="30"/>
          <w:highlight w:val="none"/>
        </w:rPr>
        <w:t>月</w:t>
      </w:r>
    </w:p>
    <w:p w14:paraId="02C55D13">
      <w:pPr>
        <w:tabs>
          <w:tab w:val="left" w:pos="4620"/>
        </w:tabs>
        <w:adjustRightInd w:val="0"/>
        <w:snapToGrid w:val="0"/>
        <w:ind w:left="664" w:leftChars="-293" w:hanging="1279" w:hangingChars="354"/>
        <w:jc w:val="center"/>
        <w:rPr>
          <w:rFonts w:hint="eastAsia" w:ascii="宋体" w:hAnsi="宋体" w:cs="宋体"/>
          <w:b/>
          <w:color w:val="auto"/>
          <w:sz w:val="36"/>
          <w:highlight w:val="none"/>
        </w:rPr>
      </w:pPr>
    </w:p>
    <w:p w14:paraId="20EA906A">
      <w:pPr>
        <w:spacing w:after="240" w:afterLines="100" w:line="1200" w:lineRule="exact"/>
        <w:jc w:val="center"/>
        <w:rPr>
          <w:rFonts w:hint="eastAsia" w:ascii="宋体" w:hAnsi="宋体"/>
          <w:b/>
          <w:color w:val="auto"/>
          <w:sz w:val="72"/>
          <w:szCs w:val="72"/>
          <w:highlight w:val="none"/>
        </w:rPr>
      </w:pPr>
      <w:bookmarkStart w:id="0" w:name="_Toc342241484"/>
      <w:bookmarkStart w:id="1" w:name="_Toc341993112"/>
      <w:bookmarkStart w:id="2" w:name="_Toc337622980"/>
      <w:bookmarkStart w:id="3" w:name="_Toc341991041"/>
      <w:bookmarkStart w:id="4" w:name="_Toc337620797"/>
      <w:bookmarkStart w:id="5" w:name="_Toc341992627"/>
      <w:bookmarkStart w:id="6" w:name="_Toc341992707"/>
      <w:bookmarkStart w:id="7" w:name="_Toc341993786"/>
      <w:bookmarkStart w:id="8" w:name="_Toc342252860"/>
      <w:bookmarkStart w:id="9" w:name="_Toc341988481"/>
      <w:r>
        <w:rPr>
          <w:rFonts w:hint="eastAsia" w:ascii="宋体" w:hAnsi="宋体"/>
          <w:b/>
          <w:color w:val="auto"/>
          <w:sz w:val="72"/>
          <w:szCs w:val="72"/>
          <w:highlight w:val="none"/>
        </w:rPr>
        <w:t>温馨提醒</w:t>
      </w:r>
    </w:p>
    <w:p w14:paraId="6470C9F4">
      <w:pPr>
        <w:spacing w:line="480" w:lineRule="auto"/>
        <w:ind w:firstLine="602" w:firstLineChars="200"/>
        <w:jc w:val="left"/>
        <w:rPr>
          <w:rFonts w:hint="eastAsia"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、响应文件应按采购文件要求将“技术商务文件”、“报价文件”分别编制。</w:t>
      </w:r>
    </w:p>
    <w:p w14:paraId="185C596E">
      <w:pPr>
        <w:spacing w:line="480" w:lineRule="auto"/>
        <w:ind w:firstLine="602" w:firstLineChars="200"/>
        <w:jc w:val="lef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、“技术商务文件”中不得出现涉及报价的内容，否则作无效报价处理。</w:t>
      </w:r>
    </w:p>
    <w:p w14:paraId="44F27667">
      <w:pPr>
        <w:spacing w:line="480" w:lineRule="auto"/>
        <w:ind w:firstLine="602" w:firstLineChars="200"/>
        <w:jc w:val="left"/>
        <w:rPr>
          <w:rFonts w:hint="eastAsia" w:ascii="宋体" w:hAnsi="宋体"/>
          <w:b/>
          <w:color w:val="auto"/>
          <w:sz w:val="30"/>
          <w:szCs w:val="30"/>
          <w:highlight w:val="none"/>
        </w:rPr>
      </w:pPr>
      <w:r>
        <w:rPr>
          <w:rFonts w:ascii="宋体" w:hAnsi="宋体"/>
          <w:b/>
          <w:color w:val="auto"/>
          <w:sz w:val="30"/>
          <w:szCs w:val="30"/>
          <w:highlight w:val="none"/>
        </w:rPr>
        <w:t>3</w:t>
      </w:r>
      <w:r>
        <w:rPr>
          <w:rFonts w:hint="eastAsia" w:ascii="宋体" w:hAnsi="宋体"/>
          <w:b/>
          <w:color w:val="auto"/>
          <w:sz w:val="30"/>
          <w:szCs w:val="30"/>
          <w:highlight w:val="none"/>
        </w:rPr>
        <w:t>、采购人可以对已发出的采购文件进行必要的澄清或者修改，将以“更正公告”的形式发布在政采云平台，供应商应及时登录政采云平台，进行浏览并下载，未及时浏览下载的责任自负。</w:t>
      </w:r>
    </w:p>
    <w:p w14:paraId="5BAE93C3">
      <w:pPr>
        <w:pStyle w:val="52"/>
        <w:rPr>
          <w:rFonts w:hint="eastAsia" w:ascii="宋体" w:hAnsi="宋体"/>
          <w:b/>
          <w:color w:val="auto"/>
          <w:sz w:val="30"/>
          <w:szCs w:val="30"/>
          <w:highlight w:val="none"/>
        </w:rPr>
      </w:pPr>
    </w:p>
    <w:p w14:paraId="2BD287CA">
      <w:pPr>
        <w:pStyle w:val="14"/>
        <w:rPr>
          <w:rFonts w:hint="eastAsia" w:ascii="宋体" w:hAnsi="宋体"/>
          <w:b/>
          <w:color w:val="auto"/>
          <w:sz w:val="30"/>
          <w:szCs w:val="30"/>
          <w:highlight w:val="none"/>
        </w:rPr>
      </w:pPr>
    </w:p>
    <w:p w14:paraId="11904638">
      <w:pPr>
        <w:rPr>
          <w:rFonts w:hint="eastAsia" w:ascii="宋体" w:hAnsi="宋体"/>
          <w:b/>
          <w:color w:val="auto"/>
          <w:sz w:val="30"/>
          <w:szCs w:val="30"/>
          <w:highlight w:val="none"/>
        </w:rPr>
      </w:pPr>
    </w:p>
    <w:p w14:paraId="4FFBA660">
      <w:pPr>
        <w:pStyle w:val="52"/>
        <w:rPr>
          <w:rFonts w:hint="eastAsia" w:ascii="宋体" w:hAnsi="宋体"/>
          <w:b/>
          <w:color w:val="auto"/>
          <w:sz w:val="30"/>
          <w:szCs w:val="30"/>
          <w:highlight w:val="none"/>
        </w:rPr>
      </w:pPr>
    </w:p>
    <w:p w14:paraId="4F7E4407">
      <w:pPr>
        <w:pStyle w:val="14"/>
        <w:rPr>
          <w:rFonts w:hint="eastAsia" w:ascii="宋体" w:hAnsi="宋体"/>
          <w:b/>
          <w:color w:val="auto"/>
          <w:sz w:val="30"/>
          <w:szCs w:val="30"/>
          <w:highlight w:val="none"/>
        </w:rPr>
      </w:pPr>
    </w:p>
    <w:p w14:paraId="20CA0209">
      <w:pPr>
        <w:rPr>
          <w:rFonts w:hint="eastAsia" w:ascii="宋体" w:hAnsi="宋体"/>
          <w:b/>
          <w:color w:val="auto"/>
          <w:sz w:val="30"/>
          <w:szCs w:val="30"/>
          <w:highlight w:val="none"/>
        </w:rPr>
      </w:pPr>
    </w:p>
    <w:p w14:paraId="59972A97">
      <w:pPr>
        <w:pStyle w:val="52"/>
        <w:rPr>
          <w:rFonts w:hint="eastAsia" w:ascii="宋体" w:hAnsi="宋体"/>
          <w:b/>
          <w:color w:val="auto"/>
          <w:sz w:val="30"/>
          <w:szCs w:val="30"/>
          <w:highlight w:val="none"/>
        </w:rPr>
      </w:pPr>
    </w:p>
    <w:p w14:paraId="4CE894F3">
      <w:pPr>
        <w:pStyle w:val="14"/>
        <w:rPr>
          <w:rFonts w:hint="eastAsia" w:ascii="宋体" w:hAnsi="宋体"/>
          <w:b/>
          <w:color w:val="auto"/>
          <w:sz w:val="30"/>
          <w:szCs w:val="30"/>
          <w:highlight w:val="none"/>
        </w:rPr>
      </w:pPr>
    </w:p>
    <w:p w14:paraId="6FA8BC30">
      <w:pPr>
        <w:rPr>
          <w:rFonts w:hint="eastAsia" w:ascii="宋体" w:hAnsi="宋体"/>
          <w:b/>
          <w:color w:val="auto"/>
          <w:sz w:val="30"/>
          <w:szCs w:val="30"/>
          <w:highlight w:val="none"/>
        </w:rPr>
      </w:pPr>
    </w:p>
    <w:p w14:paraId="6B4C7B09">
      <w:pPr>
        <w:pStyle w:val="3"/>
        <w:rPr>
          <w:rFonts w:hint="eastAsia"/>
          <w:color w:val="auto"/>
          <w:sz w:val="30"/>
          <w:szCs w:val="30"/>
          <w:highlight w:val="none"/>
        </w:rPr>
      </w:pPr>
    </w:p>
    <w:p w14:paraId="5A1DB52B">
      <w:pPr>
        <w:pStyle w:val="11"/>
        <w:rPr>
          <w:rFonts w:hint="eastAsia"/>
          <w:color w:val="auto"/>
          <w:sz w:val="30"/>
          <w:szCs w:val="30"/>
          <w:highlight w:val="none"/>
        </w:rPr>
      </w:pPr>
    </w:p>
    <w:p w14:paraId="5E2421D1">
      <w:pPr>
        <w:rPr>
          <w:rFonts w:hint="eastAsia"/>
          <w:color w:val="auto"/>
          <w:highlight w:val="none"/>
        </w:rPr>
      </w:pPr>
    </w:p>
    <w:p w14:paraId="05AF25D1">
      <w:pPr>
        <w:rPr>
          <w:rFonts w:hint="eastAsia"/>
          <w:color w:val="auto"/>
          <w:highlight w:val="none"/>
        </w:rPr>
      </w:pPr>
    </w:p>
    <w:p w14:paraId="32DC2ECD">
      <w:pPr>
        <w:pStyle w:val="11"/>
        <w:rPr>
          <w:rFonts w:hint="eastAsia"/>
          <w:color w:val="auto"/>
          <w:highlight w:val="none"/>
        </w:rPr>
      </w:pPr>
    </w:p>
    <w:p w14:paraId="6B00AAF6">
      <w:pPr>
        <w:pStyle w:val="11"/>
        <w:rPr>
          <w:rFonts w:hint="eastAsia"/>
          <w:color w:val="auto"/>
          <w:highlight w:val="none"/>
        </w:rPr>
        <w:sectPr>
          <w:pgSz w:w="11907" w:h="16840"/>
          <w:pgMar w:top="1474" w:right="1474" w:bottom="1474" w:left="1474" w:header="1134" w:footer="1134" w:gutter="0"/>
          <w:pgBorders>
            <w:top w:val="none" w:sz="0" w:space="0"/>
            <w:left w:val="none" w:sz="0" w:space="0"/>
            <w:bottom w:val="none" w:sz="0" w:space="0"/>
            <w:right w:val="none" w:sz="0" w:space="0"/>
          </w:pgBorders>
          <w:cols w:space="720" w:num="1"/>
          <w:rtlGutter w:val="0"/>
          <w:docGrid w:linePitch="285" w:charSpace="0"/>
        </w:sectPr>
      </w:pPr>
    </w:p>
    <w:bookmarkEnd w:id="0"/>
    <w:bookmarkEnd w:id="1"/>
    <w:bookmarkEnd w:id="2"/>
    <w:bookmarkEnd w:id="3"/>
    <w:bookmarkEnd w:id="4"/>
    <w:bookmarkEnd w:id="5"/>
    <w:bookmarkEnd w:id="6"/>
    <w:bookmarkEnd w:id="7"/>
    <w:bookmarkEnd w:id="8"/>
    <w:bookmarkEnd w:id="9"/>
    <w:p w14:paraId="1A392F8F">
      <w:pPr>
        <w:pStyle w:val="3"/>
        <w:jc w:val="center"/>
        <w:rPr>
          <w:rFonts w:hint="eastAsia"/>
          <w:color w:val="auto"/>
          <w:highlight w:val="none"/>
        </w:rPr>
      </w:pPr>
      <w:r>
        <w:rPr>
          <w:rFonts w:hint="eastAsia"/>
          <w:color w:val="auto"/>
          <w:highlight w:val="none"/>
        </w:rPr>
        <w:t>第一章 采购公告</w:t>
      </w:r>
    </w:p>
    <w:p w14:paraId="2B19B3AF">
      <w:pPr>
        <w:tabs>
          <w:tab w:val="left" w:pos="363"/>
        </w:tabs>
        <w:adjustRightInd w:val="0"/>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象山县贤庠镇敬老院认知症照护专区改造项目</w:t>
      </w:r>
      <w:r>
        <w:rPr>
          <w:rFonts w:hint="eastAsia" w:ascii="宋体" w:hAnsi="宋体" w:cs="宋体"/>
          <w:b/>
          <w:color w:val="auto"/>
          <w:sz w:val="24"/>
          <w:highlight w:val="none"/>
        </w:rPr>
        <w:t>采购公告</w:t>
      </w:r>
    </w:p>
    <w:p w14:paraId="162E2B56">
      <w:pPr>
        <w:pBdr>
          <w:top w:val="single" w:color="auto" w:sz="4" w:space="1"/>
          <w:left w:val="single" w:color="auto" w:sz="4" w:space="4"/>
          <w:bottom w:val="single" w:color="auto" w:sz="4" w:space="1"/>
          <w:right w:val="single" w:color="auto" w:sz="4" w:space="4"/>
        </w:pBd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项目概况</w:t>
      </w:r>
    </w:p>
    <w:p w14:paraId="18F9426A">
      <w:pPr>
        <w:pBdr>
          <w:top w:val="single" w:color="auto" w:sz="4" w:space="1"/>
          <w:left w:val="single" w:color="auto" w:sz="4" w:space="4"/>
          <w:bottom w:val="single" w:color="auto" w:sz="4" w:space="1"/>
          <w:right w:val="single" w:color="auto" w:sz="4" w:space="4"/>
        </w:pBd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u w:val="single"/>
          <w:lang w:eastAsia="zh-CN"/>
        </w:rPr>
        <w:t>象山县贤庠镇敬老院认知症照护专区改造项目</w:t>
      </w:r>
      <w:r>
        <w:rPr>
          <w:rFonts w:hint="eastAsia" w:ascii="宋体" w:hAnsi="宋体" w:cs="宋体"/>
          <w:color w:val="auto"/>
          <w:sz w:val="24"/>
          <w:highlight w:val="none"/>
        </w:rPr>
        <w:t>招标项目的潜在供应商应在政采云平台（</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w:instrText>
      </w:r>
      <w:r>
        <w:rPr>
          <w:rFonts w:hint="eastAsia" w:ascii="宋体" w:hAnsi="宋体" w:cs="宋体"/>
          <w:color w:val="auto"/>
          <w:sz w:val="24"/>
          <w:highlight w:val="none"/>
        </w:rPr>
        <w:instrText xml:space="preserve">http://www.zcygov.cn）获取采购文件，并于2020年</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color w:val="auto"/>
          <w:sz w:val="24"/>
          <w:highlight w:val="none"/>
        </w:rPr>
        <w:t>http://www.zcygov.cn）获取采购文件，并于20</w:t>
      </w:r>
      <w:r>
        <w:rPr>
          <w:rFonts w:hint="eastAsia"/>
          <w:color w:val="auto"/>
          <w:sz w:val="24"/>
          <w:highlight w:val="none"/>
          <w:lang w:val="en-US" w:eastAsia="zh-CN"/>
        </w:rPr>
        <w:t>25</w:t>
      </w:r>
      <w:r>
        <w:rPr>
          <w:rFonts w:hint="eastAsia"/>
          <w:color w:val="auto"/>
          <w:sz w:val="24"/>
          <w:highlight w:val="none"/>
        </w:rPr>
        <w:t>年</w:t>
      </w:r>
      <w:r>
        <w:rPr>
          <w:rFonts w:ascii="宋体" w:hAnsi="宋体" w:cs="宋体"/>
          <w:color w:val="auto"/>
          <w:sz w:val="24"/>
          <w:highlight w:val="none"/>
        </w:rPr>
        <w:fldChar w:fldCharType="end"/>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分（北京时间）前递交响应文件。</w:t>
      </w:r>
    </w:p>
    <w:p w14:paraId="49B391C7">
      <w:pPr>
        <w:pStyle w:val="3"/>
        <w:widowControl w:val="0"/>
        <w:spacing w:before="0" w:beforeAutospacing="0" w:after="0" w:afterAutospacing="0" w:line="440" w:lineRule="exact"/>
        <w:ind w:firstLine="482" w:firstLineChars="200"/>
        <w:rPr>
          <w:rFonts w:hint="eastAsia" w:cs="宋体"/>
          <w:bCs w:val="0"/>
          <w:color w:val="auto"/>
          <w:sz w:val="24"/>
          <w:szCs w:val="24"/>
          <w:highlight w:val="none"/>
        </w:rPr>
      </w:pPr>
      <w:bookmarkStart w:id="10" w:name="_Toc35393621"/>
      <w:bookmarkStart w:id="11" w:name="_Toc28359002"/>
      <w:bookmarkStart w:id="12" w:name="_Toc28359079"/>
      <w:bookmarkStart w:id="13" w:name="_Toc35393790"/>
      <w:bookmarkStart w:id="14" w:name="_Hlk24379207"/>
      <w:r>
        <w:rPr>
          <w:rFonts w:hint="eastAsia" w:cs="宋体"/>
          <w:bCs w:val="0"/>
          <w:color w:val="auto"/>
          <w:sz w:val="24"/>
          <w:szCs w:val="24"/>
          <w:highlight w:val="none"/>
        </w:rPr>
        <w:t>一、项目基本情况</w:t>
      </w:r>
      <w:bookmarkEnd w:id="10"/>
      <w:bookmarkEnd w:id="11"/>
      <w:bookmarkEnd w:id="12"/>
      <w:bookmarkEnd w:id="13"/>
    </w:p>
    <w:p w14:paraId="13B5F612">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ZJQY-2025-011CG</w:t>
      </w:r>
    </w:p>
    <w:p w14:paraId="4A87E1FD">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bookmarkEnd w:id="14"/>
      <w:r>
        <w:rPr>
          <w:rFonts w:hint="eastAsia" w:ascii="宋体" w:hAnsi="宋体" w:cs="宋体"/>
          <w:color w:val="auto"/>
          <w:sz w:val="24"/>
          <w:szCs w:val="24"/>
          <w:highlight w:val="none"/>
          <w:lang w:eastAsia="zh-CN"/>
        </w:rPr>
        <w:t>象山县贤庠镇敬老院认知症照护专区改造项目</w:t>
      </w:r>
    </w:p>
    <w:p w14:paraId="60F3E93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color w:val="auto"/>
          <w:highlight w:val="none"/>
        </w:rPr>
      </w:pPr>
      <w:r>
        <w:rPr>
          <w:rFonts w:hint="eastAsia" w:ascii="宋体" w:hAnsi="宋体" w:cs="宋体"/>
          <w:color w:val="auto"/>
          <w:sz w:val="24"/>
          <w:szCs w:val="24"/>
          <w:highlight w:val="none"/>
        </w:rPr>
        <w:t>预算金额：</w:t>
      </w:r>
      <w:r>
        <w:rPr>
          <w:rFonts w:hint="eastAsia" w:ascii="宋体" w:hAnsi="宋体" w:cs="宋体"/>
          <w:i w:val="0"/>
          <w:iCs w:val="0"/>
          <w:caps w:val="0"/>
          <w:color w:val="000000"/>
          <w:spacing w:val="0"/>
          <w:sz w:val="24"/>
          <w:szCs w:val="24"/>
          <w:highlight w:val="none"/>
          <w:u w:val="none"/>
          <w:shd w:val="clear" w:color="auto" w:fill="FFFFFF"/>
          <w:lang w:val="en-US" w:eastAsia="zh-CN"/>
        </w:rPr>
        <w:t>45</w:t>
      </w:r>
      <w:r>
        <w:rPr>
          <w:rFonts w:hint="eastAsia" w:ascii="宋体" w:hAnsi="宋体" w:cs="宋体"/>
          <w:color w:val="auto"/>
          <w:sz w:val="24"/>
          <w:szCs w:val="24"/>
          <w:highlight w:val="none"/>
        </w:rPr>
        <w:t>万元</w:t>
      </w:r>
    </w:p>
    <w:p w14:paraId="4513FA52">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i w:val="0"/>
          <w:iCs w:val="0"/>
          <w:caps w:val="0"/>
          <w:color w:val="000000"/>
          <w:spacing w:val="0"/>
          <w:sz w:val="24"/>
          <w:szCs w:val="24"/>
          <w:highlight w:val="none"/>
          <w:u w:val="none"/>
          <w:shd w:val="clear" w:color="auto" w:fill="FFFFFF"/>
          <w:lang w:val="en-US" w:eastAsia="zh-CN"/>
        </w:rPr>
        <w:t>45</w:t>
      </w:r>
      <w:r>
        <w:rPr>
          <w:rFonts w:hint="eastAsia" w:ascii="宋体" w:hAnsi="宋体" w:cs="宋体"/>
          <w:color w:val="auto"/>
          <w:sz w:val="24"/>
          <w:szCs w:val="24"/>
          <w:highlight w:val="none"/>
        </w:rPr>
        <w:t>万元</w:t>
      </w:r>
    </w:p>
    <w:p w14:paraId="7BECD961">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采购需求：</w:t>
      </w:r>
    </w:p>
    <w:p w14:paraId="164118A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标项一:</w:t>
      </w:r>
    </w:p>
    <w:p w14:paraId="5F0918FC">
      <w:pPr>
        <w:keepNext w:val="0"/>
        <w:keepLines w:val="0"/>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标项名称: </w:t>
      </w:r>
      <w:r>
        <w:rPr>
          <w:rFonts w:hint="eastAsia" w:ascii="宋体" w:hAnsi="宋体" w:cs="宋体"/>
          <w:color w:val="auto"/>
          <w:sz w:val="24"/>
          <w:szCs w:val="24"/>
          <w:highlight w:val="none"/>
          <w:lang w:eastAsia="zh-CN"/>
        </w:rPr>
        <w:t>象山县贤庠镇敬老院认知症照护专区改造项目</w:t>
      </w:r>
    </w:p>
    <w:p w14:paraId="1B2C26C7">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数量:1。</w:t>
      </w:r>
    </w:p>
    <w:p w14:paraId="108BC920">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szCs w:val="24"/>
          <w:highlight w:val="none"/>
        </w:rPr>
        <w:t>预算金额：</w:t>
      </w:r>
      <w:r>
        <w:rPr>
          <w:rFonts w:hint="eastAsia" w:ascii="宋体" w:hAnsi="宋体" w:cs="宋体"/>
          <w:i w:val="0"/>
          <w:iCs w:val="0"/>
          <w:caps w:val="0"/>
          <w:color w:val="000000"/>
          <w:spacing w:val="0"/>
          <w:sz w:val="24"/>
          <w:szCs w:val="24"/>
          <w:highlight w:val="none"/>
          <w:u w:val="none"/>
          <w:shd w:val="clear" w:color="auto" w:fill="FFFFFF"/>
          <w:lang w:val="en-US" w:eastAsia="zh-CN"/>
        </w:rPr>
        <w:t>45</w:t>
      </w:r>
      <w:r>
        <w:rPr>
          <w:rFonts w:hint="eastAsia" w:ascii="宋体" w:hAnsi="宋体" w:cs="宋体"/>
          <w:color w:val="auto"/>
          <w:sz w:val="24"/>
          <w:szCs w:val="24"/>
          <w:highlight w:val="none"/>
        </w:rPr>
        <w:t>万元</w:t>
      </w:r>
      <w:r>
        <w:rPr>
          <w:rFonts w:hint="eastAsia" w:ascii="宋体" w:hAnsi="宋体" w:cs="宋体"/>
          <w:color w:val="auto"/>
          <w:sz w:val="24"/>
          <w:highlight w:val="none"/>
        </w:rPr>
        <w:t xml:space="preserve"> </w:t>
      </w:r>
    </w:p>
    <w:p w14:paraId="3B00C3D9">
      <w:pPr>
        <w:pStyle w:val="178"/>
        <w:keepNext w:val="0"/>
        <w:keepLines w:val="0"/>
        <w:pageBreakBefore w:val="0"/>
        <w:kinsoku/>
        <w:wordWrap/>
        <w:overflowPunct/>
        <w:topLinePunct w:val="0"/>
        <w:autoSpaceDE/>
        <w:autoSpaceDN/>
        <w:bidi w:val="0"/>
        <w:adjustRightInd/>
        <w:spacing w:afterLines="0"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简要规格描述或项目基本概况介绍：</w:t>
      </w:r>
      <w:r>
        <w:rPr>
          <w:rFonts w:hint="eastAsia" w:ascii="宋体" w:hAnsi="宋体" w:cs="宋体"/>
          <w:color w:val="000000"/>
          <w:kern w:val="2"/>
          <w:sz w:val="24"/>
          <w:szCs w:val="24"/>
          <w:highlight w:val="none"/>
          <w:lang w:val="en-US" w:eastAsia="zh-CN"/>
        </w:rPr>
        <w:t>认知障碍照护专区改造提升，新增认知障碍照护专区床位30张，打造家庭式住养环境，培训培育专业的认知障碍照护服务队伍，提供针对认知障碍老人的个性化照护、身体残存机能康复训练、生活照料、心理干预、社会交往等专业性、全方位服务，通过数字赋能，进行智慧化管理及认知障碍照护专区功能化配套设施设备的供货及安装调试</w:t>
      </w:r>
      <w:r>
        <w:rPr>
          <w:rFonts w:hint="eastAsia" w:ascii="宋体" w:hAnsi="宋体" w:eastAsia="宋体" w:cs="宋体"/>
          <w:color w:val="000000"/>
          <w:kern w:val="2"/>
          <w:sz w:val="24"/>
          <w:szCs w:val="24"/>
          <w:highlight w:val="none"/>
          <w:lang w:val="en-US" w:eastAsia="zh-CN"/>
        </w:rPr>
        <w:t>。</w:t>
      </w:r>
      <w:r>
        <w:rPr>
          <w:rFonts w:hint="eastAsia" w:ascii="宋体" w:hAnsi="宋体" w:eastAsia="宋体" w:cs="宋体"/>
          <w:color w:val="auto"/>
          <w:sz w:val="24"/>
          <w:highlight w:val="none"/>
          <w:lang w:eastAsia="zh-CN"/>
        </w:rPr>
        <w:t>具体详见采购文件第</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eastAsia="zh-CN"/>
        </w:rPr>
        <w:t>需求</w:t>
      </w:r>
      <w:r>
        <w:rPr>
          <w:rFonts w:hint="eastAsia" w:ascii="宋体" w:hAnsi="宋体" w:eastAsia="宋体" w:cs="宋体"/>
          <w:color w:val="auto"/>
          <w:sz w:val="24"/>
          <w:highlight w:val="none"/>
        </w:rPr>
        <w:t>。  </w:t>
      </w:r>
    </w:p>
    <w:p w14:paraId="48A41050">
      <w:pPr>
        <w:pStyle w:val="31"/>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合同履行期限</w:t>
      </w:r>
      <w:r>
        <w:rPr>
          <w:rFonts w:hint="eastAsia" w:ascii="宋体" w:hAnsi="宋体" w:eastAsia="宋体" w:cs="宋体"/>
          <w:color w:val="auto"/>
          <w:sz w:val="24"/>
          <w:highlight w:val="none"/>
          <w:lang w:val="en-US" w:eastAsia="zh-CN"/>
        </w:rPr>
        <w:t>：</w:t>
      </w:r>
      <w:bookmarkStart w:id="15" w:name="_Toc28359080"/>
      <w:bookmarkStart w:id="16" w:name="_Toc35393791"/>
      <w:bookmarkStart w:id="17" w:name="_Toc28359003"/>
      <w:bookmarkStart w:id="18" w:name="_Toc35393622"/>
      <w:r>
        <w:rPr>
          <w:rFonts w:hint="eastAsia" w:ascii="宋体" w:hAnsi="宋体" w:eastAsia="宋体" w:cs="宋体"/>
          <w:color w:val="auto"/>
          <w:sz w:val="24"/>
          <w:highlight w:val="none"/>
          <w:lang w:val="en-US" w:eastAsia="zh-CN"/>
        </w:rPr>
        <w:t>合同签订后45天内完成</w:t>
      </w:r>
      <w:r>
        <w:rPr>
          <w:rFonts w:hint="eastAsia" w:ascii="宋体" w:hAnsi="宋体" w:cs="宋体"/>
          <w:color w:val="auto"/>
          <w:sz w:val="24"/>
          <w:szCs w:val="24"/>
          <w:highlight w:val="none"/>
          <w:lang w:val="en-US" w:eastAsia="zh-CN"/>
        </w:rPr>
        <w:t>敬老院</w:t>
      </w:r>
      <w:r>
        <w:rPr>
          <w:rFonts w:hint="eastAsia" w:ascii="宋体" w:hAnsi="宋体" w:cs="宋体"/>
          <w:color w:val="auto"/>
          <w:sz w:val="24"/>
          <w:szCs w:val="24"/>
          <w:highlight w:val="none"/>
          <w:lang w:eastAsia="zh-CN"/>
        </w:rPr>
        <w:t>认知障碍照护专区</w:t>
      </w:r>
      <w:r>
        <w:rPr>
          <w:rFonts w:hint="eastAsia" w:ascii="宋体" w:hAnsi="宋体" w:cs="宋体"/>
          <w:color w:val="auto"/>
          <w:sz w:val="24"/>
          <w:highlight w:val="none"/>
          <w:lang w:val="en-US" w:eastAsia="zh-CN"/>
        </w:rPr>
        <w:t>两次深化设计及</w:t>
      </w:r>
      <w:r>
        <w:rPr>
          <w:rFonts w:hint="eastAsia" w:ascii="宋体" w:hAnsi="宋体" w:cs="宋体"/>
          <w:color w:val="auto"/>
          <w:sz w:val="24"/>
          <w:szCs w:val="24"/>
          <w:highlight w:val="none"/>
          <w:lang w:eastAsia="zh-CN"/>
        </w:rPr>
        <w:t>改</w:t>
      </w:r>
      <w:r>
        <w:rPr>
          <w:rFonts w:hint="eastAsia" w:ascii="宋体" w:hAnsi="宋体" w:cs="宋体"/>
          <w:b w:val="0"/>
          <w:bCs w:val="0"/>
          <w:color w:val="auto"/>
          <w:sz w:val="24"/>
          <w:szCs w:val="24"/>
          <w:highlight w:val="none"/>
          <w:lang w:eastAsia="zh-CN"/>
        </w:rPr>
        <w:t>造</w:t>
      </w:r>
      <w:r>
        <w:rPr>
          <w:rFonts w:hint="eastAsia" w:ascii="宋体" w:hAnsi="宋体" w:eastAsia="宋体" w:cs="宋体"/>
          <w:b w:val="0"/>
          <w:bCs w:val="0"/>
          <w:color w:val="auto"/>
          <w:sz w:val="24"/>
          <w:highlight w:val="none"/>
          <w:lang w:val="en-US" w:eastAsia="zh-CN"/>
        </w:rPr>
        <w:t>。</w:t>
      </w:r>
    </w:p>
    <w:p w14:paraId="483F94DD">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b/>
          <w:bCs/>
          <w:color w:val="auto"/>
          <w:sz w:val="24"/>
          <w:highlight w:val="none"/>
        </w:rPr>
        <w:t>本项目（</w:t>
      </w:r>
      <w:r>
        <w:rPr>
          <w:rFonts w:hint="eastAsia" w:ascii="宋体" w:hAnsi="宋体" w:cs="宋体"/>
          <w:b/>
          <w:bCs/>
          <w:color w:val="auto"/>
          <w:sz w:val="24"/>
          <w:highlight w:val="none"/>
          <w:lang w:val="en-US" w:eastAsia="zh-CN"/>
        </w:rPr>
        <w:t>否</w:t>
      </w:r>
      <w:r>
        <w:rPr>
          <w:rFonts w:hint="eastAsia" w:ascii="宋体" w:hAnsi="宋体" w:cs="宋体"/>
          <w:b/>
          <w:bCs/>
          <w:color w:val="auto"/>
          <w:sz w:val="24"/>
          <w:highlight w:val="none"/>
        </w:rPr>
        <w:t>）接受联合体投标</w:t>
      </w:r>
      <w:r>
        <w:rPr>
          <w:rFonts w:hint="eastAsia" w:ascii="宋体" w:hAnsi="宋体" w:eastAsia="宋体" w:cs="宋体"/>
          <w:color w:val="auto"/>
          <w:sz w:val="24"/>
          <w:highlight w:val="none"/>
          <w:lang w:val="en-US" w:eastAsia="zh-CN"/>
        </w:rPr>
        <w:t>。</w:t>
      </w:r>
    </w:p>
    <w:p w14:paraId="018815C4">
      <w:pPr>
        <w:pStyle w:val="3"/>
        <w:keepNext w:val="0"/>
        <w:keepLines w:val="0"/>
        <w:pageBreakBefore w:val="0"/>
        <w:widowControl w:val="0"/>
        <w:numPr>
          <w:ilvl w:val="0"/>
          <w:numId w:val="3"/>
        </w:numPr>
        <w:kinsoku/>
        <w:wordWrap/>
        <w:overflowPunct/>
        <w:topLinePunct w:val="0"/>
        <w:autoSpaceDE/>
        <w:autoSpaceDN/>
        <w:bidi w:val="0"/>
        <w:spacing w:before="0" w:beforeAutospacing="0" w:after="0" w:afterAutospacing="0" w:line="440" w:lineRule="exact"/>
        <w:ind w:left="150" w:leftChars="0" w:firstLine="480" w:firstLineChars="0"/>
        <w:textAlignment w:val="auto"/>
        <w:rPr>
          <w:rFonts w:hint="eastAsia" w:cs="宋体"/>
          <w:bCs w:val="0"/>
          <w:color w:val="auto"/>
          <w:sz w:val="24"/>
          <w:szCs w:val="24"/>
          <w:highlight w:val="none"/>
        </w:rPr>
      </w:pPr>
      <w:r>
        <w:rPr>
          <w:rFonts w:hint="eastAsia" w:cs="宋体"/>
          <w:bCs w:val="0"/>
          <w:color w:val="auto"/>
          <w:sz w:val="24"/>
          <w:szCs w:val="24"/>
          <w:highlight w:val="none"/>
        </w:rPr>
        <w:t>供应商的资格要求：</w:t>
      </w:r>
      <w:bookmarkEnd w:id="15"/>
      <w:bookmarkEnd w:id="16"/>
      <w:bookmarkEnd w:id="17"/>
      <w:bookmarkEnd w:id="18"/>
    </w:p>
    <w:p w14:paraId="616A0EE1">
      <w:pPr>
        <w:spacing w:line="440" w:lineRule="exact"/>
        <w:ind w:firstLine="480" w:firstLineChars="200"/>
        <w:jc w:val="left"/>
        <w:rPr>
          <w:rFonts w:hint="eastAsia" w:ascii="宋体" w:hAnsi="宋体" w:cs="宋体"/>
          <w:color w:val="auto"/>
          <w:sz w:val="24"/>
          <w:highlight w:val="none"/>
        </w:rPr>
      </w:pPr>
      <w:bookmarkStart w:id="19" w:name="_Toc28359081"/>
      <w:bookmarkStart w:id="20" w:name="_Toc35393623"/>
      <w:bookmarkStart w:id="21" w:name="_Toc28359004"/>
      <w:bookmarkStart w:id="22" w:name="_Toc35393792"/>
      <w:r>
        <w:rPr>
          <w:rFonts w:hint="eastAsia" w:ascii="宋体" w:hAnsi="宋体" w:cs="宋体"/>
          <w:color w:val="auto"/>
          <w:sz w:val="24"/>
          <w:highlight w:val="none"/>
        </w:rPr>
        <w:t>1.符合《中华人民共和国政府采购法》第二十二条规定的供应商资格条件；供应商未被列入“信用中国”网站(www.creditchina.gov.c n)“失信被执行人或重大税收违法案件当事人名单”记录名单；不处于中国政府采购网(www.ccgp.gov.cn)“政府采购严重违法失信行为记录名单”中的禁止参加政府采购活动期间；</w:t>
      </w:r>
    </w:p>
    <w:p w14:paraId="4CEFB278">
      <w:pPr>
        <w:snapToGrid w:val="0"/>
        <w:spacing w:line="440" w:lineRule="exact"/>
        <w:ind w:firstLine="482" w:firstLineChars="200"/>
        <w:jc w:val="left"/>
        <w:rPr>
          <w:rFonts w:ascii="宋体" w:hAnsi="宋体" w:cs="宋体"/>
          <w:b/>
          <w:bCs/>
          <w:color w:val="auto"/>
          <w:sz w:val="24"/>
          <w:highlight w:val="none"/>
        </w:rPr>
      </w:pPr>
      <w:r>
        <w:rPr>
          <w:rFonts w:hint="eastAsia" w:ascii="宋体" w:hAnsi="宋体" w:eastAsia="宋体" w:cs="宋体"/>
          <w:b/>
          <w:bCs/>
          <w:color w:val="auto"/>
          <w:sz w:val="24"/>
          <w:highlight w:val="none"/>
        </w:rPr>
        <w:t>2.特定资格条件：</w:t>
      </w:r>
      <w:r>
        <w:rPr>
          <w:rFonts w:hint="eastAsia" w:ascii="宋体" w:hAnsi="宋体" w:cs="宋体"/>
          <w:b/>
          <w:bCs/>
          <w:color w:val="auto"/>
          <w:sz w:val="24"/>
          <w:highlight w:val="none"/>
          <w:lang w:val="en-US" w:eastAsia="zh-CN"/>
        </w:rPr>
        <w:t>无</w:t>
      </w:r>
      <w:r>
        <w:rPr>
          <w:rFonts w:ascii="宋体" w:hAnsi="宋体" w:cs="宋体"/>
          <w:b/>
          <w:bCs/>
          <w:color w:val="auto"/>
          <w:sz w:val="24"/>
          <w:highlight w:val="none"/>
        </w:rPr>
        <w:t>；</w:t>
      </w:r>
    </w:p>
    <w:p w14:paraId="63C64F35">
      <w:pPr>
        <w:snapToGrid w:val="0"/>
        <w:spacing w:line="440" w:lineRule="exact"/>
        <w:ind w:firstLine="482" w:firstLineChars="200"/>
        <w:jc w:val="left"/>
        <w:rPr>
          <w:rFonts w:ascii="宋体" w:hAnsi="宋体" w:cs="宋体"/>
          <w:b/>
          <w:bCs/>
          <w:color w:val="auto"/>
          <w:sz w:val="24"/>
          <w:highlight w:val="none"/>
        </w:rPr>
      </w:pPr>
      <w:r>
        <w:rPr>
          <w:rFonts w:hint="eastAsia" w:ascii="宋体" w:hAnsi="宋体" w:eastAsia="宋体" w:cs="宋体"/>
          <w:b/>
          <w:bCs/>
          <w:color w:val="auto"/>
          <w:sz w:val="24"/>
          <w:highlight w:val="none"/>
        </w:rPr>
        <w:t>3.</w:t>
      </w:r>
      <w:r>
        <w:rPr>
          <w:rFonts w:ascii="宋体" w:hAnsi="宋体" w:cs="宋体"/>
          <w:b/>
          <w:bCs/>
          <w:color w:val="auto"/>
          <w:sz w:val="24"/>
          <w:highlight w:val="none"/>
        </w:rPr>
        <w:t>落实政府采购政策需满足的资格要求：</w:t>
      </w:r>
    </w:p>
    <w:p w14:paraId="329C2408">
      <w:pPr>
        <w:spacing w:line="336" w:lineRule="auto"/>
        <w:ind w:firstLine="480" w:firstLineChars="200"/>
        <w:rPr>
          <w:rFonts w:ascii="宋体" w:hAnsi="宋体" w:cs="宋体"/>
          <w:color w:val="000000"/>
          <w:sz w:val="24"/>
          <w:highlight w:val="none"/>
        </w:rPr>
      </w:pPr>
      <w:r>
        <w:rPr>
          <w:rFonts w:ascii="Wingdings" w:hAnsi="Wingdings" w:eastAsia="MS Gothic" w:cs="宋体"/>
          <w:color w:val="000000"/>
          <w:kern w:val="0"/>
          <w:sz w:val="24"/>
          <w:szCs w:val="24"/>
          <w:highlight w:val="none"/>
          <w:lang w:val="en-US" w:eastAsia="zh-CN" w:bidi="ar-SA"/>
        </w:rPr>
        <w:sym w:font="Wingdings" w:char="00A8"/>
      </w:r>
      <w:r>
        <w:rPr>
          <w:rFonts w:hint="eastAsia" w:ascii="宋体" w:hAnsi="宋体" w:cs="宋体"/>
          <w:color w:val="000000"/>
          <w:sz w:val="24"/>
          <w:highlight w:val="none"/>
        </w:rPr>
        <w:t>无；</w:t>
      </w:r>
    </w:p>
    <w:p w14:paraId="705580E6">
      <w:pPr>
        <w:spacing w:line="336" w:lineRule="auto"/>
        <w:ind w:firstLine="480" w:firstLineChars="200"/>
        <w:rPr>
          <w:rFonts w:ascii="宋体" w:hAnsi="宋体" w:cs="宋体"/>
          <w:color w:val="000000"/>
          <w:sz w:val="24"/>
          <w:highlight w:val="none"/>
        </w:rPr>
      </w:pPr>
      <w:r>
        <w:rPr>
          <w:rFonts w:ascii="Wingdings" w:hAnsi="Wingdings" w:eastAsia="MS Gothic" w:cs="宋体"/>
          <w:color w:val="000000"/>
          <w:kern w:val="0"/>
          <w:sz w:val="24"/>
          <w:szCs w:val="24"/>
          <w:highlight w:val="none"/>
          <w:lang w:val="en-US" w:eastAsia="zh-CN" w:bidi="ar-SA"/>
        </w:rPr>
        <w:sym w:font="Wingdings" w:char="00FE"/>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57E27B6E">
      <w:pPr>
        <w:pStyle w:val="3"/>
        <w:widowControl w:val="0"/>
        <w:spacing w:before="0" w:beforeAutospacing="0" w:after="0" w:afterAutospacing="0" w:line="440" w:lineRule="exact"/>
        <w:ind w:firstLine="482" w:firstLineChars="200"/>
        <w:rPr>
          <w:rFonts w:hint="eastAsia" w:eastAsia="宋体" w:cs="宋体"/>
          <w:bCs w:val="0"/>
          <w:color w:val="auto"/>
          <w:sz w:val="24"/>
          <w:szCs w:val="24"/>
          <w:highlight w:val="none"/>
          <w:lang w:eastAsia="zh-CN"/>
        </w:rPr>
      </w:pPr>
      <w:r>
        <w:rPr>
          <w:rFonts w:hint="eastAsia" w:cs="宋体"/>
          <w:bCs w:val="0"/>
          <w:color w:val="auto"/>
          <w:sz w:val="24"/>
          <w:szCs w:val="24"/>
          <w:highlight w:val="none"/>
        </w:rPr>
        <w:t>三、获取</w:t>
      </w:r>
      <w:bookmarkEnd w:id="19"/>
      <w:bookmarkEnd w:id="20"/>
      <w:bookmarkEnd w:id="21"/>
      <w:bookmarkEnd w:id="22"/>
      <w:r>
        <w:rPr>
          <w:rFonts w:hint="eastAsia" w:cs="宋体"/>
          <w:bCs w:val="0"/>
          <w:color w:val="auto"/>
          <w:sz w:val="24"/>
          <w:szCs w:val="24"/>
          <w:highlight w:val="none"/>
          <w:lang w:eastAsia="zh-CN"/>
        </w:rPr>
        <w:t>采购文件</w:t>
      </w:r>
    </w:p>
    <w:p w14:paraId="0D545500">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7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rPr>
        <w:t>00:00</w:t>
      </w:r>
      <w:r>
        <w:rPr>
          <w:rFonts w:hint="eastAsia" w:ascii="宋体" w:hAnsi="宋体" w:cs="宋体"/>
          <w:color w:val="auto"/>
          <w:sz w:val="24"/>
          <w:highlight w:val="none"/>
        </w:rPr>
        <w:t>至</w:t>
      </w:r>
      <w:r>
        <w:rPr>
          <w:rFonts w:hint="eastAsia" w:ascii="宋体" w:hAnsi="宋体" w:cs="宋体"/>
          <w:color w:val="auto"/>
          <w:sz w:val="24"/>
          <w:highlight w:val="none"/>
          <w:u w:val="single"/>
        </w:rPr>
        <w:t>12:00</w:t>
      </w:r>
      <w:r>
        <w:rPr>
          <w:rFonts w:hint="eastAsia" w:ascii="宋体" w:hAnsi="宋体" w:cs="宋体"/>
          <w:color w:val="auto"/>
          <w:sz w:val="24"/>
          <w:highlight w:val="none"/>
        </w:rPr>
        <w:t>，下午</w:t>
      </w:r>
      <w:r>
        <w:rPr>
          <w:rFonts w:hint="eastAsia" w:ascii="宋体" w:hAnsi="宋体" w:cs="宋体"/>
          <w:color w:val="auto"/>
          <w:sz w:val="24"/>
          <w:highlight w:val="none"/>
          <w:u w:val="single"/>
        </w:rPr>
        <w:t>12:00</w:t>
      </w:r>
      <w:r>
        <w:rPr>
          <w:rFonts w:hint="eastAsia" w:ascii="宋体" w:hAnsi="宋体" w:cs="宋体"/>
          <w:color w:val="auto"/>
          <w:sz w:val="24"/>
          <w:highlight w:val="none"/>
        </w:rPr>
        <w:t>至</w:t>
      </w:r>
      <w:r>
        <w:rPr>
          <w:rFonts w:hint="eastAsia" w:ascii="宋体" w:hAnsi="宋体" w:cs="宋体"/>
          <w:color w:val="auto"/>
          <w:sz w:val="24"/>
          <w:highlight w:val="none"/>
          <w:u w:val="single"/>
        </w:rPr>
        <w:t>23:59</w:t>
      </w:r>
      <w:r>
        <w:rPr>
          <w:rFonts w:hint="eastAsia" w:ascii="宋体" w:hAnsi="宋体" w:cs="宋体"/>
          <w:color w:val="auto"/>
          <w:sz w:val="24"/>
          <w:highlight w:val="none"/>
        </w:rPr>
        <w:t>（北京时间，线上获取法定节假日均可）</w:t>
      </w:r>
    </w:p>
    <w:p w14:paraId="35C5DE86">
      <w:pPr>
        <w:overflowPunct w:val="0"/>
        <w:autoSpaceDE w:val="0"/>
        <w:autoSpaceDN w:val="0"/>
        <w:spacing w:line="44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地点：政采云平台（http://www.zcygov.cn）</w:t>
      </w:r>
    </w:p>
    <w:p w14:paraId="4D8B2116">
      <w:pPr>
        <w:overflowPunct w:val="0"/>
        <w:autoSpaceDE w:val="0"/>
        <w:autoSpaceDN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方式：网上下载，供应商自公告之日起至投标截止时间内可登录浙江政府采购网（http://zfcg.czt.zj.gov.cn）“项目采购”模块进入政采云系统“获取采购文件”菜单，进行网上获取采购文件。</w:t>
      </w:r>
    </w:p>
    <w:p w14:paraId="7750F5FA">
      <w:pPr>
        <w:overflowPunct w:val="0"/>
        <w:autoSpaceDE w:val="0"/>
        <w:autoSpaceDN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获取采购文件前，供应商应按照《浙江省政府采购供应商注册及诚信管理暂行办法》的规定在浙江政府采购网zfcg.czt.zj.gov.cn上注册，并登记加入浙江省政府采购供应商库。具体要求及注册申请流程详见《浙江省政府采购供应商注册及诚信管理暂行办法》（浙财采监字{2009}28号）和浙江政府采购网“网上办事指南”的“供应商注册申请”。注册咨询电话：</w:t>
      </w:r>
      <w:r>
        <w:rPr>
          <w:rFonts w:hint="eastAsia" w:ascii="宋体" w:hAnsi="宋体" w:cs="宋体"/>
          <w:color w:val="auto"/>
          <w:sz w:val="24"/>
          <w:highlight w:val="none"/>
          <w:lang w:val="en-US" w:eastAsia="zh-CN"/>
        </w:rPr>
        <w:t>95763</w:t>
      </w:r>
      <w:r>
        <w:rPr>
          <w:rFonts w:hint="eastAsia" w:ascii="宋体" w:hAnsi="宋体" w:cs="宋体"/>
          <w:color w:val="auto"/>
          <w:sz w:val="24"/>
          <w:highlight w:val="none"/>
        </w:rPr>
        <w:t>，如未注册的供应商，请注意注册所需时间。</w:t>
      </w:r>
    </w:p>
    <w:p w14:paraId="4E3DE84A">
      <w:pPr>
        <w:overflowPunct w:val="0"/>
        <w:autoSpaceDE w:val="0"/>
        <w:autoSpaceDN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采购公告附件中的采购文件仅供阅览使用，供应商应在规定的采购文件提供期限内在政采云平台（http://www.zcygov.cn）登录上述供应商注册的账号后获取采购文件，未在规定的采购文件提供期限内或未按上述方式获取采购文件的，其投标均视为无效，并不得对采购文件提起质疑投诉。</w:t>
      </w:r>
    </w:p>
    <w:p w14:paraId="24A03BC5">
      <w:pPr>
        <w:overflowPunct w:val="0"/>
        <w:autoSpaceDE w:val="0"/>
        <w:autoSpaceDN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售价：0元</w:t>
      </w:r>
    </w:p>
    <w:p w14:paraId="2AF0381D">
      <w:pPr>
        <w:numPr>
          <w:ilvl w:val="0"/>
          <w:numId w:val="4"/>
        </w:numPr>
        <w:overflowPunct w:val="0"/>
        <w:autoSpaceDE w:val="0"/>
        <w:autoSpaceDN w:val="0"/>
        <w:spacing w:line="440" w:lineRule="exact"/>
        <w:ind w:firstLine="482" w:firstLineChars="200"/>
        <w:jc w:val="left"/>
        <w:rPr>
          <w:rFonts w:hint="eastAsia" w:ascii="宋体" w:hAnsi="宋体" w:cs="宋体"/>
          <w:b/>
          <w:color w:val="auto"/>
          <w:sz w:val="24"/>
          <w:highlight w:val="none"/>
        </w:rPr>
      </w:pPr>
      <w:bookmarkStart w:id="23" w:name="_Toc28359005"/>
      <w:bookmarkStart w:id="24" w:name="_Toc28359082"/>
      <w:bookmarkStart w:id="25" w:name="_Toc35393624"/>
      <w:bookmarkStart w:id="26" w:name="_Toc35393793"/>
      <w:r>
        <w:rPr>
          <w:rFonts w:hint="eastAsia" w:ascii="宋体" w:hAnsi="宋体" w:cs="宋体"/>
          <w:b/>
          <w:color w:val="auto"/>
          <w:sz w:val="24"/>
          <w:highlight w:val="none"/>
        </w:rPr>
        <w:t>提交</w:t>
      </w:r>
      <w:bookmarkEnd w:id="23"/>
      <w:bookmarkEnd w:id="24"/>
      <w:r>
        <w:rPr>
          <w:rFonts w:hint="eastAsia" w:ascii="宋体" w:hAnsi="宋体" w:cs="宋体"/>
          <w:b/>
          <w:color w:val="auto"/>
          <w:sz w:val="24"/>
          <w:highlight w:val="none"/>
        </w:rPr>
        <w:t>响应文件截止时间、开标时间和地点</w:t>
      </w:r>
      <w:bookmarkEnd w:id="25"/>
      <w:bookmarkEnd w:id="26"/>
      <w:bookmarkStart w:id="27" w:name="_Toc35393794"/>
      <w:bookmarkStart w:id="28" w:name="_Toc28359007"/>
      <w:bookmarkStart w:id="29" w:name="_Toc28359084"/>
      <w:bookmarkStart w:id="30" w:name="_Toc35393625"/>
    </w:p>
    <w:p w14:paraId="5A7AD301">
      <w:pPr>
        <w:overflowPunct w:val="0"/>
        <w:autoSpaceDE w:val="0"/>
        <w:autoSpaceDN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（北京时间）。供应商应于上述时间前将电子响应文件上传到政府采购云平台www.zcygov.cn，未上传电子响应文件，视为供应商放弃投标。</w:t>
      </w:r>
    </w:p>
    <w:p w14:paraId="3AFF52BF">
      <w:pPr>
        <w:overflowPunct w:val="0"/>
        <w:autoSpaceDE w:val="0"/>
        <w:autoSpaceDN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w:t>
      </w:r>
    </w:p>
    <w:p w14:paraId="7B1E3B27">
      <w:pPr>
        <w:overflowPunct w:val="0"/>
        <w:autoSpaceDE w:val="0"/>
        <w:autoSpaceDN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开标地点：</w:t>
      </w:r>
      <w:r>
        <w:rPr>
          <w:rFonts w:hint="eastAsia" w:ascii="宋体" w:hAnsi="宋体" w:cs="宋体"/>
          <w:color w:val="auto"/>
          <w:sz w:val="24"/>
          <w:highlight w:val="none"/>
          <w:u w:val="single"/>
        </w:rPr>
        <w:t>象山县公共资源交易中心四楼开标厅（二）</w:t>
      </w:r>
      <w:r>
        <w:rPr>
          <w:rFonts w:hint="eastAsia" w:ascii="宋体" w:hAnsi="宋体" w:cs="宋体"/>
          <w:color w:val="auto"/>
          <w:sz w:val="24"/>
          <w:highlight w:val="none"/>
        </w:rPr>
        <w:t>[象山县象山港路300号]。</w:t>
      </w:r>
    </w:p>
    <w:p w14:paraId="63320DE9">
      <w:pPr>
        <w:overflowPunct w:val="0"/>
        <w:autoSpaceDE w:val="0"/>
        <w:autoSpaceDN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备注：供应商如提供备份响应文件的，应于提交响应文件截止时间前，将电子备份响应文件（U盘或光盘方式存储）按要求密封，在规定时间前递交至上述地点，逾期送达或未密封将予以拒收。供应商仅提供电子备份响应文件的，投标无效。</w:t>
      </w:r>
    </w:p>
    <w:p w14:paraId="3FD7B676">
      <w:pPr>
        <w:overflowPunct w:val="0"/>
        <w:autoSpaceDE w:val="0"/>
        <w:autoSpaceDN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若供应商通过“政府采购云平台”上传递交的“电子加密投标文件”在规定解密时间内无法解密或解密失败时，供应商若在投标截止时间之前递交了“电子备份响应文件”的，由采购代理机构上传“电子备份响应文件”进行异常处理，并对“电子备份响应文件”进行解密，未在投标截止时间之前递交“电子备份响应文件”的视为投标文件撤回。其余通过“政府采购云平台”上传递交的已按时解密的“电子加密响应文件”继续有效，其“电子备份投标文件”自动失效。</w:t>
      </w:r>
    </w:p>
    <w:p w14:paraId="4AA45AF5">
      <w:pPr>
        <w:numPr>
          <w:ilvl w:val="0"/>
          <w:numId w:val="4"/>
        </w:numPr>
        <w:overflowPunct w:val="0"/>
        <w:autoSpaceDE w:val="0"/>
        <w:autoSpaceDN w:val="0"/>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公告期限</w:t>
      </w:r>
      <w:bookmarkEnd w:id="27"/>
      <w:bookmarkEnd w:id="28"/>
      <w:bookmarkEnd w:id="29"/>
      <w:bookmarkEnd w:id="30"/>
    </w:p>
    <w:p w14:paraId="1458AFCB">
      <w:pPr>
        <w:overflowPunct w:val="0"/>
        <w:autoSpaceDE w:val="0"/>
        <w:autoSpaceDN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bookmarkStart w:id="31" w:name="_Toc35393626"/>
      <w:bookmarkStart w:id="32" w:name="_Toc35393795"/>
    </w:p>
    <w:p w14:paraId="561C3131">
      <w:pPr>
        <w:numPr>
          <w:ilvl w:val="0"/>
          <w:numId w:val="4"/>
        </w:numPr>
        <w:overflowPunct w:val="0"/>
        <w:autoSpaceDE w:val="0"/>
        <w:autoSpaceDN w:val="0"/>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其他补充事宜</w:t>
      </w:r>
    </w:p>
    <w:bookmarkEnd w:id="31"/>
    <w:bookmarkEnd w:id="32"/>
    <w:p w14:paraId="20A3F9C6">
      <w:pPr>
        <w:overflowPunct w:val="0"/>
        <w:autoSpaceDE w:val="0"/>
        <w:autoSpaceDN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4BAADA">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bookmarkStart w:id="33" w:name="_Toc2742"/>
      <w:bookmarkStart w:id="34" w:name="_Toc26599"/>
      <w:r>
        <w:rPr>
          <w:rFonts w:hint="eastAsia" w:cs="宋体"/>
          <w:b w:val="0"/>
          <w:color w:val="auto"/>
          <w:sz w:val="24"/>
          <w:szCs w:val="24"/>
          <w:highlight w:val="none"/>
        </w:rPr>
        <w:t>2、其他事项：</w:t>
      </w:r>
      <w:bookmarkEnd w:id="33"/>
      <w:bookmarkEnd w:id="34"/>
    </w:p>
    <w:p w14:paraId="6C82B43F">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r>
        <w:rPr>
          <w:rFonts w:hint="eastAsia" w:cs="宋体"/>
          <w:b w:val="0"/>
          <w:color w:val="auto"/>
          <w:sz w:val="24"/>
          <w:szCs w:val="24"/>
          <w:highlight w:val="none"/>
        </w:rPr>
        <w:t>（1）本次政府采购活动有关信息在“浙江政府采购网”、“宁波市政府采购网”上公布，公布信息视同送达所有潜在供应商。若因未能及时了解到上述网站发布的相关信息而导致的一切后果自行承担。</w:t>
      </w:r>
    </w:p>
    <w:p w14:paraId="5171E9FB">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bookmarkStart w:id="35" w:name="_Toc17807"/>
      <w:bookmarkStart w:id="36" w:name="_Toc4242"/>
      <w:r>
        <w:rPr>
          <w:rFonts w:hint="eastAsia" w:cs="宋体"/>
          <w:b w:val="0"/>
          <w:color w:val="auto"/>
          <w:sz w:val="24"/>
          <w:szCs w:val="24"/>
          <w:highlight w:val="none"/>
        </w:rPr>
        <w:t>（2）本项目实行网上投标，采用电子响应文件。若供应商参与投标，自行承担投标一切费用。</w:t>
      </w:r>
      <w:bookmarkEnd w:id="35"/>
      <w:bookmarkEnd w:id="36"/>
    </w:p>
    <w:p w14:paraId="73E55BB3">
      <w:pPr>
        <w:pStyle w:val="3"/>
        <w:widowControl w:val="0"/>
        <w:overflowPunct w:val="0"/>
        <w:autoSpaceDE w:val="0"/>
        <w:autoSpaceDN w:val="0"/>
        <w:spacing w:before="0" w:beforeAutospacing="0" w:after="0" w:afterAutospacing="0" w:line="440" w:lineRule="exact"/>
        <w:ind w:firstLine="480" w:firstLineChars="200"/>
        <w:rPr>
          <w:rFonts w:hint="eastAsia" w:cs="宋体"/>
          <w:b w:val="0"/>
          <w:bCs w:val="0"/>
          <w:color w:val="auto"/>
          <w:sz w:val="24"/>
          <w:szCs w:val="24"/>
          <w:highlight w:val="none"/>
        </w:rPr>
      </w:pPr>
      <w:bookmarkStart w:id="37" w:name="_Toc25144"/>
      <w:bookmarkStart w:id="38" w:name="_Toc11994"/>
      <w:r>
        <w:rPr>
          <w:rFonts w:hint="eastAsia" w:cs="宋体"/>
          <w:b w:val="0"/>
          <w:color w:val="auto"/>
          <w:sz w:val="24"/>
          <w:szCs w:val="24"/>
          <w:highlight w:val="none"/>
        </w:rPr>
        <w:t>（3）标前准备：各供应商应在开标前确保成为浙江政府采购网正式注册入库供应商，并完成CA数字证书办理。因未注册入库、未办理CA数字证书等原因造成无法投标或投标失败等后果由供应商自行承担。</w:t>
      </w:r>
      <w:bookmarkEnd w:id="37"/>
      <w:bookmarkEnd w:id="38"/>
      <w:r>
        <w:rPr>
          <w:rFonts w:hint="eastAsia" w:cs="宋体"/>
          <w:b w:val="0"/>
          <w:bCs w:val="0"/>
          <w:color w:val="auto"/>
          <w:sz w:val="24"/>
          <w:szCs w:val="24"/>
          <w:highlight w:val="none"/>
        </w:rPr>
        <w:t>（CA申领操作指南：https://service.zcygov.cn/#/knowledges/UgcbC3EBiyELHE-opz1b/lwV6GXABiyELHE-oVMj3?Keyword。完成CA数字证书办理预计一周左右，请供应商自行把握时间）</w:t>
      </w:r>
    </w:p>
    <w:p w14:paraId="6D9EFAB8">
      <w:pPr>
        <w:pStyle w:val="3"/>
        <w:widowControl w:val="0"/>
        <w:overflowPunct w:val="0"/>
        <w:autoSpaceDE w:val="0"/>
        <w:autoSpaceDN w:val="0"/>
        <w:spacing w:before="0" w:beforeAutospacing="0" w:after="0" w:afterAutospacing="0" w:line="440" w:lineRule="exact"/>
        <w:ind w:firstLine="480" w:firstLineChars="200"/>
        <w:rPr>
          <w:rFonts w:hint="eastAsia" w:cs="宋体"/>
          <w:b w:val="0"/>
          <w:bCs w:val="0"/>
          <w:color w:val="auto"/>
          <w:sz w:val="24"/>
          <w:szCs w:val="24"/>
          <w:highlight w:val="none"/>
        </w:rPr>
      </w:pPr>
      <w:r>
        <w:rPr>
          <w:rFonts w:hint="eastAsia" w:cs="宋体"/>
          <w:b w:val="0"/>
          <w:bCs w:val="0"/>
          <w:color w:val="auto"/>
          <w:sz w:val="24"/>
          <w:szCs w:val="24"/>
          <w:highlight w:val="none"/>
        </w:rPr>
        <w:t>（4）各供应商根据本采购文件的要约邀请，进行报价响应并自觉遵守各项报价承诺；否则采购人有权根据《浙江省政府采购供应商注册及诚信管理暂行办法》的规定向财政部门上报供应商的诚信状况，给采购人造成损失的还应当予以赔偿。</w:t>
      </w:r>
    </w:p>
    <w:p w14:paraId="4B0B72C1">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bookmarkStart w:id="39" w:name="_Toc15124"/>
      <w:bookmarkStart w:id="40" w:name="_Toc3032"/>
      <w:r>
        <w:rPr>
          <w:rFonts w:hint="eastAsia" w:cs="宋体"/>
          <w:b w:val="0"/>
          <w:color w:val="auto"/>
          <w:sz w:val="24"/>
          <w:szCs w:val="24"/>
          <w:highlight w:val="none"/>
        </w:rPr>
        <w:t>3、响应文件制作：</w:t>
      </w:r>
      <w:bookmarkEnd w:id="39"/>
      <w:bookmarkEnd w:id="40"/>
    </w:p>
    <w:p w14:paraId="56C4AB88">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bookmarkStart w:id="41" w:name="_Toc2890"/>
      <w:bookmarkStart w:id="42" w:name="_Toc8361"/>
      <w:r>
        <w:rPr>
          <w:rFonts w:hint="eastAsia" w:cs="宋体"/>
          <w:b w:val="0"/>
          <w:color w:val="auto"/>
          <w:sz w:val="24"/>
          <w:szCs w:val="24"/>
          <w:highlight w:val="none"/>
        </w:rPr>
        <w:t>（1）应按照本项目采购文件和政府采购云平台的要求编制、加密并递交响应文件。供应商在使用系统进行投标的过程中遇到涉及平台使用的任何问题，可致电政府采购云平台技术支持热线咨询，联系方式：</w:t>
      </w:r>
      <w:r>
        <w:rPr>
          <w:rFonts w:hint="eastAsia" w:cs="宋体"/>
          <w:b w:val="0"/>
          <w:color w:val="auto"/>
          <w:sz w:val="24"/>
          <w:szCs w:val="24"/>
          <w:highlight w:val="none"/>
          <w:lang w:val="en-US" w:eastAsia="zh-CN"/>
        </w:rPr>
        <w:t>95763</w:t>
      </w:r>
      <w:r>
        <w:rPr>
          <w:rFonts w:hint="eastAsia" w:cs="宋体"/>
          <w:b w:val="0"/>
          <w:color w:val="auto"/>
          <w:sz w:val="24"/>
          <w:szCs w:val="24"/>
          <w:highlight w:val="none"/>
        </w:rPr>
        <w:t>。 </w:t>
      </w:r>
      <w:bookmarkEnd w:id="41"/>
      <w:bookmarkEnd w:id="42"/>
    </w:p>
    <w:p w14:paraId="60F6DE11">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bookmarkStart w:id="43" w:name="_Toc20451"/>
      <w:bookmarkStart w:id="44" w:name="_Toc26972"/>
      <w:r>
        <w:rPr>
          <w:rFonts w:hint="eastAsia" w:cs="宋体"/>
          <w:b w:val="0"/>
          <w:color w:val="auto"/>
          <w:sz w:val="24"/>
          <w:szCs w:val="24"/>
          <w:highlight w:val="none"/>
        </w:rPr>
        <w:t>（2）供应商通过政府采购云平台电子投标工具制作响应文件，电子投标工具请供应商自行前往浙江政府采购网下载并安装：zfcg.czt.zj.gov.cn/bidClientTemplate/2019-05-27/12946.html。</w:t>
      </w:r>
    </w:p>
    <w:p w14:paraId="3431AE4B">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r>
        <w:rPr>
          <w:rFonts w:hint="eastAsia" w:cs="宋体"/>
          <w:b w:val="0"/>
          <w:color w:val="auto"/>
          <w:sz w:val="24"/>
          <w:szCs w:val="24"/>
          <w:highlight w:val="none"/>
        </w:rPr>
        <w:t>响应文件制作及电子交易管理操作指南详见：https://service.zcygov.cn/#/knowledges/CW1EtGwBFdiHxlNd6I3m/6IMVAG0BFdiHxlNdQ8Na?keyword。</w:t>
      </w:r>
      <w:bookmarkEnd w:id="43"/>
      <w:bookmarkEnd w:id="44"/>
    </w:p>
    <w:p w14:paraId="5CFF9859">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bookmarkStart w:id="45" w:name="_Toc26306"/>
      <w:bookmarkStart w:id="46" w:name="_Toc1307"/>
      <w:r>
        <w:rPr>
          <w:rFonts w:hint="eastAsia" w:cs="宋体"/>
          <w:b w:val="0"/>
          <w:color w:val="auto"/>
          <w:sz w:val="24"/>
          <w:szCs w:val="24"/>
          <w:highlight w:val="none"/>
        </w:rPr>
        <w:t>（3）以U盘或光盘存储的电子备份响应文件1份，按政府采购云平台要求制作的电子备份文件，以用于异常情况处理。 </w:t>
      </w:r>
      <w:bookmarkEnd w:id="45"/>
      <w:bookmarkEnd w:id="46"/>
    </w:p>
    <w:p w14:paraId="43176948">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bookmarkStart w:id="47" w:name="_Toc22647"/>
      <w:bookmarkStart w:id="48" w:name="_Toc1973"/>
      <w:r>
        <w:rPr>
          <w:rFonts w:hint="eastAsia" w:cs="宋体"/>
          <w:b w:val="0"/>
          <w:color w:val="auto"/>
          <w:sz w:val="24"/>
          <w:szCs w:val="24"/>
          <w:highlight w:val="none"/>
        </w:rPr>
        <w:t>（4）供应商可采用邮寄（含快递）方式或现场方式递交电子备份响应文件。</w:t>
      </w:r>
      <w:bookmarkEnd w:id="47"/>
      <w:bookmarkEnd w:id="48"/>
    </w:p>
    <w:p w14:paraId="0ADE9E33">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bookmarkStart w:id="49" w:name="_Toc21551"/>
      <w:bookmarkStart w:id="50" w:name="_Toc12032"/>
      <w:r>
        <w:rPr>
          <w:rFonts w:hint="eastAsia" w:cs="宋体"/>
          <w:b w:val="0"/>
          <w:color w:val="auto"/>
          <w:sz w:val="24"/>
          <w:szCs w:val="24"/>
          <w:highlight w:val="none"/>
        </w:rPr>
        <w:fldChar w:fldCharType="begin"/>
      </w:r>
      <w:r>
        <w:rPr>
          <w:rFonts w:hint="eastAsia" w:cs="宋体"/>
          <w:b w:val="0"/>
          <w:color w:val="auto"/>
          <w:sz w:val="24"/>
          <w:szCs w:val="24"/>
          <w:highlight w:val="none"/>
        </w:rPr>
        <w:instrText xml:space="preserve"> = 1 \* GB3 \* MERGEFORMAT </w:instrText>
      </w:r>
      <w:r>
        <w:rPr>
          <w:rFonts w:hint="eastAsia" w:cs="宋体"/>
          <w:b w:val="0"/>
          <w:color w:val="auto"/>
          <w:sz w:val="24"/>
          <w:szCs w:val="24"/>
          <w:highlight w:val="none"/>
        </w:rPr>
        <w:fldChar w:fldCharType="separate"/>
      </w:r>
      <w:r>
        <w:rPr>
          <w:rFonts w:hint="eastAsia" w:cs="宋体"/>
          <w:b w:val="0"/>
          <w:color w:val="auto"/>
          <w:sz w:val="24"/>
          <w:szCs w:val="24"/>
          <w:highlight w:val="none"/>
        </w:rPr>
        <w:t>①</w:t>
      </w:r>
      <w:r>
        <w:rPr>
          <w:rFonts w:hint="eastAsia" w:cs="宋体"/>
          <w:b w:val="0"/>
          <w:color w:val="auto"/>
          <w:sz w:val="24"/>
          <w:szCs w:val="24"/>
          <w:highlight w:val="none"/>
        </w:rPr>
        <w:fldChar w:fldCharType="end"/>
      </w:r>
      <w:r>
        <w:rPr>
          <w:rFonts w:hint="eastAsia" w:cs="宋体"/>
          <w:b w:val="0"/>
          <w:color w:val="auto"/>
          <w:sz w:val="24"/>
          <w:szCs w:val="24"/>
          <w:highlight w:val="none"/>
        </w:rPr>
        <w:t>采用邮寄方式递交电子备份响应文件，需按以下要求递交：</w:t>
      </w:r>
      <w:bookmarkEnd w:id="49"/>
      <w:bookmarkEnd w:id="50"/>
    </w:p>
    <w:p w14:paraId="0F802559">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420" w:lineRule="exact"/>
        <w:ind w:firstLine="480" w:firstLineChars="200"/>
        <w:textAlignment w:val="auto"/>
        <w:rPr>
          <w:rFonts w:hint="eastAsia" w:cs="宋体"/>
          <w:b w:val="0"/>
          <w:bCs w:val="0"/>
          <w:color w:val="auto"/>
          <w:sz w:val="24"/>
          <w:szCs w:val="24"/>
          <w:highlight w:val="none"/>
        </w:rPr>
      </w:pPr>
      <w:bookmarkStart w:id="51" w:name="_Toc3897"/>
      <w:bookmarkStart w:id="52" w:name="_Toc24921"/>
      <w:r>
        <w:rPr>
          <w:rFonts w:hint="eastAsia" w:cs="宋体"/>
          <w:b w:val="0"/>
          <w:color w:val="auto"/>
          <w:sz w:val="24"/>
          <w:szCs w:val="24"/>
          <w:highlight w:val="none"/>
        </w:rPr>
        <w:t>拟在20</w:t>
      </w:r>
      <w:r>
        <w:rPr>
          <w:rFonts w:hint="eastAsia" w:cs="宋体"/>
          <w:b w:val="0"/>
          <w:color w:val="auto"/>
          <w:sz w:val="24"/>
          <w:szCs w:val="24"/>
          <w:highlight w:val="none"/>
          <w:lang w:val="en-US" w:eastAsia="zh-CN"/>
        </w:rPr>
        <w:t>25</w:t>
      </w:r>
      <w:r>
        <w:rPr>
          <w:rFonts w:hint="eastAsia" w:cs="宋体"/>
          <w:b w:val="0"/>
          <w:color w:val="auto"/>
          <w:sz w:val="24"/>
          <w:szCs w:val="24"/>
          <w:highlight w:val="none"/>
        </w:rPr>
        <w:t>年</w:t>
      </w:r>
      <w:r>
        <w:rPr>
          <w:rFonts w:hint="eastAsia" w:cs="宋体"/>
          <w:b w:val="0"/>
          <w:color w:val="auto"/>
          <w:sz w:val="24"/>
          <w:szCs w:val="24"/>
          <w:highlight w:val="none"/>
          <w:lang w:val="en-US" w:eastAsia="zh-CN"/>
        </w:rPr>
        <w:t>8</w:t>
      </w:r>
      <w:r>
        <w:rPr>
          <w:rFonts w:hint="eastAsia" w:cs="宋体"/>
          <w:b w:val="0"/>
          <w:color w:val="auto"/>
          <w:sz w:val="24"/>
          <w:szCs w:val="24"/>
          <w:highlight w:val="none"/>
        </w:rPr>
        <w:t>月</w:t>
      </w:r>
      <w:r>
        <w:rPr>
          <w:rFonts w:hint="eastAsia" w:cs="宋体"/>
          <w:b w:val="0"/>
          <w:color w:val="auto"/>
          <w:sz w:val="24"/>
          <w:szCs w:val="24"/>
          <w:highlight w:val="none"/>
          <w:lang w:val="en-US" w:eastAsia="zh-CN"/>
        </w:rPr>
        <w:t>7</w:t>
      </w:r>
      <w:r>
        <w:rPr>
          <w:rFonts w:hint="eastAsia" w:cs="宋体"/>
          <w:b w:val="0"/>
          <w:color w:val="auto"/>
          <w:sz w:val="24"/>
          <w:szCs w:val="24"/>
          <w:highlight w:val="none"/>
        </w:rPr>
        <w:t>日16:00（含）前到件的邮寄地址为：</w:t>
      </w:r>
      <w:r>
        <w:rPr>
          <w:rFonts w:hint="eastAsia" w:cs="宋体"/>
          <w:b w:val="0"/>
          <w:color w:val="auto"/>
          <w:sz w:val="24"/>
          <w:szCs w:val="24"/>
          <w:highlight w:val="none"/>
          <w:lang w:eastAsia="zh-CN"/>
        </w:rPr>
        <w:t>浙江乾原工程管理有限公司</w:t>
      </w:r>
      <w:r>
        <w:rPr>
          <w:rFonts w:hint="eastAsia" w:cs="宋体"/>
          <w:b w:val="0"/>
          <w:color w:val="auto"/>
          <w:sz w:val="24"/>
          <w:szCs w:val="24"/>
          <w:highlight w:val="none"/>
        </w:rPr>
        <w:t>（</w:t>
      </w:r>
      <w:r>
        <w:rPr>
          <w:rFonts w:hint="eastAsia" w:cs="宋体"/>
          <w:b w:val="0"/>
          <w:color w:val="auto"/>
          <w:sz w:val="24"/>
          <w:szCs w:val="24"/>
          <w:highlight w:val="none"/>
          <w:lang w:eastAsia="zh-CN"/>
        </w:rPr>
        <w:t>象山县百花路28号三楼</w:t>
      </w:r>
      <w:r>
        <w:rPr>
          <w:rFonts w:hint="eastAsia" w:cs="宋体"/>
          <w:b w:val="0"/>
          <w:color w:val="auto"/>
          <w:sz w:val="24"/>
          <w:szCs w:val="24"/>
          <w:highlight w:val="none"/>
        </w:rPr>
        <w:t>），收件人：</w:t>
      </w:r>
      <w:r>
        <w:rPr>
          <w:rFonts w:hint="eastAsia" w:cs="宋体"/>
          <w:b w:val="0"/>
          <w:color w:val="auto"/>
          <w:sz w:val="24"/>
          <w:szCs w:val="24"/>
          <w:highlight w:val="none"/>
          <w:lang w:eastAsia="zh-CN"/>
        </w:rPr>
        <w:t>张黛娜</w:t>
      </w:r>
      <w:r>
        <w:rPr>
          <w:rFonts w:hint="eastAsia" w:cs="宋体"/>
          <w:b w:val="0"/>
          <w:color w:val="auto"/>
          <w:sz w:val="24"/>
          <w:szCs w:val="24"/>
          <w:highlight w:val="none"/>
        </w:rPr>
        <w:t>，联系方式：</w:t>
      </w:r>
      <w:r>
        <w:rPr>
          <w:rFonts w:hint="eastAsia" w:cs="宋体"/>
          <w:b w:val="0"/>
          <w:color w:val="auto"/>
          <w:sz w:val="24"/>
          <w:szCs w:val="24"/>
          <w:highlight w:val="none"/>
          <w:lang w:eastAsia="zh-CN"/>
        </w:rPr>
        <w:t>13616540949</w:t>
      </w:r>
      <w:r>
        <w:rPr>
          <w:rFonts w:hint="eastAsia" w:cs="宋体"/>
          <w:b w:val="0"/>
          <w:color w:val="auto"/>
          <w:sz w:val="24"/>
          <w:szCs w:val="24"/>
          <w:highlight w:val="none"/>
        </w:rPr>
        <w:t>。</w:t>
      </w:r>
      <w:r>
        <w:rPr>
          <w:rFonts w:hint="eastAsia" w:cs="宋体"/>
          <w:b w:val="0"/>
          <w:bCs w:val="0"/>
          <w:color w:val="auto"/>
          <w:sz w:val="24"/>
          <w:szCs w:val="24"/>
          <w:highlight w:val="none"/>
        </w:rPr>
        <w:t>供应商邮寄后须将邮件单号发送至代理机构电子邮箱（电子邮箱：</w:t>
      </w:r>
      <w:r>
        <w:rPr>
          <w:rFonts w:hint="eastAsia" w:cs="宋体"/>
          <w:b w:val="0"/>
          <w:bCs w:val="0"/>
          <w:color w:val="auto"/>
          <w:sz w:val="24"/>
          <w:szCs w:val="24"/>
          <w:highlight w:val="none"/>
          <w:lang w:eastAsia="zh-CN"/>
        </w:rPr>
        <w:t>827086399</w:t>
      </w:r>
      <w:r>
        <w:rPr>
          <w:rFonts w:hint="eastAsia" w:cs="宋体"/>
          <w:b w:val="0"/>
          <w:bCs w:val="0"/>
          <w:color w:val="auto"/>
          <w:sz w:val="24"/>
          <w:szCs w:val="24"/>
          <w:highlight w:val="none"/>
        </w:rPr>
        <w:t>@qq.com），并致电采购代理机构，以便采购代理机构查询物流记录。各供应商应当确保电子备份响应文件的密封包装在邮寄过程保持完好，并在邮寄包裹上注明项目名称、采购编号，因邮寄造成电子备份响应文件密封破损而不符合采购文件对响应文件的密封要求、或邮寄过程中导致电子备份响应文件未在投标截止时间前送达的，代理机构将拒绝其响应文件。</w:t>
      </w:r>
      <w:bookmarkEnd w:id="51"/>
      <w:bookmarkEnd w:id="52"/>
      <w:r>
        <w:rPr>
          <w:rFonts w:hint="eastAsia" w:cs="宋体"/>
          <w:b w:val="0"/>
          <w:bCs w:val="0"/>
          <w:color w:val="auto"/>
          <w:sz w:val="24"/>
          <w:szCs w:val="24"/>
          <w:highlight w:val="none"/>
        </w:rPr>
        <w:t>各供应商自行考虑邮寄在途时间，邮寄过程中无论何种因素导致电子备份响应文件未按时递交的后果，均由供应商自行负责，响应文件送达时间以代理机构工作人员实际签收时间为准。</w:t>
      </w:r>
    </w:p>
    <w:p w14:paraId="451940A3">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420" w:lineRule="exact"/>
        <w:ind w:firstLine="480" w:firstLineChars="200"/>
        <w:textAlignment w:val="auto"/>
        <w:rPr>
          <w:rFonts w:hint="eastAsia" w:cs="宋体"/>
          <w:b w:val="0"/>
          <w:bCs w:val="0"/>
          <w:color w:val="auto"/>
          <w:sz w:val="24"/>
          <w:szCs w:val="24"/>
          <w:highlight w:val="none"/>
        </w:rPr>
      </w:pPr>
      <w:bookmarkStart w:id="53" w:name="_Toc22431"/>
      <w:bookmarkStart w:id="54" w:name="_Toc1456"/>
      <w:r>
        <w:rPr>
          <w:rFonts w:hint="eastAsia" w:cs="宋体"/>
          <w:b w:val="0"/>
          <w:bCs w:val="0"/>
          <w:color w:val="auto"/>
          <w:sz w:val="24"/>
          <w:szCs w:val="24"/>
          <w:highlight w:val="none"/>
        </w:rPr>
        <w:fldChar w:fldCharType="begin"/>
      </w:r>
      <w:r>
        <w:rPr>
          <w:rFonts w:hint="eastAsia" w:cs="宋体"/>
          <w:b w:val="0"/>
          <w:bCs w:val="0"/>
          <w:color w:val="auto"/>
          <w:sz w:val="24"/>
          <w:szCs w:val="24"/>
          <w:highlight w:val="none"/>
        </w:rPr>
        <w:instrText xml:space="preserve"> = 2 \* GB3 \* MERGEFORMAT </w:instrText>
      </w:r>
      <w:r>
        <w:rPr>
          <w:rFonts w:hint="eastAsia" w:cs="宋体"/>
          <w:b w:val="0"/>
          <w:bCs w:val="0"/>
          <w:color w:val="auto"/>
          <w:sz w:val="24"/>
          <w:szCs w:val="24"/>
          <w:highlight w:val="none"/>
        </w:rPr>
        <w:fldChar w:fldCharType="separate"/>
      </w:r>
      <w:r>
        <w:rPr>
          <w:rFonts w:hint="eastAsia" w:cs="宋体"/>
          <w:b w:val="0"/>
          <w:bCs w:val="0"/>
          <w:color w:val="auto"/>
          <w:sz w:val="24"/>
          <w:szCs w:val="24"/>
          <w:highlight w:val="none"/>
        </w:rPr>
        <w:t>②</w:t>
      </w:r>
      <w:r>
        <w:rPr>
          <w:rFonts w:hint="eastAsia" w:cs="宋体"/>
          <w:b w:val="0"/>
          <w:bCs w:val="0"/>
          <w:color w:val="auto"/>
          <w:sz w:val="24"/>
          <w:szCs w:val="24"/>
          <w:highlight w:val="none"/>
        </w:rPr>
        <w:fldChar w:fldCharType="end"/>
      </w:r>
      <w:r>
        <w:rPr>
          <w:rFonts w:hint="eastAsia" w:cs="宋体"/>
          <w:b w:val="0"/>
          <w:bCs w:val="0"/>
          <w:color w:val="auto"/>
          <w:sz w:val="24"/>
          <w:szCs w:val="24"/>
          <w:highlight w:val="none"/>
        </w:rPr>
        <w:t>采用现场方式送达电子备份响应文件，需按以下要求递交：</w:t>
      </w:r>
      <w:bookmarkEnd w:id="53"/>
      <w:bookmarkEnd w:id="54"/>
    </w:p>
    <w:p w14:paraId="23DAC90A">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420" w:lineRule="exact"/>
        <w:ind w:firstLine="480" w:firstLineChars="200"/>
        <w:textAlignment w:val="auto"/>
        <w:rPr>
          <w:rFonts w:hint="eastAsia" w:cs="宋体"/>
          <w:b w:val="0"/>
          <w:color w:val="auto"/>
          <w:sz w:val="24"/>
          <w:szCs w:val="24"/>
          <w:highlight w:val="none"/>
        </w:rPr>
      </w:pPr>
      <w:bookmarkStart w:id="55" w:name="_Toc12104"/>
      <w:bookmarkStart w:id="56" w:name="_Toc20984"/>
      <w:r>
        <w:rPr>
          <w:rFonts w:hint="eastAsia" w:cs="宋体"/>
          <w:b w:val="0"/>
          <w:color w:val="auto"/>
          <w:sz w:val="24"/>
          <w:szCs w:val="24"/>
          <w:highlight w:val="none"/>
        </w:rPr>
        <w:t>所有供应商在投标截止时间前将电子备份响应文件送至：象山县公共资源交易中心四楼开标厅（二）[象山县象山港路300号]。响应文件递交时需同时递交供应商的法定代表人（或其委托代理人）联系方式，并保证开标期间联系方式的畅通。</w:t>
      </w:r>
      <w:bookmarkEnd w:id="55"/>
      <w:bookmarkEnd w:id="56"/>
    </w:p>
    <w:p w14:paraId="641A729F">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bookmarkStart w:id="57" w:name="_Toc24278"/>
      <w:bookmarkStart w:id="58" w:name="_Toc27583"/>
      <w:r>
        <w:rPr>
          <w:rFonts w:hint="eastAsia" w:cs="宋体"/>
          <w:b w:val="0"/>
          <w:color w:val="auto"/>
          <w:sz w:val="24"/>
          <w:szCs w:val="24"/>
          <w:highlight w:val="none"/>
        </w:rPr>
        <w:t>（5）开标过程全程视频监控记录。</w:t>
      </w:r>
      <w:bookmarkEnd w:id="57"/>
      <w:bookmarkEnd w:id="58"/>
    </w:p>
    <w:p w14:paraId="792192E0">
      <w:pPr>
        <w:pStyle w:val="3"/>
        <w:widowControl w:val="0"/>
        <w:overflowPunct w:val="0"/>
        <w:autoSpaceDE w:val="0"/>
        <w:autoSpaceDN w:val="0"/>
        <w:spacing w:before="0" w:beforeAutospacing="0" w:after="0" w:afterAutospacing="0" w:line="440" w:lineRule="exact"/>
        <w:ind w:firstLine="480" w:firstLineChars="200"/>
        <w:rPr>
          <w:rFonts w:hint="eastAsia" w:cs="宋体"/>
          <w:b w:val="0"/>
          <w:color w:val="auto"/>
          <w:sz w:val="24"/>
          <w:szCs w:val="24"/>
          <w:highlight w:val="none"/>
        </w:rPr>
      </w:pPr>
      <w:bookmarkStart w:id="59" w:name="_Toc20492"/>
      <w:bookmarkStart w:id="60" w:name="_Toc13137"/>
      <w:r>
        <w:rPr>
          <w:rFonts w:hint="eastAsia" w:cs="宋体"/>
          <w:b w:val="0"/>
          <w:color w:val="auto"/>
          <w:sz w:val="24"/>
          <w:szCs w:val="24"/>
          <w:highlight w:val="none"/>
        </w:rPr>
        <w:t>4、投标保证金：本项目不收取投标保证金。</w:t>
      </w:r>
      <w:bookmarkEnd w:id="59"/>
      <w:bookmarkEnd w:id="60"/>
    </w:p>
    <w:p w14:paraId="3F093964">
      <w:pPr>
        <w:pStyle w:val="3"/>
        <w:widowControl w:val="0"/>
        <w:overflowPunct w:val="0"/>
        <w:autoSpaceDE w:val="0"/>
        <w:autoSpaceDN w:val="0"/>
        <w:spacing w:before="0" w:beforeAutospacing="0" w:after="0" w:afterAutospacing="0" w:line="440" w:lineRule="exact"/>
        <w:ind w:firstLine="482" w:firstLineChars="200"/>
        <w:rPr>
          <w:rFonts w:hint="eastAsia" w:cs="宋体"/>
          <w:bCs w:val="0"/>
          <w:color w:val="auto"/>
          <w:sz w:val="24"/>
          <w:szCs w:val="24"/>
          <w:highlight w:val="none"/>
        </w:rPr>
      </w:pPr>
      <w:r>
        <w:rPr>
          <w:rFonts w:hint="eastAsia" w:cs="宋体"/>
          <w:bCs w:val="0"/>
          <w:color w:val="auto"/>
          <w:sz w:val="24"/>
          <w:szCs w:val="24"/>
          <w:highlight w:val="none"/>
        </w:rPr>
        <w:t>七、对本次采购提出询问、质疑、投诉，请按以下方式联系</w:t>
      </w:r>
    </w:p>
    <w:p w14:paraId="26D5B040">
      <w:pPr>
        <w:tabs>
          <w:tab w:val="left" w:pos="363"/>
        </w:tabs>
        <w:overflowPunct w:val="0"/>
        <w:autoSpaceDE w:val="0"/>
        <w:autoSpaceDN w:val="0"/>
        <w:adjustRightInd w:val="0"/>
        <w:snapToGrid w:val="0"/>
        <w:spacing w:line="440" w:lineRule="exact"/>
        <w:ind w:firstLine="480" w:firstLineChars="200"/>
        <w:jc w:val="lef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采</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购</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人：</w:t>
      </w:r>
      <w:r>
        <w:rPr>
          <w:rFonts w:hint="eastAsia" w:ascii="宋体" w:hAnsi="宋体" w:cs="宋体"/>
          <w:bCs/>
          <w:color w:val="auto"/>
          <w:sz w:val="24"/>
          <w:highlight w:val="none"/>
          <w:lang w:val="en-US" w:eastAsia="zh-CN"/>
        </w:rPr>
        <w:t>象山县贤庠镇人民政府</w:t>
      </w:r>
    </w:p>
    <w:p w14:paraId="08B1649C">
      <w:pPr>
        <w:tabs>
          <w:tab w:val="left" w:pos="363"/>
        </w:tabs>
        <w:overflowPunct w:val="0"/>
        <w:autoSpaceDE w:val="0"/>
        <w:autoSpaceDN w:val="0"/>
        <w:adjustRightInd w:val="0"/>
        <w:snapToGrid w:val="0"/>
        <w:spacing w:line="440" w:lineRule="exact"/>
        <w:ind w:firstLine="480" w:firstLineChars="200"/>
        <w:jc w:val="lef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联 系 人：</w:t>
      </w:r>
      <w:r>
        <w:rPr>
          <w:rFonts w:hint="eastAsia" w:ascii="宋体" w:hAnsi="宋体" w:cs="宋体"/>
          <w:bCs/>
          <w:color w:val="auto"/>
          <w:sz w:val="24"/>
          <w:highlight w:val="none"/>
          <w:lang w:val="en-US" w:eastAsia="zh-CN"/>
        </w:rPr>
        <w:t>李主任</w:t>
      </w:r>
    </w:p>
    <w:p w14:paraId="0886F2DF">
      <w:pPr>
        <w:tabs>
          <w:tab w:val="left" w:pos="363"/>
        </w:tabs>
        <w:overflowPunct w:val="0"/>
        <w:autoSpaceDE w:val="0"/>
        <w:autoSpaceDN w:val="0"/>
        <w:adjustRightInd w:val="0"/>
        <w:snapToGrid w:val="0"/>
        <w:spacing w:line="440" w:lineRule="exact"/>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电  话：</w:t>
      </w:r>
      <w:r>
        <w:rPr>
          <w:rFonts w:hint="eastAsia" w:ascii="宋体" w:hAnsi="宋体" w:cs="宋体"/>
          <w:color w:val="auto"/>
          <w:sz w:val="24"/>
          <w:szCs w:val="24"/>
          <w:highlight w:val="none"/>
          <w:lang w:eastAsia="zh-CN"/>
        </w:rPr>
        <w:t>13968381690</w:t>
      </w:r>
    </w:p>
    <w:p w14:paraId="60784EB1">
      <w:pPr>
        <w:pStyle w:val="14"/>
        <w:rPr>
          <w:rFonts w:hint="eastAsia"/>
          <w:color w:val="auto"/>
          <w:highlight w:val="none"/>
          <w:lang w:val="en-US" w:eastAsia="zh-CN"/>
        </w:rPr>
      </w:pPr>
    </w:p>
    <w:p w14:paraId="019CCB6B">
      <w:pPr>
        <w:tabs>
          <w:tab w:val="left" w:pos="363"/>
        </w:tabs>
        <w:overflowPunct w:val="0"/>
        <w:autoSpaceDE w:val="0"/>
        <w:autoSpaceDN w:val="0"/>
        <w:adjustRightInd w:val="0"/>
        <w:snapToGrid w:val="0"/>
        <w:spacing w:line="440" w:lineRule="exact"/>
        <w:ind w:firstLine="480" w:firstLineChars="20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代理机构：</w:t>
      </w:r>
      <w:r>
        <w:rPr>
          <w:rFonts w:hint="eastAsia" w:ascii="宋体" w:hAnsi="宋体" w:cs="宋体"/>
          <w:bCs/>
          <w:color w:val="auto"/>
          <w:sz w:val="24"/>
          <w:highlight w:val="none"/>
          <w:lang w:eastAsia="zh-CN"/>
        </w:rPr>
        <w:t>浙江乾原工程管理有限公司</w:t>
      </w:r>
    </w:p>
    <w:p w14:paraId="4596713A">
      <w:pPr>
        <w:tabs>
          <w:tab w:val="left" w:pos="363"/>
        </w:tabs>
        <w:overflowPunct w:val="0"/>
        <w:autoSpaceDE w:val="0"/>
        <w:autoSpaceDN w:val="0"/>
        <w:adjustRightInd w:val="0"/>
        <w:snapToGrid w:val="0"/>
        <w:spacing w:line="440" w:lineRule="exact"/>
        <w:ind w:firstLine="480" w:firstLineChars="20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地  址：</w:t>
      </w:r>
      <w:r>
        <w:rPr>
          <w:rFonts w:hint="eastAsia" w:ascii="宋体" w:hAnsi="宋体" w:cs="宋体"/>
          <w:bCs/>
          <w:color w:val="auto"/>
          <w:sz w:val="24"/>
          <w:highlight w:val="none"/>
          <w:lang w:eastAsia="zh-CN"/>
        </w:rPr>
        <w:t>象山县百花路28号三楼</w:t>
      </w:r>
    </w:p>
    <w:p w14:paraId="4CD7E1B1">
      <w:pPr>
        <w:tabs>
          <w:tab w:val="left" w:pos="363"/>
        </w:tabs>
        <w:overflowPunct w:val="0"/>
        <w:autoSpaceDE w:val="0"/>
        <w:autoSpaceDN w:val="0"/>
        <w:adjustRightInd w:val="0"/>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联 系 人：</w:t>
      </w:r>
      <w:r>
        <w:rPr>
          <w:rFonts w:hint="eastAsia" w:ascii="宋体" w:hAnsi="宋体" w:cs="宋体"/>
          <w:bCs/>
          <w:color w:val="auto"/>
          <w:sz w:val="24"/>
          <w:highlight w:val="none"/>
          <w:lang w:eastAsia="zh-CN"/>
        </w:rPr>
        <w:t>张黛娜</w:t>
      </w:r>
      <w:r>
        <w:rPr>
          <w:rFonts w:hint="eastAsia" w:ascii="宋体" w:hAnsi="宋体" w:cs="宋体"/>
          <w:bCs/>
          <w:color w:val="auto"/>
          <w:sz w:val="24"/>
          <w:highlight w:val="none"/>
        </w:rPr>
        <w:t xml:space="preserve"> </w:t>
      </w:r>
    </w:p>
    <w:p w14:paraId="3530F9A4">
      <w:pPr>
        <w:tabs>
          <w:tab w:val="left" w:pos="363"/>
        </w:tabs>
        <w:overflowPunct w:val="0"/>
        <w:autoSpaceDE w:val="0"/>
        <w:autoSpaceDN w:val="0"/>
        <w:adjustRightInd w:val="0"/>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电  话：13616540949 </w:t>
      </w:r>
    </w:p>
    <w:p w14:paraId="1A79A008">
      <w:pPr>
        <w:tabs>
          <w:tab w:val="left" w:pos="363"/>
        </w:tabs>
        <w:overflowPunct w:val="0"/>
        <w:autoSpaceDE w:val="0"/>
        <w:autoSpaceDN w:val="0"/>
        <w:adjustRightInd w:val="0"/>
        <w:snapToGrid w:val="0"/>
        <w:spacing w:line="440" w:lineRule="exact"/>
        <w:ind w:firstLine="480" w:firstLineChars="200"/>
        <w:jc w:val="left"/>
        <w:rPr>
          <w:rFonts w:hint="eastAsia" w:ascii="宋体" w:hAnsi="宋体" w:cs="宋体"/>
          <w:bCs/>
          <w:color w:val="auto"/>
          <w:sz w:val="24"/>
          <w:highlight w:val="none"/>
        </w:rPr>
      </w:pPr>
    </w:p>
    <w:p w14:paraId="5BB3C2AE">
      <w:pPr>
        <w:tabs>
          <w:tab w:val="left" w:pos="363"/>
        </w:tabs>
        <w:overflowPunct w:val="0"/>
        <w:autoSpaceDE w:val="0"/>
        <w:autoSpaceDN w:val="0"/>
        <w:adjustRightInd w:val="0"/>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政府采购行政监管及投诉受理部门：象山县财政局政府采购管理办公室</w:t>
      </w:r>
    </w:p>
    <w:p w14:paraId="0EA31ADD">
      <w:pPr>
        <w:tabs>
          <w:tab w:val="left" w:pos="363"/>
        </w:tabs>
        <w:overflowPunct w:val="0"/>
        <w:autoSpaceDE w:val="0"/>
        <w:autoSpaceDN w:val="0"/>
        <w:adjustRightInd w:val="0"/>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联 系 人：林胜光</w:t>
      </w:r>
    </w:p>
    <w:p w14:paraId="4E6E6A23">
      <w:pPr>
        <w:tabs>
          <w:tab w:val="left" w:pos="363"/>
        </w:tabs>
        <w:overflowPunct w:val="0"/>
        <w:autoSpaceDE w:val="0"/>
        <w:autoSpaceDN w:val="0"/>
        <w:adjustRightInd w:val="0"/>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联系电话：0574-65753557</w:t>
      </w:r>
    </w:p>
    <w:p w14:paraId="5D71DD65">
      <w:pPr>
        <w:tabs>
          <w:tab w:val="left" w:pos="363"/>
        </w:tabs>
        <w:overflowPunct w:val="0"/>
        <w:autoSpaceDE w:val="0"/>
        <w:autoSpaceDN w:val="0"/>
        <w:adjustRightInd w:val="0"/>
        <w:snapToGrid w:val="0"/>
        <w:spacing w:line="440" w:lineRule="exact"/>
        <w:ind w:firstLine="480" w:firstLineChars="200"/>
        <w:jc w:val="left"/>
        <w:rPr>
          <w:rFonts w:hint="eastAsia" w:ascii="宋体" w:hAnsi="宋体" w:cs="宋体"/>
          <w:bCs/>
          <w:color w:val="auto"/>
          <w:sz w:val="24"/>
          <w:highlight w:val="none"/>
        </w:rPr>
      </w:pPr>
    </w:p>
    <w:p w14:paraId="399E9CDD">
      <w:pPr>
        <w:tabs>
          <w:tab w:val="left" w:pos="363"/>
        </w:tabs>
        <w:overflowPunct w:val="0"/>
        <w:autoSpaceDE w:val="0"/>
        <w:autoSpaceDN w:val="0"/>
        <w:adjustRightInd w:val="0"/>
        <w:snapToGrid w:val="0"/>
        <w:spacing w:line="440" w:lineRule="exact"/>
        <w:ind w:firstLine="480" w:firstLineChars="200"/>
        <w:jc w:val="left"/>
        <w:rPr>
          <w:rFonts w:hint="eastAsia" w:ascii="宋体" w:hAnsi="宋体" w:cs="宋体"/>
          <w:bCs/>
          <w:color w:val="auto"/>
          <w:szCs w:val="21"/>
          <w:highlight w:val="none"/>
        </w:rPr>
      </w:pPr>
      <w:r>
        <w:rPr>
          <w:rFonts w:hint="eastAsia" w:ascii="宋体" w:hAnsi="宋体" w:cs="宋体"/>
          <w:bCs/>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val="en-US" w:eastAsia="zh-CN"/>
        </w:rPr>
        <w:t>95763</w:t>
      </w:r>
      <w:r>
        <w:rPr>
          <w:rFonts w:hint="eastAsia" w:ascii="宋体" w:hAnsi="宋体" w:cs="宋体"/>
          <w:bCs/>
          <w:color w:val="auto"/>
          <w:sz w:val="24"/>
          <w:highlight w:val="none"/>
        </w:rPr>
        <w:t>获取热线服务帮助。</w:t>
      </w:r>
      <w:r>
        <w:rPr>
          <w:rFonts w:hint="eastAsia" w:ascii="宋体" w:hAnsi="宋体" w:cs="宋体"/>
          <w:bCs/>
          <w:color w:val="auto"/>
          <w:sz w:val="24"/>
          <w:highlight w:val="none"/>
        </w:rPr>
        <w:br w:type="textWrapping"/>
      </w:r>
      <w:r>
        <w:rPr>
          <w:rFonts w:hint="eastAsia" w:ascii="宋体" w:hAnsi="宋体" w:cs="宋体"/>
          <w:bCs/>
          <w:color w:val="auto"/>
          <w:sz w:val="24"/>
          <w:highlight w:val="none"/>
        </w:rPr>
        <w:t xml:space="preserve">   CA问题联系电话（人工）：汇信CA 400-888-4636；天谷CA 400-087-8198</w:t>
      </w:r>
      <w:r>
        <w:rPr>
          <w:rFonts w:hint="eastAsia" w:ascii="宋体" w:hAnsi="宋体" w:cs="宋体"/>
          <w:bCs/>
          <w:color w:val="auto"/>
          <w:szCs w:val="21"/>
          <w:highlight w:val="none"/>
        </w:rPr>
        <w:t>。</w:t>
      </w:r>
    </w:p>
    <w:p w14:paraId="60E3586A">
      <w:pPr>
        <w:pStyle w:val="52"/>
        <w:rPr>
          <w:rFonts w:hint="eastAsia"/>
          <w:color w:val="auto"/>
          <w:highlight w:val="none"/>
        </w:rPr>
      </w:pPr>
    </w:p>
    <w:p w14:paraId="2308FE1E">
      <w:pPr>
        <w:pStyle w:val="11"/>
        <w:rPr>
          <w:rFonts w:hint="eastAsia" w:ascii="宋体" w:hAnsi="宋体" w:cs="宋体"/>
          <w:bCs/>
          <w:color w:val="auto"/>
          <w:szCs w:val="21"/>
          <w:highlight w:val="none"/>
        </w:rPr>
      </w:pPr>
    </w:p>
    <w:p w14:paraId="0D9A4411">
      <w:pPr>
        <w:rPr>
          <w:rFonts w:hint="eastAsia" w:ascii="宋体" w:hAnsi="宋体" w:cs="宋体"/>
          <w:bCs/>
          <w:color w:val="auto"/>
          <w:szCs w:val="21"/>
          <w:highlight w:val="none"/>
        </w:rPr>
      </w:pPr>
    </w:p>
    <w:p w14:paraId="30E47172">
      <w:pPr>
        <w:rPr>
          <w:rFonts w:hint="eastAsia" w:ascii="宋体" w:hAnsi="宋体" w:cs="宋体"/>
          <w:bCs/>
          <w:color w:val="auto"/>
          <w:szCs w:val="21"/>
          <w:highlight w:val="none"/>
        </w:rPr>
      </w:pPr>
    </w:p>
    <w:p w14:paraId="1A9C0685">
      <w:pPr>
        <w:pStyle w:val="14"/>
        <w:rPr>
          <w:rFonts w:hint="eastAsia" w:ascii="宋体" w:hAnsi="宋体" w:cs="宋体"/>
          <w:bCs/>
          <w:color w:val="auto"/>
          <w:szCs w:val="21"/>
          <w:highlight w:val="none"/>
        </w:rPr>
      </w:pPr>
    </w:p>
    <w:p w14:paraId="5060B95C">
      <w:pPr>
        <w:rPr>
          <w:rFonts w:hint="eastAsia"/>
          <w:color w:val="auto"/>
          <w:highlight w:val="none"/>
        </w:rPr>
      </w:pPr>
    </w:p>
    <w:p w14:paraId="749704B3">
      <w:pPr>
        <w:pStyle w:val="35"/>
        <w:rPr>
          <w:rFonts w:hint="eastAsia" w:ascii="宋体" w:hAnsi="宋体" w:cs="宋体"/>
          <w:bCs w:val="0"/>
          <w:color w:val="auto"/>
          <w:szCs w:val="21"/>
          <w:highlight w:val="none"/>
        </w:rPr>
      </w:pPr>
    </w:p>
    <w:p w14:paraId="6167E6CE">
      <w:pPr>
        <w:pStyle w:val="35"/>
        <w:rPr>
          <w:rFonts w:hint="eastAsia" w:ascii="宋体" w:hAnsi="宋体" w:cs="宋体"/>
          <w:bCs w:val="0"/>
          <w:color w:val="auto"/>
          <w:szCs w:val="21"/>
          <w:highlight w:val="none"/>
        </w:rPr>
      </w:pPr>
    </w:p>
    <w:p w14:paraId="4AE92C40">
      <w:pPr>
        <w:pStyle w:val="28"/>
        <w:rPr>
          <w:rFonts w:hint="eastAsia" w:ascii="宋体" w:hAnsi="宋体" w:cs="宋体"/>
          <w:bCs w:val="0"/>
          <w:color w:val="auto"/>
          <w:szCs w:val="21"/>
          <w:highlight w:val="none"/>
        </w:rPr>
      </w:pPr>
    </w:p>
    <w:p w14:paraId="4C4A5A36">
      <w:pPr>
        <w:rPr>
          <w:rFonts w:hint="eastAsia" w:ascii="宋体" w:hAnsi="宋体" w:cs="宋体"/>
          <w:bCs w:val="0"/>
          <w:color w:val="auto"/>
          <w:szCs w:val="21"/>
          <w:highlight w:val="none"/>
        </w:rPr>
      </w:pPr>
    </w:p>
    <w:p w14:paraId="54FBF067">
      <w:pPr>
        <w:pStyle w:val="18"/>
        <w:rPr>
          <w:rFonts w:hint="eastAsia" w:ascii="宋体" w:hAnsi="宋体" w:cs="宋体"/>
          <w:bCs w:val="0"/>
          <w:color w:val="auto"/>
          <w:szCs w:val="21"/>
          <w:highlight w:val="none"/>
        </w:rPr>
      </w:pPr>
    </w:p>
    <w:p w14:paraId="73CDA321">
      <w:pPr>
        <w:rPr>
          <w:rFonts w:hint="eastAsia" w:ascii="宋体" w:hAnsi="宋体" w:cs="宋体"/>
          <w:bCs w:val="0"/>
          <w:color w:val="auto"/>
          <w:szCs w:val="21"/>
          <w:highlight w:val="none"/>
        </w:rPr>
      </w:pPr>
    </w:p>
    <w:p w14:paraId="205651CA">
      <w:pPr>
        <w:pStyle w:val="18"/>
        <w:rPr>
          <w:rFonts w:hint="eastAsia" w:ascii="宋体" w:hAnsi="宋体" w:cs="宋体"/>
          <w:bCs w:val="0"/>
          <w:color w:val="auto"/>
          <w:szCs w:val="21"/>
          <w:highlight w:val="none"/>
        </w:rPr>
      </w:pPr>
    </w:p>
    <w:p w14:paraId="5007C753">
      <w:pPr>
        <w:rPr>
          <w:rFonts w:hint="eastAsia" w:ascii="宋体" w:hAnsi="宋体" w:cs="宋体"/>
          <w:bCs w:val="0"/>
          <w:color w:val="auto"/>
          <w:szCs w:val="21"/>
          <w:highlight w:val="none"/>
        </w:rPr>
      </w:pPr>
    </w:p>
    <w:p w14:paraId="13A93FD2">
      <w:pPr>
        <w:pStyle w:val="18"/>
        <w:rPr>
          <w:rFonts w:hint="eastAsia" w:ascii="宋体" w:hAnsi="宋体" w:cs="宋体"/>
          <w:bCs w:val="0"/>
          <w:color w:val="auto"/>
          <w:szCs w:val="21"/>
          <w:highlight w:val="none"/>
        </w:rPr>
      </w:pPr>
    </w:p>
    <w:p w14:paraId="4C24821D">
      <w:pPr>
        <w:rPr>
          <w:rFonts w:hint="eastAsia" w:ascii="宋体" w:hAnsi="宋体" w:cs="宋体"/>
          <w:bCs w:val="0"/>
          <w:color w:val="auto"/>
          <w:szCs w:val="21"/>
          <w:highlight w:val="none"/>
        </w:rPr>
      </w:pPr>
    </w:p>
    <w:p w14:paraId="61150B90">
      <w:pPr>
        <w:pStyle w:val="18"/>
        <w:rPr>
          <w:rFonts w:hint="eastAsia"/>
          <w:color w:val="auto"/>
          <w:highlight w:val="none"/>
        </w:rPr>
      </w:pPr>
    </w:p>
    <w:p w14:paraId="56BA1821">
      <w:pPr>
        <w:pStyle w:val="35"/>
        <w:rPr>
          <w:rFonts w:hint="eastAsia" w:ascii="宋体" w:hAnsi="宋体" w:cs="宋体"/>
          <w:bCs w:val="0"/>
          <w:color w:val="auto"/>
          <w:szCs w:val="21"/>
          <w:highlight w:val="none"/>
        </w:rPr>
      </w:pPr>
    </w:p>
    <w:p w14:paraId="12DF25D9">
      <w:pPr>
        <w:pStyle w:val="28"/>
        <w:rPr>
          <w:rFonts w:hint="eastAsia" w:ascii="宋体" w:hAnsi="宋体" w:cs="宋体"/>
          <w:bCs w:val="0"/>
          <w:color w:val="auto"/>
          <w:szCs w:val="21"/>
          <w:highlight w:val="none"/>
        </w:rPr>
      </w:pPr>
    </w:p>
    <w:p w14:paraId="653836A4">
      <w:pPr>
        <w:rPr>
          <w:rFonts w:hint="eastAsia" w:ascii="宋体" w:hAnsi="宋体" w:cs="宋体"/>
          <w:bCs w:val="0"/>
          <w:color w:val="auto"/>
          <w:szCs w:val="21"/>
          <w:highlight w:val="none"/>
        </w:rPr>
      </w:pPr>
    </w:p>
    <w:p w14:paraId="1341D5F9">
      <w:pPr>
        <w:pStyle w:val="11"/>
        <w:rPr>
          <w:rFonts w:hint="eastAsia"/>
        </w:rPr>
      </w:pPr>
    </w:p>
    <w:p w14:paraId="0F6DF9F4">
      <w:pPr>
        <w:pStyle w:val="35"/>
        <w:rPr>
          <w:rFonts w:hint="eastAsia" w:ascii="宋体" w:hAnsi="宋体" w:cs="宋体"/>
          <w:bCs w:val="0"/>
          <w:color w:val="auto"/>
          <w:szCs w:val="21"/>
          <w:highlight w:val="none"/>
        </w:rPr>
      </w:pPr>
    </w:p>
    <w:p w14:paraId="7E6182A4">
      <w:pPr>
        <w:pStyle w:val="35"/>
        <w:rPr>
          <w:rFonts w:hint="eastAsia" w:ascii="宋体" w:hAnsi="宋体" w:cs="宋体"/>
          <w:bCs w:val="0"/>
          <w:color w:val="auto"/>
          <w:szCs w:val="21"/>
          <w:highlight w:val="none"/>
        </w:rPr>
      </w:pPr>
    </w:p>
    <w:p w14:paraId="64CE3922">
      <w:pPr>
        <w:pStyle w:val="3"/>
        <w:pageBreakBefore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color w:val="auto"/>
          <w:highlight w:val="none"/>
        </w:rPr>
      </w:pPr>
      <w:r>
        <w:rPr>
          <w:rFonts w:hint="eastAsia"/>
          <w:color w:val="auto"/>
          <w:highlight w:val="none"/>
        </w:rPr>
        <w:t>第二章 投标须知</w:t>
      </w:r>
    </w:p>
    <w:p w14:paraId="50ADBE4A">
      <w:pPr>
        <w:pStyle w:val="4"/>
        <w:pageBreakBefore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color w:val="auto"/>
          <w:sz w:val="28"/>
          <w:szCs w:val="28"/>
          <w:highlight w:val="none"/>
        </w:rPr>
      </w:pPr>
      <w:r>
        <w:rPr>
          <w:rFonts w:hint="eastAsia"/>
          <w:color w:val="auto"/>
          <w:sz w:val="28"/>
          <w:szCs w:val="28"/>
          <w:highlight w:val="none"/>
        </w:rPr>
        <w:t>一、投标须知前附表</w:t>
      </w:r>
    </w:p>
    <w:tbl>
      <w:tblPr>
        <w:tblStyle w:val="37"/>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8155"/>
      </w:tblGrid>
      <w:tr w14:paraId="75B9B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1D6B4875">
            <w:pPr>
              <w:tabs>
                <w:tab w:val="left" w:pos="105"/>
                <w:tab w:val="left" w:pos="735"/>
                <w:tab w:val="left" w:pos="945"/>
                <w:tab w:val="left" w:pos="3360"/>
              </w:tabs>
              <w:adjustRightInd w:val="0"/>
              <w:snapToGrid w:val="0"/>
              <w:spacing w:line="440" w:lineRule="atLeas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772273DE">
            <w:pPr>
              <w:tabs>
                <w:tab w:val="left" w:pos="105"/>
                <w:tab w:val="left" w:pos="735"/>
                <w:tab w:val="left" w:pos="945"/>
                <w:tab w:val="left" w:pos="3360"/>
              </w:tabs>
              <w:adjustRightInd w:val="0"/>
              <w:snapToGrid w:val="0"/>
              <w:spacing w:line="44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内 容</w:t>
            </w:r>
          </w:p>
        </w:tc>
      </w:tr>
      <w:tr w14:paraId="3893D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393FD1D5">
            <w:pPr>
              <w:tabs>
                <w:tab w:val="left" w:pos="105"/>
                <w:tab w:val="left" w:pos="735"/>
                <w:tab w:val="left" w:pos="945"/>
                <w:tab w:val="left" w:pos="3360"/>
              </w:tabs>
              <w:adjustRightInd w:val="0"/>
              <w:snapToGrid w:val="0"/>
              <w:spacing w:line="440" w:lineRule="atLeas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155" w:type="dxa"/>
            <w:tcBorders>
              <w:top w:val="single" w:color="auto" w:sz="4" w:space="0"/>
              <w:left w:val="single" w:color="auto" w:sz="4" w:space="0"/>
              <w:bottom w:val="single" w:color="auto" w:sz="4" w:space="0"/>
              <w:right w:val="single" w:color="auto" w:sz="4" w:space="0"/>
            </w:tcBorders>
            <w:noWrap w:val="0"/>
            <w:vAlign w:val="top"/>
          </w:tcPr>
          <w:p w14:paraId="2F5EB6F2">
            <w:pPr>
              <w:keepNext w:val="0"/>
              <w:keepLines w:val="0"/>
              <w:pageBreakBefore w:val="0"/>
              <w:widowControl w:val="0"/>
              <w:tabs>
                <w:tab w:val="left" w:pos="502"/>
              </w:tabs>
              <w:kinsoku/>
              <w:wordWrap/>
              <w:overflowPunct/>
              <w:topLinePunct w:val="0"/>
              <w:bidi w:val="0"/>
              <w:adjustRightInd w:val="0"/>
              <w:snapToGrid w:val="0"/>
              <w:spacing w:line="460" w:lineRule="exact"/>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项目编号：</w:t>
            </w:r>
            <w:r>
              <w:rPr>
                <w:rFonts w:hint="eastAsia" w:ascii="宋体" w:hAnsi="宋体" w:cs="宋体"/>
                <w:color w:val="auto"/>
                <w:sz w:val="24"/>
                <w:highlight w:val="none"/>
                <w:lang w:eastAsia="zh-CN"/>
              </w:rPr>
              <w:t>ZJQY-2025-011CG</w:t>
            </w:r>
          </w:p>
          <w:p w14:paraId="34F20940">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象山县贤庠镇敬老院认知症照护专区改造项目</w:t>
            </w:r>
          </w:p>
        </w:tc>
      </w:tr>
      <w:tr w14:paraId="10E68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0E193D08">
            <w:pPr>
              <w:tabs>
                <w:tab w:val="left" w:pos="105"/>
                <w:tab w:val="left" w:pos="735"/>
                <w:tab w:val="left" w:pos="945"/>
                <w:tab w:val="left" w:pos="3360"/>
              </w:tabs>
              <w:adjustRightInd w:val="0"/>
              <w:snapToGrid w:val="0"/>
              <w:spacing w:line="440" w:lineRule="atLeas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76AFC9C1">
            <w:pPr>
              <w:tabs>
                <w:tab w:val="left" w:pos="363"/>
              </w:tabs>
              <w:overflowPunct w:val="0"/>
              <w:autoSpaceDE w:val="0"/>
              <w:autoSpaceDN w:val="0"/>
              <w:adjustRightInd w:val="0"/>
              <w:snapToGrid w:val="0"/>
              <w:spacing w:line="44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购</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象山县贤庠镇人民政府</w:t>
            </w:r>
          </w:p>
          <w:p w14:paraId="5D1CFB99">
            <w:pPr>
              <w:tabs>
                <w:tab w:val="left" w:pos="363"/>
              </w:tabs>
              <w:overflowPunct w:val="0"/>
              <w:autoSpaceDE w:val="0"/>
              <w:autoSpaceDN w:val="0"/>
              <w:adjustRightInd w:val="0"/>
              <w:snapToGrid w:val="0"/>
              <w:spacing w:line="44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lang w:val="en-US" w:eastAsia="zh-CN"/>
              </w:rPr>
              <w:t>李主任</w:t>
            </w:r>
            <w:r>
              <w:rPr>
                <w:rFonts w:hint="eastAsia" w:ascii="宋体" w:hAnsi="宋体" w:eastAsia="宋体" w:cs="宋体"/>
                <w:color w:val="auto"/>
                <w:sz w:val="24"/>
                <w:szCs w:val="24"/>
                <w:highlight w:val="none"/>
                <w:lang w:val="en-US" w:eastAsia="zh-CN"/>
              </w:rPr>
              <w:t xml:space="preserve"> </w:t>
            </w:r>
          </w:p>
          <w:p w14:paraId="11D76C92">
            <w:pPr>
              <w:tabs>
                <w:tab w:val="left" w:pos="363"/>
              </w:tabs>
              <w:overflowPunct w:val="0"/>
              <w:autoSpaceDE w:val="0"/>
              <w:autoSpaceDN w:val="0"/>
              <w:adjustRightInd w:val="0"/>
              <w:snapToGrid w:val="0"/>
              <w:spacing w:line="440" w:lineRule="exact"/>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电  话：</w:t>
            </w:r>
            <w:r>
              <w:rPr>
                <w:rFonts w:hint="eastAsia" w:ascii="宋体" w:hAnsi="宋体" w:eastAsia="宋体" w:cs="宋体"/>
                <w:color w:val="auto"/>
                <w:sz w:val="24"/>
                <w:szCs w:val="24"/>
                <w:highlight w:val="none"/>
              </w:rPr>
              <w:t>13968381690</w:t>
            </w:r>
          </w:p>
        </w:tc>
      </w:tr>
      <w:tr w14:paraId="4730F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68A1A7B8">
            <w:pPr>
              <w:tabs>
                <w:tab w:val="left" w:pos="105"/>
                <w:tab w:val="left" w:pos="735"/>
                <w:tab w:val="left" w:pos="945"/>
                <w:tab w:val="left" w:pos="3360"/>
              </w:tabs>
              <w:adjustRightInd w:val="0"/>
              <w:snapToGrid w:val="0"/>
              <w:spacing w:line="440" w:lineRule="atLeas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6100FB71">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采购方式：公开采购</w:t>
            </w:r>
          </w:p>
          <w:p w14:paraId="79951E53">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评标办法：综合评分法</w:t>
            </w:r>
          </w:p>
        </w:tc>
      </w:tr>
      <w:tr w14:paraId="32A98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03D5EA4D">
            <w:pPr>
              <w:tabs>
                <w:tab w:val="left" w:pos="105"/>
                <w:tab w:val="left" w:pos="735"/>
                <w:tab w:val="left" w:pos="945"/>
                <w:tab w:val="left" w:pos="3360"/>
              </w:tabs>
              <w:adjustRightInd w:val="0"/>
              <w:snapToGrid w:val="0"/>
              <w:spacing w:line="440" w:lineRule="atLeas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42907EB2">
            <w:pPr>
              <w:keepNext w:val="0"/>
              <w:keepLines w:val="0"/>
              <w:pageBreakBefore w:val="0"/>
              <w:widowControl w:val="0"/>
              <w:tabs>
                <w:tab w:val="left" w:pos="502"/>
              </w:tabs>
              <w:kinsoku/>
              <w:wordWrap/>
              <w:overflowPunct/>
              <w:topLinePunct w:val="0"/>
              <w:autoSpaceDE/>
              <w:autoSpaceDN/>
              <w:bidi w:val="0"/>
              <w:adjustRightInd w:val="0"/>
              <w:snapToGrid w:val="0"/>
              <w:spacing w:line="440" w:lineRule="exact"/>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合同签订期限：中标通知书发出之日起</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日内；</w:t>
            </w:r>
          </w:p>
          <w:p w14:paraId="44D84AFA">
            <w:pPr>
              <w:pStyle w:val="121"/>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付款方式：</w:t>
            </w:r>
          </w:p>
          <w:p w14:paraId="2DD22631">
            <w:pPr>
              <w:pStyle w:val="121"/>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（1）合同签订并采购人发出供货通知后15天内支付合同价款的40%作为预付款（支付前，供应商向采购人提交等额预付款保函且经采购人认可）；</w:t>
            </w:r>
          </w:p>
          <w:p w14:paraId="7927297F">
            <w:pPr>
              <w:keepNext w:val="0"/>
              <w:keepLines w:val="0"/>
              <w:pageBreakBefore w:val="0"/>
              <w:widowControl/>
              <w:kinsoku/>
              <w:wordWrap/>
              <w:overflowPunct/>
              <w:topLinePunct w:val="0"/>
              <w:autoSpaceDE/>
              <w:autoSpaceDN/>
              <w:bidi w:val="0"/>
              <w:adjustRightInd w:val="0"/>
              <w:snapToGrid w:val="0"/>
              <w:spacing w:line="440" w:lineRule="exact"/>
              <w:ind w:left="0" w:firstLine="482" w:firstLineChars="200"/>
              <w:textAlignment w:val="auto"/>
              <w:rPr>
                <w:rFonts w:hint="eastAsia" w:ascii="宋体" w:hAnsi="宋体"/>
                <w:b/>
                <w:bCs w:val="0"/>
                <w:snapToGrid w:val="0"/>
                <w:color w:val="auto"/>
                <w:kern w:val="0"/>
                <w:sz w:val="24"/>
                <w:highlight w:val="none"/>
              </w:rPr>
            </w:pPr>
            <w:r>
              <w:rPr>
                <w:rFonts w:hint="eastAsia" w:ascii="宋体" w:hAnsi="宋体" w:eastAsia="宋体" w:cs="宋体"/>
                <w:b/>
                <w:bCs w:val="0"/>
                <w:color w:val="auto"/>
                <w:sz w:val="24"/>
                <w:highlight w:val="none"/>
                <w:lang w:val="en-US" w:eastAsia="zh-CN"/>
              </w:rPr>
              <w:t>（2）</w:t>
            </w:r>
            <w:r>
              <w:rPr>
                <w:rFonts w:hint="eastAsia" w:ascii="宋体" w:hAnsi="宋体"/>
                <w:b/>
                <w:bCs w:val="0"/>
                <w:snapToGrid w:val="0"/>
                <w:color w:val="auto"/>
                <w:kern w:val="0"/>
                <w:sz w:val="24"/>
                <w:highlight w:val="none"/>
                <w:lang w:val="en-US" w:eastAsia="zh-CN"/>
              </w:rPr>
              <w:t>验收合格后并</w:t>
            </w:r>
            <w:r>
              <w:rPr>
                <w:rFonts w:ascii="宋体" w:hAnsi="宋体"/>
                <w:b/>
                <w:bCs w:val="0"/>
                <w:snapToGrid w:val="0"/>
                <w:color w:val="auto"/>
                <w:kern w:val="0"/>
                <w:sz w:val="24"/>
                <w:highlight w:val="none"/>
              </w:rPr>
              <w:t>提交完整的技术资料</w:t>
            </w:r>
            <w:r>
              <w:rPr>
                <w:rFonts w:hint="eastAsia" w:ascii="宋体" w:hAnsi="宋体"/>
                <w:b/>
                <w:bCs w:val="0"/>
                <w:snapToGrid w:val="0"/>
                <w:color w:val="auto"/>
                <w:kern w:val="0"/>
                <w:sz w:val="24"/>
                <w:highlight w:val="none"/>
                <w:lang w:val="en-US" w:eastAsia="zh-CN"/>
              </w:rPr>
              <w:t>后28天内支付至合同价款的100</w:t>
            </w:r>
            <w:r>
              <w:rPr>
                <w:rFonts w:hint="eastAsia" w:ascii="宋体" w:hAnsi="宋体"/>
                <w:b/>
                <w:bCs w:val="0"/>
                <w:snapToGrid w:val="0"/>
                <w:color w:val="auto"/>
                <w:kern w:val="0"/>
                <w:sz w:val="24"/>
                <w:highlight w:val="none"/>
              </w:rPr>
              <w:t>%。</w:t>
            </w:r>
          </w:p>
          <w:p w14:paraId="12245EBA">
            <w:pPr>
              <w:pStyle w:val="121"/>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注：</w:t>
            </w:r>
          </w:p>
          <w:p w14:paraId="0722699A">
            <w:pPr>
              <w:pStyle w:val="121"/>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（1）在签订合同时，供应商明确表示无需预付款或者主动要求降低预付款比例的，采购合同可不适用前述规定。</w:t>
            </w:r>
          </w:p>
          <w:p w14:paraId="13170600">
            <w:pPr>
              <w:pStyle w:val="121"/>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（2）如上级资金拨款未到位，预付款支付时间相应推迟。</w:t>
            </w:r>
          </w:p>
          <w:p w14:paraId="1F174F27">
            <w:pPr>
              <w:pStyle w:val="121"/>
              <w:keepNext w:val="0"/>
              <w:keepLines w:val="0"/>
              <w:pageBreakBefore w:val="0"/>
              <w:widowControl w:val="0"/>
              <w:kinsoku/>
              <w:wordWrap/>
              <w:overflowPunct/>
              <w:topLinePunct w:val="0"/>
              <w:bidi w:val="0"/>
              <w:spacing w:line="440" w:lineRule="exact"/>
              <w:ind w:firstLine="482" w:firstLineChars="200"/>
              <w:textAlignment w:val="auto"/>
              <w:rPr>
                <w:rFonts w:hint="eastAsia"/>
                <w:highlight w:val="none"/>
              </w:rPr>
            </w:pPr>
            <w:r>
              <w:rPr>
                <w:rFonts w:hint="eastAsia" w:ascii="宋体" w:hAnsi="宋体" w:eastAsia="宋体" w:cs="宋体"/>
                <w:b/>
                <w:bCs w:val="0"/>
                <w:color w:val="auto"/>
                <w:sz w:val="24"/>
                <w:highlight w:val="none"/>
                <w:lang w:val="en-US" w:eastAsia="zh-CN"/>
              </w:rPr>
              <w:t>（3）乙方按甲方要求提供全额增值税发票。</w:t>
            </w:r>
          </w:p>
        </w:tc>
      </w:tr>
      <w:tr w14:paraId="2BA2D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57BE5C91">
            <w:pPr>
              <w:tabs>
                <w:tab w:val="left" w:pos="105"/>
                <w:tab w:val="left" w:pos="735"/>
                <w:tab w:val="left" w:pos="945"/>
                <w:tab w:val="left" w:pos="3360"/>
              </w:tabs>
              <w:adjustRightInd w:val="0"/>
              <w:snapToGrid w:val="0"/>
              <w:spacing w:line="440" w:lineRule="atLeas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0A561F22">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46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服务期限：</w:t>
            </w:r>
            <w:r>
              <w:rPr>
                <w:rFonts w:hint="eastAsia" w:ascii="宋体" w:hAnsi="宋体"/>
                <w:color w:val="auto"/>
                <w:sz w:val="24"/>
                <w:highlight w:val="none"/>
              </w:rPr>
              <w:t>详见采购需求</w:t>
            </w:r>
          </w:p>
        </w:tc>
      </w:tr>
      <w:tr w14:paraId="247A5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7A7871E0">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26336027">
            <w:pPr>
              <w:adjustRightInd/>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质量目标：</w:t>
            </w:r>
            <w:r>
              <w:rPr>
                <w:rFonts w:hint="eastAsia" w:ascii="宋体" w:hAnsi="宋体"/>
                <w:color w:val="auto"/>
                <w:sz w:val="24"/>
                <w:highlight w:val="none"/>
              </w:rPr>
              <w:t>合格。</w:t>
            </w:r>
          </w:p>
        </w:tc>
      </w:tr>
      <w:tr w14:paraId="2F2C1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23E14BD7">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221BC0F0">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获取采购文件方式：</w:t>
            </w:r>
          </w:p>
          <w:p w14:paraId="4700E2B6">
            <w:pPr>
              <w:keepNext w:val="0"/>
              <w:keepLines w:val="0"/>
              <w:pageBreakBefore w:val="0"/>
              <w:widowControl w:val="0"/>
              <w:kinsoku/>
              <w:wordWrap/>
              <w:overflowPunct/>
              <w:topLinePunct w:val="0"/>
              <w:bidi w:val="0"/>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网上下载，供应商自公告之日起至投标截止时间内可登录浙江政府采购网（http://zfcg.czt.zj.gov.cn）“项目采购”模块进入政采云系统“获取采购文件”菜单，进行网上获取采购文件。</w:t>
            </w:r>
          </w:p>
          <w:p w14:paraId="1C28D777">
            <w:pPr>
              <w:keepNext w:val="0"/>
              <w:keepLines w:val="0"/>
              <w:pageBreakBefore w:val="0"/>
              <w:widowControl w:val="0"/>
              <w:kinsoku/>
              <w:wordWrap/>
              <w:overflowPunct/>
              <w:topLinePunct w:val="0"/>
              <w:bidi w:val="0"/>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获取采购文件前，供应商应按照《浙江省政府采购供应商注册及诚信管理暂行办法》的规定在浙江政府采购网zfcg.czt.zj.gov.cn上注册，并登记加入浙江省政府采购供应商库。 具体要求及注册申请流程详见《浙江省政府采购供应商注册及诚信管理暂行办法》（浙财采监字{2009}28号）和浙江政府采购网“网上办事指南”的“供应商注册申请”。注册咨询电话：</w:t>
            </w:r>
            <w:r>
              <w:rPr>
                <w:rFonts w:hint="eastAsia" w:ascii="宋体" w:hAnsi="宋体" w:cs="宋体"/>
                <w:color w:val="auto"/>
                <w:sz w:val="24"/>
                <w:highlight w:val="none"/>
                <w:lang w:val="en-US" w:eastAsia="zh-CN"/>
              </w:rPr>
              <w:t>95763</w:t>
            </w:r>
            <w:r>
              <w:rPr>
                <w:rFonts w:hint="eastAsia" w:ascii="宋体" w:hAnsi="宋体" w:cs="宋体"/>
                <w:color w:val="auto"/>
                <w:sz w:val="24"/>
                <w:highlight w:val="none"/>
              </w:rPr>
              <w:t>，如未注册的供应商，请注意注册所需时间。</w:t>
            </w:r>
          </w:p>
          <w:p w14:paraId="5CFCFCF7">
            <w:pPr>
              <w:keepNext w:val="0"/>
              <w:keepLines w:val="0"/>
              <w:pageBreakBefore w:val="0"/>
              <w:widowControl w:val="0"/>
              <w:kinsoku/>
              <w:wordWrap/>
              <w:overflowPunct/>
              <w:topLinePunct w:val="0"/>
              <w:bidi w:val="0"/>
              <w:spacing w:line="460" w:lineRule="exact"/>
              <w:ind w:firstLine="480" w:firstLineChars="200"/>
              <w:jc w:val="left"/>
              <w:textAlignment w:val="auto"/>
              <w:rPr>
                <w:rFonts w:hint="eastAsia" w:ascii="宋体" w:hAnsi="宋体" w:cs="宋体"/>
                <w:bCs/>
                <w:color w:val="auto"/>
                <w:sz w:val="24"/>
                <w:highlight w:val="none"/>
              </w:rPr>
            </w:pPr>
            <w:r>
              <w:rPr>
                <w:rFonts w:hint="eastAsia" w:ascii="宋体" w:hAnsi="宋体" w:cs="宋体"/>
                <w:color w:val="auto"/>
                <w:sz w:val="24"/>
                <w:highlight w:val="none"/>
              </w:rPr>
              <w:t>本采购公告附件中的采购文件仅供阅览使用，供应商应在规定的采购文件提供期限内在政采云平台（http://www.zcygov.cn）登录上述供应商注册的账号后获取采购文件，未在规定的采购文件提供期限内或未按上述方式获取采购文件的，其投标均视为无效，并不得对采购文件提起质疑投诉。</w:t>
            </w:r>
          </w:p>
        </w:tc>
      </w:tr>
      <w:tr w14:paraId="22908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0D6E26F2">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04A6E3A8">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踏勘现场：</w:t>
            </w:r>
            <w:r>
              <w:rPr>
                <w:rFonts w:hint="eastAsia" w:ascii="宋体" w:hAnsi="宋体" w:cs="宋体"/>
                <w:bCs/>
                <w:color w:val="auto"/>
                <w:sz w:val="24"/>
                <w:highlight w:val="none"/>
              </w:rPr>
              <w:t>供应商可对项目现场和周围环境进行踏勘，以获取编制响应文件和签署合同所需的资料。踏勘现场所发生的费用由供应商自己承担。</w:t>
            </w:r>
          </w:p>
        </w:tc>
      </w:tr>
      <w:tr w14:paraId="0D740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0530C1B6">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18491353">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响应文件接收单位：</w:t>
            </w:r>
            <w:r>
              <w:rPr>
                <w:rFonts w:hint="eastAsia" w:ascii="宋体" w:hAnsi="宋体" w:cs="宋体"/>
                <w:bCs/>
                <w:color w:val="auto"/>
                <w:sz w:val="24"/>
                <w:highlight w:val="none"/>
                <w:lang w:eastAsia="zh-CN"/>
              </w:rPr>
              <w:t>浙江乾原工程管理有限公司</w:t>
            </w:r>
          </w:p>
          <w:p w14:paraId="50891004">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投标截止时间：</w:t>
            </w:r>
            <w:r>
              <w:rPr>
                <w:rFonts w:hint="eastAsia" w:ascii="宋体" w:hAnsi="宋体" w:cs="宋体"/>
                <w:bCs/>
                <w:color w:val="auto"/>
                <w:sz w:val="24"/>
                <w:highlight w:val="none"/>
                <w:lang w:eastAsia="zh-CN"/>
              </w:rPr>
              <w:t>20</w:t>
            </w:r>
            <w:r>
              <w:rPr>
                <w:rFonts w:hint="eastAsia" w:ascii="宋体" w:hAnsi="宋体" w:cs="宋体"/>
                <w:bCs/>
                <w:color w:val="auto"/>
                <w:sz w:val="24"/>
                <w:highlight w:val="none"/>
                <w:lang w:val="en-US" w:eastAsia="zh-CN"/>
              </w:rPr>
              <w:t>25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时</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分。</w:t>
            </w:r>
          </w:p>
          <w:p w14:paraId="79DBB8FF">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递交地址：象山县公共资源交易中心四楼开标厅（二）（象山港路300号）</w:t>
            </w:r>
          </w:p>
          <w:p w14:paraId="6748500A">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cs="宋体"/>
                <w:color w:val="auto"/>
                <w:sz w:val="24"/>
                <w:highlight w:val="none"/>
              </w:rPr>
            </w:pPr>
            <w:r>
              <w:rPr>
                <w:rFonts w:hint="eastAsia" w:ascii="宋体" w:hAnsi="宋体" w:cs="宋体"/>
                <w:bCs/>
                <w:color w:val="auto"/>
                <w:sz w:val="24"/>
                <w:highlight w:val="none"/>
              </w:rPr>
              <w:t>递交方式：详见采购公告</w:t>
            </w:r>
          </w:p>
        </w:tc>
      </w:tr>
      <w:tr w14:paraId="39A26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3B1C1E63">
            <w:pPr>
              <w:tabs>
                <w:tab w:val="left" w:pos="105"/>
                <w:tab w:val="left" w:pos="735"/>
                <w:tab w:val="left" w:pos="945"/>
                <w:tab w:val="left" w:pos="3360"/>
              </w:tabs>
              <w:adjustRightInd w:val="0"/>
              <w:snapToGrid w:val="0"/>
              <w:spacing w:line="44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1182E58B">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开标时间：</w:t>
            </w:r>
            <w:r>
              <w:rPr>
                <w:rFonts w:hint="eastAsia" w:ascii="宋体" w:hAnsi="宋体" w:cs="宋体"/>
                <w:bCs/>
                <w:color w:val="auto"/>
                <w:sz w:val="24"/>
                <w:highlight w:val="none"/>
                <w:lang w:eastAsia="zh-CN"/>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时</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分。</w:t>
            </w:r>
          </w:p>
          <w:p w14:paraId="1CD07CE6">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cs="宋体"/>
                <w:color w:val="auto"/>
                <w:sz w:val="24"/>
                <w:highlight w:val="none"/>
              </w:rPr>
            </w:pPr>
            <w:r>
              <w:rPr>
                <w:rFonts w:hint="eastAsia" w:ascii="宋体" w:hAnsi="宋体" w:cs="宋体"/>
                <w:bCs/>
                <w:color w:val="auto"/>
                <w:sz w:val="24"/>
                <w:highlight w:val="none"/>
              </w:rPr>
              <w:t>开标地点：象山县公共资源交易中心四楼开标厅（二）（象山港路300号）</w:t>
            </w:r>
          </w:p>
        </w:tc>
      </w:tr>
      <w:tr w14:paraId="53926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2AC5C3EE">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235196E4">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460" w:lineRule="exact"/>
              <w:jc w:val="left"/>
              <w:textAlignment w:val="auto"/>
              <w:rPr>
                <w:rFonts w:hint="eastAsia"/>
                <w:color w:val="auto"/>
                <w:sz w:val="24"/>
                <w:highlight w:val="none"/>
              </w:rPr>
            </w:pPr>
            <w:r>
              <w:rPr>
                <w:rFonts w:hint="eastAsia" w:ascii="宋体" w:hAnsi="宋体" w:cs="宋体"/>
                <w:color w:val="auto"/>
                <w:sz w:val="24"/>
                <w:highlight w:val="none"/>
              </w:rPr>
              <w:t>电子备份文件1份，以U盘或光盘形式储存。</w:t>
            </w:r>
          </w:p>
        </w:tc>
      </w:tr>
      <w:tr w14:paraId="6A131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0DE849AB">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32924918">
            <w:pPr>
              <w:keepNext w:val="0"/>
              <w:keepLines w:val="0"/>
              <w:pageBreakBefore w:val="0"/>
              <w:widowControl w:val="0"/>
              <w:tabs>
                <w:tab w:val="left" w:pos="0"/>
              </w:tabs>
              <w:kinsoku/>
              <w:wordWrap/>
              <w:overflowPunct/>
              <w:topLinePunct w:val="0"/>
              <w:bidi w:val="0"/>
              <w:adjustRightInd w:val="0"/>
              <w:snapToGrid w:val="0"/>
              <w:spacing w:line="460" w:lineRule="exact"/>
              <w:jc w:val="left"/>
              <w:textAlignment w:val="auto"/>
              <w:rPr>
                <w:rFonts w:hint="eastAsia" w:ascii="宋体" w:hAnsi="宋体" w:cs="宋体"/>
                <w:bCs/>
                <w:color w:val="auto"/>
                <w:sz w:val="24"/>
                <w:highlight w:val="none"/>
              </w:rPr>
            </w:pPr>
            <w:r>
              <w:rPr>
                <w:rFonts w:hint="eastAsia" w:ascii="宋体" w:hAnsi="宋体" w:cs="宋体"/>
                <w:color w:val="auto"/>
                <w:sz w:val="24"/>
                <w:highlight w:val="none"/>
              </w:rPr>
              <w:t>投标保证金：本项目不收取投标保证金。　</w:t>
            </w:r>
            <w:r>
              <w:rPr>
                <w:rFonts w:hint="eastAsia" w:ascii="宋体" w:hAnsi="宋体" w:cs="宋体"/>
                <w:bCs/>
                <w:color w:val="auto"/>
                <w:sz w:val="24"/>
                <w:highlight w:val="none"/>
              </w:rPr>
              <w:t>　</w:t>
            </w:r>
          </w:p>
        </w:tc>
      </w:tr>
      <w:tr w14:paraId="24019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5E4C81E0">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4E8B387B">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标书费人民币0元</w:t>
            </w:r>
            <w:r>
              <w:rPr>
                <w:rFonts w:hint="eastAsia" w:ascii="宋体" w:hAnsi="宋体" w:cs="宋体"/>
                <w:color w:val="auto"/>
                <w:sz w:val="24"/>
                <w:highlight w:val="none"/>
                <w:lang w:eastAsia="zh-CN"/>
              </w:rPr>
              <w:t>。</w:t>
            </w:r>
          </w:p>
        </w:tc>
      </w:tr>
      <w:tr w14:paraId="2CD07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16332AE7">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48AD7F17">
            <w:pPr>
              <w:keepNext w:val="0"/>
              <w:keepLines w:val="0"/>
              <w:pageBreakBefore w:val="0"/>
              <w:widowControl w:val="0"/>
              <w:kinsoku/>
              <w:wordWrap/>
              <w:overflowPunct/>
              <w:topLinePunct w:val="0"/>
              <w:bidi w:val="0"/>
              <w:spacing w:line="460" w:lineRule="exact"/>
              <w:textAlignment w:val="auto"/>
              <w:rPr>
                <w:rFonts w:hint="eastAsia" w:ascii="宋体" w:hAnsi="宋体"/>
                <w:color w:val="auto"/>
                <w:sz w:val="24"/>
                <w:highlight w:val="none"/>
              </w:rPr>
            </w:pPr>
            <w:r>
              <w:rPr>
                <w:rFonts w:hint="eastAsia" w:ascii="宋体" w:hAnsi="宋体"/>
                <w:color w:val="auto"/>
                <w:sz w:val="24"/>
                <w:highlight w:val="none"/>
              </w:rPr>
              <w:t>本次采购合同预算金额为：</w:t>
            </w:r>
            <w:r>
              <w:rPr>
                <w:rFonts w:hint="eastAsia" w:ascii="宋体" w:hAnsi="宋体" w:cs="宋体"/>
                <w:i w:val="0"/>
                <w:iCs w:val="0"/>
                <w:caps w:val="0"/>
                <w:color w:val="000000"/>
                <w:spacing w:val="0"/>
                <w:sz w:val="24"/>
                <w:szCs w:val="24"/>
                <w:highlight w:val="none"/>
                <w:u w:val="single"/>
                <w:shd w:val="clear" w:color="auto" w:fill="FFFFFF"/>
                <w:lang w:val="en-US" w:eastAsia="zh-CN"/>
              </w:rPr>
              <w:t>45</w:t>
            </w:r>
            <w:r>
              <w:rPr>
                <w:rFonts w:hint="eastAsia" w:ascii="宋体" w:hAnsi="宋体"/>
                <w:color w:val="auto"/>
                <w:sz w:val="24"/>
                <w:highlight w:val="none"/>
                <w:u w:val="single"/>
              </w:rPr>
              <w:t>万元</w:t>
            </w:r>
            <w:r>
              <w:rPr>
                <w:rFonts w:hint="eastAsia" w:ascii="宋体" w:hAnsi="宋体"/>
                <w:color w:val="auto"/>
                <w:sz w:val="24"/>
                <w:highlight w:val="none"/>
              </w:rPr>
              <w:t>；</w:t>
            </w:r>
          </w:p>
          <w:p w14:paraId="0D02483D">
            <w:pPr>
              <w:keepNext w:val="0"/>
              <w:keepLines w:val="0"/>
              <w:pageBreakBefore w:val="0"/>
              <w:widowControl w:val="0"/>
              <w:kinsoku/>
              <w:wordWrap/>
              <w:overflowPunct/>
              <w:topLinePunct w:val="0"/>
              <w:bidi w:val="0"/>
              <w:spacing w:line="460" w:lineRule="exact"/>
              <w:textAlignment w:val="auto"/>
              <w:rPr>
                <w:rFonts w:hint="eastAsia" w:ascii="宋体" w:hAnsi="宋体"/>
                <w:color w:val="auto"/>
                <w:sz w:val="24"/>
                <w:highlight w:val="none"/>
              </w:rPr>
            </w:pPr>
            <w:r>
              <w:rPr>
                <w:rFonts w:hint="eastAsia" w:ascii="宋体" w:hAnsi="宋体"/>
                <w:color w:val="auto"/>
                <w:sz w:val="24"/>
                <w:highlight w:val="none"/>
              </w:rPr>
              <w:t>最高限价：</w:t>
            </w:r>
            <w:r>
              <w:rPr>
                <w:rFonts w:hint="eastAsia" w:ascii="宋体" w:hAnsi="宋体" w:cs="宋体"/>
                <w:i w:val="0"/>
                <w:iCs w:val="0"/>
                <w:caps w:val="0"/>
                <w:color w:val="000000"/>
                <w:spacing w:val="0"/>
                <w:sz w:val="24"/>
                <w:szCs w:val="24"/>
                <w:highlight w:val="none"/>
                <w:u w:val="single"/>
                <w:shd w:val="clear" w:color="auto" w:fill="FFFFFF"/>
                <w:lang w:val="en-US" w:eastAsia="zh-CN"/>
              </w:rPr>
              <w:t>45</w:t>
            </w:r>
            <w:r>
              <w:rPr>
                <w:rFonts w:hint="eastAsia" w:ascii="宋体" w:hAnsi="宋体"/>
                <w:color w:val="auto"/>
                <w:sz w:val="24"/>
                <w:highlight w:val="none"/>
                <w:u w:val="single"/>
              </w:rPr>
              <w:t>万元</w:t>
            </w:r>
            <w:r>
              <w:rPr>
                <w:rFonts w:hint="eastAsia" w:ascii="宋体" w:hAnsi="宋体"/>
                <w:color w:val="auto"/>
                <w:sz w:val="24"/>
                <w:highlight w:val="none"/>
              </w:rPr>
              <w:t>，超过最高限价的报价为无效报价。</w:t>
            </w:r>
          </w:p>
          <w:p w14:paraId="74F63378">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460" w:lineRule="exact"/>
              <w:jc w:val="left"/>
              <w:textAlignment w:val="auto"/>
              <w:rPr>
                <w:rFonts w:hint="eastAsia" w:ascii="宋体" w:hAnsi="宋体" w:cs="宋体"/>
                <w:color w:val="auto"/>
                <w:sz w:val="24"/>
                <w:highlight w:val="none"/>
              </w:rPr>
            </w:pPr>
            <w:r>
              <w:rPr>
                <w:rFonts w:hint="eastAsia" w:ascii="宋体" w:hAnsi="宋体"/>
                <w:color w:val="auto"/>
                <w:sz w:val="24"/>
                <w:highlight w:val="none"/>
              </w:rPr>
              <w:t>投标报价超过最高限价或明显低于成本价的作无效标处理。</w:t>
            </w:r>
          </w:p>
        </w:tc>
      </w:tr>
      <w:tr w14:paraId="5A673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593CF834">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16F09EDF">
            <w:pPr>
              <w:keepNext w:val="0"/>
              <w:keepLines w:val="0"/>
              <w:pageBreakBefore w:val="0"/>
              <w:widowControl w:val="0"/>
              <w:kinsoku/>
              <w:wordWrap/>
              <w:overflowPunct/>
              <w:topLinePunct w:val="0"/>
              <w:autoSpaceDE/>
              <w:autoSpaceDN/>
              <w:bidi w:val="0"/>
              <w:spacing w:line="440" w:lineRule="exact"/>
              <w:jc w:val="left"/>
              <w:textAlignment w:val="auto"/>
              <w:rPr>
                <w:rFonts w:ascii="宋体"/>
                <w:b/>
                <w:bCs/>
                <w:color w:val="auto"/>
                <w:sz w:val="24"/>
                <w:highlight w:val="none"/>
              </w:rPr>
            </w:pPr>
            <w:r>
              <w:rPr>
                <w:rFonts w:hint="eastAsia" w:ascii="宋体" w:hAnsi="宋体" w:cs="宋体"/>
                <w:b/>
                <w:bCs/>
                <w:color w:val="auto"/>
                <w:sz w:val="24"/>
                <w:highlight w:val="none"/>
              </w:rPr>
              <w:t>投标报价及费用：</w:t>
            </w:r>
          </w:p>
          <w:p w14:paraId="364BD23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1）本项目投标应以“人民币”报价；</w:t>
            </w:r>
          </w:p>
          <w:p w14:paraId="43B8551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2）本次投标总报价</w:t>
            </w:r>
            <w:r>
              <w:rPr>
                <w:rFonts w:hint="eastAsia" w:ascii="宋体" w:hAnsi="宋体" w:eastAsia="宋体"/>
                <w:b/>
                <w:color w:val="auto"/>
                <w:sz w:val="24"/>
                <w:highlight w:val="none"/>
              </w:rPr>
              <w:t>包括通过验收合格的所有费用以及完成质保期内保修服务等费用，包括但不仅限于：</w:t>
            </w:r>
            <w:r>
              <w:rPr>
                <w:rFonts w:hint="eastAsia" w:ascii="宋体" w:hAnsi="宋体"/>
                <w:b/>
                <w:color w:val="auto"/>
                <w:sz w:val="24"/>
                <w:highlight w:val="none"/>
                <w:lang w:val="en-US" w:eastAsia="zh-CN"/>
              </w:rPr>
              <w:t>设计、</w:t>
            </w:r>
            <w:r>
              <w:rPr>
                <w:rFonts w:hint="eastAsia" w:ascii="宋体" w:hAnsi="宋体" w:eastAsia="宋体" w:cs="宋体"/>
                <w:b/>
                <w:color w:val="auto"/>
                <w:sz w:val="24"/>
                <w:highlight w:val="none"/>
                <w:lang w:val="en-US" w:eastAsia="zh-CN"/>
              </w:rPr>
              <w:t>货款</w:t>
            </w:r>
            <w:r>
              <w:rPr>
                <w:rFonts w:hint="eastAsia" w:ascii="宋体" w:hAnsi="宋体" w:eastAsia="宋体" w:cs="宋体"/>
                <w:b/>
                <w:color w:val="auto"/>
                <w:sz w:val="24"/>
                <w:highlight w:val="none"/>
              </w:rPr>
              <w:t>、包装、运输、装卸、拆除、搬运、</w:t>
            </w:r>
            <w:r>
              <w:rPr>
                <w:rFonts w:hint="eastAsia" w:ascii="宋体" w:hAnsi="宋体" w:eastAsia="宋体"/>
                <w:b/>
                <w:color w:val="auto"/>
                <w:sz w:val="24"/>
                <w:highlight w:val="none"/>
              </w:rPr>
              <w:t>人工、驻场费、机械、安装调</w:t>
            </w:r>
            <w:r>
              <w:rPr>
                <w:rFonts w:hint="eastAsia" w:ascii="宋体" w:hAnsi="宋体" w:eastAsia="宋体" w:cs="宋体"/>
                <w:b/>
                <w:color w:val="auto"/>
                <w:sz w:val="24"/>
                <w:highlight w:val="none"/>
              </w:rPr>
              <w:t>试、</w:t>
            </w:r>
            <w:r>
              <w:rPr>
                <w:rFonts w:hint="eastAsia" w:ascii="宋体" w:hAnsi="宋体" w:eastAsia="宋体"/>
                <w:b/>
                <w:color w:val="auto"/>
                <w:sz w:val="24"/>
                <w:highlight w:val="none"/>
              </w:rPr>
              <w:t>验收、保修及售后服务</w:t>
            </w:r>
            <w:r>
              <w:rPr>
                <w:rFonts w:hint="eastAsia" w:ascii="宋体" w:hAnsi="宋体" w:eastAsia="宋体" w:cs="宋体"/>
                <w:b/>
                <w:color w:val="auto"/>
                <w:sz w:val="24"/>
                <w:highlight w:val="none"/>
              </w:rPr>
              <w:t>、利润、保险、税金</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招标服务费</w:t>
            </w:r>
            <w:r>
              <w:rPr>
                <w:rFonts w:hint="eastAsia" w:ascii="宋体" w:hAnsi="宋体" w:eastAsia="宋体" w:cs="宋体"/>
                <w:b/>
                <w:color w:val="auto"/>
                <w:sz w:val="24"/>
                <w:highlight w:val="none"/>
              </w:rPr>
              <w:t>等完成本项目所需的一切费用</w:t>
            </w:r>
            <w:r>
              <w:rPr>
                <w:rFonts w:hint="eastAsia" w:ascii="宋体" w:hAnsi="宋体" w:eastAsia="宋体" w:cs="宋体"/>
                <w:bCs/>
                <w:color w:val="auto"/>
                <w:sz w:val="24"/>
                <w:highlight w:val="none"/>
              </w:rPr>
              <w:t>。</w:t>
            </w:r>
            <w:r>
              <w:rPr>
                <w:rFonts w:hint="eastAsia" w:ascii="宋体" w:hAnsi="宋体" w:eastAsia="宋体"/>
                <w:color w:val="auto"/>
                <w:sz w:val="24"/>
                <w:highlight w:val="none"/>
              </w:rPr>
              <w:t>投标文件中价格全部采用人民币报价。</w:t>
            </w:r>
            <w:r>
              <w:rPr>
                <w:rFonts w:hint="eastAsia" w:ascii="宋体" w:hAnsi="宋体" w:eastAsia="宋体"/>
                <w:color w:val="auto"/>
                <w:sz w:val="24"/>
                <w:highlight w:val="none"/>
                <w:lang w:eastAsia="zh-CN"/>
              </w:rPr>
              <w:t>采购文件</w:t>
            </w:r>
            <w:r>
              <w:rPr>
                <w:rFonts w:hint="eastAsia" w:ascii="宋体" w:hAnsi="宋体" w:eastAsia="宋体"/>
                <w:color w:val="auto"/>
                <w:sz w:val="24"/>
                <w:highlight w:val="none"/>
              </w:rPr>
              <w:t>未列明，而</w:t>
            </w:r>
            <w:r>
              <w:rPr>
                <w:rFonts w:hint="eastAsia" w:ascii="宋体" w:hAnsi="宋体"/>
                <w:color w:val="auto"/>
                <w:sz w:val="24"/>
                <w:highlight w:val="none"/>
                <w:lang w:eastAsia="zh-CN"/>
              </w:rPr>
              <w:t>供应商</w:t>
            </w:r>
            <w:r>
              <w:rPr>
                <w:rFonts w:hint="eastAsia" w:ascii="宋体" w:hAnsi="宋体" w:eastAsia="宋体"/>
                <w:color w:val="auto"/>
                <w:sz w:val="24"/>
                <w:highlight w:val="none"/>
              </w:rPr>
              <w:t>认为必需的费用也需列入报价。</w:t>
            </w:r>
            <w:r>
              <w:rPr>
                <w:rFonts w:hint="eastAsia" w:ascii="宋体" w:hAnsi="宋体" w:eastAsia="宋体" w:cs="Times New Roman"/>
                <w:color w:val="auto"/>
                <w:sz w:val="24"/>
                <w:highlight w:val="none"/>
                <w:lang w:val="en-US" w:eastAsia="zh-CN"/>
              </w:rPr>
              <w:t>采购人不再另行支付其他任何形式的费用。</w:t>
            </w:r>
          </w:p>
          <w:p w14:paraId="753121C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3）供应商在报价时须充分预估项目实施过程中可能遇到的各种风险，事后不得以任何理由要求增加费用。</w:t>
            </w:r>
          </w:p>
          <w:p w14:paraId="7FC7715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cs="宋体"/>
                <w:bCs/>
                <w:color w:val="auto"/>
                <w:sz w:val="24"/>
                <w:highlight w:val="none"/>
              </w:rPr>
            </w:pPr>
            <w:r>
              <w:rPr>
                <w:rFonts w:hint="eastAsia" w:ascii="宋体" w:hAnsi="宋体" w:eastAsia="宋体" w:cs="Times New Roman"/>
                <w:color w:val="auto"/>
                <w:sz w:val="24"/>
                <w:highlight w:val="none"/>
                <w:lang w:val="en-US" w:eastAsia="zh-CN"/>
              </w:rPr>
              <w:t>4）不论投标结果如何，供应商均应自行承担所有与投标有关的费用。</w:t>
            </w:r>
          </w:p>
        </w:tc>
      </w:tr>
      <w:tr w14:paraId="4C4A2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7DE68C40">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7813DDEA">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default" w:ascii="宋体" w:hAnsi="宋体" w:eastAsia="宋体" w:cs="Times New Roman"/>
                <w:color w:val="auto"/>
                <w:sz w:val="24"/>
                <w:highlight w:val="none"/>
                <w:lang w:val="en-US" w:eastAsia="zh-CN"/>
              </w:rPr>
            </w:pPr>
            <w:r>
              <w:rPr>
                <w:rFonts w:hint="eastAsia"/>
                <w:b/>
                <w:bCs/>
                <w:color w:val="auto"/>
                <w:sz w:val="24"/>
                <w:highlight w:val="none"/>
              </w:rPr>
              <w:t>履约保证金：</w:t>
            </w:r>
            <w:r>
              <w:rPr>
                <w:rFonts w:hint="eastAsia" w:ascii="宋体" w:hAnsi="宋体" w:cs="Times New Roman"/>
                <w:color w:val="auto"/>
                <w:sz w:val="24"/>
                <w:highlight w:val="none"/>
                <w:lang w:val="en-US" w:eastAsia="zh-CN"/>
              </w:rPr>
              <w:t>/。</w:t>
            </w:r>
          </w:p>
        </w:tc>
      </w:tr>
      <w:tr w14:paraId="5234A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73698568">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289301B6">
            <w:pPr>
              <w:keepNext w:val="0"/>
              <w:keepLines w:val="0"/>
              <w:pageBreakBefore w:val="0"/>
              <w:widowControl w:val="0"/>
              <w:tabs>
                <w:tab w:val="left" w:pos="105"/>
                <w:tab w:val="left" w:pos="735"/>
                <w:tab w:val="left" w:pos="945"/>
                <w:tab w:val="left" w:pos="3360"/>
              </w:tabs>
              <w:kinsoku/>
              <w:wordWrap/>
              <w:overflowPunct/>
              <w:topLinePunct w:val="0"/>
              <w:autoSpaceDE/>
              <w:autoSpaceDN/>
              <w:bidi w:val="0"/>
              <w:adjustRightInd w:val="0"/>
              <w:snapToGrid w:val="0"/>
              <w:spacing w:line="46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投标有效期：90天</w:t>
            </w:r>
          </w:p>
        </w:tc>
      </w:tr>
      <w:tr w14:paraId="5F512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5"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47F553A2">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655ED2D7">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招标服务费：</w:t>
            </w:r>
          </w:p>
          <w:p w14:paraId="5A1E0E64">
            <w:pPr>
              <w:keepNext w:val="0"/>
              <w:keepLines w:val="0"/>
              <w:pageBreakBefore w:val="0"/>
              <w:widowControl w:val="0"/>
              <w:tabs>
                <w:tab w:val="left" w:pos="502"/>
              </w:tabs>
              <w:kinsoku/>
              <w:wordWrap/>
              <w:overflowPunct/>
              <w:topLinePunct w:val="0"/>
              <w:autoSpaceDE/>
              <w:autoSpaceDN/>
              <w:bidi w:val="0"/>
              <w:adjustRightInd w:val="0"/>
              <w:snapToGrid w:val="0"/>
              <w:spacing w:line="460" w:lineRule="exact"/>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1、中标供应商须根据国家发改委发改办价格【2003】857号通知和国家计委计价格【2002】1980号文件规定的招标费率标准，中标供应商按照中标通知书确定的金额作为计费额（不足</w:t>
            </w:r>
            <w:r>
              <w:rPr>
                <w:rFonts w:hint="eastAsia" w:ascii="宋体" w:hAnsi="宋体" w:cs="宋体"/>
                <w:bCs/>
                <w:color w:val="auto"/>
                <w:sz w:val="24"/>
                <w:highlight w:val="none"/>
                <w:lang w:val="en-US" w:eastAsia="zh-CN"/>
              </w:rPr>
              <w:t>10000</w:t>
            </w:r>
            <w:r>
              <w:rPr>
                <w:rFonts w:hint="eastAsia" w:ascii="宋体" w:hAnsi="宋体" w:cs="宋体"/>
                <w:bCs/>
                <w:color w:val="auto"/>
                <w:sz w:val="24"/>
                <w:highlight w:val="none"/>
              </w:rPr>
              <w:t>元的按</w:t>
            </w:r>
            <w:r>
              <w:rPr>
                <w:rFonts w:hint="eastAsia" w:ascii="宋体" w:hAnsi="宋体" w:cs="宋体"/>
                <w:bCs/>
                <w:color w:val="auto"/>
                <w:sz w:val="24"/>
                <w:highlight w:val="none"/>
                <w:lang w:val="en-US" w:eastAsia="zh-CN"/>
              </w:rPr>
              <w:t>10000</w:t>
            </w:r>
            <w:r>
              <w:rPr>
                <w:rFonts w:hint="eastAsia" w:ascii="宋体" w:hAnsi="宋体" w:cs="宋体"/>
                <w:bCs/>
                <w:color w:val="auto"/>
                <w:sz w:val="24"/>
                <w:highlight w:val="none"/>
              </w:rPr>
              <w:t>元收取），向代理机构交纳招标服务费。</w:t>
            </w:r>
          </w:p>
          <w:p w14:paraId="3D124198">
            <w:pPr>
              <w:keepNext w:val="0"/>
              <w:keepLines w:val="0"/>
              <w:pageBreakBefore w:val="0"/>
              <w:widowControl w:val="0"/>
              <w:tabs>
                <w:tab w:val="left" w:pos="502"/>
              </w:tabs>
              <w:kinsoku/>
              <w:wordWrap/>
              <w:overflowPunct/>
              <w:topLinePunct w:val="0"/>
              <w:autoSpaceDE/>
              <w:autoSpaceDN/>
              <w:bidi w:val="0"/>
              <w:adjustRightInd w:val="0"/>
              <w:snapToGrid w:val="0"/>
              <w:spacing w:line="460" w:lineRule="exact"/>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2、中标供应商在领取中标通知书时向代理机构交纳招标服务费。</w:t>
            </w:r>
          </w:p>
          <w:p w14:paraId="21EA4B9F">
            <w:pPr>
              <w:keepNext w:val="0"/>
              <w:keepLines w:val="0"/>
              <w:pageBreakBefore w:val="0"/>
              <w:widowControl w:val="0"/>
              <w:tabs>
                <w:tab w:val="left" w:pos="502"/>
              </w:tabs>
              <w:kinsoku/>
              <w:wordWrap/>
              <w:overflowPunct/>
              <w:topLinePunct w:val="0"/>
              <w:bidi w:val="0"/>
              <w:adjustRightInd w:val="0"/>
              <w:snapToGrid w:val="0"/>
              <w:spacing w:line="460" w:lineRule="exact"/>
              <w:jc w:val="left"/>
              <w:textAlignment w:val="auto"/>
              <w:rPr>
                <w:rFonts w:hint="eastAsia" w:ascii="宋体" w:hAnsi="宋体" w:cs="宋体"/>
                <w:color w:val="auto"/>
                <w:sz w:val="24"/>
                <w:highlight w:val="none"/>
              </w:rPr>
            </w:pPr>
            <w:r>
              <w:rPr>
                <w:rFonts w:hint="eastAsia" w:ascii="宋体" w:hAnsi="宋体" w:cs="宋体"/>
                <w:bCs/>
                <w:color w:val="auto"/>
                <w:sz w:val="24"/>
                <w:highlight w:val="none"/>
              </w:rPr>
              <w:t>3、招标服务费只收现金、银行票汇款、电汇款。</w:t>
            </w:r>
          </w:p>
        </w:tc>
      </w:tr>
      <w:tr w14:paraId="57349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195D6A5F">
            <w:pPr>
              <w:tabs>
                <w:tab w:val="left" w:pos="105"/>
                <w:tab w:val="left" w:pos="735"/>
                <w:tab w:val="left" w:pos="945"/>
                <w:tab w:val="left" w:pos="3360"/>
              </w:tabs>
              <w:adjustRightInd w:val="0"/>
              <w:snapToGrid w:val="0"/>
              <w:spacing w:line="440" w:lineRule="atLeas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1</w:t>
            </w:r>
            <w:r>
              <w:rPr>
                <w:rFonts w:hint="eastAsia" w:ascii="宋体" w:hAnsi="宋体" w:cs="宋体"/>
                <w:color w:val="auto"/>
                <w:sz w:val="24"/>
                <w:highlight w:val="none"/>
                <w:lang w:val="en-US" w:eastAsia="zh-CN"/>
              </w:rPr>
              <w:t>9</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2FD39689">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46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中标通知书的领取方式：采用邮寄方式或到代理机构现场领取。</w:t>
            </w:r>
          </w:p>
        </w:tc>
      </w:tr>
      <w:tr w14:paraId="63E58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4829961F">
            <w:pPr>
              <w:tabs>
                <w:tab w:val="left" w:pos="105"/>
                <w:tab w:val="left" w:pos="735"/>
                <w:tab w:val="left" w:pos="945"/>
                <w:tab w:val="left" w:pos="3360"/>
              </w:tabs>
              <w:adjustRightInd w:val="0"/>
              <w:snapToGrid w:val="0"/>
              <w:spacing w:line="4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sz w:val="24"/>
                <w:szCs w:val="24"/>
                <w:lang w:val="en-US" w:eastAsia="zh-CN" w:bidi="ar"/>
              </w:rPr>
              <w:t>20</w:t>
            </w:r>
          </w:p>
        </w:tc>
        <w:tc>
          <w:tcPr>
            <w:tcW w:w="8155" w:type="dxa"/>
            <w:tcBorders>
              <w:top w:val="single" w:color="auto" w:sz="4" w:space="0"/>
              <w:left w:val="single" w:color="auto" w:sz="4" w:space="0"/>
              <w:bottom w:val="single" w:color="auto" w:sz="4" w:space="0"/>
              <w:right w:val="single" w:color="auto" w:sz="4" w:space="0"/>
            </w:tcBorders>
            <w:noWrap w:val="0"/>
            <w:vAlign w:val="center"/>
          </w:tcPr>
          <w:p w14:paraId="2618D0BF">
            <w:pPr>
              <w:spacing w:line="240" w:lineRule="auto"/>
              <w:jc w:val="left"/>
              <w:rPr>
                <w:rFonts w:hint="eastAsia" w:ascii="宋体" w:hAnsi="宋体" w:eastAsia="宋体" w:cs="宋体"/>
                <w:b/>
                <w:sz w:val="24"/>
                <w:szCs w:val="24"/>
                <w:lang w:bidi="ar"/>
              </w:rPr>
            </w:pPr>
            <w:r>
              <w:rPr>
                <w:rFonts w:hint="eastAsia" w:ascii="宋体" w:hAnsi="宋体" w:eastAsia="宋体" w:cs="宋体"/>
                <w:b/>
                <w:sz w:val="24"/>
                <w:szCs w:val="24"/>
                <w:lang w:bidi="ar"/>
              </w:rPr>
              <w:t>方案讲解演示</w:t>
            </w:r>
          </w:p>
          <w:p w14:paraId="0D1DA6A5">
            <w:pPr>
              <w:spacing w:line="24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sym w:font="Wingdings" w:char="00A8"/>
            </w:r>
            <w:r>
              <w:rPr>
                <w:rFonts w:hint="eastAsia" w:ascii="宋体" w:hAnsi="宋体" w:eastAsia="宋体" w:cs="宋体"/>
                <w:bCs/>
                <w:color w:val="000000"/>
                <w:sz w:val="24"/>
                <w:szCs w:val="24"/>
                <w:lang w:bidi="ar"/>
              </w:rPr>
              <w:t>A不组织。</w:t>
            </w:r>
          </w:p>
          <w:p w14:paraId="3FA855E7">
            <w:pPr>
              <w:spacing w:line="24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sym w:font="Wingdings" w:char="00FE"/>
            </w:r>
            <w:r>
              <w:rPr>
                <w:rFonts w:hint="eastAsia" w:ascii="宋体" w:hAnsi="宋体" w:eastAsia="宋体" w:cs="宋体"/>
                <w:bCs/>
                <w:color w:val="000000"/>
                <w:sz w:val="24"/>
                <w:szCs w:val="24"/>
                <w:lang w:bidi="ar"/>
              </w:rPr>
              <w:t>B组织。</w:t>
            </w:r>
          </w:p>
          <w:p w14:paraId="12F1C7FB">
            <w:pPr>
              <w:spacing w:line="24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（1）在评标时安排每个供应商进行方案讲解演示。每个供应商时间控制时间</w:t>
            </w:r>
            <w:r>
              <w:rPr>
                <w:rFonts w:hint="eastAsia" w:ascii="宋体" w:hAnsi="宋体" w:eastAsia="宋体" w:cs="宋体"/>
                <w:sz w:val="24"/>
                <w:szCs w:val="24"/>
                <w:lang w:val="en-US" w:eastAsia="zh-CN"/>
              </w:rPr>
              <w:t>5</w:t>
            </w:r>
            <w:r>
              <w:rPr>
                <w:rFonts w:hint="eastAsia" w:ascii="宋体" w:hAnsi="宋体" w:eastAsia="宋体" w:cs="宋体"/>
                <w:sz w:val="24"/>
                <w:szCs w:val="24"/>
              </w:rPr>
              <w:t>-15分钟以内</w:t>
            </w:r>
            <w:r>
              <w:rPr>
                <w:rFonts w:hint="eastAsia" w:ascii="宋体" w:hAnsi="宋体" w:eastAsia="宋体" w:cs="宋体"/>
                <w:bCs/>
                <w:color w:val="000000"/>
                <w:sz w:val="24"/>
                <w:szCs w:val="24"/>
                <w:lang w:bidi="ar"/>
              </w:rPr>
              <w:t>，</w:t>
            </w:r>
            <w:r>
              <w:rPr>
                <w:rFonts w:hint="eastAsia" w:ascii="宋体" w:hAnsi="宋体" w:eastAsia="宋体" w:cs="宋体"/>
                <w:sz w:val="24"/>
                <w:szCs w:val="24"/>
              </w:rPr>
              <w:t>现场演示顺序按电子交易平台解密后自动生成的“投标（响应）文件签收登记表”名单顺序分别进行</w:t>
            </w:r>
            <w:r>
              <w:rPr>
                <w:rFonts w:hint="eastAsia" w:ascii="宋体" w:hAnsi="宋体" w:eastAsia="宋体" w:cs="宋体"/>
                <w:bCs/>
                <w:color w:val="000000"/>
                <w:sz w:val="24"/>
                <w:szCs w:val="24"/>
                <w:lang w:bidi="ar"/>
              </w:rPr>
              <w:t>，讲解演示人员不超过</w:t>
            </w:r>
            <w:r>
              <w:rPr>
                <w:rFonts w:hint="eastAsia" w:ascii="宋体" w:hAnsi="宋体" w:eastAsia="宋体" w:cs="宋体"/>
                <w:bCs/>
                <w:color w:val="000000"/>
                <w:sz w:val="24"/>
                <w:szCs w:val="24"/>
                <w:u w:val="single"/>
                <w:lang w:bidi="ar"/>
              </w:rPr>
              <w:t xml:space="preserve"> 2 </w:t>
            </w:r>
            <w:r>
              <w:rPr>
                <w:rFonts w:hint="eastAsia" w:ascii="宋体" w:hAnsi="宋体" w:eastAsia="宋体" w:cs="宋体"/>
                <w:bCs/>
                <w:color w:val="000000"/>
                <w:sz w:val="24"/>
                <w:szCs w:val="24"/>
                <w:lang w:bidi="ar"/>
              </w:rPr>
              <w:t>人。讲解演示结束后按要求解答评标委员会提问。</w:t>
            </w:r>
          </w:p>
          <w:p w14:paraId="16992F2D">
            <w:pPr>
              <w:spacing w:line="24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（2）方案讲解演示可选择以下方式：</w:t>
            </w:r>
          </w:p>
          <w:p w14:paraId="5823D5C2">
            <w:pPr>
              <w:spacing w:line="24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交易中心现场讲解演示。现场讲解地点为</w:t>
            </w:r>
            <w:r>
              <w:rPr>
                <w:rFonts w:hint="eastAsia" w:ascii="宋体" w:hAnsi="宋体" w:eastAsia="宋体" w:cs="宋体"/>
                <w:bCs/>
                <w:color w:val="000000"/>
                <w:sz w:val="24"/>
                <w:szCs w:val="24"/>
                <w:u w:val="single"/>
                <w:lang w:bidi="ar"/>
              </w:rPr>
              <w:t xml:space="preserve">   </w:t>
            </w:r>
            <w:r>
              <w:rPr>
                <w:rFonts w:hint="eastAsia" w:ascii="宋体" w:hAnsi="宋体" w:eastAsia="宋体" w:cs="宋体"/>
                <w:bCs/>
                <w:color w:val="000000"/>
                <w:sz w:val="24"/>
                <w:szCs w:val="24"/>
                <w:u w:val="single"/>
                <w:lang w:bidi="ar"/>
              </w:rPr>
              <w:fldChar w:fldCharType="begin"/>
            </w:r>
            <w:r>
              <w:rPr>
                <w:rFonts w:hint="eastAsia" w:ascii="宋体" w:hAnsi="宋体" w:eastAsia="宋体" w:cs="宋体"/>
                <w:bCs/>
                <w:color w:val="000000"/>
                <w:sz w:val="24"/>
                <w:szCs w:val="24"/>
                <w:u w:val="single"/>
                <w:lang w:bidi="ar"/>
              </w:rPr>
              <w:instrText xml:space="preserve"> HYPERLINK "http://www.xsbm.gov.cn/zbtb/" \t "C:\\Users\\Administrator\\Desktop\\_blank" </w:instrText>
            </w:r>
            <w:r>
              <w:rPr>
                <w:rFonts w:hint="eastAsia" w:ascii="宋体" w:hAnsi="宋体" w:eastAsia="宋体" w:cs="宋体"/>
                <w:bCs/>
                <w:color w:val="000000"/>
                <w:sz w:val="24"/>
                <w:szCs w:val="24"/>
                <w:u w:val="single"/>
                <w:lang w:bidi="ar"/>
              </w:rPr>
              <w:fldChar w:fldCharType="separate"/>
            </w:r>
            <w:r>
              <w:rPr>
                <w:rFonts w:hint="eastAsia" w:ascii="宋体" w:hAnsi="宋体" w:eastAsia="宋体" w:cs="宋体"/>
                <w:bCs/>
                <w:color w:val="000000"/>
                <w:sz w:val="24"/>
                <w:szCs w:val="24"/>
                <w:u w:val="single"/>
                <w:lang w:bidi="ar"/>
              </w:rPr>
              <w:t>象山县公共资源交易中心</w:t>
            </w:r>
            <w:r>
              <w:rPr>
                <w:rFonts w:hint="eastAsia" w:ascii="宋体" w:hAnsi="宋体" w:eastAsia="宋体" w:cs="宋体"/>
                <w:bCs/>
                <w:color w:val="000000"/>
                <w:sz w:val="24"/>
                <w:szCs w:val="24"/>
                <w:u w:val="single"/>
                <w:lang w:bidi="ar"/>
              </w:rPr>
              <w:fldChar w:fldCharType="end"/>
            </w:r>
            <w:r>
              <w:rPr>
                <w:rFonts w:hint="eastAsia" w:ascii="宋体" w:hAnsi="宋体" w:eastAsia="宋体" w:cs="宋体"/>
                <w:bCs/>
                <w:color w:val="000000"/>
                <w:sz w:val="24"/>
                <w:szCs w:val="24"/>
                <w:u w:val="single"/>
                <w:lang w:bidi="ar"/>
              </w:rPr>
              <w:t>四楼（象山县象山港路300号四楼开标室）</w:t>
            </w:r>
            <w:r>
              <w:rPr>
                <w:rFonts w:hint="eastAsia" w:ascii="宋体" w:hAnsi="宋体" w:eastAsia="宋体" w:cs="宋体"/>
                <w:bCs/>
                <w:color w:val="000000"/>
                <w:sz w:val="24"/>
                <w:szCs w:val="24"/>
                <w:lang w:bidi="ar"/>
              </w:rPr>
              <w:t>，讲解演示所用电脑等设备由供应商自备。现场讲解演示人员进场时提供讲解人员名单（加盖公章）及身份证明，否则不得讲解演示。</w:t>
            </w:r>
          </w:p>
          <w:p w14:paraId="79FC298D">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bidi="ar"/>
              </w:rPr>
              <w:t>注：因供应商自身原因导致无法演示或者演示效果不理想的，责任自负。因平台原因导致本项目方案讲解演示环节无法顺利开展，按照《浙江省政府采购项目电子交易管理暂行办法》相关规定执行。</w:t>
            </w:r>
          </w:p>
        </w:tc>
      </w:tr>
    </w:tbl>
    <w:p w14:paraId="04AEFCB2">
      <w:pPr>
        <w:pStyle w:val="4"/>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color w:val="auto"/>
          <w:sz w:val="28"/>
          <w:szCs w:val="28"/>
          <w:highlight w:val="none"/>
        </w:rPr>
      </w:pPr>
    </w:p>
    <w:p w14:paraId="60511A63">
      <w:pPr>
        <w:pStyle w:val="4"/>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color w:val="auto"/>
          <w:sz w:val="28"/>
          <w:szCs w:val="28"/>
          <w:highlight w:val="none"/>
        </w:rPr>
      </w:pPr>
    </w:p>
    <w:p w14:paraId="7570D943">
      <w:pPr>
        <w:pStyle w:val="4"/>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rPr>
          <w:rFonts w:hint="eastAsia"/>
          <w:color w:val="auto"/>
          <w:sz w:val="28"/>
          <w:szCs w:val="28"/>
          <w:highlight w:val="none"/>
        </w:rPr>
      </w:pPr>
      <w:bookmarkStart w:id="103" w:name="_GoBack"/>
      <w:bookmarkEnd w:id="103"/>
    </w:p>
    <w:p w14:paraId="4AAB848C">
      <w:pPr>
        <w:pStyle w:val="4"/>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color w:val="auto"/>
          <w:sz w:val="28"/>
          <w:szCs w:val="28"/>
          <w:highlight w:val="none"/>
        </w:rPr>
      </w:pPr>
      <w:r>
        <w:rPr>
          <w:rFonts w:hint="eastAsia"/>
          <w:color w:val="auto"/>
          <w:sz w:val="28"/>
          <w:szCs w:val="28"/>
          <w:highlight w:val="none"/>
        </w:rPr>
        <w:t>二、投标方须知</w:t>
      </w:r>
    </w:p>
    <w:p w14:paraId="693ACF3B">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一、适用范围</w:t>
      </w:r>
    </w:p>
    <w:p w14:paraId="0F6BA454">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仅适用于本采购项目所叙述的货物和服务的招标、评标、定标、验收、合同履约、付款等（法律、法规另有规定的，从其规定）。</w:t>
      </w:r>
    </w:p>
    <w:p w14:paraId="39B23E9D">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二、定义</w:t>
      </w:r>
    </w:p>
    <w:p w14:paraId="6AD90220">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1、“采购人”系指</w:t>
      </w:r>
      <w:r>
        <w:rPr>
          <w:rFonts w:hint="eastAsia" w:ascii="宋体" w:hAnsi="宋体" w:cs="宋体"/>
          <w:color w:val="auto"/>
          <w:sz w:val="24"/>
          <w:highlight w:val="none"/>
          <w:lang w:val="en-US" w:eastAsia="zh-CN"/>
        </w:rPr>
        <w:t>象山县贤庠镇人民政府</w:t>
      </w:r>
      <w:r>
        <w:rPr>
          <w:rFonts w:hint="eastAsia" w:ascii="宋体" w:hAnsi="宋体" w:cs="宋体"/>
          <w:color w:val="auto"/>
          <w:sz w:val="24"/>
          <w:highlight w:val="none"/>
        </w:rPr>
        <w:t>。</w:t>
      </w:r>
    </w:p>
    <w:p w14:paraId="407383BF">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2、“代理机构”系指</w:t>
      </w:r>
      <w:r>
        <w:rPr>
          <w:rFonts w:hint="eastAsia" w:ascii="宋体" w:hAnsi="宋体" w:cs="宋体"/>
          <w:color w:val="auto"/>
          <w:sz w:val="24"/>
          <w:highlight w:val="none"/>
          <w:lang w:eastAsia="zh-CN"/>
        </w:rPr>
        <w:t>浙江乾原工程管理有限公司</w:t>
      </w:r>
      <w:r>
        <w:rPr>
          <w:rFonts w:hint="eastAsia" w:ascii="宋体" w:hAnsi="宋体" w:cs="宋体"/>
          <w:color w:val="auto"/>
          <w:sz w:val="24"/>
          <w:highlight w:val="none"/>
        </w:rPr>
        <w:t>。</w:t>
      </w:r>
    </w:p>
    <w:p w14:paraId="15B6E6DB">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3、“供应商”系指向采购人提交响应文件的供应商。</w:t>
      </w:r>
    </w:p>
    <w:p w14:paraId="3E3FC905">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4、“货物”系指供方按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规定，须向采购人提供的一切货物、保险、税金、备品备件、工具、手册及其它有关技术资料和材料。</w:t>
      </w:r>
    </w:p>
    <w:p w14:paraId="18003FE5">
      <w:pPr>
        <w:spacing w:line="440" w:lineRule="exact"/>
        <w:ind w:firstLine="480" w:firstLineChars="200"/>
        <w:jc w:val="left"/>
        <w:rPr>
          <w:rFonts w:hint="eastAsia" w:ascii="宋体" w:hAnsi="宋体"/>
          <w:color w:val="auto"/>
          <w:sz w:val="24"/>
          <w:highlight w:val="none"/>
        </w:rPr>
      </w:pPr>
      <w:r>
        <w:rPr>
          <w:rFonts w:hint="eastAsia" w:ascii="宋体" w:hAnsi="宋体" w:cs="宋体"/>
          <w:color w:val="auto"/>
          <w:sz w:val="24"/>
          <w:highlight w:val="none"/>
        </w:rPr>
        <w:t>5、“服务”系指</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w:t>
      </w:r>
      <w:r>
        <w:rPr>
          <w:rFonts w:hint="eastAsia" w:ascii="宋体" w:hAnsi="宋体"/>
          <w:color w:val="auto"/>
          <w:sz w:val="24"/>
          <w:highlight w:val="none"/>
        </w:rPr>
        <w:t>供应商</w:t>
      </w:r>
      <w:r>
        <w:rPr>
          <w:rFonts w:ascii="宋体" w:hAnsi="宋体"/>
          <w:color w:val="auto"/>
          <w:sz w:val="24"/>
          <w:highlight w:val="none"/>
        </w:rPr>
        <w:t>须承担的</w:t>
      </w:r>
      <w:r>
        <w:rPr>
          <w:rFonts w:hint="eastAsia" w:ascii="宋体" w:hAnsi="宋体"/>
          <w:color w:val="auto"/>
          <w:sz w:val="24"/>
          <w:highlight w:val="none"/>
        </w:rPr>
        <w:t>技术服务</w:t>
      </w:r>
      <w:r>
        <w:rPr>
          <w:rFonts w:ascii="宋体" w:hAnsi="宋体"/>
          <w:color w:val="auto"/>
          <w:sz w:val="24"/>
          <w:highlight w:val="none"/>
        </w:rPr>
        <w:t>以及其他类似的义务</w:t>
      </w:r>
      <w:r>
        <w:rPr>
          <w:rFonts w:hint="eastAsia" w:ascii="宋体" w:hAnsi="宋体"/>
          <w:color w:val="auto"/>
          <w:sz w:val="24"/>
          <w:highlight w:val="none"/>
        </w:rPr>
        <w:t>。</w:t>
      </w:r>
    </w:p>
    <w:p w14:paraId="2D44E1A5">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6、“同级政府采购监管部门”系指</w:t>
      </w:r>
      <w:r>
        <w:rPr>
          <w:rFonts w:hint="eastAsia" w:ascii="宋体" w:hAnsi="宋体" w:cs="宋体"/>
          <w:bCs/>
          <w:color w:val="auto"/>
          <w:sz w:val="24"/>
          <w:highlight w:val="none"/>
        </w:rPr>
        <w:t>象山县财政局政府采购管理办公室</w:t>
      </w:r>
      <w:r>
        <w:rPr>
          <w:rFonts w:hint="eastAsia" w:ascii="宋体" w:hAnsi="宋体" w:cs="宋体"/>
          <w:color w:val="auto"/>
          <w:kern w:val="10"/>
          <w:sz w:val="24"/>
          <w:highlight w:val="none"/>
          <w:lang w:val="zh-CN"/>
        </w:rPr>
        <w:t>。</w:t>
      </w:r>
    </w:p>
    <w:p w14:paraId="57238201">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7、“▲”系指实质性响应条款。</w:t>
      </w:r>
    </w:p>
    <w:p w14:paraId="014066FD">
      <w:pPr>
        <w:spacing w:line="44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三、供应商的资格要求</w:t>
      </w:r>
    </w:p>
    <w:p w14:paraId="1AD9A820">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详见采购公告。</w:t>
      </w:r>
    </w:p>
    <w:p w14:paraId="53D5596D">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四、投标费用</w:t>
      </w:r>
    </w:p>
    <w:p w14:paraId="7F9F6015">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无论投标过程和结果如何，供应商自行承担与投标有关的全部费用。</w:t>
      </w:r>
    </w:p>
    <w:p w14:paraId="117C40F8">
      <w:pPr>
        <w:spacing w:line="44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五、投标报价</w:t>
      </w:r>
    </w:p>
    <w:p w14:paraId="2BAE3A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1、投标报价</w:t>
      </w:r>
    </w:p>
    <w:p w14:paraId="5E33118B">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1．1投标报价必须以人民币报价，不接受外币报价。</w:t>
      </w:r>
    </w:p>
    <w:p w14:paraId="439234A7">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1．2除</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中有特殊规定外，投标报价应包括国家规定的增值税税金，增值税税金按一般计税方法计算供应商应按第六章“响应文件有关格式”的要求在“开标一览表”中进行报价并填写分项报价表。</w:t>
      </w:r>
    </w:p>
    <w:p w14:paraId="0549DF92">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1．3 供应商应充分了解该项目的总体情况以及影响投标报价的其他要素。</w:t>
      </w:r>
    </w:p>
    <w:p w14:paraId="07124D29">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1．4供应商在投标截止时间前修改“开标一览表”中的投标报价总额，应同时修改响应文件“分项报价表”中的相应报价。</w:t>
      </w:r>
    </w:p>
    <w:p w14:paraId="2699AD4C">
      <w:pPr>
        <w:keepNext w:val="0"/>
        <w:keepLines w:val="0"/>
        <w:pageBreakBefore w:val="0"/>
        <w:widowControl w:val="0"/>
        <w:numPr>
          <w:ilvl w:val="0"/>
          <w:numId w:val="5"/>
        </w:numPr>
        <w:kinsoku/>
        <w:wordWrap/>
        <w:overflowPunct/>
        <w:topLinePunct w:val="0"/>
        <w:autoSpaceDE/>
        <w:autoSpaceDN/>
        <w:bidi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5采购人设有最高限价的，供应商的投标报价不得超过最高限价，最高限价在供应商须知前附表中载明。</w:t>
      </w:r>
    </w:p>
    <w:p w14:paraId="7FE2EC4D">
      <w:pPr>
        <w:keepNext w:val="0"/>
        <w:keepLines w:val="0"/>
        <w:pageBreakBefore w:val="0"/>
        <w:widowControl w:val="0"/>
        <w:numPr>
          <w:ilvl w:val="0"/>
          <w:numId w:val="6"/>
        </w:numPr>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6最低报价不能作为中标的保证。</w:t>
      </w:r>
    </w:p>
    <w:p w14:paraId="455DF6F8">
      <w:pPr>
        <w:spacing w:line="44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六、投标保证金</w:t>
      </w:r>
    </w:p>
    <w:p w14:paraId="7A8E9B4C">
      <w:pPr>
        <w:tabs>
          <w:tab w:val="left" w:pos="0"/>
        </w:tabs>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1、投标保证金（不适用）</w:t>
      </w:r>
    </w:p>
    <w:p w14:paraId="697B56D5">
      <w:pPr>
        <w:tabs>
          <w:tab w:val="left" w:pos="0"/>
        </w:tabs>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b/>
          <w:color w:val="auto"/>
          <w:sz w:val="24"/>
          <w:highlight w:val="none"/>
        </w:rPr>
        <w:t>投标方应按“第一章 采购公告”规定提供投标保证金，如在开标截止前未提供的，招标方将拒绝接收其响应文件</w:t>
      </w:r>
      <w:r>
        <w:rPr>
          <w:rFonts w:hint="eastAsia" w:ascii="宋体" w:hAnsi="宋体" w:cs="宋体"/>
          <w:color w:val="auto"/>
          <w:sz w:val="24"/>
          <w:highlight w:val="none"/>
        </w:rPr>
        <w:t>。</w:t>
      </w:r>
    </w:p>
    <w:p w14:paraId="64FD1445">
      <w:pPr>
        <w:tabs>
          <w:tab w:val="left" w:pos="0"/>
        </w:tabs>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1．2投标保证金可采用下列形式：</w:t>
      </w:r>
      <w:r>
        <w:rPr>
          <w:rFonts w:hint="eastAsia" w:ascii="宋体" w:hAnsi="宋体" w:cs="宋体"/>
          <w:color w:val="auto"/>
          <w:kern w:val="0"/>
          <w:sz w:val="24"/>
          <w:highlight w:val="none"/>
          <w:lang w:val="zh-CN"/>
        </w:rPr>
        <w:t>开标前以转账方式汇入采购人账户，携带银行回单到浙江乾原工程管理有限公司财务室（象山县百花路28号三楼）开具收据，以收据为准</w:t>
      </w:r>
      <w:r>
        <w:rPr>
          <w:rFonts w:hint="eastAsia" w:ascii="宋体" w:hAnsi="宋体" w:cs="宋体"/>
          <w:color w:val="auto"/>
          <w:sz w:val="24"/>
          <w:highlight w:val="none"/>
        </w:rPr>
        <w:t>。</w:t>
      </w:r>
    </w:p>
    <w:p w14:paraId="73EBE4A1">
      <w:pPr>
        <w:tabs>
          <w:tab w:val="left" w:pos="0"/>
        </w:tabs>
        <w:adjustRightInd w:val="0"/>
        <w:snapToGrid w:val="0"/>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1．3中标方的投标保证金在与采购人签订了经济合同后，并把合同原件交于</w:t>
      </w:r>
      <w:r>
        <w:rPr>
          <w:rFonts w:hint="eastAsia" w:ascii="宋体" w:hAnsi="宋体" w:cs="宋体"/>
          <w:b/>
          <w:bCs/>
          <w:color w:val="auto"/>
          <w:sz w:val="24"/>
          <w:highlight w:val="none"/>
          <w:lang w:eastAsia="zh-CN"/>
        </w:rPr>
        <w:t>浙江乾原工程管理有限公司</w:t>
      </w:r>
      <w:r>
        <w:rPr>
          <w:rFonts w:hint="eastAsia" w:ascii="宋体" w:hAnsi="宋体" w:cs="宋体"/>
          <w:b/>
          <w:bCs/>
          <w:color w:val="auto"/>
          <w:sz w:val="24"/>
          <w:highlight w:val="none"/>
        </w:rPr>
        <w:t>确认后才无息退还。</w:t>
      </w:r>
    </w:p>
    <w:p w14:paraId="2ADCA632">
      <w:pPr>
        <w:tabs>
          <w:tab w:val="left" w:pos="0"/>
        </w:tabs>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1．4落标方的投标保证金，在中标公告质疑期满无异议的，无息退还。</w:t>
      </w:r>
    </w:p>
    <w:p w14:paraId="013EBA45">
      <w:pPr>
        <w:tabs>
          <w:tab w:val="left" w:pos="0"/>
        </w:tabs>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1．5供应商有下列情形之一的，投标保证金将不予退还：</w:t>
      </w:r>
    </w:p>
    <w:p w14:paraId="5D978A16">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（1）供应商在投标有效期内撤回响应文件的；</w:t>
      </w:r>
    </w:p>
    <w:p w14:paraId="3B0ADE68">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（2）供应商在投标过程中弄虚作假，提供虚假材料的；</w:t>
      </w:r>
    </w:p>
    <w:p w14:paraId="01CB7405">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（3）中标供应商无正当理由不与采购人签订合同的；</w:t>
      </w:r>
    </w:p>
    <w:p w14:paraId="622D824B">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（4）将中标项目转让给他人或者在响应文件中未说明且未经招标采购单位同意，将中标项目分包给他人的；</w:t>
      </w:r>
    </w:p>
    <w:p w14:paraId="163880D8">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（5）其他严重扰乱招投标程序的；</w:t>
      </w:r>
    </w:p>
    <w:p w14:paraId="43AD6D30">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七、投标有效期</w:t>
      </w:r>
    </w:p>
    <w:p w14:paraId="2BFA6C5B">
      <w:pPr>
        <w:spacing w:line="44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▲1、响应文件从开标之日起，投标有效期为90个日历日。投标有效期不能小于</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的要求。</w:t>
      </w:r>
    </w:p>
    <w:p w14:paraId="3BE9CBC8">
      <w:pPr>
        <w:spacing w:line="44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2、特殊情况下，采购人可与供应商协商延缓响应文件的有效期，这种要求和答复均以书面形式进行。在这种情况下，投标保证金的有效期也相应延长。</w:t>
      </w:r>
    </w:p>
    <w:p w14:paraId="0273EAD5">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3、供应商可拒绝接受延期要求而不会导致保证金被没收。同意延长有效期的供应商不能修改响应文件。</w:t>
      </w:r>
    </w:p>
    <w:p w14:paraId="08A13D64">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八、响应文件的形式和效力</w:t>
      </w:r>
    </w:p>
    <w:p w14:paraId="0D6B1981">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（一）响应文件</w:t>
      </w:r>
    </w:p>
    <w:p w14:paraId="273DCA18">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1、响应文件分为电子响应文件以及备份响应文件，备份响应文件为以</w:t>
      </w:r>
      <w:r>
        <w:rPr>
          <w:rFonts w:hint="eastAsia" w:ascii="宋体" w:hAnsi="宋体" w:cs="宋体"/>
          <w:color w:val="auto"/>
          <w:kern w:val="0"/>
          <w:sz w:val="24"/>
          <w:highlight w:val="none"/>
        </w:rPr>
        <w:t>U盘或光盘存储的电子</w:t>
      </w:r>
      <w:r>
        <w:rPr>
          <w:rFonts w:hint="eastAsia" w:ascii="宋体" w:hAnsi="宋体" w:cs="宋体"/>
          <w:color w:val="auto"/>
          <w:sz w:val="24"/>
          <w:highlight w:val="none"/>
        </w:rPr>
        <w:t>备份响应文件。</w:t>
      </w:r>
    </w:p>
    <w:p w14:paraId="5A59201F">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2、电子响应文件，按“项目采购-电子招投标操作指南”及本</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要求制作，并加密。</w:t>
      </w:r>
    </w:p>
    <w:p w14:paraId="20FF3E74">
      <w:pPr>
        <w:adjustRightInd w:val="0"/>
        <w:snapToGrid w:val="0"/>
        <w:spacing w:line="440" w:lineRule="exact"/>
        <w:ind w:firstLine="480" w:firstLineChars="200"/>
        <w:jc w:val="left"/>
        <w:rPr>
          <w:rFonts w:hint="eastAsia" w:ascii="宋体" w:hAnsi="宋体" w:cs="仿宋"/>
          <w:bCs/>
          <w:color w:val="auto"/>
          <w:sz w:val="24"/>
          <w:highlight w:val="none"/>
        </w:rPr>
      </w:pPr>
      <w:r>
        <w:rPr>
          <w:rFonts w:hint="eastAsia" w:ascii="宋体" w:hAnsi="宋体" w:cs="仿宋"/>
          <w:bCs/>
          <w:color w:val="auto"/>
          <w:sz w:val="24"/>
          <w:highlight w:val="none"/>
        </w:rPr>
        <w:t>响应文件制作说明：</w:t>
      </w:r>
    </w:p>
    <w:p w14:paraId="696958F0">
      <w:pPr>
        <w:adjustRightInd w:val="0"/>
        <w:snapToGrid w:val="0"/>
        <w:spacing w:line="440" w:lineRule="exact"/>
        <w:ind w:firstLine="480" w:firstLineChars="200"/>
        <w:jc w:val="left"/>
        <w:rPr>
          <w:rFonts w:hint="eastAsia" w:ascii="宋体" w:hAnsi="宋体" w:cs="仿宋"/>
          <w:bCs/>
          <w:color w:val="auto"/>
          <w:sz w:val="24"/>
          <w:highlight w:val="none"/>
        </w:rPr>
      </w:pPr>
      <w:r>
        <w:rPr>
          <w:rFonts w:hint="eastAsia" w:ascii="宋体" w:hAnsi="宋体" w:cs="仿宋"/>
          <w:bCs/>
          <w:color w:val="auto"/>
          <w:sz w:val="24"/>
          <w:highlight w:val="none"/>
        </w:rPr>
        <w:t>（1）应按照本项目采购文件和政府采购云平台的要求编制、加密并递交响应文件。供应商在使用系统进行响应的过程中遇到涉及平台使用的任何问题，可致电政府采购云平台技术支持热线咨询，联系方式：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cs="仿宋"/>
          <w:bCs/>
          <w:color w:val="auto"/>
          <w:sz w:val="24"/>
          <w:highlight w:val="none"/>
          <w:lang w:val="en-US" w:eastAsia="zh-CN"/>
        </w:rPr>
        <w:t>95763</w:t>
      </w:r>
      <w:r>
        <w:rPr>
          <w:rFonts w:hint="eastAsia" w:ascii="宋体" w:hAnsi="宋体" w:cs="仿宋"/>
          <w:bCs/>
          <w:color w:val="auto"/>
          <w:sz w:val="24"/>
          <w:highlight w:val="none"/>
        </w:rPr>
        <w:t>。</w:t>
      </w:r>
    </w:p>
    <w:p w14:paraId="2B7CAC88">
      <w:pPr>
        <w:adjustRightInd w:val="0"/>
        <w:snapToGrid w:val="0"/>
        <w:spacing w:line="440" w:lineRule="exact"/>
        <w:ind w:firstLine="480" w:firstLineChars="200"/>
        <w:jc w:val="left"/>
        <w:rPr>
          <w:rFonts w:hint="eastAsia" w:ascii="宋体" w:hAnsi="宋体" w:cs="仿宋"/>
          <w:bCs/>
          <w:color w:val="auto"/>
          <w:sz w:val="24"/>
          <w:highlight w:val="none"/>
        </w:rPr>
      </w:pPr>
      <w:r>
        <w:rPr>
          <w:rFonts w:hint="eastAsia" w:ascii="宋体" w:hAnsi="宋体" w:cs="仿宋"/>
          <w:bCs/>
          <w:color w:val="auto"/>
          <w:sz w:val="24"/>
          <w:highlight w:val="none"/>
        </w:rPr>
        <w:t>（2）供应商通过政府采购云平台电子投标工具制作响应文件。电子投标工具请供应商自行前往浙江政府采购网下载并安装：zfcg.czt.zj.gov.cn/bidClientTemplate/2019-05-27/12946.html</w:t>
      </w:r>
    </w:p>
    <w:p w14:paraId="31D51417">
      <w:pPr>
        <w:adjustRightInd w:val="0"/>
        <w:snapToGrid w:val="0"/>
        <w:spacing w:line="440" w:lineRule="exact"/>
        <w:ind w:firstLine="480" w:firstLineChars="200"/>
        <w:jc w:val="left"/>
        <w:rPr>
          <w:rFonts w:hint="eastAsia" w:ascii="宋体" w:hAnsi="宋体" w:cs="仿宋"/>
          <w:bCs/>
          <w:color w:val="auto"/>
          <w:sz w:val="24"/>
          <w:highlight w:val="none"/>
        </w:rPr>
      </w:pPr>
      <w:r>
        <w:rPr>
          <w:rFonts w:hint="eastAsia" w:ascii="宋体" w:hAnsi="宋体" w:cs="仿宋"/>
          <w:bCs/>
          <w:color w:val="auto"/>
          <w:sz w:val="24"/>
          <w:highlight w:val="none"/>
        </w:rPr>
        <w:t>供应商响应文件制作及电子交易操作指南详见：</w:t>
      </w:r>
    </w:p>
    <w:p w14:paraId="781BF94B">
      <w:pPr>
        <w:adjustRightInd w:val="0"/>
        <w:snapToGrid w:val="0"/>
        <w:spacing w:line="440" w:lineRule="exact"/>
        <w:ind w:firstLine="480" w:firstLineChars="200"/>
        <w:jc w:val="left"/>
        <w:rPr>
          <w:rFonts w:hint="eastAsia" w:ascii="宋体" w:hAnsi="宋体" w:cs="仿宋"/>
          <w:bCs/>
          <w:color w:val="auto"/>
          <w:sz w:val="24"/>
          <w:highlight w:val="none"/>
        </w:rPr>
      </w:pPr>
      <w:r>
        <w:rPr>
          <w:rFonts w:hint="eastAsia" w:ascii="宋体" w:hAnsi="宋体" w:cs="仿宋"/>
          <w:bCs/>
          <w:color w:val="auto"/>
          <w:sz w:val="24"/>
          <w:highlight w:val="none"/>
        </w:rPr>
        <w:t>①政府采购项目电子交易管理操作指南：</w:t>
      </w:r>
    </w:p>
    <w:p w14:paraId="2B3D0855">
      <w:pPr>
        <w:pStyle w:val="3"/>
        <w:widowControl w:val="0"/>
        <w:overflowPunct w:val="0"/>
        <w:autoSpaceDE w:val="0"/>
        <w:autoSpaceDN w:val="0"/>
        <w:spacing w:before="0" w:beforeAutospacing="0" w:after="0" w:afterAutospacing="0" w:line="440" w:lineRule="exact"/>
        <w:ind w:firstLine="480" w:firstLineChars="200"/>
        <w:rPr>
          <w:rFonts w:hint="eastAsia" w:cs="仿宋"/>
          <w:color w:val="auto"/>
          <w:sz w:val="24"/>
          <w:szCs w:val="24"/>
          <w:highlight w:val="none"/>
        </w:rPr>
      </w:pPr>
      <w:r>
        <w:rPr>
          <w:rFonts w:hint="eastAsia" w:cs="宋体"/>
          <w:b w:val="0"/>
          <w:color w:val="auto"/>
          <w:sz w:val="24"/>
          <w:szCs w:val="24"/>
          <w:highlight w:val="none"/>
        </w:rPr>
        <w:t>https://service.zcygov.cn/#/knowledges/CW1EtGwBFdiHxlNd6I3m/6IMVAG0BFdiHxlNdQ8Na?keyword</w:t>
      </w:r>
      <w:r>
        <w:rPr>
          <w:rFonts w:hint="eastAsia" w:cs="仿宋"/>
          <w:color w:val="auto"/>
          <w:sz w:val="24"/>
          <w:szCs w:val="24"/>
          <w:highlight w:val="none"/>
        </w:rPr>
        <w:t>；</w:t>
      </w:r>
    </w:p>
    <w:p w14:paraId="26867EAD">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仿宋"/>
          <w:bCs/>
          <w:color w:val="auto"/>
          <w:sz w:val="24"/>
          <w:highlight w:val="none"/>
        </w:rPr>
        <w:t>（3）以U盘或光盘存储的电子备份响应文件1份，即按“项目采购-电子招投标操作指南”制作的电子备份文件，以用于异常情况处理。</w:t>
      </w:r>
    </w:p>
    <w:p w14:paraId="04B4F295">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3、以</w:t>
      </w:r>
      <w:r>
        <w:rPr>
          <w:rFonts w:hint="eastAsia" w:ascii="宋体" w:hAnsi="宋体" w:cs="宋体"/>
          <w:color w:val="auto"/>
          <w:kern w:val="0"/>
          <w:sz w:val="24"/>
          <w:highlight w:val="none"/>
        </w:rPr>
        <w:t>U盘或光盘存储的电子</w:t>
      </w:r>
      <w:r>
        <w:rPr>
          <w:rFonts w:hint="eastAsia" w:ascii="宋体" w:hAnsi="宋体" w:cs="宋体"/>
          <w:color w:val="auto"/>
          <w:sz w:val="24"/>
          <w:highlight w:val="none"/>
        </w:rPr>
        <w:t>备份响应文件，按“项目采购-电子招投标操作指南”制作的电子备份文件。</w:t>
      </w:r>
    </w:p>
    <w:p w14:paraId="778F4F30">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5、响应文件的效力</w:t>
      </w:r>
    </w:p>
    <w:p w14:paraId="6D5C86C6">
      <w:pPr>
        <w:snapToGrid w:val="0"/>
        <w:spacing w:line="440" w:lineRule="exact"/>
        <w:ind w:left="479" w:leftChars="228"/>
        <w:jc w:val="left"/>
        <w:rPr>
          <w:rFonts w:hint="eastAsia" w:ascii="宋体" w:hAnsi="宋体" w:cs="宋体"/>
          <w:color w:val="auto"/>
          <w:sz w:val="24"/>
          <w:highlight w:val="none"/>
        </w:rPr>
      </w:pPr>
      <w:r>
        <w:rPr>
          <w:rFonts w:hint="eastAsia" w:ascii="宋体" w:hAnsi="宋体" w:cs="宋体"/>
          <w:color w:val="auto"/>
          <w:sz w:val="24"/>
          <w:highlight w:val="none"/>
        </w:rPr>
        <w:t>（1）响应文件的启用，为电子响应文件、以</w:t>
      </w:r>
      <w:r>
        <w:rPr>
          <w:rFonts w:hint="eastAsia" w:ascii="宋体" w:hAnsi="宋体" w:cs="宋体"/>
          <w:color w:val="auto"/>
          <w:kern w:val="0"/>
          <w:sz w:val="24"/>
          <w:highlight w:val="none"/>
        </w:rPr>
        <w:t>U盘或光盘存储的电子</w:t>
      </w:r>
      <w:r>
        <w:rPr>
          <w:rFonts w:hint="eastAsia" w:ascii="宋体" w:hAnsi="宋体" w:cs="宋体"/>
          <w:color w:val="auto"/>
          <w:sz w:val="24"/>
          <w:highlight w:val="none"/>
        </w:rPr>
        <w:t>备份响应文</w:t>
      </w:r>
    </w:p>
    <w:p w14:paraId="7C48314A">
      <w:pPr>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开启时间后半小时内供应商可以登录政府采购云平台https://www.zcygov.cn/，用“项目采购-开标评标”功能进行解密响应文件。供应商按时在线解密响应文件的，以在线解密的响应文件作为评审依据，若供应商在规定时间内无法解密或解密失败，则以备份电子响应文件作为评审依据（若备份电子响应文件与政采云平台上传的响应文件被识别为不一致，仍以备份电子响应文件作为评审依据）。无论是否启用备份电子响应文件，备份电子响应文件均不退还供应商。若供应商在规定时间内无法解密或解密失败且未提供备份电子响应文件或所提供的备份电子响应文件无法读取的，视为响应文件撤回。</w:t>
      </w:r>
    </w:p>
    <w:p w14:paraId="135BCB7C">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（3）电子响应文件已按时解密的，电子备份响应文件自动失效。</w:t>
      </w:r>
    </w:p>
    <w:p w14:paraId="172657B4">
      <w:pPr>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九、响应文件的组成和份数</w:t>
      </w:r>
    </w:p>
    <w:p w14:paraId="4868131A">
      <w:pPr>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1、响应文件的组成：</w:t>
      </w:r>
    </w:p>
    <w:p w14:paraId="58FC791B">
      <w:pPr>
        <w:snapToGrid w:val="0"/>
        <w:spacing w:line="440" w:lineRule="exact"/>
        <w:ind w:firstLine="482" w:firstLineChars="200"/>
        <w:jc w:val="left"/>
        <w:rPr>
          <w:rFonts w:hint="eastAsia" w:ascii="宋体" w:hAnsi="宋体" w:cs="宋体"/>
          <w:b/>
          <w:color w:val="auto"/>
          <w:sz w:val="24"/>
          <w:highlight w:val="none"/>
        </w:rPr>
      </w:pPr>
      <w:bookmarkStart w:id="61" w:name="_Hlk23150950"/>
      <w:bookmarkStart w:id="62" w:name="_Hlk23147633"/>
      <w:r>
        <w:rPr>
          <w:rFonts w:hint="eastAsia" w:ascii="宋体" w:hAnsi="宋体" w:cs="宋体"/>
          <w:b/>
          <w:color w:val="auto"/>
          <w:sz w:val="24"/>
          <w:highlight w:val="none"/>
        </w:rPr>
        <w:t>第一部分：商务技术文件</w:t>
      </w:r>
    </w:p>
    <w:p w14:paraId="1360872C">
      <w:pPr>
        <w:adjustRightInd w:val="0"/>
        <w:snapToGrid w:val="0"/>
        <w:spacing w:line="424" w:lineRule="exact"/>
        <w:ind w:firstLine="480" w:firstLineChars="200"/>
        <w:jc w:val="left"/>
        <w:rPr>
          <w:rFonts w:hint="eastAsia" w:ascii="宋体" w:hAnsi="宋体" w:cs="宋体"/>
          <w:color w:val="auto"/>
          <w:sz w:val="24"/>
          <w:highlight w:val="none"/>
        </w:rPr>
      </w:pPr>
      <w:bookmarkStart w:id="63" w:name="_Hlk4309479"/>
      <w:r>
        <w:rPr>
          <w:rFonts w:hint="eastAsia" w:ascii="宋体" w:hAnsi="宋体" w:cs="宋体"/>
          <w:color w:val="auto"/>
          <w:sz w:val="24"/>
          <w:highlight w:val="none"/>
        </w:rPr>
        <w:t>（1）封面；</w:t>
      </w:r>
    </w:p>
    <w:p w14:paraId="0CFB9D25">
      <w:pPr>
        <w:adjustRightInd w:val="0"/>
        <w:snapToGrid w:val="0"/>
        <w:spacing w:line="424"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A、资格审查部分</w:t>
      </w:r>
    </w:p>
    <w:p w14:paraId="2BA77DB3">
      <w:pPr>
        <w:adjustRightInd w:val="0"/>
        <w:snapToGrid w:val="0"/>
        <w:spacing w:line="424"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（2）资格声明函；</w:t>
      </w:r>
    </w:p>
    <w:p w14:paraId="6CA997AE">
      <w:pPr>
        <w:spacing w:line="424"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（3）营业执照副本（或事业法人登记证副本或其他登记证明材料）复印件加盖供应商公章（供应商如果有名称变更的，应提供由行政主管部门出具的变更证明文件复印件加盖供应商公章）；</w:t>
      </w:r>
    </w:p>
    <w:p w14:paraId="0E5F5007">
      <w:pPr>
        <w:pStyle w:val="36"/>
        <w:ind w:firstLine="480"/>
        <w:rPr>
          <w:rFonts w:hint="eastAsia" w:ascii="宋体" w:hAnsi="宋体"/>
          <w:color w:val="auto"/>
          <w:sz w:val="24"/>
          <w:highlight w:val="none"/>
        </w:rPr>
      </w:pPr>
      <w:r>
        <w:rPr>
          <w:rFonts w:hint="eastAsia" w:ascii="宋体" w:hAnsi="宋体"/>
          <w:color w:val="auto"/>
          <w:sz w:val="24"/>
          <w:highlight w:val="none"/>
        </w:rPr>
        <w:t>（4）特定资格</w:t>
      </w:r>
      <w:r>
        <w:rPr>
          <w:rFonts w:hint="eastAsia" w:ascii="宋体" w:hAnsi="宋体"/>
          <w:color w:val="auto"/>
          <w:sz w:val="24"/>
          <w:highlight w:val="none"/>
          <w:lang w:val="en-US" w:eastAsia="zh-CN"/>
        </w:rPr>
        <w:t>证明资料</w:t>
      </w:r>
      <w:r>
        <w:rPr>
          <w:rFonts w:hint="eastAsia" w:ascii="宋体" w:hAnsi="宋体"/>
          <w:color w:val="auto"/>
          <w:sz w:val="24"/>
          <w:highlight w:val="none"/>
        </w:rPr>
        <w:t>；</w:t>
      </w:r>
    </w:p>
    <w:p w14:paraId="384F8D85">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）中小型企业声明函；</w:t>
      </w:r>
    </w:p>
    <w:p w14:paraId="7FC6B0DF">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）残疾人福利性单位声明函（如有需提供）；</w:t>
      </w:r>
    </w:p>
    <w:p w14:paraId="5478C824">
      <w:pPr>
        <w:spacing w:line="424" w:lineRule="exact"/>
        <w:ind w:firstLine="480" w:firstLineChars="200"/>
        <w:jc w:val="left"/>
        <w:rPr>
          <w:rFonts w:hint="eastAsia"/>
          <w:color w:val="auto"/>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）评分标准所需要的其他资料；</w:t>
      </w:r>
    </w:p>
    <w:p w14:paraId="28FCDF33">
      <w:pPr>
        <w:adjustRightInd w:val="0"/>
        <w:snapToGrid w:val="0"/>
        <w:spacing w:line="424"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B、技术商务部分</w:t>
      </w:r>
    </w:p>
    <w:p w14:paraId="33BD0283">
      <w:pPr>
        <w:spacing w:line="424"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（1）投标函；</w:t>
      </w:r>
    </w:p>
    <w:p w14:paraId="75BBE192">
      <w:pPr>
        <w:spacing w:line="424"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（2）法定代表人身份证明或法定代表人授权委托书；</w:t>
      </w:r>
    </w:p>
    <w:p w14:paraId="7E1BE6E6">
      <w:pPr>
        <w:spacing w:line="424"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（3）联合体协议书（如有）；</w:t>
      </w:r>
    </w:p>
    <w:p w14:paraId="75AEBAF9">
      <w:pPr>
        <w:spacing w:line="424"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（4）商务（服务）响应一览表；</w:t>
      </w:r>
    </w:p>
    <w:p w14:paraId="34CF2963">
      <w:pPr>
        <w:spacing w:line="424"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（5）供应商一览表；</w:t>
      </w:r>
    </w:p>
    <w:p w14:paraId="1E6283C7">
      <w:pPr>
        <w:spacing w:line="424"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）项目业绩一览表；</w:t>
      </w:r>
    </w:p>
    <w:p w14:paraId="1048C767">
      <w:pPr>
        <w:spacing w:line="424"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）评分标准所需要的其他资料；</w:t>
      </w:r>
    </w:p>
    <w:p w14:paraId="344D6881">
      <w:pPr>
        <w:spacing w:line="424"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）采购文件要求的或供应商认为需要提供的其他证明；</w:t>
      </w:r>
    </w:p>
    <w:p w14:paraId="60116016">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▲“商务技术文件”中不得出现涉及投标价格的内容，否则作无效标处理。</w:t>
      </w:r>
    </w:p>
    <w:p w14:paraId="37FFF50D">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第二部分：价格文件</w:t>
      </w:r>
    </w:p>
    <w:bookmarkEnd w:id="63"/>
    <w:p w14:paraId="1E8B8B19">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（1）开标一览表；</w:t>
      </w:r>
    </w:p>
    <w:p w14:paraId="3F6180EE">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（2）分项报价表；</w:t>
      </w:r>
    </w:p>
    <w:p w14:paraId="44737C07">
      <w:pPr>
        <w:pStyle w:val="52"/>
        <w:spacing w:line="440" w:lineRule="exact"/>
        <w:ind w:firstLine="480" w:firstLineChars="200"/>
        <w:rPr>
          <w:rFonts w:hint="eastAsia"/>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）供应商认为需要的其他资料（如有需提供）。</w:t>
      </w:r>
    </w:p>
    <w:bookmarkEnd w:id="61"/>
    <w:bookmarkEnd w:id="62"/>
    <w:p w14:paraId="4E434E15">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2、响应文件的份数：</w:t>
      </w:r>
    </w:p>
    <w:p w14:paraId="300C154E">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本项目实行网上投标，供应商应准备以下响应文件：</w:t>
      </w:r>
    </w:p>
    <w:p w14:paraId="00A4218C">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上传到政府采购云平台的电子响应文件（含</w:t>
      </w:r>
      <w:r>
        <w:rPr>
          <w:rFonts w:hint="eastAsia" w:ascii="宋体" w:hAnsi="宋体" w:cs="宋体"/>
          <w:color w:val="auto"/>
          <w:sz w:val="24"/>
          <w:highlight w:val="none"/>
        </w:rPr>
        <w:t>商务技术文件、价格文件）</w:t>
      </w:r>
      <w:r>
        <w:rPr>
          <w:rFonts w:hint="eastAsia" w:ascii="宋体" w:hAnsi="宋体" w:cs="宋体"/>
          <w:color w:val="auto"/>
          <w:kern w:val="0"/>
          <w:sz w:val="24"/>
          <w:highlight w:val="none"/>
        </w:rPr>
        <w:t>1份</w:t>
      </w:r>
      <w:r>
        <w:rPr>
          <w:rFonts w:hint="eastAsia" w:ascii="宋体" w:hAnsi="宋体" w:cs="宋体"/>
          <w:color w:val="auto"/>
          <w:sz w:val="24"/>
          <w:highlight w:val="none"/>
        </w:rPr>
        <w:t>。</w:t>
      </w:r>
    </w:p>
    <w:p w14:paraId="35B321CF">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以U盘或光盘存储的电子备份响应文件（含</w:t>
      </w:r>
      <w:r>
        <w:rPr>
          <w:rFonts w:hint="eastAsia" w:ascii="宋体" w:hAnsi="宋体" w:cs="宋体"/>
          <w:color w:val="auto"/>
          <w:sz w:val="24"/>
          <w:highlight w:val="none"/>
        </w:rPr>
        <w:t>商务技术文件、价格文件）</w:t>
      </w:r>
      <w:r>
        <w:rPr>
          <w:rFonts w:hint="eastAsia" w:ascii="宋体" w:hAnsi="宋体" w:cs="宋体"/>
          <w:color w:val="auto"/>
          <w:kern w:val="0"/>
          <w:sz w:val="24"/>
          <w:highlight w:val="none"/>
        </w:rPr>
        <w:t>1份</w:t>
      </w:r>
      <w:r>
        <w:rPr>
          <w:rFonts w:hint="eastAsia" w:ascii="宋体" w:hAnsi="宋体" w:cs="宋体"/>
          <w:color w:val="auto"/>
          <w:sz w:val="24"/>
          <w:highlight w:val="none"/>
        </w:rPr>
        <w:t>。</w:t>
      </w:r>
    </w:p>
    <w:p w14:paraId="361B894F">
      <w:pPr>
        <w:spacing w:line="44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供应商应对响应文件编制目录和评分索引表以方便查询。</w:t>
      </w:r>
    </w:p>
    <w:p w14:paraId="0BA25282">
      <w:pPr>
        <w:spacing w:line="440" w:lineRule="exact"/>
        <w:ind w:firstLine="480" w:firstLineChars="200"/>
        <w:jc w:val="left"/>
        <w:rPr>
          <w:rFonts w:hint="eastAsia" w:ascii="宋体" w:hAnsi="宋体" w:cs="宋体"/>
          <w:b/>
          <w:bCs/>
          <w:color w:val="auto"/>
          <w:sz w:val="24"/>
          <w:highlight w:val="none"/>
        </w:rPr>
      </w:pPr>
      <w:bookmarkStart w:id="64" w:name="_Toc19699"/>
      <w:r>
        <w:rPr>
          <w:rFonts w:hint="eastAsia" w:ascii="宋体" w:hAnsi="宋体" w:cs="宋体"/>
          <w:color w:val="auto"/>
          <w:sz w:val="24"/>
          <w:highlight w:val="none"/>
        </w:rPr>
        <w:t>▲</w:t>
      </w:r>
      <w:r>
        <w:rPr>
          <w:rFonts w:hint="eastAsia" w:ascii="宋体" w:hAnsi="宋体" w:cs="宋体"/>
          <w:b/>
          <w:bCs/>
          <w:color w:val="auto"/>
          <w:sz w:val="24"/>
          <w:highlight w:val="none"/>
        </w:rPr>
        <w:t>十、响应文件的签署盖章</w:t>
      </w:r>
    </w:p>
    <w:p w14:paraId="1B1EC534">
      <w:pPr>
        <w:tabs>
          <w:tab w:val="left" w:pos="900"/>
        </w:tabs>
        <w:spacing w:line="440" w:lineRule="exact"/>
        <w:ind w:firstLine="480" w:firstLineChars="200"/>
        <w:jc w:val="left"/>
        <w:rPr>
          <w:rFonts w:hint="eastAsia"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第六章“响应文件有关格式”中标明加盖公章或签字的，</w:t>
      </w:r>
      <w:r>
        <w:rPr>
          <w:rFonts w:hint="eastAsia" w:ascii="宋体" w:hAnsi="宋体" w:cs="宋体"/>
          <w:bCs/>
          <w:color w:val="auto"/>
          <w:sz w:val="24"/>
          <w:highlight w:val="none"/>
        </w:rPr>
        <w:t>电子响应文件中须加盖供应商公章部分均采用CA签章，</w:t>
      </w:r>
      <w:r>
        <w:rPr>
          <w:rFonts w:hint="eastAsia" w:ascii="宋体" w:hAnsi="宋体" w:cs="宋体"/>
          <w:color w:val="auto"/>
          <w:sz w:val="24"/>
          <w:highlight w:val="none"/>
        </w:rPr>
        <w:t>签字部分</w:t>
      </w:r>
      <w:r>
        <w:rPr>
          <w:rFonts w:hint="eastAsia" w:ascii="宋体" w:hAnsi="宋体" w:cs="宋体"/>
          <w:bCs/>
          <w:color w:val="auto"/>
          <w:sz w:val="24"/>
          <w:highlight w:val="none"/>
        </w:rPr>
        <w:t>按照本章第十条第1款要求。</w:t>
      </w:r>
    </w:p>
    <w:p w14:paraId="0459B9E9">
      <w:pPr>
        <w:tabs>
          <w:tab w:val="left" w:pos="900"/>
        </w:tabs>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第六章“响应文件有关格式”中标明加盖公章或签字的，</w:t>
      </w:r>
      <w:r>
        <w:rPr>
          <w:rFonts w:hint="eastAsia" w:ascii="宋体" w:hAnsi="宋体" w:cs="宋体"/>
          <w:color w:val="auto"/>
          <w:kern w:val="0"/>
          <w:sz w:val="24"/>
          <w:highlight w:val="none"/>
        </w:rPr>
        <w:t>以U盘或光盘存储的电子备份响应文件的</w:t>
      </w:r>
      <w:r>
        <w:rPr>
          <w:rFonts w:hint="eastAsia" w:ascii="宋体" w:hAnsi="宋体" w:cs="宋体"/>
          <w:color w:val="auto"/>
          <w:sz w:val="24"/>
          <w:highlight w:val="none"/>
        </w:rPr>
        <w:t>签署盖章按照</w:t>
      </w:r>
      <w:r>
        <w:rPr>
          <w:rFonts w:hint="eastAsia" w:ascii="宋体" w:hAnsi="宋体" w:cs="宋体"/>
          <w:bCs/>
          <w:color w:val="auto"/>
          <w:sz w:val="24"/>
          <w:highlight w:val="none"/>
        </w:rPr>
        <w:t>本章第十条第1款要求。</w:t>
      </w:r>
    </w:p>
    <w:p w14:paraId="65DF570D">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十一、响应文件的密封和标记</w:t>
      </w:r>
    </w:p>
    <w:p w14:paraId="03DCC656">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1、电子响应文件：供应商应根据“项目采购-电子交易管理操作指南”及本</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规定的格式和顺序编制电子响应文件并进行关联定位。</w:t>
      </w:r>
    </w:p>
    <w:p w14:paraId="72CBC0C0">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以U盘或光盘存储的电子备份响应文件</w:t>
      </w:r>
      <w:r>
        <w:rPr>
          <w:rFonts w:hint="eastAsia" w:ascii="宋体" w:hAnsi="宋体" w:cs="宋体"/>
          <w:color w:val="auto"/>
          <w:sz w:val="24"/>
          <w:highlight w:val="none"/>
        </w:rPr>
        <w:t>用封袋密封后递交。</w:t>
      </w:r>
    </w:p>
    <w:p w14:paraId="558F8A59">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电子备份响应文件的外包装标记详见第六章“响应文件相关格式”</w:t>
      </w:r>
      <w:r>
        <w:rPr>
          <w:rFonts w:hint="eastAsia" w:ascii="宋体" w:hAnsi="宋体" w:cs="宋体"/>
          <w:color w:val="auto"/>
          <w:sz w:val="24"/>
          <w:highlight w:val="none"/>
        </w:rPr>
        <w:t>；</w:t>
      </w:r>
    </w:p>
    <w:p w14:paraId="1471400F">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供应商未按上述要求签字盖章及标记的，采购人（代理机构）不承担错放或提前开封的责任。</w:t>
      </w:r>
    </w:p>
    <w:p w14:paraId="52AB0CB5">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十二、响应文件的递交</w:t>
      </w:r>
    </w:p>
    <w:p w14:paraId="726B3DFC">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1、响应文件递交的具体要求详见采购公告。</w:t>
      </w:r>
    </w:p>
    <w:p w14:paraId="58D8D4A4">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2、代理机构在投标截止时间前半小时内于开标地点接受响应文件。</w:t>
      </w:r>
    </w:p>
    <w:p w14:paraId="23DF8AEC">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3、响应文件的补充和修改</w:t>
      </w:r>
    </w:p>
    <w:p w14:paraId="00904CA1">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响应文件递交截止时间前，供应商可以对递交的响应文件进行补充、修改，</w:t>
      </w:r>
      <w:r>
        <w:rPr>
          <w:rFonts w:hint="eastAsia" w:ascii="宋体" w:hAnsi="宋体" w:cs="宋体"/>
          <w:color w:val="auto"/>
          <w:sz w:val="24"/>
          <w:highlight w:val="none"/>
          <w:lang w:val="en"/>
        </w:rPr>
        <w:t>补充、修改</w:t>
      </w:r>
      <w:r>
        <w:rPr>
          <w:rFonts w:hint="eastAsia" w:ascii="宋体" w:hAnsi="宋体" w:cs="宋体"/>
          <w:color w:val="auto"/>
          <w:sz w:val="24"/>
          <w:highlight w:val="none"/>
        </w:rPr>
        <w:t>电子响应文件</w:t>
      </w:r>
      <w:r>
        <w:rPr>
          <w:rFonts w:hint="eastAsia" w:ascii="宋体" w:hAnsi="宋体" w:cs="宋体"/>
          <w:color w:val="auto"/>
          <w:sz w:val="24"/>
          <w:highlight w:val="none"/>
          <w:lang w:val="en"/>
        </w:rPr>
        <w:t>的，应当先行撤回原文件，补充、修改后重新上传，电子备份响应文件也应重新制作。</w:t>
      </w:r>
      <w:r>
        <w:rPr>
          <w:rFonts w:hint="eastAsia" w:ascii="宋体" w:hAnsi="宋体" w:cs="宋体"/>
          <w:color w:val="auto"/>
          <w:sz w:val="24"/>
          <w:highlight w:val="none"/>
        </w:rPr>
        <w:t>在递交截止时间之后，供应商不得对其响应文件进行补充、修改。递交截止时间之后供应商要求撤销响应文件的，应向采购人提交正式文件。</w:t>
      </w:r>
    </w:p>
    <w:p w14:paraId="0FCC02A7">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十三、采购文件的澄清或修改</w:t>
      </w:r>
    </w:p>
    <w:p w14:paraId="4469D1F7">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采购人可以对已发出的采购文件进行必要的澄清或者修改，将以“更正公告”的形式发布在政采云平台，供应商应及时登录政采云平台，进行浏览并下载，未及时浏览下载的责任自负。澄清或者修改的内容可能影响响应文件编制的，采购人应当在提交响应文件的截止时间至少15日前，不足15日的，采购人应当顺延提交响应文件的截止时间；澄清或者修改的内容不影响响应文件编制的，则不受15日的期限限制。澄清或者修改的内容为采购文件的组成部分，对所有供应商具有约束力。</w:t>
      </w:r>
    </w:p>
    <w:p w14:paraId="26EA3C6A">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十四、开标</w:t>
      </w:r>
    </w:p>
    <w:p w14:paraId="36F07114">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1、代理机构在</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规定的时间和地点公开开标，不邀请所有供应商的法定代表人（或授权代表）准时参加。</w:t>
      </w:r>
    </w:p>
    <w:p w14:paraId="44240CD5">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2、特别说明：</w:t>
      </w:r>
      <w:r>
        <w:rPr>
          <w:rFonts w:hint="eastAsia" w:ascii="宋体" w:hAnsi="宋体" w:cs="宋体"/>
          <w:color w:val="auto"/>
          <w:kern w:val="0"/>
          <w:sz w:val="24"/>
          <w:highlight w:val="none"/>
        </w:rPr>
        <w:t>政府采购云平台</w:t>
      </w:r>
      <w:r>
        <w:rPr>
          <w:rFonts w:hint="eastAsia" w:ascii="宋体" w:hAnsi="宋体" w:cs="宋体"/>
          <w:color w:val="auto"/>
          <w:sz w:val="24"/>
          <w:highlight w:val="none"/>
        </w:rPr>
        <w:t>如对电子化开标及评审程序有调整的，按调整后的程序操作。</w:t>
      </w:r>
    </w:p>
    <w:p w14:paraId="5B4B7FD6">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本项目原则上采用政采云电子投标开标及评审程序，但有下情形之一的，按以下情况处理：</w:t>
      </w:r>
    </w:p>
    <w:p w14:paraId="1CC43F76">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（1）若供应商在规定时间内无法解密或解密失败，代理机构将开启所有供应商递交的</w:t>
      </w:r>
      <w:r>
        <w:rPr>
          <w:rFonts w:hint="eastAsia" w:ascii="宋体" w:hAnsi="宋体" w:cs="宋体"/>
          <w:color w:val="auto"/>
          <w:kern w:val="0"/>
          <w:sz w:val="24"/>
          <w:highlight w:val="none"/>
        </w:rPr>
        <w:t>以U盘或光盘存储的电子备份响应文件</w:t>
      </w:r>
      <w:r>
        <w:rPr>
          <w:rFonts w:hint="eastAsia" w:ascii="宋体" w:hAnsi="宋体" w:cs="宋体"/>
          <w:color w:val="auto"/>
          <w:sz w:val="24"/>
          <w:highlight w:val="none"/>
        </w:rPr>
        <w:t>，上传至政采云平台项目采购模块，以完成开标，电子响应文件自动失效。</w:t>
      </w:r>
    </w:p>
    <w:p w14:paraId="11DB8F4C">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采购过程中出现以下情形，导致电子交易平台无法正常运行，或者无法保证电子交易的公平、公正和安全时，采购人（或代理机构）可中止电子交易活动：</w:t>
      </w:r>
    </w:p>
    <w:p w14:paraId="7B5512E0">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A.“政府采购云平台”发生故障而无法登录访问的；</w:t>
      </w:r>
    </w:p>
    <w:p w14:paraId="454825AB">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B.“政府采购云平台”应用或数据库出现错误，不能进行正常操作的；</w:t>
      </w:r>
    </w:p>
    <w:p w14:paraId="2488A293">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C.“政府采购云平台”发现严重安全漏洞，有潜在泄密危险的；</w:t>
      </w:r>
    </w:p>
    <w:p w14:paraId="139DE5B8">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D.病毒发作导致不能进行正常操作的；</w:t>
      </w:r>
    </w:p>
    <w:p w14:paraId="7C89D710">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E.其他无法保证电子交易的公平、公正和安全的情况。</w:t>
      </w:r>
    </w:p>
    <w:p w14:paraId="7690E9E0">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1D9B9C32">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十五、评标</w:t>
      </w:r>
    </w:p>
    <w:p w14:paraId="201D4F24">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1、采购人依据《中华人民共和国政府采购法》、《中华人民共和国政府采购法实施条例》等有关规定组建评标委员会。评标委员会由采购人代表和专家组成，负责本项目的评标工作。</w:t>
      </w:r>
    </w:p>
    <w:p w14:paraId="7A0E69EB">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2、评标活动遵循公开、公平、公正、科学和择优的原则。</w:t>
      </w:r>
    </w:p>
    <w:p w14:paraId="02B08DC5">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3、评标委员会按照第三章“评标办法及标准”对响应文件进行评审。第三章“评标办法及标准”没有规定的方法、评审因素和标准，不作为评标依据。</w:t>
      </w:r>
    </w:p>
    <w:p w14:paraId="6FF628D1">
      <w:pPr>
        <w:spacing w:line="440" w:lineRule="exact"/>
        <w:ind w:firstLine="482" w:firstLineChars="200"/>
        <w:jc w:val="left"/>
        <w:rPr>
          <w:rFonts w:hint="eastAsia" w:ascii="宋体" w:hAnsi="宋体" w:cs="宋体"/>
          <w:b/>
          <w:color w:val="auto"/>
          <w:sz w:val="24"/>
          <w:highlight w:val="none"/>
        </w:rPr>
      </w:pPr>
      <w:bookmarkStart w:id="65" w:name="_Toc17747"/>
      <w:r>
        <w:rPr>
          <w:rFonts w:hint="eastAsia" w:ascii="宋体" w:hAnsi="宋体" w:cs="宋体"/>
          <w:b/>
          <w:color w:val="auto"/>
          <w:sz w:val="24"/>
          <w:highlight w:val="none"/>
        </w:rPr>
        <w:t>十六、合同授予</w:t>
      </w:r>
    </w:p>
    <w:bookmarkEnd w:id="65"/>
    <w:p w14:paraId="7EC2A2B5">
      <w:pPr>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采购人应当自中标通知书发出之日起7日内，按照采购文件和中标供应商响应文件的规定，与中标供应商签订书面合同。所签订的合同不得对采购文件确定的事项和中标供应商响应文件作实质性修改。</w:t>
      </w:r>
    </w:p>
    <w:p w14:paraId="08D2FDA8">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采购人不得向中标供应商提出任何不合理的要求作为签订合同的条件。</w:t>
      </w:r>
    </w:p>
    <w:p w14:paraId="13D95E0B">
      <w:pPr>
        <w:pStyle w:val="20"/>
        <w:snapToGrid w:val="0"/>
        <w:spacing w:before="0" w:beforeLines="0" w:after="0" w:afterLines="0" w:line="440" w:lineRule="exact"/>
        <w:ind w:firstLine="480" w:firstLineChars="200"/>
        <w:jc w:val="left"/>
        <w:rPr>
          <w:rFonts w:hint="eastAsia" w:hAnsi="宋体" w:cs="宋体"/>
          <w:bCs/>
          <w:color w:val="auto"/>
          <w:highlight w:val="none"/>
        </w:rPr>
      </w:pPr>
      <w:r>
        <w:rPr>
          <w:rFonts w:hint="eastAsia" w:hAnsi="宋体" w:cs="宋体"/>
          <w:bCs/>
          <w:color w:val="auto"/>
          <w:highlight w:val="none"/>
        </w:rPr>
        <w:t>2、采购人在签订合同时，在合同金额变更范围内，如需审批的办理相关审批手续。有权变更采购项目的数量和服务内容，但不能对单价或其他条款和条件作任何改变。</w:t>
      </w:r>
    </w:p>
    <w:p w14:paraId="1F274785">
      <w:pPr>
        <w:pStyle w:val="20"/>
        <w:snapToGrid w:val="0"/>
        <w:spacing w:before="0" w:beforeLines="0" w:after="0" w:afterLines="0" w:line="440" w:lineRule="exact"/>
        <w:ind w:firstLine="480" w:firstLineChars="200"/>
        <w:jc w:val="left"/>
        <w:rPr>
          <w:rFonts w:hint="eastAsia" w:hAnsi="宋体" w:cs="宋体"/>
          <w:bCs/>
          <w:color w:val="auto"/>
          <w:highlight w:val="none"/>
        </w:rPr>
      </w:pPr>
      <w:r>
        <w:rPr>
          <w:rFonts w:hint="eastAsia" w:hAnsi="宋体" w:cs="宋体"/>
          <w:bCs/>
          <w:color w:val="auto"/>
          <w:highlight w:val="none"/>
        </w:rPr>
        <w:t>3、采购文件、中标供应商的响应文件及评标过程中有关的澄清文件均应作为合同签订的附件。</w:t>
      </w:r>
    </w:p>
    <w:p w14:paraId="1A01568F">
      <w:pPr>
        <w:pStyle w:val="20"/>
        <w:snapToGrid w:val="0"/>
        <w:spacing w:before="0" w:beforeLines="0" w:after="0" w:afterLines="0" w:line="440" w:lineRule="exact"/>
        <w:ind w:firstLine="480" w:firstLineChars="200"/>
        <w:jc w:val="left"/>
        <w:rPr>
          <w:rFonts w:hint="eastAsia" w:hAnsi="宋体" w:cs="宋体"/>
          <w:bCs/>
          <w:color w:val="auto"/>
          <w:highlight w:val="none"/>
        </w:rPr>
      </w:pPr>
      <w:r>
        <w:rPr>
          <w:rFonts w:hint="eastAsia" w:hAnsi="宋体" w:cs="宋体"/>
          <w:bCs/>
          <w:color w:val="auto"/>
          <w:highlight w:val="none"/>
        </w:rPr>
        <w:t>4、中标或者成交供应商拒绝与采购人签订合同的，采购人应重新招标。</w:t>
      </w:r>
    </w:p>
    <w:p w14:paraId="0DA3E488">
      <w:pPr>
        <w:pStyle w:val="20"/>
        <w:snapToGrid w:val="0"/>
        <w:spacing w:before="0" w:beforeLines="0" w:after="0" w:afterLines="0" w:line="440" w:lineRule="exact"/>
        <w:ind w:firstLine="480" w:firstLineChars="200"/>
        <w:jc w:val="left"/>
        <w:rPr>
          <w:rFonts w:hint="eastAsia" w:hAnsi="宋体" w:cs="宋体"/>
          <w:bCs/>
          <w:color w:val="auto"/>
          <w:highlight w:val="none"/>
        </w:rPr>
      </w:pPr>
      <w:r>
        <w:rPr>
          <w:rFonts w:hint="eastAsia" w:hAnsi="宋体" w:cs="宋体"/>
          <w:bCs/>
          <w:color w:val="auto"/>
          <w:highlight w:val="none"/>
        </w:rPr>
        <w:t>5、中标供应商如不遵守采购文件或响应文件各项条款的邀约与要约，或在接到中标通知书后借故拖延，拒签合同的，采购人将按《浙江省政府采购供应商注册及诚信管理暂行办法》的规定上报诚信状况。给采购人造成的损失的还应当予以赔偿。</w:t>
      </w:r>
    </w:p>
    <w:p w14:paraId="66BF88FD">
      <w:pPr>
        <w:pStyle w:val="20"/>
        <w:snapToGrid w:val="0"/>
        <w:spacing w:before="0" w:beforeLines="0" w:after="0" w:afterLines="0" w:line="440" w:lineRule="exact"/>
        <w:ind w:firstLine="480" w:firstLineChars="200"/>
        <w:jc w:val="left"/>
        <w:rPr>
          <w:rFonts w:hint="eastAsia" w:hAnsi="宋体" w:cs="宋体"/>
          <w:bCs/>
          <w:color w:val="auto"/>
          <w:highlight w:val="none"/>
        </w:rPr>
      </w:pPr>
      <w:r>
        <w:rPr>
          <w:rFonts w:hint="eastAsia" w:hAnsi="宋体" w:cs="宋体"/>
          <w:bCs/>
          <w:color w:val="auto"/>
          <w:highlight w:val="none"/>
        </w:rPr>
        <w:t>6、合同原件提交一份至采购代理机构存档。</w:t>
      </w:r>
    </w:p>
    <w:p w14:paraId="4A0C03C5">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十七、履约验收：</w:t>
      </w:r>
    </w:p>
    <w:p w14:paraId="5938BE1A">
      <w:pPr>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采购人负责对中标供应商的履约行为进行验收（具体按象山县财政局文件规定）。政府向社会公众提供的公共服务项目，验收时应当邀请服务对象参与并出具意见，验收结果应当向社会公告。</w:t>
      </w:r>
    </w:p>
    <w:p w14:paraId="15861AFB">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十八、质疑</w:t>
      </w:r>
    </w:p>
    <w:p w14:paraId="37752554">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09ED5F22">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提出质疑的供应商应当是参与所质疑项目采购活动的供应商。未依法获取采购文件的，不得就采购文件提出质疑；未提交响应文件的供应商，视为与采购结果没有利害关系，不得就采购响应截止时间后的采购过程、采购结果提出质疑。</w:t>
      </w:r>
    </w:p>
    <w:p w14:paraId="776A8C76">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3、供应商提出质疑应当提交质疑函和必要的证明材料，质疑函应当以书面形式提出，质疑函格式和内容须符合财政部《质疑函范本》要求，供应商可到中国政府采购网自行下载财政部《质疑函范本》。</w:t>
      </w:r>
    </w:p>
    <w:p w14:paraId="1E89A90D">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74A6EA6A">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5、采购人、代理机构接收质疑函的方式：只接收供应商以当面递交、邮寄、传真或电子邮件方式提出的质疑函，以其他方式提出的质疑不予接收。</w:t>
      </w:r>
    </w:p>
    <w:p w14:paraId="46EEC67A">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采取邮寄方式的，提出质疑的时间为质疑函原件交邮的时间（以邮戳时间或快递收件时间为准）。</w:t>
      </w:r>
    </w:p>
    <w:p w14:paraId="46E6F03E">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采取传真、电子邮件方式的，供应商应当在传真、电子邮件发出后将质疑函原件邮寄给被质疑人，提出质疑的时间为质疑函原件交邮的时间（以邮戳时间或快递收件时间为准）。</w:t>
      </w:r>
    </w:p>
    <w:p w14:paraId="7AB534FD">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6、采购人、代理机构以实际收到质疑函原件之日作为收到质疑函的日期，将在收到质疑函后7个工作日内作出答复。</w:t>
      </w:r>
    </w:p>
    <w:p w14:paraId="00BF1D7C">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7、采购人、代理机构接收质疑函的联系人、联系电话和通讯地址等信息详见采购公告。</w:t>
      </w:r>
    </w:p>
    <w:p w14:paraId="2199F61E">
      <w:pPr>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十九、特别说明</w:t>
      </w:r>
    </w:p>
    <w:p w14:paraId="7632F96C">
      <w:pPr>
        <w:spacing w:line="440" w:lineRule="exact"/>
        <w:ind w:firstLine="480" w:firstLineChars="200"/>
        <w:jc w:val="left"/>
        <w:rPr>
          <w:rFonts w:hint="eastAsia" w:ascii="宋体" w:hAnsi="宋体"/>
          <w:color w:val="auto"/>
          <w:sz w:val="24"/>
          <w:highlight w:val="none"/>
        </w:rPr>
      </w:pPr>
      <w:bookmarkStart w:id="66" w:name="_Toc419729150"/>
      <w:bookmarkStart w:id="67" w:name="_Toc436408700"/>
      <w:bookmarkStart w:id="68" w:name="_Toc441316546"/>
      <w:bookmarkStart w:id="69" w:name="_Toc40625909"/>
      <w:bookmarkStart w:id="70" w:name="_Toc419729158"/>
      <w:r>
        <w:rPr>
          <w:rFonts w:hint="eastAsia" w:ascii="宋体" w:hAnsi="宋体"/>
          <w:color w:val="auto"/>
          <w:sz w:val="24"/>
          <w:highlight w:val="none"/>
        </w:rPr>
        <w:t>1、执行财政部、工业和信息化部《政府采购促进中小企业发展管理办法》（财库〔2020〕46号）。政府采购活动中有关中小企业的相关规定如下：</w:t>
      </w:r>
    </w:p>
    <w:p w14:paraId="61C9D203">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3CE1C79C">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符合中小企业划分标准的个体工商户，在政府采购活动中视同中小企业。</w:t>
      </w:r>
    </w:p>
    <w:p w14:paraId="61C14B3B">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1.2在政府采购活动中，供应商提供的货物、工程或者服务符合下列情形的，享受《政府采购促进中小企业发展管理办法》规定的中小企业扶持政策：</w:t>
      </w:r>
    </w:p>
    <w:p w14:paraId="5C3B2FCF">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（1）在货物采购项目中，货物由中小企业制造，即货物由中小企业生产且使用该中小企业商号或者注册商标；</w:t>
      </w:r>
    </w:p>
    <w:p w14:paraId="558F39BD">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（2）在工程采购项目中，工程由中小企业承建，即工程施工单位为中小企业；</w:t>
      </w:r>
    </w:p>
    <w:p w14:paraId="15B3D094">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（3）在服务采购项目中，服务由中小企业承接，即提供服务的人员为中小企业依照《中华人民共和国劳动合同法》订立劳动合同的从业人员。</w:t>
      </w:r>
    </w:p>
    <w:p w14:paraId="0BA54CCD">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在货物采购项目中，供应商提供的货物既有中小企业制造货物，也有大型企业制造货物的，不享受《政府采购促进中小企业发展管理办法》规定的中小企业扶持政策。</w:t>
      </w:r>
    </w:p>
    <w:p w14:paraId="063C2109">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以联合体形式参加政府采购活动，联合体各方均为中小企业的，联合体视同中小企业。其中，联合体各方均为小微企业的，联合体视同小微企业。</w:t>
      </w:r>
    </w:p>
    <w:p w14:paraId="1986510C">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1.3中小企业参加政府采购活动，应当出具《政府采购促进中小企业发展管理办法》规定的《中小企业声明函》（格式见本采购文件附件），否则不得享受相关中小企业扶持政策。</w:t>
      </w:r>
    </w:p>
    <w:p w14:paraId="0266DA20">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C0FA702">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供应商提供声明函内容不实的，属于提供虚假材料谋取中标、成交，依照《中华人民共和国政府采购法》等国家有关规定追究相应责任。</w:t>
      </w:r>
    </w:p>
    <w:p w14:paraId="0E93A500">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适用招标投标法的政府采购工程建设项目，供应商提供声明函内容不实的，属于弄虚作假骗取中标，依照《中华人民共和国招标投标法》等国家有关规定追究相应责任。</w:t>
      </w:r>
    </w:p>
    <w:p w14:paraId="135869D4">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1.5《中小企业声明函》由参加投标的供应商提交，如供应商为代理商，须自行采集制造商的中小企业划分类型信息填入相应栏目并对其真实性负责。</w:t>
      </w:r>
    </w:p>
    <w:p w14:paraId="2D3AA4D6">
      <w:pPr>
        <w:spacing w:line="440" w:lineRule="exact"/>
        <w:ind w:firstLine="480" w:firstLineChars="200"/>
        <w:jc w:val="left"/>
        <w:outlineLvl w:val="0"/>
        <w:rPr>
          <w:rFonts w:ascii="宋体" w:hAnsi="宋体"/>
          <w:color w:val="auto"/>
          <w:sz w:val="24"/>
          <w:highlight w:val="none"/>
        </w:rPr>
      </w:pPr>
      <w:bookmarkStart w:id="71" w:name="_Toc60671166"/>
      <w:bookmarkStart w:id="72" w:name="_Toc21541015"/>
      <w:bookmarkStart w:id="73" w:name="_Toc495244277"/>
      <w:bookmarkStart w:id="74" w:name="_Toc60671247"/>
      <w:r>
        <w:rPr>
          <w:rFonts w:ascii="宋体" w:hAnsi="宋体"/>
          <w:color w:val="auto"/>
          <w:sz w:val="24"/>
          <w:highlight w:val="none"/>
        </w:rPr>
        <w:t>2</w:t>
      </w:r>
      <w:r>
        <w:rPr>
          <w:rFonts w:hint="eastAsia" w:ascii="宋体" w:hAnsi="宋体"/>
          <w:color w:val="auto"/>
          <w:sz w:val="24"/>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71"/>
      <w:bookmarkEnd w:id="72"/>
      <w:bookmarkEnd w:id="73"/>
      <w:bookmarkEnd w:id="74"/>
    </w:p>
    <w:p w14:paraId="0C7063C8">
      <w:pPr>
        <w:spacing w:line="440" w:lineRule="exact"/>
        <w:ind w:firstLine="480" w:firstLineChars="200"/>
        <w:jc w:val="left"/>
        <w:outlineLvl w:val="0"/>
        <w:rPr>
          <w:rFonts w:ascii="宋体" w:hAnsi="宋体"/>
          <w:color w:val="auto"/>
          <w:sz w:val="24"/>
          <w:highlight w:val="none"/>
        </w:rPr>
      </w:pPr>
      <w:bookmarkStart w:id="75" w:name="_Toc60671167"/>
      <w:bookmarkStart w:id="76" w:name="_Toc60671248"/>
      <w:bookmarkStart w:id="77" w:name="_Toc21541016"/>
      <w:r>
        <w:rPr>
          <w:rFonts w:ascii="宋体" w:hAnsi="宋体"/>
          <w:color w:val="auto"/>
          <w:sz w:val="24"/>
          <w:highlight w:val="none"/>
        </w:rPr>
        <w:t>3</w:t>
      </w:r>
      <w:r>
        <w:rPr>
          <w:rFonts w:hint="eastAsia" w:ascii="宋体" w:hAnsi="宋体"/>
          <w:color w:val="auto"/>
          <w:sz w:val="24"/>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75"/>
      <w:bookmarkEnd w:id="76"/>
      <w:bookmarkEnd w:id="77"/>
    </w:p>
    <w:p w14:paraId="34D99A79">
      <w:pPr>
        <w:spacing w:line="440" w:lineRule="exact"/>
        <w:ind w:firstLine="480" w:firstLineChars="200"/>
        <w:jc w:val="left"/>
        <w:outlineLvl w:val="0"/>
        <w:rPr>
          <w:rFonts w:ascii="宋体" w:hAnsi="宋体"/>
          <w:color w:val="auto"/>
          <w:sz w:val="24"/>
          <w:highlight w:val="none"/>
        </w:rPr>
      </w:pPr>
      <w:bookmarkStart w:id="78" w:name="_Toc60671168"/>
      <w:bookmarkStart w:id="79" w:name="_Toc21541017"/>
      <w:bookmarkStart w:id="80" w:name="_Toc60671249"/>
      <w:r>
        <w:rPr>
          <w:rFonts w:ascii="宋体" w:hAnsi="宋体"/>
          <w:color w:val="auto"/>
          <w:sz w:val="24"/>
          <w:highlight w:val="none"/>
        </w:rPr>
        <w:t>4</w:t>
      </w:r>
      <w:r>
        <w:rPr>
          <w:rFonts w:hint="eastAsia" w:ascii="宋体" w:hAnsi="宋体"/>
          <w:color w:val="auto"/>
          <w:sz w:val="24"/>
          <w:highlight w:val="none"/>
        </w:rPr>
        <w:t>、本项目不组织潜在供应商现场考察或者召开开标前答疑。</w:t>
      </w:r>
      <w:bookmarkEnd w:id="78"/>
      <w:bookmarkEnd w:id="79"/>
      <w:bookmarkEnd w:id="80"/>
    </w:p>
    <w:bookmarkEnd w:id="66"/>
    <w:bookmarkEnd w:id="67"/>
    <w:bookmarkEnd w:id="68"/>
    <w:bookmarkEnd w:id="69"/>
    <w:p w14:paraId="12E4B271">
      <w:pPr>
        <w:adjustRightInd w:val="0"/>
        <w:spacing w:line="440" w:lineRule="exact"/>
        <w:ind w:firstLine="480" w:firstLineChars="200"/>
        <w:jc w:val="left"/>
        <w:rPr>
          <w:rFonts w:hint="eastAsia" w:ascii="宋体" w:hAnsi="宋体"/>
          <w:bCs/>
          <w:color w:val="auto"/>
          <w:sz w:val="24"/>
          <w:highlight w:val="none"/>
        </w:rPr>
      </w:pPr>
      <w:bookmarkStart w:id="81" w:name="_Toc436408708"/>
      <w:bookmarkStart w:id="82" w:name="_Toc441316554"/>
      <w:r>
        <w:rPr>
          <w:rFonts w:hint="eastAsia" w:ascii="宋体" w:hAnsi="宋体"/>
          <w:color w:val="auto"/>
          <w:sz w:val="24"/>
          <w:highlight w:val="none"/>
        </w:rPr>
        <w:t>5、本</w:t>
      </w:r>
      <w:r>
        <w:rPr>
          <w:rFonts w:hint="eastAsia" w:ascii="宋体" w:hAnsi="宋体" w:cs="宋体"/>
          <w:color w:val="auto"/>
          <w:sz w:val="24"/>
          <w:highlight w:val="none"/>
        </w:rPr>
        <w:t>采购文件</w:t>
      </w:r>
      <w:r>
        <w:rPr>
          <w:rFonts w:hint="eastAsia" w:ascii="宋体" w:hAnsi="宋体"/>
          <w:color w:val="auto"/>
          <w:sz w:val="24"/>
          <w:highlight w:val="none"/>
        </w:rPr>
        <w:t>未及事项，在签订合同时供需双方友好商定。</w:t>
      </w:r>
      <w:bookmarkEnd w:id="81"/>
      <w:bookmarkEnd w:id="82"/>
    </w:p>
    <w:p w14:paraId="0EB2050F">
      <w:pPr>
        <w:adjustRightInd w:val="0"/>
        <w:spacing w:line="440" w:lineRule="exact"/>
        <w:ind w:firstLine="480" w:firstLineChars="200"/>
        <w:jc w:val="left"/>
        <w:rPr>
          <w:rFonts w:hint="eastAsia" w:ascii="宋体" w:hAnsi="宋体"/>
          <w:color w:val="auto"/>
          <w:sz w:val="24"/>
          <w:highlight w:val="none"/>
        </w:rPr>
      </w:pPr>
      <w:r>
        <w:rPr>
          <w:rFonts w:hint="eastAsia" w:ascii="宋体" w:hAnsi="宋体"/>
          <w:bCs/>
          <w:color w:val="auto"/>
          <w:sz w:val="24"/>
          <w:highlight w:val="none"/>
        </w:rPr>
        <w:t>6、</w:t>
      </w:r>
      <w:bookmarkEnd w:id="70"/>
      <w:bookmarkStart w:id="83" w:name="_Toc419729159"/>
      <w:r>
        <w:rPr>
          <w:rFonts w:hint="eastAsia" w:ascii="宋体" w:hAnsi="宋体"/>
          <w:bCs/>
          <w:color w:val="auto"/>
          <w:sz w:val="24"/>
          <w:highlight w:val="none"/>
        </w:rPr>
        <w:t>本</w:t>
      </w:r>
      <w:r>
        <w:rPr>
          <w:rFonts w:hint="eastAsia" w:ascii="宋体" w:hAnsi="宋体" w:cs="宋体"/>
          <w:color w:val="auto"/>
          <w:sz w:val="24"/>
          <w:highlight w:val="none"/>
        </w:rPr>
        <w:t>采购文件</w:t>
      </w:r>
      <w:r>
        <w:rPr>
          <w:rFonts w:hint="eastAsia" w:ascii="宋体" w:hAnsi="宋体"/>
          <w:bCs/>
          <w:color w:val="auto"/>
          <w:sz w:val="24"/>
          <w:highlight w:val="none"/>
        </w:rPr>
        <w:t>解释权归采购人。</w:t>
      </w:r>
      <w:bookmarkEnd w:id="83"/>
    </w:p>
    <w:p w14:paraId="21F29B1A">
      <w:pPr>
        <w:spacing w:line="400" w:lineRule="exact"/>
        <w:rPr>
          <w:rFonts w:hint="eastAsia" w:ascii="宋体" w:hAnsi="宋体"/>
          <w:b/>
          <w:color w:val="auto"/>
          <w:szCs w:val="21"/>
          <w:highlight w:val="none"/>
        </w:rPr>
        <w:sectPr>
          <w:footerReference r:id="rId3" w:type="default"/>
          <w:pgSz w:w="11907" w:h="16840"/>
          <w:pgMar w:top="1440" w:right="1474" w:bottom="1440" w:left="1474" w:header="1134" w:footer="1134" w:gutter="0"/>
          <w:pgBorders>
            <w:top w:val="none" w:sz="0" w:space="0"/>
            <w:left w:val="none" w:sz="0" w:space="0"/>
            <w:bottom w:val="none" w:sz="0" w:space="0"/>
            <w:right w:val="none" w:sz="0" w:space="0"/>
          </w:pgBorders>
          <w:pgNumType w:fmt="decimal" w:start="1"/>
          <w:cols w:space="720" w:num="1"/>
          <w:rtlGutter w:val="0"/>
          <w:docGrid w:linePitch="285" w:charSpace="0"/>
        </w:sectPr>
      </w:pPr>
    </w:p>
    <w:p w14:paraId="1F3EF7B8">
      <w:pPr>
        <w:pStyle w:val="3"/>
        <w:jc w:val="center"/>
        <w:rPr>
          <w:rFonts w:ascii="Cambria" w:hAnsi="Cambria"/>
          <w:color w:val="auto"/>
          <w:highlight w:val="none"/>
        </w:rPr>
      </w:pPr>
      <w:r>
        <w:rPr>
          <w:rFonts w:hint="eastAsia" w:ascii="Cambria" w:hAnsi="Cambria"/>
          <w:color w:val="auto"/>
          <w:highlight w:val="none"/>
        </w:rPr>
        <w:t>第三章</w:t>
      </w:r>
      <w:r>
        <w:rPr>
          <w:rFonts w:ascii="Cambria" w:hAnsi="Cambria"/>
          <w:color w:val="auto"/>
          <w:highlight w:val="none"/>
        </w:rPr>
        <w:t xml:space="preserve"> </w:t>
      </w:r>
      <w:r>
        <w:rPr>
          <w:rFonts w:hint="eastAsia" w:ascii="Cambria" w:hAnsi="Cambria"/>
          <w:color w:val="auto"/>
          <w:highlight w:val="none"/>
        </w:rPr>
        <w:t>评标办法及评分标准</w:t>
      </w:r>
      <w:bookmarkEnd w:id="64"/>
    </w:p>
    <w:p w14:paraId="3852E8AE">
      <w:pPr>
        <w:pStyle w:val="22"/>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本办法严格遵照《中华人民共和国政府采购法》、《政府采购货物和服务招标投标管理办法》，结合项目所在地政府有关政府采购规定和项目的实际情况制定。</w:t>
      </w:r>
    </w:p>
    <w:p w14:paraId="3A3CECE5">
      <w:pPr>
        <w:autoSpaceDE w:val="0"/>
        <w:autoSpaceDN w:val="0"/>
        <w:adjustRightIn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本项目需要落实的政府采购政策：</w:t>
      </w:r>
      <w:bookmarkStart w:id="84" w:name="_Hlk35433721"/>
      <w:r>
        <w:rPr>
          <w:rFonts w:hint="eastAsia" w:ascii="宋体" w:hAnsi="宋体" w:cs="宋体"/>
          <w:color w:val="auto"/>
          <w:sz w:val="24"/>
          <w:highlight w:val="none"/>
        </w:rPr>
        <w:t>《关于促进残疾人就业政府采购政策的通知》（财库[2017]141号）、《政府采购促进中小企业发展管理办法》（财库〔2020〕46号）、《关于政府采购支持监狱企业发展有关问题的通知》（财库[2014]68号）。</w:t>
      </w:r>
    </w:p>
    <w:bookmarkEnd w:id="84"/>
    <w:p w14:paraId="1B7C1A65">
      <w:pPr>
        <w:autoSpaceDE w:val="0"/>
        <w:autoSpaceDN w:val="0"/>
        <w:adjustRightInd w:val="0"/>
        <w:spacing w:line="440" w:lineRule="exact"/>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本次采购为专门面向中小企业</w:t>
      </w:r>
      <w:r>
        <w:rPr>
          <w:rFonts w:hint="eastAsia" w:ascii="宋体" w:hAnsi="宋体" w:cs="宋体"/>
          <w:color w:val="auto"/>
          <w:sz w:val="24"/>
          <w:highlight w:val="none"/>
        </w:rPr>
        <w:t>，采购标的对应的中小企业划分标准所属行业标项1为</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lang w:eastAsia="zh-CN"/>
        </w:rPr>
        <w:t>工业</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eastAsia="宋体" w:cs="宋体"/>
          <w:b/>
          <w:bCs/>
          <w:color w:val="auto"/>
          <w:sz w:val="24"/>
          <w:highlight w:val="none"/>
        </w:rPr>
        <w:t>本次评标将</w:t>
      </w:r>
      <w:r>
        <w:rPr>
          <w:rFonts w:hint="eastAsia" w:ascii="宋体" w:hAnsi="宋体" w:cs="宋体"/>
          <w:b/>
          <w:bCs/>
          <w:color w:val="auto"/>
          <w:sz w:val="24"/>
          <w:highlight w:val="none"/>
          <w:lang w:val="en-US" w:eastAsia="zh-CN"/>
        </w:rPr>
        <w:t>不再</w:t>
      </w:r>
      <w:r>
        <w:rPr>
          <w:rFonts w:hint="eastAsia" w:ascii="宋体" w:hAnsi="宋体" w:eastAsia="宋体" w:cs="宋体"/>
          <w:b/>
          <w:bCs/>
          <w:color w:val="auto"/>
          <w:sz w:val="24"/>
          <w:highlight w:val="none"/>
        </w:rPr>
        <w:t>对</w:t>
      </w:r>
      <w:r>
        <w:rPr>
          <w:rFonts w:hint="eastAsia" w:ascii="宋体" w:hAnsi="宋体" w:eastAsia="宋体" w:cs="宋体"/>
          <w:b/>
          <w:bCs/>
          <w:color w:val="auto"/>
          <w:sz w:val="24"/>
          <w:highlight w:val="none"/>
          <w:lang w:val="en-US" w:eastAsia="zh-CN"/>
        </w:rPr>
        <w:t>小微</w:t>
      </w:r>
      <w:r>
        <w:rPr>
          <w:rFonts w:hint="eastAsia" w:ascii="宋体" w:hAnsi="宋体" w:eastAsia="宋体" w:cs="宋体"/>
          <w:b/>
          <w:bCs/>
          <w:color w:val="auto"/>
          <w:sz w:val="24"/>
          <w:highlight w:val="none"/>
        </w:rPr>
        <w:t>企业的价格给予</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优惠。</w:t>
      </w:r>
    </w:p>
    <w:p w14:paraId="30EB283E">
      <w:pPr>
        <w:pStyle w:val="22"/>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评标委员会成员对需要共同认定的事项存在争议的，应当按照少数服从多数的原则作出结论。</w:t>
      </w:r>
    </w:p>
    <w:p w14:paraId="19EC0E0C">
      <w:pPr>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一、开标准备</w:t>
      </w:r>
    </w:p>
    <w:p w14:paraId="26369234">
      <w:pPr>
        <w:pStyle w:val="22"/>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采购代理机构将在规定的时间和地点进行开标，本次采购不邀请供应商的法定代表人或其授权代表参加开标会。</w:t>
      </w:r>
    </w:p>
    <w:p w14:paraId="25961BF0">
      <w:pPr>
        <w:spacing w:line="44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二、开标程序：</w:t>
      </w:r>
    </w:p>
    <w:p w14:paraId="3F9BA3EF">
      <w:pPr>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1、电子招投标开标程序：</w:t>
      </w:r>
    </w:p>
    <w:p w14:paraId="5AD50F1A">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第一阶段：</w:t>
      </w:r>
    </w:p>
    <w:p w14:paraId="6492F472">
      <w:pPr>
        <w:numPr>
          <w:ilvl w:val="0"/>
          <w:numId w:val="7"/>
        </w:num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投标截止时间后，供应商登录政府采购云平台，用“项目采购-开标评标”功能对电子响应文件进行在线解密，在线解密电子响应文件时间为开标时间后30分钟内。</w:t>
      </w:r>
    </w:p>
    <w:p w14:paraId="4A7B7A88">
      <w:pPr>
        <w:numPr>
          <w:ilvl w:val="0"/>
          <w:numId w:val="7"/>
        </w:num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在政府采购云平台开启已解密供应商的“资格文件、技术商务文件”，并做开标记录；</w:t>
      </w:r>
    </w:p>
    <w:p w14:paraId="68482996">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第二阶段：</w:t>
      </w:r>
    </w:p>
    <w:p w14:paraId="2A5168E6">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w:t>
      </w:r>
      <w:r>
        <w:rPr>
          <w:rFonts w:hint="eastAsia" w:ascii="宋体" w:hAnsi="宋体" w:cs="宋体"/>
          <w:color w:val="auto"/>
          <w:kern w:val="0"/>
          <w:sz w:val="24"/>
          <w:highlight w:val="none"/>
        </w:rPr>
        <w:t>政府采购云平台</w:t>
      </w:r>
      <w:r>
        <w:rPr>
          <w:rFonts w:hint="eastAsia" w:ascii="宋体" w:hAnsi="宋体" w:cs="宋体"/>
          <w:color w:val="auto"/>
          <w:sz w:val="24"/>
          <w:highlight w:val="none"/>
        </w:rPr>
        <w:t>宣告第一阶段评审无效供应商名单及理由；</w:t>
      </w:r>
    </w:p>
    <w:p w14:paraId="795782C5">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（2）公布经第一阶段评审符合采购文件要求的供应商的技术商务得分情况；</w:t>
      </w:r>
    </w:p>
    <w:p w14:paraId="5810F385">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（3）在</w:t>
      </w:r>
      <w:r>
        <w:rPr>
          <w:rFonts w:hint="eastAsia" w:ascii="宋体" w:hAnsi="宋体" w:cs="宋体"/>
          <w:color w:val="auto"/>
          <w:kern w:val="0"/>
          <w:sz w:val="24"/>
          <w:highlight w:val="none"/>
        </w:rPr>
        <w:t>政府采购云平台</w:t>
      </w:r>
      <w:r>
        <w:rPr>
          <w:rFonts w:hint="eastAsia" w:ascii="宋体" w:hAnsi="宋体" w:cs="宋体"/>
          <w:color w:val="auto"/>
          <w:sz w:val="24"/>
          <w:highlight w:val="none"/>
        </w:rPr>
        <w:t>开启除第一阶段无效标外的供应商的“报价文件”，并做开标记录；</w:t>
      </w:r>
    </w:p>
    <w:p w14:paraId="5557B273">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（4）在</w:t>
      </w:r>
      <w:r>
        <w:rPr>
          <w:rFonts w:hint="eastAsia" w:ascii="宋体" w:hAnsi="宋体" w:cs="宋体"/>
          <w:color w:val="auto"/>
          <w:kern w:val="0"/>
          <w:sz w:val="24"/>
          <w:highlight w:val="none"/>
        </w:rPr>
        <w:t>政府采购云平台</w:t>
      </w:r>
      <w:r>
        <w:rPr>
          <w:rFonts w:hint="eastAsia" w:ascii="宋体" w:hAnsi="宋体" w:cs="宋体"/>
          <w:color w:val="auto"/>
          <w:sz w:val="24"/>
          <w:highlight w:val="none"/>
        </w:rPr>
        <w:t>公布评审结果。</w:t>
      </w:r>
    </w:p>
    <w:p w14:paraId="5197F614">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2、特别说明：</w:t>
      </w:r>
      <w:r>
        <w:rPr>
          <w:rFonts w:hint="eastAsia" w:ascii="宋体" w:hAnsi="宋体" w:cs="宋体"/>
          <w:color w:val="auto"/>
          <w:kern w:val="0"/>
          <w:sz w:val="24"/>
          <w:highlight w:val="none"/>
        </w:rPr>
        <w:t>政府采购云平台</w:t>
      </w:r>
      <w:r>
        <w:rPr>
          <w:rFonts w:hint="eastAsia" w:ascii="宋体" w:hAnsi="宋体" w:cs="宋体"/>
          <w:color w:val="auto"/>
          <w:sz w:val="24"/>
          <w:highlight w:val="none"/>
        </w:rPr>
        <w:t>如对电子化开标及评审程序有调整的，按调整后的程序操作。</w:t>
      </w:r>
    </w:p>
    <w:p w14:paraId="02E65294">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本项目原则上采用政采云</w:t>
      </w:r>
      <w:r>
        <w:rPr>
          <w:rFonts w:hint="eastAsia" w:ascii="宋体" w:hAnsi="宋体" w:cs="宋体"/>
          <w:bCs/>
          <w:color w:val="auto"/>
          <w:sz w:val="24"/>
          <w:highlight w:val="none"/>
        </w:rPr>
        <w:t>电子招投标开标程序</w:t>
      </w:r>
      <w:r>
        <w:rPr>
          <w:rFonts w:hint="eastAsia" w:ascii="宋体" w:hAnsi="宋体" w:cs="宋体"/>
          <w:color w:val="auto"/>
          <w:sz w:val="24"/>
          <w:highlight w:val="none"/>
        </w:rPr>
        <w:t>，但有以下情形之一的，按以下情况处理：</w:t>
      </w:r>
    </w:p>
    <w:p w14:paraId="51BB35B9">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（1）若有供应商在规定时间内无法解密或解密失败，代理机构将开启该供应商递交的</w:t>
      </w:r>
      <w:r>
        <w:rPr>
          <w:rFonts w:hint="eastAsia" w:ascii="宋体" w:hAnsi="宋体" w:cs="宋体"/>
          <w:color w:val="auto"/>
          <w:kern w:val="0"/>
          <w:sz w:val="24"/>
          <w:highlight w:val="none"/>
        </w:rPr>
        <w:t>以U盘或光盘存储的电子备份响应文件</w:t>
      </w:r>
      <w:r>
        <w:rPr>
          <w:rFonts w:hint="eastAsia" w:ascii="宋体" w:hAnsi="宋体" w:cs="宋体"/>
          <w:color w:val="auto"/>
          <w:sz w:val="24"/>
          <w:highlight w:val="none"/>
        </w:rPr>
        <w:t>，上传至政采云平台项目采购模块，以完成开标，电子响应文件自动失效。</w:t>
      </w:r>
    </w:p>
    <w:p w14:paraId="3E7FFEDF">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（2）采购过程中出现以下情形，导致电子交易平台无法正常运行，或者无法保证电子交易的公平、公正和安全时，代理机构可中止电子交易活动：</w:t>
      </w:r>
    </w:p>
    <w:p w14:paraId="3AC88CA2">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A.电子交易平台发生故障而无法登录访问的； </w:t>
      </w:r>
    </w:p>
    <w:p w14:paraId="5BFBD6DE">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B.电子交易平台应用或数据库出现错误，不能进行正常操作的；</w:t>
      </w:r>
    </w:p>
    <w:p w14:paraId="69A7848A">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C.电子交易平台发现严重安全漏洞，有潜在泄密危险的；</w:t>
      </w:r>
    </w:p>
    <w:p w14:paraId="04DD45FE">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D.病毒发作导致不能进行正常操作的； </w:t>
      </w:r>
    </w:p>
    <w:p w14:paraId="1E1B85CB">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E.其他无法保证电子交易的公平、公正和安全的情况。</w:t>
      </w:r>
    </w:p>
    <w:p w14:paraId="6A0F48FE">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出现前款规定情形，不影响采购公平、公正性的，采购人（或代理机构）可以待上述情形消除后继续组织电子交易活动。</w:t>
      </w:r>
    </w:p>
    <w:p w14:paraId="018D929A">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（3）未开启的备份响应文件现场予以退还。</w:t>
      </w:r>
    </w:p>
    <w:p w14:paraId="438F1A7A">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（4）供应商上传政采云平台的pdf版本电子加密投标文件内容与政采云系统中供应商填写的内容不一致的，经评标委员会审查，应以电子加密投标文件中的内容为准。</w:t>
      </w:r>
    </w:p>
    <w:p w14:paraId="67D734E1">
      <w:pPr>
        <w:snapToGrid w:val="0"/>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三、评标委员会</w:t>
      </w:r>
    </w:p>
    <w:p w14:paraId="5491B5CE">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（一）本次招标依法组建评标委员会。</w:t>
      </w:r>
    </w:p>
    <w:p w14:paraId="3894B760">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评标原则。评标委员会必须遵循公平、公正、客观、科学的原则和规定的程序进行评标；评标的依据为采购文件和响应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0F2D0CBA">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（三）评审专家有下列情形之一的，受到邀请应主动提出回避，采购当事人也可以要求该评审专家回避：</w:t>
      </w:r>
    </w:p>
    <w:p w14:paraId="62CE0514">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1、本人、配偶或直系亲属3年内曾在参加该采购项目的供应商中任职（包括一般工作）或担任顾问，或与参加该采购项目的供应商发生过法律纠纷；</w:t>
      </w:r>
    </w:p>
    <w:p w14:paraId="1FA67E05">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2、任职单位与采购人或参加该采购项目供应商存在行政隶属关系；</w:t>
      </w:r>
    </w:p>
    <w:p w14:paraId="4D626B85">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3、曾经参加过该采购项目的进口产品或采购文件、采购需求、采购方式的论证和咨询服务工作；</w:t>
      </w:r>
    </w:p>
    <w:p w14:paraId="364C8838">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4、是参加该采购项目供应商的上级主管部门、控股或参股单位的工作人员，或与该供应商存在其他经济利益关系；</w:t>
      </w:r>
    </w:p>
    <w:p w14:paraId="605639D8">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5、评审委员会成员之间具有配偶、近亲属关系；</w:t>
      </w:r>
    </w:p>
    <w:p w14:paraId="52797969">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6、同一单位的评审专家在同一项目评审委员会成员中超过一名；</w:t>
      </w:r>
    </w:p>
    <w:p w14:paraId="0A7C233E">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7、法律、法规、规章规定应当回避以及其他可能影响公正评审的。</w:t>
      </w:r>
    </w:p>
    <w:p w14:paraId="7B09BC66">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（四）评标委员会判断响应文件的有效性、合格性和响应情况，仅依据供应商所递交一切文件的真实表述，不受与本项目无直接关联的外部信息、传言而影响自身的专业判断。</w:t>
      </w:r>
    </w:p>
    <w:p w14:paraId="23A08621">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评委依法独立评审，并对评审意见承担个人责任。对明显畸高、畸低的评分（其总评分偏离平均分30%以上的），评标组长提醒相关评审人员进行复核或书面说明理由。评委对需要共同认定的事项存在争议的，按照少数服从多数的原则做出结论。持不同意见的评委应当在评审报告上签署不同意见并说明理由，否则视为同意。</w:t>
      </w:r>
    </w:p>
    <w:p w14:paraId="1DB28852">
      <w:pPr>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四、评标方法</w:t>
      </w:r>
    </w:p>
    <w:p w14:paraId="2C8E949C">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（一）本次采购项目的评标方法为：综合评分法。</w:t>
      </w:r>
    </w:p>
    <w:p w14:paraId="60DE1768">
      <w:pPr>
        <w:pStyle w:val="22"/>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采用综合评分法的，评标结果按评审后得分由高到低顺序</w:t>
      </w:r>
      <w:r>
        <w:rPr>
          <w:rFonts w:hint="eastAsia" w:ascii="宋体" w:hAnsi="宋体" w:cs="宋体"/>
          <w:bCs/>
          <w:color w:val="auto"/>
          <w:sz w:val="24"/>
          <w:highlight w:val="none"/>
        </w:rPr>
        <w:t>推荐</w:t>
      </w:r>
      <w:r>
        <w:rPr>
          <w:rFonts w:hint="eastAsia" w:ascii="宋体" w:hAnsi="宋体" w:cs="宋体"/>
          <w:color w:val="auto"/>
          <w:sz w:val="24"/>
          <w:highlight w:val="none"/>
        </w:rPr>
        <w:t>中标</w:t>
      </w:r>
      <w:r>
        <w:rPr>
          <w:rFonts w:hint="eastAsia" w:ascii="宋体" w:hAnsi="宋体" w:cs="宋体"/>
          <w:bCs/>
          <w:color w:val="auto"/>
          <w:sz w:val="24"/>
          <w:highlight w:val="none"/>
        </w:rPr>
        <w:t>候选人</w:t>
      </w:r>
      <w:r>
        <w:rPr>
          <w:rFonts w:hint="eastAsia" w:ascii="宋体" w:hAnsi="宋体" w:cs="宋体"/>
          <w:color w:val="auto"/>
          <w:sz w:val="24"/>
          <w:highlight w:val="none"/>
        </w:rPr>
        <w:t>。得分相同的，按投标报价由低到高顺序排列。得分且投标报价相同的，技术指标优的排列在前。响应文件满足采购文件全部实质性要求，且按照评审因素的量化指标评审得分最高的供应商为排名第一的中标候选人。</w:t>
      </w:r>
    </w:p>
    <w:p w14:paraId="4CD8E48D">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（二）响应文件的澄清</w:t>
      </w:r>
    </w:p>
    <w:p w14:paraId="0F4CAEA1">
      <w:pPr>
        <w:pStyle w:val="22"/>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1、对于响应文件中含义不明确、同类问题表述不一致或者有明显文字和计算错误的内容，评标委员会应当以书面形式要求供应商作出必要的澄清、说明或者补正。</w:t>
      </w:r>
    </w:p>
    <w:p w14:paraId="1307854C">
      <w:pPr>
        <w:pStyle w:val="22"/>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的澄清、说明或者补正应当采用书面形式（或扫描件上传政采云平台），并加盖公章，或者由法定代表人或其授权的代表签字。供应商的澄清、说明或者补正不得超出响应文件的范围或者改变响应文件的实质性内容。</w:t>
      </w:r>
    </w:p>
    <w:p w14:paraId="4865041D">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（三）响应文件错误修正原则</w:t>
      </w:r>
    </w:p>
    <w:p w14:paraId="58C273DD">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响应文件如果出现计算或表达上的错误，修正错误的原则如下：</w:t>
      </w:r>
    </w:p>
    <w:p w14:paraId="58480BA8">
      <w:pPr>
        <w:pStyle w:val="22"/>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1、响应文件中开标一览表（报价表）内容与响应文件中相应内容不一致的，以开标一览表（报价表）为准；</w:t>
      </w:r>
    </w:p>
    <w:p w14:paraId="616A22CF">
      <w:pPr>
        <w:pStyle w:val="22"/>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614A95D7">
      <w:pPr>
        <w:pStyle w:val="22"/>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6FA9B0CA">
      <w:pPr>
        <w:pStyle w:val="22"/>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66F1D764">
      <w:pPr>
        <w:pStyle w:val="22"/>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同时出现两种以上不一致的，按照前款规定的顺序修正。修正后的报价按照响应文件澄清第二款的规定经供应商确认后产生约束力，供应商不确认的，其投标无效。</w:t>
      </w:r>
    </w:p>
    <w:p w14:paraId="608F4E82">
      <w:pPr>
        <w:numPr>
          <w:ilvl w:val="0"/>
          <w:numId w:val="8"/>
        </w:numPr>
        <w:spacing w:line="440" w:lineRule="exact"/>
        <w:ind w:firstLine="482" w:firstLineChars="200"/>
        <w:jc w:val="left"/>
        <w:rPr>
          <w:rFonts w:ascii="宋体" w:hAnsi="宋体" w:cs="宋体"/>
          <w:b/>
          <w:bCs/>
          <w:color w:val="auto"/>
          <w:sz w:val="24"/>
          <w:highlight w:val="none"/>
        </w:rPr>
      </w:pPr>
      <w:bookmarkStart w:id="85" w:name="_Toc481567077"/>
      <w:bookmarkStart w:id="86" w:name="_Toc493058318"/>
      <w:r>
        <w:rPr>
          <w:rFonts w:hint="eastAsia" w:ascii="宋体" w:hAnsi="宋体" w:cs="宋体"/>
          <w:b/>
          <w:bCs/>
          <w:color w:val="auto"/>
          <w:sz w:val="24"/>
          <w:highlight w:val="none"/>
        </w:rPr>
        <w:t>评标</w:t>
      </w:r>
      <w:bookmarkEnd w:id="85"/>
      <w:r>
        <w:rPr>
          <w:rFonts w:hint="eastAsia" w:ascii="宋体" w:hAnsi="宋体" w:cs="宋体"/>
          <w:b/>
          <w:bCs/>
          <w:color w:val="auto"/>
          <w:sz w:val="24"/>
          <w:highlight w:val="none"/>
        </w:rPr>
        <w:t>程序</w:t>
      </w:r>
      <w:bookmarkEnd w:id="86"/>
    </w:p>
    <w:p w14:paraId="2479C37F">
      <w:pPr>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（一）资格条件审查</w:t>
      </w:r>
    </w:p>
    <w:p w14:paraId="2D350D9F">
      <w:pPr>
        <w:widowControl/>
        <w:snapToGrid w:val="0"/>
        <w:spacing w:line="440" w:lineRule="exact"/>
        <w:jc w:val="center"/>
        <w:rPr>
          <w:rFonts w:ascii="宋体" w:hAnsi="宋体"/>
          <w:b/>
          <w:color w:val="auto"/>
          <w:sz w:val="24"/>
          <w:highlight w:val="none"/>
        </w:rPr>
      </w:pPr>
      <w:r>
        <w:rPr>
          <w:rFonts w:hint="eastAsia" w:ascii="宋体" w:hAnsi="宋体"/>
          <w:b/>
          <w:color w:val="auto"/>
          <w:sz w:val="24"/>
          <w:highlight w:val="none"/>
        </w:rPr>
        <w:t>资格审查表</w:t>
      </w:r>
    </w:p>
    <w:tbl>
      <w:tblPr>
        <w:tblStyle w:val="37"/>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20"/>
        <w:gridCol w:w="5474"/>
      </w:tblGrid>
      <w:tr w14:paraId="6CB3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4454E52">
            <w:pPr>
              <w:spacing w:line="3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7839B9EC">
            <w:pPr>
              <w:spacing w:line="360" w:lineRule="exact"/>
              <w:jc w:val="center"/>
              <w:rPr>
                <w:rFonts w:ascii="宋体" w:hAnsi="宋体"/>
                <w:b/>
                <w:color w:val="auto"/>
                <w:sz w:val="24"/>
                <w:highlight w:val="none"/>
              </w:rPr>
            </w:pPr>
            <w:r>
              <w:rPr>
                <w:rFonts w:hint="eastAsia" w:ascii="宋体" w:hAnsi="宋体"/>
                <w:b/>
                <w:color w:val="auto"/>
                <w:sz w:val="24"/>
                <w:highlight w:val="none"/>
              </w:rPr>
              <w:t>要求说明</w:t>
            </w:r>
          </w:p>
        </w:tc>
        <w:tc>
          <w:tcPr>
            <w:tcW w:w="5474" w:type="dxa"/>
            <w:tcBorders>
              <w:top w:val="single" w:color="auto" w:sz="4" w:space="0"/>
              <w:left w:val="single" w:color="auto" w:sz="4" w:space="0"/>
              <w:bottom w:val="single" w:color="auto" w:sz="4" w:space="0"/>
              <w:right w:val="single" w:color="auto" w:sz="4" w:space="0"/>
            </w:tcBorders>
            <w:noWrap w:val="0"/>
            <w:vAlign w:val="center"/>
          </w:tcPr>
          <w:p w14:paraId="2E46B1CE">
            <w:pPr>
              <w:spacing w:line="360" w:lineRule="exact"/>
              <w:jc w:val="center"/>
              <w:rPr>
                <w:rFonts w:ascii="宋体" w:hAnsi="宋体"/>
                <w:b/>
                <w:color w:val="auto"/>
                <w:sz w:val="24"/>
                <w:highlight w:val="none"/>
              </w:rPr>
            </w:pPr>
            <w:r>
              <w:rPr>
                <w:rFonts w:hint="eastAsia" w:ascii="宋体" w:hAnsi="宋体"/>
                <w:b/>
                <w:color w:val="auto"/>
                <w:sz w:val="24"/>
                <w:highlight w:val="none"/>
              </w:rPr>
              <w:t>审查要求</w:t>
            </w:r>
          </w:p>
        </w:tc>
      </w:tr>
      <w:tr w14:paraId="7A79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B095579">
            <w:pPr>
              <w:spacing w:line="360" w:lineRule="exact"/>
              <w:jc w:val="center"/>
              <w:rPr>
                <w:rFonts w:ascii="宋体" w:hAnsi="宋体"/>
                <w:color w:val="auto"/>
                <w:sz w:val="24"/>
                <w:highlight w:val="none"/>
              </w:rPr>
            </w:pPr>
            <w:r>
              <w:rPr>
                <w:rFonts w:hint="eastAsia" w:ascii="宋体" w:hAnsi="宋体"/>
                <w:color w:val="auto"/>
                <w:sz w:val="24"/>
                <w:highlight w:val="none"/>
              </w:rPr>
              <w:t>1</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1719F673">
            <w:pPr>
              <w:spacing w:line="360" w:lineRule="exact"/>
              <w:jc w:val="left"/>
              <w:rPr>
                <w:rFonts w:ascii="宋体" w:hAnsi="宋体"/>
                <w:color w:val="auto"/>
                <w:sz w:val="24"/>
                <w:highlight w:val="none"/>
              </w:rPr>
            </w:pPr>
            <w:r>
              <w:rPr>
                <w:rFonts w:hint="eastAsia" w:ascii="宋体" w:hAnsi="宋体"/>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74" w:type="dxa"/>
            <w:tcBorders>
              <w:top w:val="single" w:color="auto" w:sz="4" w:space="0"/>
              <w:left w:val="single" w:color="auto" w:sz="4" w:space="0"/>
              <w:bottom w:val="single" w:color="auto" w:sz="4" w:space="0"/>
              <w:right w:val="single" w:color="auto" w:sz="4" w:space="0"/>
            </w:tcBorders>
            <w:noWrap w:val="0"/>
            <w:vAlign w:val="center"/>
          </w:tcPr>
          <w:p w14:paraId="7685E584">
            <w:pPr>
              <w:spacing w:line="360" w:lineRule="exact"/>
              <w:jc w:val="left"/>
              <w:rPr>
                <w:rFonts w:ascii="宋体" w:hAnsi="宋体"/>
                <w:color w:val="auto"/>
                <w:sz w:val="24"/>
                <w:highlight w:val="none"/>
              </w:rPr>
            </w:pPr>
            <w:r>
              <w:rPr>
                <w:rFonts w:hint="eastAsia" w:ascii="宋体" w:hAnsi="宋体"/>
                <w:color w:val="auto"/>
                <w:sz w:val="24"/>
                <w:highlight w:val="none"/>
              </w:rPr>
              <w:t>1、资格声明函；</w:t>
            </w:r>
          </w:p>
          <w:p w14:paraId="7610FB11">
            <w:pPr>
              <w:spacing w:line="360" w:lineRule="exact"/>
              <w:jc w:val="left"/>
              <w:rPr>
                <w:rFonts w:ascii="宋体" w:hAnsi="宋体"/>
                <w:color w:val="auto"/>
                <w:sz w:val="24"/>
                <w:highlight w:val="none"/>
              </w:rPr>
            </w:pPr>
            <w:r>
              <w:rPr>
                <w:rFonts w:hint="eastAsia" w:ascii="宋体" w:hAnsi="宋体"/>
                <w:color w:val="auto"/>
                <w:sz w:val="24"/>
                <w:highlight w:val="none"/>
              </w:rPr>
              <w:t>2、营业执照副本（或事业法人登记证副本或其他登记证明材料）复印件加盖供应商公章（供应商如果有名称变更的，应提供由行政主管部门出具的变更证明文件复印件加盖供应商公章）；</w:t>
            </w:r>
          </w:p>
        </w:tc>
      </w:tr>
      <w:tr w14:paraId="6B4F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46CEA3F">
            <w:pPr>
              <w:spacing w:line="36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053330EC">
            <w:pPr>
              <w:spacing w:line="440" w:lineRule="exact"/>
              <w:jc w:val="left"/>
              <w:rPr>
                <w:rFonts w:ascii="宋体" w:hAnsi="宋体"/>
                <w:color w:val="auto"/>
                <w:sz w:val="24"/>
                <w:highlight w:val="none"/>
              </w:rPr>
            </w:pPr>
            <w:r>
              <w:rPr>
                <w:rFonts w:hint="eastAsia" w:ascii="宋体" w:hAnsi="宋体" w:eastAsia="宋体" w:cs="宋体"/>
                <w:b/>
                <w:bCs/>
                <w:color w:val="auto"/>
                <w:sz w:val="24"/>
                <w:highlight w:val="none"/>
                <w:lang w:val="en-US" w:eastAsia="zh-CN"/>
              </w:rPr>
              <w:t>特定资质</w:t>
            </w:r>
          </w:p>
        </w:tc>
        <w:tc>
          <w:tcPr>
            <w:tcW w:w="5474" w:type="dxa"/>
            <w:tcBorders>
              <w:top w:val="single" w:color="auto" w:sz="4" w:space="0"/>
              <w:left w:val="single" w:color="auto" w:sz="4" w:space="0"/>
              <w:bottom w:val="single" w:color="auto" w:sz="4" w:space="0"/>
              <w:right w:val="single" w:color="auto" w:sz="4" w:space="0"/>
            </w:tcBorders>
            <w:noWrap w:val="0"/>
            <w:vAlign w:val="center"/>
          </w:tcPr>
          <w:p w14:paraId="1628BEE9">
            <w:pPr>
              <w:spacing w:line="360" w:lineRule="exact"/>
              <w:jc w:val="left"/>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无</w:t>
            </w:r>
          </w:p>
        </w:tc>
      </w:tr>
      <w:tr w14:paraId="65B5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D1A1928">
            <w:pPr>
              <w:spacing w:line="360" w:lineRule="exact"/>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06ED92E6">
            <w:pPr>
              <w:spacing w:line="440" w:lineRule="exact"/>
              <w:jc w:val="left"/>
              <w:rPr>
                <w:rFonts w:hint="default" w:ascii="宋体" w:hAnsi="宋体" w:eastAsia="宋体" w:cs="宋体"/>
                <w:b/>
                <w:bCs/>
                <w:color w:val="auto"/>
                <w:sz w:val="24"/>
                <w:highlight w:val="none"/>
                <w:lang w:val="en-US" w:eastAsia="zh-CN"/>
              </w:rPr>
            </w:pPr>
            <w:r>
              <w:rPr>
                <w:rFonts w:ascii="宋体" w:hAnsi="宋体" w:cs="宋体"/>
                <w:color w:val="auto"/>
                <w:sz w:val="24"/>
                <w:highlight w:val="none"/>
              </w:rPr>
              <w:t>落实政府采购政策需满足的资格要求</w:t>
            </w:r>
          </w:p>
        </w:tc>
        <w:tc>
          <w:tcPr>
            <w:tcW w:w="5474" w:type="dxa"/>
            <w:tcBorders>
              <w:top w:val="single" w:color="auto" w:sz="4" w:space="0"/>
              <w:left w:val="single" w:color="auto" w:sz="4" w:space="0"/>
              <w:bottom w:val="single" w:color="auto" w:sz="4" w:space="0"/>
              <w:right w:val="single" w:color="auto" w:sz="4" w:space="0"/>
            </w:tcBorders>
            <w:noWrap w:val="0"/>
            <w:vAlign w:val="center"/>
          </w:tcPr>
          <w:p w14:paraId="28A5A750">
            <w:pPr>
              <w:spacing w:line="360" w:lineRule="exact"/>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为专门面向中小企业采购，须提供中小企业声明函</w:t>
            </w:r>
          </w:p>
        </w:tc>
      </w:tr>
      <w:tr w14:paraId="3A0E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4FD8A01">
            <w:pPr>
              <w:spacing w:line="36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73C11C78">
            <w:pPr>
              <w:spacing w:line="360" w:lineRule="exact"/>
              <w:jc w:val="left"/>
              <w:rPr>
                <w:rFonts w:ascii="宋体" w:hAnsi="宋体"/>
                <w:color w:val="auto"/>
                <w:sz w:val="24"/>
                <w:highlight w:val="none"/>
              </w:rPr>
            </w:pPr>
            <w:r>
              <w:rPr>
                <w:rFonts w:hint="eastAsia" w:ascii="宋体" w:hAnsi="宋体"/>
                <w:color w:val="auto"/>
                <w:sz w:val="24"/>
                <w:highlight w:val="none"/>
              </w:rPr>
              <w:t>联合体</w:t>
            </w:r>
          </w:p>
        </w:tc>
        <w:tc>
          <w:tcPr>
            <w:tcW w:w="5474" w:type="dxa"/>
            <w:tcBorders>
              <w:top w:val="single" w:color="auto" w:sz="4" w:space="0"/>
              <w:left w:val="single" w:color="auto" w:sz="4" w:space="0"/>
              <w:bottom w:val="single" w:color="auto" w:sz="4" w:space="0"/>
              <w:right w:val="single" w:color="auto" w:sz="4" w:space="0"/>
            </w:tcBorders>
            <w:noWrap w:val="0"/>
            <w:vAlign w:val="center"/>
          </w:tcPr>
          <w:p w14:paraId="1A519BB0">
            <w:pPr>
              <w:spacing w:line="360" w:lineRule="exact"/>
              <w:jc w:val="left"/>
              <w:rPr>
                <w:rFonts w:hint="default" w:ascii="宋体" w:hAnsi="宋体" w:eastAsia="宋体"/>
                <w:color w:val="auto"/>
                <w:sz w:val="24"/>
                <w:highlight w:val="none"/>
                <w:lang w:val="en-US" w:eastAsia="zh-CN"/>
              </w:rPr>
            </w:pPr>
            <w:r>
              <w:rPr>
                <w:rFonts w:hint="eastAsia" w:ascii="宋体" w:hAnsi="宋体"/>
                <w:color w:val="auto"/>
                <w:sz w:val="24"/>
                <w:highlight w:val="none"/>
              </w:rPr>
              <w:t>本项目</w:t>
            </w:r>
            <w:r>
              <w:rPr>
                <w:rFonts w:hint="eastAsia" w:ascii="宋体" w:hAnsi="宋体"/>
                <w:color w:val="auto"/>
                <w:sz w:val="24"/>
                <w:highlight w:val="none"/>
                <w:lang w:val="en-US" w:eastAsia="zh-CN"/>
              </w:rPr>
              <w:t>不</w:t>
            </w:r>
            <w:r>
              <w:rPr>
                <w:rFonts w:hint="eastAsia" w:ascii="宋体" w:hAnsi="宋体"/>
                <w:color w:val="auto"/>
                <w:sz w:val="24"/>
                <w:highlight w:val="none"/>
              </w:rPr>
              <w:t>接受联合体</w:t>
            </w:r>
          </w:p>
        </w:tc>
      </w:tr>
      <w:tr w14:paraId="483C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F4CFF07">
            <w:pPr>
              <w:spacing w:line="36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0B9D582B">
            <w:pPr>
              <w:spacing w:line="360" w:lineRule="exact"/>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其他</w:t>
            </w:r>
          </w:p>
        </w:tc>
        <w:tc>
          <w:tcPr>
            <w:tcW w:w="5474" w:type="dxa"/>
            <w:tcBorders>
              <w:top w:val="single" w:color="auto" w:sz="4" w:space="0"/>
              <w:left w:val="single" w:color="auto" w:sz="4" w:space="0"/>
              <w:bottom w:val="single" w:color="auto" w:sz="4" w:space="0"/>
              <w:right w:val="single" w:color="auto" w:sz="4" w:space="0"/>
            </w:tcBorders>
            <w:noWrap w:val="0"/>
            <w:vAlign w:val="center"/>
          </w:tcPr>
          <w:p w14:paraId="5BD4BB13">
            <w:pPr>
              <w:spacing w:line="360" w:lineRule="exact"/>
              <w:jc w:val="left"/>
              <w:rPr>
                <w:rFonts w:hint="eastAsia" w:ascii="宋体" w:hAnsi="宋体"/>
                <w:color w:val="auto"/>
                <w:sz w:val="24"/>
                <w:highlight w:val="none"/>
              </w:rPr>
            </w:pPr>
            <w:r>
              <w:rPr>
                <w:rFonts w:hint="eastAsia" w:ascii="宋体" w:hAnsi="宋体"/>
                <w:color w:val="auto"/>
                <w:sz w:val="24"/>
                <w:highlight w:val="none"/>
              </w:rPr>
              <w:t>不允许出现报价或单价</w:t>
            </w:r>
          </w:p>
        </w:tc>
      </w:tr>
      <w:tr w14:paraId="3930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940" w:type="dxa"/>
            <w:gridSpan w:val="2"/>
            <w:tcBorders>
              <w:top w:val="single" w:color="auto" w:sz="4" w:space="0"/>
              <w:left w:val="single" w:color="auto" w:sz="4" w:space="0"/>
              <w:bottom w:val="single" w:color="auto" w:sz="4" w:space="0"/>
              <w:right w:val="single" w:color="auto" w:sz="4" w:space="0"/>
            </w:tcBorders>
            <w:noWrap w:val="0"/>
            <w:vAlign w:val="center"/>
          </w:tcPr>
          <w:p w14:paraId="34CCDB57">
            <w:pPr>
              <w:spacing w:line="360" w:lineRule="exact"/>
              <w:jc w:val="center"/>
              <w:rPr>
                <w:rFonts w:ascii="宋体" w:hAnsi="宋体"/>
                <w:color w:val="auto"/>
                <w:sz w:val="24"/>
                <w:highlight w:val="none"/>
              </w:rPr>
            </w:pPr>
            <w:r>
              <w:rPr>
                <w:rFonts w:hint="eastAsia" w:ascii="宋体" w:hAnsi="宋体"/>
                <w:b/>
                <w:color w:val="auto"/>
                <w:sz w:val="24"/>
                <w:highlight w:val="none"/>
              </w:rPr>
              <w:t>资格性审查结论</w:t>
            </w:r>
          </w:p>
        </w:tc>
        <w:tc>
          <w:tcPr>
            <w:tcW w:w="5474" w:type="dxa"/>
            <w:tcBorders>
              <w:top w:val="single" w:color="auto" w:sz="4" w:space="0"/>
              <w:left w:val="single" w:color="auto" w:sz="4" w:space="0"/>
              <w:bottom w:val="single" w:color="auto" w:sz="4" w:space="0"/>
              <w:right w:val="single" w:color="auto" w:sz="4" w:space="0"/>
            </w:tcBorders>
            <w:noWrap w:val="0"/>
            <w:vAlign w:val="center"/>
          </w:tcPr>
          <w:p w14:paraId="31CF8F6A">
            <w:pPr>
              <w:spacing w:line="360" w:lineRule="exact"/>
              <w:jc w:val="center"/>
              <w:rPr>
                <w:rFonts w:ascii="宋体" w:hAnsi="宋体"/>
                <w:color w:val="auto"/>
                <w:sz w:val="24"/>
                <w:highlight w:val="none"/>
              </w:rPr>
            </w:pPr>
          </w:p>
        </w:tc>
      </w:tr>
    </w:tbl>
    <w:p w14:paraId="625B701F">
      <w:pPr>
        <w:spacing w:line="400" w:lineRule="exact"/>
        <w:rPr>
          <w:rFonts w:ascii="宋体" w:hAnsi="宋体"/>
          <w:b/>
          <w:color w:val="auto"/>
          <w:sz w:val="24"/>
          <w:highlight w:val="none"/>
        </w:rPr>
      </w:pPr>
      <w:r>
        <w:rPr>
          <w:rFonts w:hint="eastAsia" w:ascii="宋体" w:hAnsi="宋体"/>
          <w:b/>
          <w:color w:val="auto"/>
          <w:sz w:val="24"/>
          <w:highlight w:val="none"/>
        </w:rPr>
        <w:t>注：1、上述资格证明文件未按</w:t>
      </w:r>
      <w:r>
        <w:rPr>
          <w:rFonts w:hint="eastAsia" w:ascii="宋体" w:hAnsi="宋体"/>
          <w:b/>
          <w:color w:val="auto"/>
          <w:sz w:val="24"/>
          <w:highlight w:val="none"/>
          <w:lang w:eastAsia="zh-CN"/>
        </w:rPr>
        <w:t>采购文件</w:t>
      </w:r>
      <w:r>
        <w:rPr>
          <w:rFonts w:hint="eastAsia" w:ascii="宋体" w:hAnsi="宋体"/>
          <w:b/>
          <w:color w:val="auto"/>
          <w:sz w:val="24"/>
          <w:highlight w:val="none"/>
        </w:rPr>
        <w:t>要求附入投标文件中的，资格性审查不合格。</w:t>
      </w:r>
    </w:p>
    <w:p w14:paraId="50DD59B0">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2、上述审查项目中，任意一项不符合的，资格性审查不合格。</w:t>
      </w:r>
    </w:p>
    <w:p w14:paraId="5AD7DB1F">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3F6981DA">
      <w:pPr>
        <w:spacing w:line="400" w:lineRule="exact"/>
        <w:ind w:firstLine="482" w:firstLineChars="200"/>
        <w:rPr>
          <w:rFonts w:ascii="宋体" w:hAnsi="宋体" w:cs="宋体"/>
          <w:b/>
          <w:color w:val="auto"/>
          <w:sz w:val="24"/>
          <w:highlight w:val="none"/>
        </w:rPr>
      </w:pPr>
      <w:r>
        <w:rPr>
          <w:rFonts w:hint="eastAsia" w:ascii="宋体" w:hAnsi="宋体"/>
          <w:b/>
          <w:color w:val="auto"/>
          <w:sz w:val="24"/>
          <w:highlight w:val="none"/>
        </w:rPr>
        <w:t>若在投标截止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09DF7FBB">
      <w:pPr>
        <w:numPr>
          <w:ilvl w:val="0"/>
          <w:numId w:val="9"/>
        </w:num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技术商务文件符合性审查</w:t>
      </w:r>
    </w:p>
    <w:p w14:paraId="014BB700">
      <w:pPr>
        <w:pStyle w:val="11"/>
        <w:rPr>
          <w:rFonts w:hint="eastAsia" w:ascii="宋体" w:hAnsi="宋体" w:cs="宋体"/>
          <w:b/>
          <w:color w:val="auto"/>
          <w:sz w:val="24"/>
          <w:highlight w:val="none"/>
        </w:rPr>
      </w:pPr>
    </w:p>
    <w:p w14:paraId="038FF145">
      <w:pPr>
        <w:rPr>
          <w:rFonts w:hint="eastAsia"/>
        </w:rPr>
      </w:pPr>
    </w:p>
    <w:p w14:paraId="315717AA">
      <w:pPr>
        <w:widowControl/>
        <w:snapToGrid w:val="0"/>
        <w:spacing w:line="400" w:lineRule="exact"/>
        <w:jc w:val="center"/>
        <w:rPr>
          <w:rFonts w:ascii="宋体" w:hAnsi="宋体"/>
          <w:b/>
          <w:color w:val="auto"/>
          <w:sz w:val="24"/>
          <w:highlight w:val="none"/>
        </w:rPr>
      </w:pPr>
      <w:r>
        <w:rPr>
          <w:rFonts w:hint="eastAsia" w:ascii="宋体" w:hAnsi="宋体"/>
          <w:b/>
          <w:color w:val="auto"/>
          <w:sz w:val="24"/>
          <w:highlight w:val="none"/>
        </w:rPr>
        <w:t>符合性审查表</w:t>
      </w:r>
    </w:p>
    <w:tbl>
      <w:tblPr>
        <w:tblStyle w:val="37"/>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858"/>
        <w:gridCol w:w="5287"/>
      </w:tblGrid>
      <w:tr w14:paraId="7B1D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7" w:type="dxa"/>
            <w:tcBorders>
              <w:top w:val="single" w:color="auto" w:sz="4" w:space="0"/>
              <w:left w:val="single" w:color="auto" w:sz="4" w:space="0"/>
              <w:bottom w:val="single" w:color="auto" w:sz="4" w:space="0"/>
              <w:right w:val="single" w:color="auto" w:sz="4" w:space="0"/>
            </w:tcBorders>
            <w:noWrap w:val="0"/>
            <w:vAlign w:val="top"/>
          </w:tcPr>
          <w:p w14:paraId="06A1FB87">
            <w:pPr>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2858" w:type="dxa"/>
            <w:tcBorders>
              <w:top w:val="single" w:color="auto" w:sz="4" w:space="0"/>
              <w:left w:val="single" w:color="auto" w:sz="4" w:space="0"/>
              <w:bottom w:val="single" w:color="auto" w:sz="4" w:space="0"/>
              <w:right w:val="single" w:color="auto" w:sz="4" w:space="0"/>
            </w:tcBorders>
            <w:noWrap w:val="0"/>
            <w:vAlign w:val="top"/>
          </w:tcPr>
          <w:p w14:paraId="11712B8B">
            <w:pPr>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审查项目</w:t>
            </w:r>
          </w:p>
        </w:tc>
        <w:tc>
          <w:tcPr>
            <w:tcW w:w="5287" w:type="dxa"/>
            <w:tcBorders>
              <w:top w:val="single" w:color="auto" w:sz="4" w:space="0"/>
              <w:left w:val="single" w:color="auto" w:sz="4" w:space="0"/>
              <w:bottom w:val="single" w:color="auto" w:sz="4" w:space="0"/>
              <w:right w:val="single" w:color="auto" w:sz="4" w:space="0"/>
            </w:tcBorders>
            <w:noWrap w:val="0"/>
            <w:vAlign w:val="top"/>
          </w:tcPr>
          <w:p w14:paraId="44620E98">
            <w:pPr>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要求</w:t>
            </w:r>
          </w:p>
        </w:tc>
      </w:tr>
      <w:tr w14:paraId="7CA1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14:paraId="68AC5E48">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1</w:t>
            </w:r>
          </w:p>
        </w:tc>
        <w:tc>
          <w:tcPr>
            <w:tcW w:w="2858" w:type="dxa"/>
            <w:tcBorders>
              <w:top w:val="single" w:color="auto" w:sz="4" w:space="0"/>
              <w:left w:val="single" w:color="auto" w:sz="4" w:space="0"/>
              <w:bottom w:val="single" w:color="auto" w:sz="4" w:space="0"/>
              <w:right w:val="single" w:color="auto" w:sz="4" w:space="0"/>
            </w:tcBorders>
            <w:noWrap w:val="0"/>
            <w:vAlign w:val="center"/>
          </w:tcPr>
          <w:p w14:paraId="1E487CC5">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投标有效期：符合第二章第七条的要求。</w:t>
            </w:r>
          </w:p>
        </w:tc>
        <w:tc>
          <w:tcPr>
            <w:tcW w:w="5287" w:type="dxa"/>
            <w:tcBorders>
              <w:top w:val="single" w:color="auto" w:sz="4" w:space="0"/>
              <w:left w:val="single" w:color="auto" w:sz="4" w:space="0"/>
              <w:bottom w:val="single" w:color="auto" w:sz="4" w:space="0"/>
              <w:right w:val="single" w:color="auto" w:sz="4" w:space="0"/>
            </w:tcBorders>
            <w:noWrap w:val="0"/>
            <w:vAlign w:val="center"/>
          </w:tcPr>
          <w:p w14:paraId="1BA55DF0">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提供“投标函”</w:t>
            </w:r>
            <w:r>
              <w:rPr>
                <w:rFonts w:hint="eastAsia" w:ascii="宋体" w:hAnsi="宋体" w:cs="宋体"/>
                <w:color w:val="auto"/>
                <w:sz w:val="21"/>
                <w:szCs w:val="21"/>
                <w:highlight w:val="none"/>
              </w:rPr>
              <w:t>。</w:t>
            </w:r>
          </w:p>
        </w:tc>
      </w:tr>
      <w:tr w14:paraId="6C0C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14:paraId="2CD623C8">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2</w:t>
            </w:r>
          </w:p>
        </w:tc>
        <w:tc>
          <w:tcPr>
            <w:tcW w:w="2858" w:type="dxa"/>
            <w:tcBorders>
              <w:top w:val="single" w:color="auto" w:sz="4" w:space="0"/>
              <w:left w:val="single" w:color="auto" w:sz="4" w:space="0"/>
              <w:bottom w:val="single" w:color="auto" w:sz="4" w:space="0"/>
              <w:right w:val="single" w:color="auto" w:sz="4" w:space="0"/>
            </w:tcBorders>
            <w:noWrap w:val="0"/>
            <w:vAlign w:val="center"/>
          </w:tcPr>
          <w:p w14:paraId="31E5D79A">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法定代表人身份证明、法定代表人授权书。</w:t>
            </w:r>
          </w:p>
        </w:tc>
        <w:tc>
          <w:tcPr>
            <w:tcW w:w="5287" w:type="dxa"/>
            <w:tcBorders>
              <w:top w:val="single" w:color="auto" w:sz="4" w:space="0"/>
              <w:left w:val="single" w:color="auto" w:sz="4" w:space="0"/>
              <w:bottom w:val="single" w:color="auto" w:sz="4" w:space="0"/>
              <w:right w:val="single" w:color="auto" w:sz="4" w:space="0"/>
            </w:tcBorders>
            <w:noWrap w:val="0"/>
            <w:vAlign w:val="center"/>
          </w:tcPr>
          <w:p w14:paraId="6D4BAB67">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（1）投标文件按标书要求由法定代表人签字的，提供“法定代表人身份证明”</w:t>
            </w:r>
            <w:r>
              <w:rPr>
                <w:rFonts w:hint="eastAsia" w:ascii="宋体" w:hAnsi="宋体" w:cs="宋体"/>
                <w:color w:val="auto"/>
                <w:sz w:val="21"/>
                <w:szCs w:val="21"/>
                <w:highlight w:val="none"/>
              </w:rPr>
              <w:t>。</w:t>
            </w:r>
          </w:p>
          <w:p w14:paraId="3BFD5349">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（2）投标文件按标书要求由授权代表签字的，提供“法定代表人授权书”</w:t>
            </w:r>
            <w:r>
              <w:rPr>
                <w:rFonts w:hint="eastAsia" w:ascii="宋体" w:cs="宋体"/>
                <w:color w:val="auto"/>
                <w:sz w:val="21"/>
                <w:szCs w:val="21"/>
                <w:highlight w:val="none"/>
              </w:rPr>
              <w:t>。</w:t>
            </w:r>
          </w:p>
        </w:tc>
      </w:tr>
      <w:tr w14:paraId="337E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14:paraId="50FE9F6A">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3</w:t>
            </w:r>
          </w:p>
        </w:tc>
        <w:tc>
          <w:tcPr>
            <w:tcW w:w="2858" w:type="dxa"/>
            <w:tcBorders>
              <w:top w:val="single" w:color="auto" w:sz="4" w:space="0"/>
              <w:left w:val="single" w:color="auto" w:sz="4" w:space="0"/>
              <w:bottom w:val="single" w:color="auto" w:sz="4" w:space="0"/>
              <w:right w:val="single" w:color="auto" w:sz="4" w:space="0"/>
            </w:tcBorders>
            <w:noWrap w:val="0"/>
            <w:vAlign w:val="center"/>
          </w:tcPr>
          <w:p w14:paraId="7F9F4BF5">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响应文件的签署盖章</w:t>
            </w:r>
          </w:p>
        </w:tc>
        <w:tc>
          <w:tcPr>
            <w:tcW w:w="5287" w:type="dxa"/>
            <w:tcBorders>
              <w:top w:val="single" w:color="auto" w:sz="4" w:space="0"/>
              <w:left w:val="single" w:color="auto" w:sz="4" w:space="0"/>
              <w:bottom w:val="single" w:color="auto" w:sz="4" w:space="0"/>
              <w:right w:val="single" w:color="auto" w:sz="4" w:space="0"/>
            </w:tcBorders>
            <w:noWrap w:val="0"/>
            <w:vAlign w:val="center"/>
          </w:tcPr>
          <w:p w14:paraId="79C4EB7C">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符合第二章“供应商须知”第十、2条的要求</w:t>
            </w:r>
          </w:p>
        </w:tc>
      </w:tr>
      <w:tr w14:paraId="40AF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7" w:type="dxa"/>
            <w:vMerge w:val="restart"/>
            <w:tcBorders>
              <w:top w:val="single" w:color="auto" w:sz="4" w:space="0"/>
              <w:left w:val="single" w:color="auto" w:sz="4" w:space="0"/>
              <w:bottom w:val="single" w:color="auto" w:sz="4" w:space="0"/>
              <w:right w:val="single" w:color="auto" w:sz="4" w:space="0"/>
            </w:tcBorders>
            <w:noWrap w:val="0"/>
            <w:vAlign w:val="center"/>
          </w:tcPr>
          <w:p w14:paraId="5E4CBE92">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4</w:t>
            </w:r>
          </w:p>
        </w:tc>
        <w:tc>
          <w:tcPr>
            <w:tcW w:w="2858" w:type="dxa"/>
            <w:vMerge w:val="restart"/>
            <w:tcBorders>
              <w:top w:val="single" w:color="auto" w:sz="4" w:space="0"/>
              <w:left w:val="single" w:color="auto" w:sz="4" w:space="0"/>
              <w:bottom w:val="single" w:color="auto" w:sz="4" w:space="0"/>
              <w:right w:val="single" w:color="auto" w:sz="4" w:space="0"/>
            </w:tcBorders>
            <w:noWrap w:val="0"/>
            <w:vAlign w:val="center"/>
          </w:tcPr>
          <w:p w14:paraId="2BCCE960">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其他</w:t>
            </w:r>
          </w:p>
        </w:tc>
        <w:tc>
          <w:tcPr>
            <w:tcW w:w="5287" w:type="dxa"/>
            <w:tcBorders>
              <w:top w:val="single" w:color="auto" w:sz="4" w:space="0"/>
              <w:left w:val="single" w:color="auto" w:sz="4" w:space="0"/>
              <w:bottom w:val="single" w:color="auto" w:sz="4" w:space="0"/>
              <w:right w:val="single" w:color="auto" w:sz="4" w:space="0"/>
            </w:tcBorders>
            <w:noWrap w:val="0"/>
            <w:vAlign w:val="center"/>
          </w:tcPr>
          <w:p w14:paraId="26E4073F">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不允许出现报价或单价</w:t>
            </w:r>
          </w:p>
        </w:tc>
      </w:tr>
      <w:tr w14:paraId="01B6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7" w:type="dxa"/>
            <w:vMerge w:val="continue"/>
            <w:tcBorders>
              <w:top w:val="single" w:color="auto" w:sz="4" w:space="0"/>
              <w:left w:val="single" w:color="auto" w:sz="4" w:space="0"/>
              <w:bottom w:val="single" w:color="auto" w:sz="4" w:space="0"/>
              <w:right w:val="single" w:color="auto" w:sz="4" w:space="0"/>
            </w:tcBorders>
            <w:noWrap w:val="0"/>
            <w:vAlign w:val="center"/>
          </w:tcPr>
          <w:p w14:paraId="141A1DA4">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olor w:val="auto"/>
                <w:sz w:val="21"/>
                <w:szCs w:val="21"/>
                <w:highlight w:val="none"/>
              </w:rPr>
            </w:pPr>
          </w:p>
        </w:tc>
        <w:tc>
          <w:tcPr>
            <w:tcW w:w="2858" w:type="dxa"/>
            <w:vMerge w:val="continue"/>
            <w:tcBorders>
              <w:top w:val="single" w:color="auto" w:sz="4" w:space="0"/>
              <w:left w:val="single" w:color="auto" w:sz="4" w:space="0"/>
              <w:bottom w:val="single" w:color="auto" w:sz="4" w:space="0"/>
              <w:right w:val="single" w:color="auto" w:sz="4" w:space="0"/>
            </w:tcBorders>
            <w:noWrap w:val="0"/>
            <w:vAlign w:val="center"/>
          </w:tcPr>
          <w:p w14:paraId="3ABB3D39">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olor w:val="auto"/>
                <w:sz w:val="21"/>
                <w:szCs w:val="21"/>
                <w:highlight w:val="none"/>
              </w:rPr>
            </w:pPr>
          </w:p>
        </w:tc>
        <w:tc>
          <w:tcPr>
            <w:tcW w:w="5287" w:type="dxa"/>
            <w:tcBorders>
              <w:top w:val="single" w:color="auto" w:sz="4" w:space="0"/>
              <w:left w:val="single" w:color="auto" w:sz="4" w:space="0"/>
              <w:bottom w:val="single" w:color="auto" w:sz="4" w:space="0"/>
              <w:right w:val="single" w:color="auto" w:sz="4" w:space="0"/>
            </w:tcBorders>
            <w:noWrap w:val="0"/>
            <w:vAlign w:val="center"/>
          </w:tcPr>
          <w:p w14:paraId="6D1291EA">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不允许出现与采购文件有重大偏离的响应文件</w:t>
            </w:r>
          </w:p>
        </w:tc>
      </w:tr>
      <w:tr w14:paraId="76E1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7" w:type="dxa"/>
            <w:vMerge w:val="continue"/>
            <w:tcBorders>
              <w:top w:val="single" w:color="auto" w:sz="4" w:space="0"/>
              <w:left w:val="single" w:color="auto" w:sz="4" w:space="0"/>
              <w:bottom w:val="single" w:color="auto" w:sz="4" w:space="0"/>
              <w:right w:val="single" w:color="auto" w:sz="4" w:space="0"/>
            </w:tcBorders>
            <w:noWrap w:val="0"/>
            <w:vAlign w:val="center"/>
          </w:tcPr>
          <w:p w14:paraId="296BB037">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olor w:val="auto"/>
                <w:sz w:val="21"/>
                <w:szCs w:val="21"/>
                <w:highlight w:val="none"/>
              </w:rPr>
            </w:pPr>
          </w:p>
        </w:tc>
        <w:tc>
          <w:tcPr>
            <w:tcW w:w="2858" w:type="dxa"/>
            <w:vMerge w:val="continue"/>
            <w:tcBorders>
              <w:top w:val="single" w:color="auto" w:sz="4" w:space="0"/>
              <w:left w:val="single" w:color="auto" w:sz="4" w:space="0"/>
              <w:bottom w:val="single" w:color="auto" w:sz="4" w:space="0"/>
              <w:right w:val="single" w:color="auto" w:sz="4" w:space="0"/>
            </w:tcBorders>
            <w:noWrap w:val="0"/>
            <w:vAlign w:val="center"/>
          </w:tcPr>
          <w:p w14:paraId="4DE72E7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olor w:val="auto"/>
                <w:sz w:val="21"/>
                <w:szCs w:val="21"/>
                <w:highlight w:val="none"/>
              </w:rPr>
            </w:pPr>
          </w:p>
        </w:tc>
        <w:tc>
          <w:tcPr>
            <w:tcW w:w="5287" w:type="dxa"/>
            <w:tcBorders>
              <w:top w:val="single" w:color="auto" w:sz="4" w:space="0"/>
              <w:left w:val="single" w:color="auto" w:sz="4" w:space="0"/>
              <w:bottom w:val="single" w:color="auto" w:sz="4" w:space="0"/>
              <w:right w:val="single" w:color="auto" w:sz="4" w:space="0"/>
            </w:tcBorders>
            <w:noWrap w:val="0"/>
            <w:vAlign w:val="center"/>
          </w:tcPr>
          <w:p w14:paraId="60576C07">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供应商不得在投标活动中提供任何虚假材料或从事其他违法活动的</w:t>
            </w:r>
          </w:p>
        </w:tc>
      </w:tr>
      <w:tr w14:paraId="4385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7" w:type="dxa"/>
            <w:vMerge w:val="continue"/>
            <w:tcBorders>
              <w:top w:val="single" w:color="auto" w:sz="4" w:space="0"/>
              <w:left w:val="single" w:color="auto" w:sz="4" w:space="0"/>
              <w:bottom w:val="single" w:color="auto" w:sz="4" w:space="0"/>
              <w:right w:val="single" w:color="auto" w:sz="4" w:space="0"/>
            </w:tcBorders>
            <w:noWrap w:val="0"/>
            <w:vAlign w:val="center"/>
          </w:tcPr>
          <w:p w14:paraId="2C25824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olor w:val="auto"/>
                <w:sz w:val="21"/>
                <w:szCs w:val="21"/>
                <w:highlight w:val="none"/>
              </w:rPr>
            </w:pPr>
          </w:p>
        </w:tc>
        <w:tc>
          <w:tcPr>
            <w:tcW w:w="2858" w:type="dxa"/>
            <w:vMerge w:val="continue"/>
            <w:tcBorders>
              <w:top w:val="single" w:color="auto" w:sz="4" w:space="0"/>
              <w:left w:val="single" w:color="auto" w:sz="4" w:space="0"/>
              <w:bottom w:val="single" w:color="auto" w:sz="4" w:space="0"/>
              <w:right w:val="single" w:color="auto" w:sz="4" w:space="0"/>
            </w:tcBorders>
            <w:noWrap w:val="0"/>
            <w:vAlign w:val="center"/>
          </w:tcPr>
          <w:p w14:paraId="32F860A5">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olor w:val="auto"/>
                <w:sz w:val="21"/>
                <w:szCs w:val="21"/>
                <w:highlight w:val="none"/>
              </w:rPr>
            </w:pPr>
          </w:p>
        </w:tc>
        <w:tc>
          <w:tcPr>
            <w:tcW w:w="5287" w:type="dxa"/>
            <w:tcBorders>
              <w:top w:val="single" w:color="auto" w:sz="4" w:space="0"/>
              <w:left w:val="single" w:color="auto" w:sz="4" w:space="0"/>
              <w:bottom w:val="single" w:color="auto" w:sz="4" w:space="0"/>
              <w:right w:val="single" w:color="auto" w:sz="4" w:space="0"/>
            </w:tcBorders>
            <w:noWrap w:val="0"/>
            <w:vAlign w:val="center"/>
          </w:tcPr>
          <w:p w14:paraId="056213B3">
            <w:pPr>
              <w:keepNext w:val="0"/>
              <w:keepLines w:val="0"/>
              <w:pageBreakBefore w:val="0"/>
              <w:kinsoku/>
              <w:wordWrap/>
              <w:overflowPunct/>
              <w:topLinePunct w:val="0"/>
              <w:autoSpaceDE/>
              <w:autoSpaceDN/>
              <w:bidi w:val="0"/>
              <w:adjustRightInd/>
              <w:snapToGrid/>
              <w:spacing w:line="380" w:lineRule="exact"/>
              <w:textAlignment w:val="auto"/>
              <w:rPr>
                <w:sz w:val="21"/>
                <w:szCs w:val="21"/>
                <w:highlight w:val="none"/>
              </w:rPr>
            </w:pPr>
            <w:r>
              <w:rPr>
                <w:rFonts w:hint="eastAsia"/>
                <w:sz w:val="21"/>
                <w:szCs w:val="21"/>
                <w:highlight w:val="none"/>
              </w:rPr>
              <w:t>评标委员会经过审查，认定供应商虚假应标、串通投标的，有下列情形之一的，视为供应商串通投标：</w:t>
            </w:r>
          </w:p>
          <w:p w14:paraId="62463559">
            <w:pPr>
              <w:keepNext w:val="0"/>
              <w:keepLines w:val="0"/>
              <w:pageBreakBefore w:val="0"/>
              <w:kinsoku/>
              <w:wordWrap/>
              <w:overflowPunct/>
              <w:topLinePunct w:val="0"/>
              <w:autoSpaceDE/>
              <w:autoSpaceDN/>
              <w:bidi w:val="0"/>
              <w:adjustRightInd/>
              <w:snapToGrid/>
              <w:spacing w:line="380" w:lineRule="exact"/>
              <w:textAlignment w:val="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）不同供应商的投标文件由同一单位或者个人编制；</w:t>
            </w:r>
          </w:p>
          <w:p w14:paraId="070F522C">
            <w:pPr>
              <w:keepNext w:val="0"/>
              <w:keepLines w:val="0"/>
              <w:pageBreakBefore w:val="0"/>
              <w:kinsoku/>
              <w:wordWrap/>
              <w:overflowPunct/>
              <w:topLinePunct w:val="0"/>
              <w:autoSpaceDE/>
              <w:autoSpaceDN/>
              <w:bidi w:val="0"/>
              <w:adjustRightInd/>
              <w:snapToGrid/>
              <w:spacing w:line="380" w:lineRule="exact"/>
              <w:textAlignment w:val="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）不同供应商委托同一单位或者个人办理投标事宜；</w:t>
            </w:r>
          </w:p>
          <w:p w14:paraId="69386386">
            <w:pPr>
              <w:keepNext w:val="0"/>
              <w:keepLines w:val="0"/>
              <w:pageBreakBefore w:val="0"/>
              <w:kinsoku/>
              <w:wordWrap/>
              <w:overflowPunct/>
              <w:topLinePunct w:val="0"/>
              <w:autoSpaceDE/>
              <w:autoSpaceDN/>
              <w:bidi w:val="0"/>
              <w:adjustRightInd/>
              <w:snapToGrid/>
              <w:spacing w:line="380" w:lineRule="exact"/>
              <w:textAlignment w:val="auto"/>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）不同供应商的投标文件载明的项目管理成员或者联系人员为同一人；</w:t>
            </w:r>
          </w:p>
          <w:p w14:paraId="5F762A08">
            <w:pPr>
              <w:keepNext w:val="0"/>
              <w:keepLines w:val="0"/>
              <w:pageBreakBefore w:val="0"/>
              <w:kinsoku/>
              <w:wordWrap/>
              <w:overflowPunct/>
              <w:topLinePunct w:val="0"/>
              <w:autoSpaceDE/>
              <w:autoSpaceDN/>
              <w:bidi w:val="0"/>
              <w:adjustRightInd/>
              <w:snapToGrid/>
              <w:spacing w:line="380" w:lineRule="exact"/>
              <w:textAlignment w:val="auto"/>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）不同供应商的投标文件异常一致或者投标报价呈规律性差异；</w:t>
            </w:r>
          </w:p>
          <w:p w14:paraId="27C2890A">
            <w:pPr>
              <w:keepNext w:val="0"/>
              <w:keepLines w:val="0"/>
              <w:pageBreakBefore w:val="0"/>
              <w:kinsoku/>
              <w:wordWrap/>
              <w:overflowPunct/>
              <w:topLinePunct w:val="0"/>
              <w:autoSpaceDE/>
              <w:autoSpaceDN/>
              <w:bidi w:val="0"/>
              <w:adjustRightInd/>
              <w:snapToGrid/>
              <w:spacing w:line="380" w:lineRule="exact"/>
              <w:textAlignment w:val="auto"/>
              <w:rPr>
                <w:sz w:val="21"/>
                <w:szCs w:val="21"/>
                <w:highlight w:val="none"/>
              </w:rPr>
            </w:pPr>
            <w:r>
              <w:rPr>
                <w:rFonts w:hint="eastAsia"/>
                <w:sz w:val="21"/>
                <w:szCs w:val="21"/>
                <w:highlight w:val="none"/>
              </w:rPr>
              <w:t>（</w:t>
            </w:r>
            <w:r>
              <w:rPr>
                <w:sz w:val="21"/>
                <w:szCs w:val="21"/>
                <w:highlight w:val="none"/>
              </w:rPr>
              <w:t>5</w:t>
            </w:r>
            <w:r>
              <w:rPr>
                <w:rFonts w:hint="eastAsia"/>
                <w:sz w:val="21"/>
                <w:szCs w:val="21"/>
                <w:highlight w:val="none"/>
              </w:rPr>
              <w:t>）不同供应商的投标文件相互混装；</w:t>
            </w:r>
          </w:p>
          <w:p w14:paraId="0BD198F3">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olor w:val="auto"/>
                <w:sz w:val="21"/>
                <w:szCs w:val="21"/>
                <w:highlight w:val="none"/>
              </w:rPr>
            </w:pPr>
            <w:r>
              <w:rPr>
                <w:rFonts w:hint="eastAsia"/>
                <w:sz w:val="21"/>
                <w:szCs w:val="21"/>
                <w:highlight w:val="none"/>
              </w:rPr>
              <w:t>（6）两家或两家以上供应商提供的投标文件出自同一终端设备的，或在相同Internet主机分配地址（相同IP地址）获取</w:t>
            </w:r>
            <w:r>
              <w:rPr>
                <w:rFonts w:hint="eastAsia"/>
                <w:sz w:val="21"/>
                <w:szCs w:val="21"/>
                <w:highlight w:val="none"/>
                <w:lang w:eastAsia="zh-CN"/>
              </w:rPr>
              <w:t>采购文件</w:t>
            </w:r>
            <w:r>
              <w:rPr>
                <w:rFonts w:hint="eastAsia"/>
                <w:sz w:val="21"/>
                <w:szCs w:val="21"/>
                <w:highlight w:val="none"/>
              </w:rPr>
              <w:t>或网上投标的，且经询标澄清供应商无令人信服的理由和可靠证据证明其合理性的。</w:t>
            </w:r>
          </w:p>
        </w:tc>
      </w:tr>
      <w:tr w14:paraId="6F72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17" w:type="dxa"/>
            <w:vMerge w:val="continue"/>
            <w:tcBorders>
              <w:top w:val="single" w:color="auto" w:sz="4" w:space="0"/>
              <w:left w:val="single" w:color="auto" w:sz="4" w:space="0"/>
              <w:bottom w:val="single" w:color="auto" w:sz="4" w:space="0"/>
              <w:right w:val="single" w:color="auto" w:sz="4" w:space="0"/>
            </w:tcBorders>
            <w:noWrap w:val="0"/>
            <w:vAlign w:val="center"/>
          </w:tcPr>
          <w:p w14:paraId="322BDA9A">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olor w:val="auto"/>
                <w:sz w:val="21"/>
                <w:szCs w:val="21"/>
                <w:highlight w:val="none"/>
              </w:rPr>
            </w:pPr>
          </w:p>
        </w:tc>
        <w:tc>
          <w:tcPr>
            <w:tcW w:w="2858" w:type="dxa"/>
            <w:vMerge w:val="continue"/>
            <w:tcBorders>
              <w:top w:val="single" w:color="auto" w:sz="4" w:space="0"/>
              <w:left w:val="single" w:color="auto" w:sz="4" w:space="0"/>
              <w:bottom w:val="single" w:color="auto" w:sz="4" w:space="0"/>
              <w:right w:val="single" w:color="auto" w:sz="4" w:space="0"/>
            </w:tcBorders>
            <w:noWrap w:val="0"/>
            <w:vAlign w:val="center"/>
          </w:tcPr>
          <w:p w14:paraId="416FDF4D">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olor w:val="auto"/>
                <w:sz w:val="21"/>
                <w:szCs w:val="21"/>
                <w:highlight w:val="none"/>
              </w:rPr>
            </w:pPr>
          </w:p>
        </w:tc>
        <w:tc>
          <w:tcPr>
            <w:tcW w:w="5287" w:type="dxa"/>
            <w:tcBorders>
              <w:top w:val="single" w:color="auto" w:sz="4" w:space="0"/>
              <w:left w:val="single" w:color="auto" w:sz="4" w:space="0"/>
              <w:bottom w:val="single" w:color="auto" w:sz="4" w:space="0"/>
              <w:right w:val="single" w:color="auto" w:sz="4" w:space="0"/>
            </w:tcBorders>
            <w:noWrap w:val="0"/>
            <w:vAlign w:val="center"/>
          </w:tcPr>
          <w:p w14:paraId="1EF62DB6">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符合法律、法规和采购文件中规定的其他实质性要求（实质性要求采购文件中“</w:t>
            </w:r>
            <w:r>
              <w:rPr>
                <w:rFonts w:hint="eastAsia" w:ascii="宋体" w:hAnsi="宋体" w:cs="宋体"/>
                <w:color w:val="auto"/>
                <w:sz w:val="21"/>
                <w:szCs w:val="21"/>
                <w:highlight w:val="none"/>
              </w:rPr>
              <w:t>▲</w:t>
            </w:r>
            <w:r>
              <w:rPr>
                <w:rFonts w:hint="eastAsia" w:ascii="宋体" w:hAnsi="宋体"/>
                <w:color w:val="auto"/>
                <w:sz w:val="21"/>
                <w:szCs w:val="21"/>
                <w:highlight w:val="none"/>
              </w:rPr>
              <w:t>”标记）</w:t>
            </w:r>
          </w:p>
        </w:tc>
      </w:tr>
      <w:tr w14:paraId="118C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775" w:type="dxa"/>
            <w:gridSpan w:val="2"/>
            <w:tcBorders>
              <w:top w:val="single" w:color="auto" w:sz="4" w:space="0"/>
              <w:left w:val="single" w:color="auto" w:sz="4" w:space="0"/>
              <w:bottom w:val="single" w:color="auto" w:sz="4" w:space="0"/>
              <w:right w:val="single" w:color="auto" w:sz="4" w:space="0"/>
            </w:tcBorders>
            <w:noWrap w:val="0"/>
            <w:vAlign w:val="center"/>
          </w:tcPr>
          <w:p w14:paraId="1C1069E9">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olor w:val="auto"/>
                <w:sz w:val="21"/>
                <w:szCs w:val="21"/>
                <w:highlight w:val="none"/>
              </w:rPr>
            </w:pPr>
            <w:r>
              <w:rPr>
                <w:rFonts w:hint="eastAsia" w:ascii="宋体" w:hAnsi="宋体"/>
                <w:b/>
                <w:color w:val="auto"/>
                <w:sz w:val="21"/>
                <w:szCs w:val="21"/>
                <w:highlight w:val="none"/>
              </w:rPr>
              <w:t>符合性审查结论</w:t>
            </w:r>
          </w:p>
        </w:tc>
        <w:tc>
          <w:tcPr>
            <w:tcW w:w="5287" w:type="dxa"/>
            <w:tcBorders>
              <w:top w:val="single" w:color="auto" w:sz="4" w:space="0"/>
              <w:left w:val="single" w:color="auto" w:sz="4" w:space="0"/>
              <w:bottom w:val="single" w:color="auto" w:sz="4" w:space="0"/>
              <w:right w:val="single" w:color="auto" w:sz="4" w:space="0"/>
            </w:tcBorders>
            <w:noWrap w:val="0"/>
            <w:vAlign w:val="center"/>
          </w:tcPr>
          <w:p w14:paraId="21BEA520">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olor w:val="auto"/>
                <w:sz w:val="21"/>
                <w:szCs w:val="21"/>
                <w:highlight w:val="none"/>
              </w:rPr>
            </w:pPr>
          </w:p>
        </w:tc>
      </w:tr>
    </w:tbl>
    <w:p w14:paraId="443EB10D">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注：1、上述审查项目中，任意一项不符合的，符合性审查不合格。</w:t>
      </w:r>
    </w:p>
    <w:p w14:paraId="63C02F72">
      <w:pPr>
        <w:numPr>
          <w:ilvl w:val="0"/>
          <w:numId w:val="10"/>
        </w:num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上述审查项目中，第3项无需在政采云中设置关联点。</w:t>
      </w:r>
    </w:p>
    <w:p w14:paraId="3666A57A">
      <w:pPr>
        <w:pStyle w:val="11"/>
        <w:widowControl w:val="0"/>
        <w:numPr>
          <w:ilvl w:val="0"/>
          <w:numId w:val="0"/>
        </w:numPr>
        <w:jc w:val="both"/>
      </w:pPr>
    </w:p>
    <w:p w14:paraId="03D45F5D"/>
    <w:p w14:paraId="2360E31F">
      <w:pPr>
        <w:pStyle w:val="11"/>
      </w:pPr>
    </w:p>
    <w:p w14:paraId="0D73006F"/>
    <w:p w14:paraId="3593E555">
      <w:pPr>
        <w:pStyle w:val="11"/>
      </w:pPr>
    </w:p>
    <w:p w14:paraId="55FA6DBB">
      <w:pPr>
        <w:spacing w:line="360" w:lineRule="exact"/>
        <w:rPr>
          <w:rFonts w:hint="eastAsia" w:ascii="宋体" w:hAnsi="宋体" w:cs="宋体"/>
          <w:b/>
          <w:color w:val="auto"/>
          <w:sz w:val="24"/>
          <w:highlight w:val="none"/>
        </w:rPr>
      </w:pPr>
      <w:r>
        <w:rPr>
          <w:rFonts w:hint="eastAsia" w:ascii="宋体" w:hAnsi="宋体" w:cs="宋体"/>
          <w:b/>
          <w:color w:val="auto"/>
          <w:sz w:val="24"/>
          <w:highlight w:val="none"/>
        </w:rPr>
        <w:t>（三）商务技术评审</w:t>
      </w:r>
    </w:p>
    <w:p w14:paraId="30B78113">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商务技术评分表（</w:t>
      </w:r>
      <w:r>
        <w:rPr>
          <w:rFonts w:hint="eastAsia" w:ascii="宋体" w:hAnsi="宋体"/>
          <w:b/>
          <w:color w:val="auto"/>
          <w:szCs w:val="21"/>
          <w:highlight w:val="none"/>
          <w:lang w:val="en-US" w:eastAsia="zh-CN"/>
        </w:rPr>
        <w:t>60</w:t>
      </w:r>
      <w:r>
        <w:rPr>
          <w:rFonts w:hint="eastAsia" w:ascii="宋体" w:hAnsi="宋体"/>
          <w:b/>
          <w:color w:val="auto"/>
          <w:szCs w:val="21"/>
          <w:highlight w:val="none"/>
        </w:rPr>
        <w:t>分）</w:t>
      </w:r>
    </w:p>
    <w:tbl>
      <w:tblPr>
        <w:tblStyle w:val="37"/>
        <w:tblpPr w:leftFromText="180" w:rightFromText="180" w:vertAnchor="text" w:horzAnchor="page" w:tblpX="1191" w:tblpY="624"/>
        <w:tblOverlap w:val="never"/>
        <w:tblW w:w="9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7600"/>
        <w:gridCol w:w="1076"/>
      </w:tblGrid>
      <w:tr w14:paraId="40147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50" w:type="dxa"/>
            <w:noWrap w:val="0"/>
            <w:vAlign w:val="center"/>
          </w:tcPr>
          <w:p w14:paraId="06BAAD07">
            <w:pPr>
              <w:pStyle w:val="166"/>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7600" w:type="dxa"/>
            <w:noWrap w:val="0"/>
            <w:vAlign w:val="center"/>
          </w:tcPr>
          <w:p w14:paraId="54EEB8D6">
            <w:pPr>
              <w:pStyle w:val="166"/>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1076" w:type="dxa"/>
            <w:noWrap w:val="0"/>
            <w:vAlign w:val="center"/>
          </w:tcPr>
          <w:p w14:paraId="757C52E0">
            <w:pPr>
              <w:pStyle w:val="166"/>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1EE28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50" w:type="dxa"/>
            <w:shd w:val="clear" w:color="auto" w:fill="auto"/>
            <w:noWrap w:val="0"/>
            <w:vAlign w:val="center"/>
          </w:tcPr>
          <w:p w14:paraId="00869973">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方案讲解（12分）</w:t>
            </w:r>
          </w:p>
        </w:tc>
        <w:tc>
          <w:tcPr>
            <w:tcW w:w="7600" w:type="dxa"/>
            <w:shd w:val="clear" w:color="auto" w:fill="auto"/>
            <w:noWrap w:val="0"/>
            <w:vAlign w:val="center"/>
          </w:tcPr>
          <w:p w14:paraId="7FE98F2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评标委员会根据供应商现场对认知障碍照护专区改造方案进行现场讲解的情况（对项目的理解、认知障碍照护专区的整体布局理念、重难点分析及解决方案、亮点建议等）进行综合打分（1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160E13A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解说思路清晰、对项目了解透彻、分析完整、独到有见解、切合本项目实际情况的得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.0分；</w:t>
            </w:r>
          </w:p>
          <w:p w14:paraId="7FB8BF0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解说到位、对项目基本了解、分析基本完整、合理的得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.9-4.0分；</w:t>
            </w:r>
          </w:p>
          <w:p w14:paraId="3520BE6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解说基本完整、对项目有所了解、分析不完整或有明显不合理之处的得3.9-1.0分</w:t>
            </w:r>
            <w:r>
              <w:rPr>
                <w:rFonts w:hint="eastAsia" w:ascii="宋体" w:hAnsi="宋体" w:cs="宋体"/>
                <w:color w:val="auto"/>
                <w:sz w:val="21"/>
                <w:szCs w:val="21"/>
                <w:highlight w:val="none"/>
                <w:lang w:val="en-US" w:eastAsia="zh-CN"/>
              </w:rPr>
              <w:t>；</w:t>
            </w:r>
          </w:p>
          <w:p w14:paraId="4E6EC480">
            <w:pPr>
              <w:pStyle w:val="11"/>
              <w:ind w:firstLine="420" w:firstLineChars="0"/>
              <w:rPr>
                <w:rFonts w:hint="eastAsia" w:ascii="Times New Roman" w:hAnsi="Times New Roman" w:eastAsia="宋体" w:cs="Times New Roman"/>
                <w:color w:val="auto"/>
                <w:kern w:val="2"/>
                <w:sz w:val="21"/>
                <w:szCs w:val="20"/>
                <w:highlight w:val="none"/>
                <w:lang w:val="en-US" w:eastAsia="zh-CN" w:bidi="ar-SA"/>
              </w:rPr>
            </w:pPr>
            <w:r>
              <w:rPr>
                <w:rFonts w:hint="eastAsia" w:ascii="宋体" w:hAnsi="宋体" w:cs="宋体"/>
                <w:color w:val="auto"/>
                <w:sz w:val="21"/>
                <w:szCs w:val="21"/>
                <w:highlight w:val="none"/>
                <w:lang w:val="en-US" w:eastAsia="zh-CN"/>
              </w:rPr>
              <w:t>无现场讲解不得分。</w:t>
            </w:r>
          </w:p>
        </w:tc>
        <w:tc>
          <w:tcPr>
            <w:tcW w:w="1076" w:type="dxa"/>
            <w:shd w:val="clear" w:color="auto" w:fill="auto"/>
            <w:noWrap w:val="0"/>
            <w:vAlign w:val="center"/>
          </w:tcPr>
          <w:p w14:paraId="6595D423">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r>
      <w:tr w14:paraId="24DA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50" w:type="dxa"/>
            <w:noWrap w:val="0"/>
            <w:vAlign w:val="center"/>
          </w:tcPr>
          <w:p w14:paraId="4965FCB3">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技术参数响应情况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14分</w:t>
            </w:r>
            <w:r>
              <w:rPr>
                <w:rFonts w:hint="eastAsia" w:ascii="宋体" w:hAnsi="宋体" w:cs="宋体"/>
                <w:color w:val="auto"/>
                <w:sz w:val="21"/>
                <w:szCs w:val="21"/>
                <w:highlight w:val="none"/>
                <w:lang w:eastAsia="zh-CN"/>
              </w:rPr>
              <w:t>）</w:t>
            </w:r>
          </w:p>
        </w:tc>
        <w:tc>
          <w:tcPr>
            <w:tcW w:w="7600" w:type="dxa"/>
            <w:noWrap w:val="0"/>
            <w:vAlign w:val="center"/>
          </w:tcPr>
          <w:p w14:paraId="3C08301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投标产品总体性能响应招标文件要求的得</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zh-TW" w:eastAsia="zh-TW"/>
              </w:rPr>
              <w:t>分。带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TW" w:eastAsia="zh-TW"/>
              </w:rPr>
              <w:t>指标有负偏离或没有详细阐述</w:t>
            </w:r>
            <w:r>
              <w:rPr>
                <w:rFonts w:hint="eastAsia" w:ascii="宋体" w:hAnsi="宋体" w:cs="宋体"/>
                <w:color w:val="auto"/>
                <w:sz w:val="21"/>
                <w:szCs w:val="21"/>
                <w:highlight w:val="none"/>
                <w:lang w:val="zh-TW" w:eastAsia="zh-CN"/>
              </w:rPr>
              <w:t>的</w:t>
            </w:r>
            <w:r>
              <w:rPr>
                <w:rFonts w:hint="eastAsia" w:ascii="宋体" w:hAnsi="宋体" w:eastAsia="宋体" w:cs="宋体"/>
                <w:color w:val="auto"/>
                <w:sz w:val="21"/>
                <w:szCs w:val="21"/>
                <w:highlight w:val="none"/>
                <w:lang w:val="zh-TW" w:eastAsia="zh-TW"/>
              </w:rPr>
              <w:t>每项扣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TW" w:eastAsia="zh-TW"/>
              </w:rPr>
              <w:t>分，其他指标有负偏离或没有详细阐述的每项扣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TW" w:eastAsia="zh-TW"/>
              </w:rPr>
              <w:t>分，扣完为止。。</w:t>
            </w:r>
          </w:p>
        </w:tc>
        <w:tc>
          <w:tcPr>
            <w:tcW w:w="1076" w:type="dxa"/>
            <w:noWrap w:val="0"/>
            <w:vAlign w:val="center"/>
          </w:tcPr>
          <w:p w14:paraId="473C40D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r>
      <w:tr w14:paraId="2B383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1150" w:type="dxa"/>
            <w:vMerge w:val="restart"/>
            <w:noWrap w:val="0"/>
            <w:vAlign w:val="center"/>
          </w:tcPr>
          <w:p w14:paraId="2CFA0AF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val="en-US" w:eastAsia="zh-CN"/>
              </w:rPr>
              <w:t>（22分）</w:t>
            </w:r>
          </w:p>
        </w:tc>
        <w:tc>
          <w:tcPr>
            <w:tcW w:w="7600" w:type="dxa"/>
            <w:noWrap w:val="0"/>
            <w:vAlign w:val="top"/>
          </w:tcPr>
          <w:p w14:paraId="46F1FE8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根据</w:t>
            </w:r>
            <w:r>
              <w:rPr>
                <w:rFonts w:hint="eastAsia" w:ascii="宋体" w:hAnsi="宋体" w:cs="宋体"/>
                <w:color w:val="auto"/>
                <w:sz w:val="21"/>
                <w:szCs w:val="21"/>
                <w:highlight w:val="none"/>
                <w:lang w:val="en-US" w:eastAsia="zh-CN"/>
              </w:rPr>
              <w:t>供应商提供的对</w:t>
            </w:r>
            <w:r>
              <w:rPr>
                <w:rFonts w:hint="eastAsia" w:ascii="宋体" w:hAnsi="宋体" w:eastAsia="宋体" w:cs="宋体"/>
                <w:color w:val="auto"/>
                <w:sz w:val="21"/>
                <w:szCs w:val="21"/>
                <w:highlight w:val="none"/>
                <w:lang w:val="en-US" w:eastAsia="zh-TW"/>
              </w:rPr>
              <w:t>象山县及</w:t>
            </w:r>
            <w:r>
              <w:rPr>
                <w:rFonts w:hint="eastAsia" w:ascii="宋体" w:hAnsi="宋体" w:cs="宋体"/>
                <w:color w:val="auto"/>
                <w:sz w:val="21"/>
                <w:szCs w:val="21"/>
                <w:highlight w:val="none"/>
                <w:lang w:val="en-US" w:eastAsia="zh-CN"/>
              </w:rPr>
              <w:t>贤庠镇养老历史、养老文化</w:t>
            </w:r>
            <w:r>
              <w:rPr>
                <w:rFonts w:hint="eastAsia" w:ascii="宋体" w:hAnsi="宋体" w:eastAsia="宋体" w:cs="宋体"/>
                <w:color w:val="auto"/>
                <w:sz w:val="21"/>
                <w:szCs w:val="21"/>
                <w:highlight w:val="none"/>
                <w:lang w:val="en-US" w:eastAsia="zh-Hans"/>
              </w:rPr>
              <w:t>等</w:t>
            </w:r>
            <w:r>
              <w:rPr>
                <w:rFonts w:hint="eastAsia" w:ascii="宋体" w:hAnsi="宋体" w:eastAsia="宋体" w:cs="宋体"/>
                <w:color w:val="auto"/>
                <w:sz w:val="21"/>
                <w:szCs w:val="21"/>
                <w:highlight w:val="none"/>
                <w:lang w:val="en-US" w:eastAsia="zh-TW"/>
              </w:rPr>
              <w:t>现状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TW"/>
              </w:rPr>
              <w:t>了解程度进行</w:t>
            </w:r>
            <w:r>
              <w:rPr>
                <w:rFonts w:hint="eastAsia" w:ascii="宋体" w:hAnsi="宋体" w:cs="宋体"/>
                <w:color w:val="auto"/>
                <w:sz w:val="21"/>
                <w:szCs w:val="21"/>
                <w:highlight w:val="none"/>
                <w:lang w:val="en-US" w:eastAsia="zh-CN"/>
              </w:rPr>
              <w:t>综合</w:t>
            </w:r>
            <w:r>
              <w:rPr>
                <w:rFonts w:hint="eastAsia" w:ascii="宋体" w:hAnsi="宋体" w:eastAsia="宋体" w:cs="宋体"/>
                <w:color w:val="auto"/>
                <w:sz w:val="21"/>
                <w:szCs w:val="21"/>
                <w:highlight w:val="none"/>
                <w:lang w:val="en-US" w:eastAsia="zh-TW"/>
              </w:rPr>
              <w:t>评审</w:t>
            </w:r>
            <w:r>
              <w:rPr>
                <w:rFonts w:hint="eastAsia" w:ascii="宋体" w:hAnsi="宋体" w:cs="宋体"/>
                <w:color w:val="auto"/>
                <w:sz w:val="21"/>
                <w:szCs w:val="21"/>
                <w:highlight w:val="none"/>
                <w:lang w:val="en-US" w:eastAsia="zh-CN"/>
              </w:rPr>
              <w:t>：</w:t>
            </w:r>
          </w:p>
          <w:p w14:paraId="0F537B8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TW"/>
              </w:rPr>
            </w:pPr>
            <w:r>
              <w:rPr>
                <w:rFonts w:hint="eastAsia" w:ascii="宋体" w:hAnsi="宋体" w:cs="宋体"/>
                <w:color w:val="auto"/>
                <w:sz w:val="21"/>
                <w:szCs w:val="21"/>
                <w:highlight w:val="none"/>
                <w:lang w:val="en-US" w:eastAsia="zh-CN"/>
              </w:rPr>
              <w:t>对现状的了解</w:t>
            </w:r>
            <w:r>
              <w:rPr>
                <w:rFonts w:hint="eastAsia" w:ascii="宋体" w:hAnsi="宋体" w:eastAsia="宋体" w:cs="宋体"/>
                <w:color w:val="auto"/>
                <w:sz w:val="21"/>
                <w:szCs w:val="21"/>
                <w:highlight w:val="none"/>
                <w:lang w:val="en-US" w:eastAsia="zh-TW"/>
              </w:rPr>
              <w:t>针对性</w:t>
            </w:r>
            <w:r>
              <w:rPr>
                <w:rFonts w:hint="eastAsia" w:ascii="宋体" w:hAnsi="宋体" w:cs="宋体"/>
                <w:color w:val="auto"/>
                <w:sz w:val="21"/>
                <w:szCs w:val="21"/>
                <w:highlight w:val="none"/>
                <w:lang w:val="en-US" w:eastAsia="zh-CN"/>
              </w:rPr>
              <w:t>强</w:t>
            </w:r>
            <w:r>
              <w:rPr>
                <w:rFonts w:hint="eastAsia" w:ascii="宋体" w:hAnsi="宋体" w:eastAsia="宋体" w:cs="宋体"/>
                <w:color w:val="auto"/>
                <w:sz w:val="21"/>
                <w:szCs w:val="21"/>
                <w:highlight w:val="none"/>
                <w:lang w:eastAsia="zh-TW"/>
              </w:rPr>
              <w:t>、</w:t>
            </w:r>
            <w:r>
              <w:rPr>
                <w:rFonts w:hint="eastAsia" w:ascii="宋体" w:hAnsi="宋体" w:cs="宋体"/>
                <w:color w:val="auto"/>
                <w:sz w:val="21"/>
                <w:szCs w:val="21"/>
                <w:highlight w:val="none"/>
                <w:lang w:val="en-US" w:eastAsia="zh-CN"/>
              </w:rPr>
              <w:t>突出</w:t>
            </w:r>
            <w:r>
              <w:rPr>
                <w:rFonts w:hint="eastAsia" w:ascii="宋体" w:hAnsi="宋体" w:eastAsia="宋体" w:cs="宋体"/>
                <w:color w:val="auto"/>
                <w:sz w:val="21"/>
                <w:szCs w:val="21"/>
                <w:highlight w:val="none"/>
                <w:lang w:val="en-US" w:eastAsia="zh-Hans"/>
              </w:rPr>
              <w:t>的</w:t>
            </w:r>
            <w:r>
              <w:rPr>
                <w:rFonts w:hint="eastAsia" w:ascii="宋体" w:hAnsi="宋体" w:eastAsia="宋体" w:cs="宋体"/>
                <w:color w:val="auto"/>
                <w:sz w:val="21"/>
                <w:szCs w:val="21"/>
                <w:highlight w:val="none"/>
                <w:lang w:val="en-US" w:eastAsia="zh-TW"/>
              </w:rPr>
              <w:t>，得</w:t>
            </w:r>
            <w:r>
              <w:rPr>
                <w:rFonts w:hint="eastAsia" w:ascii="宋体" w:hAnsi="宋体" w:cs="宋体"/>
                <w:color w:val="auto"/>
                <w:sz w:val="21"/>
                <w:szCs w:val="21"/>
                <w:highlight w:val="none"/>
                <w:lang w:val="en-US" w:eastAsia="zh-CN"/>
              </w:rPr>
              <w:t>10-7</w:t>
            </w:r>
            <w:r>
              <w:rPr>
                <w:rFonts w:hint="eastAsia" w:ascii="宋体" w:hAnsi="宋体" w:eastAsia="宋体" w:cs="宋体"/>
                <w:color w:val="auto"/>
                <w:sz w:val="21"/>
                <w:szCs w:val="21"/>
                <w:highlight w:val="none"/>
                <w:lang w:val="en-US" w:eastAsia="zh-TW"/>
              </w:rPr>
              <w:t>分；</w:t>
            </w:r>
          </w:p>
          <w:p w14:paraId="15CD204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TW"/>
              </w:rPr>
            </w:pPr>
            <w:r>
              <w:rPr>
                <w:rFonts w:hint="eastAsia" w:ascii="宋体" w:hAnsi="宋体" w:cs="宋体"/>
                <w:color w:val="auto"/>
                <w:sz w:val="21"/>
                <w:szCs w:val="21"/>
                <w:highlight w:val="none"/>
                <w:lang w:val="en-US" w:eastAsia="zh-CN"/>
              </w:rPr>
              <w:t>了解程度</w:t>
            </w:r>
            <w:r>
              <w:rPr>
                <w:rFonts w:hint="eastAsia" w:ascii="宋体" w:hAnsi="宋体" w:eastAsia="宋体" w:cs="宋体"/>
                <w:color w:val="auto"/>
                <w:sz w:val="21"/>
                <w:szCs w:val="21"/>
                <w:highlight w:val="none"/>
                <w:lang w:val="en-US" w:eastAsia="zh-TW"/>
              </w:rPr>
              <w:t>一般的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TW"/>
              </w:rPr>
              <w:t>得</w:t>
            </w:r>
            <w:r>
              <w:rPr>
                <w:rFonts w:hint="eastAsia" w:ascii="宋体" w:hAnsi="宋体" w:cs="宋体"/>
                <w:color w:val="auto"/>
                <w:sz w:val="21"/>
                <w:szCs w:val="21"/>
                <w:highlight w:val="none"/>
                <w:lang w:val="en-US" w:eastAsia="zh-CN"/>
              </w:rPr>
              <w:t>6.9-4</w:t>
            </w:r>
            <w:r>
              <w:rPr>
                <w:rFonts w:hint="eastAsia" w:ascii="宋体" w:hAnsi="宋体" w:eastAsia="宋体" w:cs="宋体"/>
                <w:color w:val="auto"/>
                <w:sz w:val="21"/>
                <w:szCs w:val="21"/>
                <w:highlight w:val="none"/>
                <w:lang w:val="en-US" w:eastAsia="zh-TW"/>
              </w:rPr>
              <w:t>分；</w:t>
            </w:r>
          </w:p>
          <w:p w14:paraId="18898E8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TW"/>
              </w:rPr>
            </w:pPr>
            <w:r>
              <w:rPr>
                <w:rFonts w:hint="eastAsia" w:ascii="宋体" w:hAnsi="宋体" w:cs="宋体"/>
                <w:color w:val="auto"/>
                <w:sz w:val="21"/>
                <w:szCs w:val="21"/>
                <w:highlight w:val="none"/>
                <w:lang w:val="en-US" w:eastAsia="zh-CN"/>
              </w:rPr>
              <w:t>了解程度</w:t>
            </w:r>
            <w:r>
              <w:rPr>
                <w:rFonts w:hint="eastAsia" w:ascii="宋体" w:hAnsi="宋体" w:eastAsia="宋体" w:cs="宋体"/>
                <w:color w:val="auto"/>
                <w:sz w:val="21"/>
                <w:szCs w:val="21"/>
                <w:highlight w:val="none"/>
                <w:lang w:val="en-US" w:eastAsia="zh-TW"/>
              </w:rPr>
              <w:t>较弱的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TW"/>
              </w:rPr>
              <w:t>得</w:t>
            </w:r>
            <w:r>
              <w:rPr>
                <w:rFonts w:hint="eastAsia" w:ascii="宋体" w:hAnsi="宋体" w:cs="宋体"/>
                <w:color w:val="auto"/>
                <w:sz w:val="21"/>
                <w:szCs w:val="21"/>
                <w:highlight w:val="none"/>
                <w:lang w:val="en-US" w:eastAsia="zh-CN"/>
              </w:rPr>
              <w:t>3.9-0</w:t>
            </w:r>
            <w:r>
              <w:rPr>
                <w:rFonts w:hint="eastAsia" w:ascii="宋体" w:hAnsi="宋体" w:eastAsia="宋体" w:cs="宋体"/>
                <w:color w:val="auto"/>
                <w:sz w:val="21"/>
                <w:szCs w:val="21"/>
                <w:highlight w:val="none"/>
                <w:lang w:val="en-US" w:eastAsia="zh-TW"/>
              </w:rPr>
              <w:t>分；</w:t>
            </w:r>
          </w:p>
          <w:p w14:paraId="5D10600E">
            <w:pPr>
              <w:pStyle w:val="11"/>
              <w:rPr>
                <w:rFonts w:hint="default" w:eastAsia="宋体"/>
                <w:color w:val="auto"/>
                <w:highlight w:val="none"/>
                <w:lang w:val="en-US" w:eastAsia="zh-CN"/>
              </w:rPr>
            </w:pPr>
            <w:r>
              <w:rPr>
                <w:rFonts w:hint="eastAsia" w:ascii="宋体" w:hAnsi="宋体" w:cs="宋体"/>
                <w:color w:val="auto"/>
                <w:sz w:val="21"/>
                <w:szCs w:val="21"/>
                <w:highlight w:val="none"/>
                <w:lang w:val="en-US" w:eastAsia="zh-CN"/>
              </w:rPr>
              <w:t>缺项不得分；</w:t>
            </w:r>
          </w:p>
        </w:tc>
        <w:tc>
          <w:tcPr>
            <w:tcW w:w="1076" w:type="dxa"/>
            <w:tcBorders>
              <w:bottom w:val="single" w:color="auto" w:sz="4" w:space="0"/>
            </w:tcBorders>
            <w:noWrap w:val="0"/>
            <w:vAlign w:val="center"/>
          </w:tcPr>
          <w:p w14:paraId="4A5CD954">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11516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50" w:type="dxa"/>
            <w:vMerge w:val="continue"/>
            <w:noWrap w:val="0"/>
            <w:vAlign w:val="center"/>
          </w:tcPr>
          <w:p w14:paraId="113B3BC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7600" w:type="dxa"/>
            <w:tcBorders>
              <w:top w:val="single" w:color="auto" w:sz="4" w:space="0"/>
              <w:bottom w:val="single" w:color="auto" w:sz="4" w:space="0"/>
            </w:tcBorders>
            <w:noWrap w:val="0"/>
            <w:vAlign w:val="top"/>
          </w:tcPr>
          <w:p w14:paraId="3FD1732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在现场勘探的基础上，</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TW"/>
              </w:rPr>
              <w:t>必须结合</w:t>
            </w:r>
            <w:r>
              <w:rPr>
                <w:rFonts w:hint="eastAsia" w:ascii="宋体" w:hAnsi="宋体" w:eastAsia="宋体" w:cs="宋体"/>
                <w:color w:val="auto"/>
                <w:sz w:val="21"/>
                <w:szCs w:val="21"/>
                <w:highlight w:val="none"/>
                <w:lang w:val="en-US" w:eastAsia="zh-CN"/>
              </w:rPr>
              <w:t>现场勘探情况</w:t>
            </w:r>
            <w:r>
              <w:rPr>
                <w:rFonts w:hint="eastAsia" w:ascii="宋体" w:hAnsi="宋体" w:eastAsia="宋体" w:cs="宋体"/>
                <w:color w:val="auto"/>
                <w:sz w:val="21"/>
                <w:szCs w:val="21"/>
                <w:highlight w:val="none"/>
                <w:lang w:val="en-US" w:eastAsia="zh-TW"/>
              </w:rPr>
              <w:t>提供完整的认知障碍照护专区</w:t>
            </w:r>
            <w:r>
              <w:rPr>
                <w:rFonts w:hint="eastAsia" w:ascii="宋体" w:hAnsi="宋体" w:eastAsia="宋体" w:cs="宋体"/>
                <w:color w:val="auto"/>
                <w:sz w:val="21"/>
                <w:szCs w:val="21"/>
                <w:highlight w:val="none"/>
                <w:lang w:val="zh-TW" w:eastAsia="zh-TW"/>
              </w:rPr>
              <w:t>整体平面功能布局</w:t>
            </w:r>
            <w:r>
              <w:rPr>
                <w:rFonts w:hint="eastAsia" w:ascii="宋体" w:hAnsi="宋体" w:eastAsia="宋体" w:cs="宋体"/>
                <w:color w:val="auto"/>
                <w:sz w:val="21"/>
                <w:szCs w:val="21"/>
                <w:highlight w:val="none"/>
                <w:lang w:val="en-US" w:eastAsia="zh-TW"/>
              </w:rPr>
              <w:t>图，需</w:t>
            </w:r>
            <w:r>
              <w:rPr>
                <w:rFonts w:hint="eastAsia" w:ascii="宋体" w:hAnsi="宋体" w:eastAsia="宋体" w:cs="宋体"/>
                <w:color w:val="auto"/>
                <w:sz w:val="21"/>
                <w:szCs w:val="21"/>
                <w:highlight w:val="none"/>
                <w:lang w:val="en-US" w:eastAsia="zh-CN"/>
              </w:rPr>
              <w:t>结合现场实际照片进行合理布局</w:t>
            </w:r>
            <w:r>
              <w:rPr>
                <w:rFonts w:hint="eastAsia" w:ascii="宋体" w:hAnsi="宋体" w:eastAsia="宋体" w:cs="宋体"/>
                <w:color w:val="auto"/>
                <w:sz w:val="21"/>
                <w:szCs w:val="21"/>
                <w:highlight w:val="none"/>
                <w:lang w:val="zh-TW" w:eastAsia="zh-TW"/>
              </w:rPr>
              <w:t>。</w:t>
            </w:r>
          </w:p>
          <w:p w14:paraId="3DB94FA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平面功能布局</w:t>
            </w:r>
            <w:r>
              <w:rPr>
                <w:rFonts w:hint="eastAsia" w:ascii="宋体" w:hAnsi="宋体" w:eastAsia="宋体" w:cs="宋体"/>
                <w:color w:val="auto"/>
                <w:sz w:val="21"/>
                <w:szCs w:val="21"/>
                <w:highlight w:val="none"/>
                <w:lang w:val="en-US" w:eastAsia="zh-TW"/>
              </w:rPr>
              <w:t>合理、科学、</w:t>
            </w:r>
            <w:r>
              <w:rPr>
                <w:rFonts w:hint="eastAsia" w:ascii="宋体" w:hAnsi="宋体" w:cs="宋体"/>
                <w:color w:val="auto"/>
                <w:sz w:val="21"/>
                <w:szCs w:val="21"/>
                <w:highlight w:val="none"/>
                <w:lang w:val="en-US" w:eastAsia="zh-CN"/>
              </w:rPr>
              <w:t>针对性强</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得</w:t>
            </w:r>
            <w:r>
              <w:rPr>
                <w:rFonts w:hint="eastAsia" w:ascii="宋体" w:hAnsi="宋体" w:cs="宋体"/>
                <w:color w:val="auto"/>
                <w:sz w:val="21"/>
                <w:szCs w:val="21"/>
                <w:highlight w:val="none"/>
                <w:lang w:val="en-US" w:eastAsia="zh-CN"/>
              </w:rPr>
              <w:t>6-4</w:t>
            </w:r>
            <w:r>
              <w:rPr>
                <w:rFonts w:hint="eastAsia" w:ascii="宋体" w:hAnsi="宋体" w:eastAsia="宋体" w:cs="宋体"/>
                <w:color w:val="auto"/>
                <w:sz w:val="21"/>
                <w:szCs w:val="21"/>
                <w:highlight w:val="none"/>
                <w:lang w:val="zh-CN"/>
              </w:rPr>
              <w:t>分；</w:t>
            </w:r>
          </w:p>
          <w:p w14:paraId="33B0AA9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TW"/>
              </w:rPr>
              <w:t>功能布局</w:t>
            </w:r>
            <w:r>
              <w:rPr>
                <w:rFonts w:hint="eastAsia" w:ascii="宋体" w:hAnsi="宋体" w:cs="宋体"/>
                <w:color w:val="auto"/>
                <w:sz w:val="21"/>
                <w:szCs w:val="21"/>
                <w:highlight w:val="none"/>
                <w:lang w:val="en-US" w:eastAsia="zh-CN"/>
              </w:rPr>
              <w:t>基本</w:t>
            </w:r>
            <w:r>
              <w:rPr>
                <w:rFonts w:hint="eastAsia" w:ascii="宋体" w:hAnsi="宋体" w:eastAsia="宋体" w:cs="宋体"/>
                <w:color w:val="auto"/>
                <w:sz w:val="21"/>
                <w:szCs w:val="21"/>
                <w:highlight w:val="none"/>
                <w:lang w:val="en-US" w:eastAsia="zh-TW"/>
              </w:rPr>
              <w:t>合理、</w:t>
            </w:r>
            <w:r>
              <w:rPr>
                <w:rFonts w:hint="eastAsia" w:ascii="宋体" w:hAnsi="宋体" w:cs="宋体"/>
                <w:color w:val="auto"/>
                <w:sz w:val="21"/>
                <w:szCs w:val="21"/>
                <w:highlight w:val="none"/>
                <w:lang w:val="en-US" w:eastAsia="zh-CN"/>
              </w:rPr>
              <w:t>针对性一般的，</w:t>
            </w:r>
            <w:r>
              <w:rPr>
                <w:rFonts w:hint="eastAsia" w:ascii="宋体" w:hAnsi="宋体" w:eastAsia="宋体" w:cs="宋体"/>
                <w:color w:val="auto"/>
                <w:sz w:val="21"/>
                <w:szCs w:val="21"/>
                <w:highlight w:val="none"/>
                <w:lang w:val="zh-CN"/>
              </w:rPr>
              <w:t>得</w:t>
            </w:r>
            <w:r>
              <w:rPr>
                <w:rFonts w:hint="eastAsia" w:ascii="宋体" w:hAnsi="宋体" w:cs="宋体"/>
                <w:color w:val="auto"/>
                <w:sz w:val="21"/>
                <w:szCs w:val="21"/>
                <w:highlight w:val="none"/>
                <w:lang w:val="en-US" w:eastAsia="zh-CN"/>
              </w:rPr>
              <w:t>3.9-2</w:t>
            </w:r>
            <w:r>
              <w:rPr>
                <w:rFonts w:hint="eastAsia" w:ascii="宋体" w:hAnsi="宋体" w:eastAsia="宋体" w:cs="宋体"/>
                <w:color w:val="auto"/>
                <w:sz w:val="21"/>
                <w:szCs w:val="21"/>
                <w:highlight w:val="none"/>
                <w:lang w:val="zh-CN"/>
              </w:rPr>
              <w:t>分；</w:t>
            </w:r>
          </w:p>
          <w:p w14:paraId="55729FD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TW"/>
              </w:rPr>
              <w:t>功能布局</w:t>
            </w:r>
            <w:r>
              <w:rPr>
                <w:rFonts w:hint="eastAsia" w:ascii="宋体" w:hAnsi="宋体" w:cs="宋体"/>
                <w:color w:val="auto"/>
                <w:sz w:val="21"/>
                <w:szCs w:val="21"/>
                <w:highlight w:val="none"/>
                <w:lang w:val="en-US" w:eastAsia="zh-CN"/>
              </w:rPr>
              <w:t>混乱、针对性差</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lang w:val="zh-CN"/>
              </w:rPr>
              <w:t>分。</w:t>
            </w:r>
          </w:p>
          <w:p w14:paraId="0C414A3F">
            <w:pPr>
              <w:pStyle w:val="11"/>
              <w:rPr>
                <w:rFonts w:hint="eastAsia"/>
                <w:color w:val="auto"/>
                <w:highlight w:val="none"/>
                <w:lang w:eastAsia="zh-TW"/>
              </w:rPr>
            </w:pPr>
            <w:r>
              <w:rPr>
                <w:rFonts w:hint="eastAsia" w:ascii="宋体" w:hAnsi="宋体" w:cs="宋体"/>
                <w:color w:val="auto"/>
                <w:sz w:val="21"/>
                <w:szCs w:val="21"/>
                <w:highlight w:val="none"/>
                <w:lang w:val="en-US" w:eastAsia="zh-CN"/>
              </w:rPr>
              <w:t>缺项不得分；</w:t>
            </w:r>
          </w:p>
        </w:tc>
        <w:tc>
          <w:tcPr>
            <w:tcW w:w="1076" w:type="dxa"/>
            <w:tcBorders>
              <w:top w:val="single" w:color="auto" w:sz="4" w:space="0"/>
              <w:bottom w:val="single" w:color="auto" w:sz="4" w:space="0"/>
            </w:tcBorders>
            <w:noWrap w:val="0"/>
            <w:vAlign w:val="center"/>
          </w:tcPr>
          <w:p w14:paraId="04544C83">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19D9D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150" w:type="dxa"/>
            <w:vMerge w:val="continue"/>
            <w:noWrap w:val="0"/>
            <w:vAlign w:val="center"/>
          </w:tcPr>
          <w:p w14:paraId="15BBBFE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7600" w:type="dxa"/>
            <w:tcBorders>
              <w:top w:val="single" w:color="auto" w:sz="4" w:space="0"/>
            </w:tcBorders>
            <w:noWrap w:val="0"/>
            <w:vAlign w:val="top"/>
          </w:tcPr>
          <w:p w14:paraId="1FDBB63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根据投标供应商提供的项目实施进度计划，时间节点的明确性；人员安排计划和材料进场计划的详细、周密性；确保工期的技术措施的针对性等进行评分。</w:t>
            </w:r>
          </w:p>
          <w:p w14:paraId="289900C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时间节点明确性强、人员安排计划和材料进场计划详细、周密性好、针对性强的</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lang w:val="zh-CN" w:eastAsia="zh-CN"/>
              </w:rPr>
              <w:t>分；</w:t>
            </w:r>
          </w:p>
          <w:p w14:paraId="563CD7E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时间节点较明确、人员安排计划和材料进场计划较详细、周密性较好、针对性较强的</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lang w:val="zh-CN" w:eastAsia="zh-CN"/>
              </w:rPr>
              <w:t>分；</w:t>
            </w:r>
          </w:p>
          <w:p w14:paraId="20E6893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时间节点较一般、人员安排计划和材料进场计划详细一般、周密性一般、针对性一般</w:t>
            </w:r>
            <w:r>
              <w:rPr>
                <w:rFonts w:hint="eastAsia" w:ascii="宋体" w:hAnsi="宋体" w:eastAsia="宋体" w:cs="宋体"/>
                <w:color w:val="auto"/>
                <w:sz w:val="21"/>
                <w:szCs w:val="21"/>
                <w:highlight w:val="none"/>
                <w:lang w:val="zh-CN" w:eastAsia="zh-CN"/>
              </w:rPr>
              <w:t>得得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lang w:val="zh-CN" w:eastAsia="zh-CN"/>
              </w:rPr>
              <w:t>分；</w:t>
            </w:r>
          </w:p>
          <w:p w14:paraId="43F7A46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default"/>
                <w:lang w:val="en-US" w:eastAsia="zh-CN"/>
              </w:rPr>
            </w:pPr>
            <w:r>
              <w:rPr>
                <w:rFonts w:hint="eastAsia" w:ascii="宋体" w:hAnsi="宋体" w:eastAsia="宋体" w:cs="宋体"/>
                <w:color w:val="auto"/>
                <w:sz w:val="21"/>
                <w:szCs w:val="21"/>
                <w:highlight w:val="none"/>
                <w:lang w:val="en-US" w:eastAsia="zh-CN"/>
              </w:rPr>
              <w:t>缺项不得分；</w:t>
            </w:r>
          </w:p>
        </w:tc>
        <w:tc>
          <w:tcPr>
            <w:tcW w:w="1076" w:type="dxa"/>
            <w:tcBorders>
              <w:top w:val="single" w:color="auto" w:sz="4" w:space="0"/>
            </w:tcBorders>
            <w:noWrap w:val="0"/>
            <w:vAlign w:val="center"/>
          </w:tcPr>
          <w:p w14:paraId="45572A1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666F6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50" w:type="dxa"/>
            <w:vMerge w:val="restart"/>
            <w:noWrap w:val="0"/>
            <w:vAlign w:val="center"/>
          </w:tcPr>
          <w:p w14:paraId="3ED7B74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p w14:paraId="023D48F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（12分）</w:t>
            </w:r>
          </w:p>
        </w:tc>
        <w:tc>
          <w:tcPr>
            <w:tcW w:w="7600" w:type="dxa"/>
            <w:noWrap w:val="0"/>
            <w:vAlign w:val="center"/>
          </w:tcPr>
          <w:p w14:paraId="2CF41DE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TW"/>
              </w:rPr>
              <w:t>根据</w:t>
            </w:r>
            <w:r>
              <w:rPr>
                <w:rFonts w:hint="eastAsia" w:ascii="宋体" w:hAnsi="宋体" w:cs="宋体"/>
                <w:color w:val="auto"/>
                <w:sz w:val="21"/>
                <w:szCs w:val="21"/>
                <w:highlight w:val="none"/>
                <w:lang w:val="zh-TW" w:eastAsia="zh-CN"/>
              </w:rPr>
              <w:t>供应商</w:t>
            </w:r>
            <w:r>
              <w:rPr>
                <w:rFonts w:hint="eastAsia" w:ascii="宋体" w:hAnsi="宋体" w:eastAsia="宋体" w:cs="宋体"/>
                <w:color w:val="auto"/>
                <w:sz w:val="21"/>
                <w:szCs w:val="21"/>
                <w:highlight w:val="none"/>
                <w:lang w:val="zh-TW" w:eastAsia="zh-TW"/>
              </w:rPr>
              <w:t>提供的</w:t>
            </w:r>
            <w:r>
              <w:rPr>
                <w:rFonts w:hint="eastAsia" w:ascii="宋体" w:hAnsi="宋体" w:cs="宋体"/>
                <w:color w:val="auto"/>
                <w:sz w:val="21"/>
                <w:szCs w:val="21"/>
                <w:highlight w:val="none"/>
                <w:lang w:val="en-US" w:eastAsia="zh-CN"/>
              </w:rPr>
              <w:t>供货方案（包括设备</w:t>
            </w:r>
            <w:r>
              <w:rPr>
                <w:rFonts w:hint="eastAsia" w:ascii="宋体" w:hAnsi="宋体" w:eastAsia="宋体" w:cs="宋体"/>
                <w:color w:val="auto"/>
                <w:sz w:val="21"/>
                <w:szCs w:val="21"/>
                <w:highlight w:val="none"/>
                <w:lang w:val="zh-TW" w:eastAsia="zh-TW"/>
              </w:rPr>
              <w:t>生产、</w:t>
            </w:r>
            <w:r>
              <w:rPr>
                <w:rFonts w:hint="eastAsia" w:ascii="宋体" w:hAnsi="宋体" w:cs="宋体"/>
                <w:color w:val="auto"/>
                <w:sz w:val="21"/>
                <w:szCs w:val="21"/>
                <w:highlight w:val="none"/>
                <w:lang w:val="en-US" w:eastAsia="zh-CN"/>
              </w:rPr>
              <w:t>运输、</w:t>
            </w:r>
            <w:r>
              <w:rPr>
                <w:rFonts w:hint="eastAsia" w:ascii="宋体" w:hAnsi="宋体" w:eastAsia="宋体" w:cs="宋体"/>
                <w:color w:val="auto"/>
                <w:sz w:val="21"/>
                <w:szCs w:val="21"/>
                <w:highlight w:val="none"/>
                <w:lang w:val="zh-TW" w:eastAsia="zh-TW"/>
              </w:rPr>
              <w:t>安装、调试、验收</w:t>
            </w:r>
            <w:r>
              <w:rPr>
                <w:rFonts w:hint="eastAsia" w:ascii="宋体" w:hAnsi="宋体" w:eastAsia="宋体" w:cs="宋体"/>
                <w:color w:val="auto"/>
                <w:sz w:val="21"/>
                <w:szCs w:val="21"/>
                <w:highlight w:val="none"/>
                <w:lang w:val="en-US" w:eastAsia="zh-CN"/>
              </w:rPr>
              <w:t>等</w:t>
            </w:r>
            <w:r>
              <w:rPr>
                <w:rFonts w:hint="eastAsia" w:ascii="宋体" w:hAnsi="宋体" w:cs="宋体"/>
                <w:color w:val="auto"/>
                <w:sz w:val="21"/>
                <w:szCs w:val="21"/>
                <w:highlight w:val="none"/>
                <w:lang w:val="en-US" w:eastAsia="zh-CN"/>
              </w:rPr>
              <w:t>）及质量保障措施</w:t>
            </w:r>
            <w:r>
              <w:rPr>
                <w:rFonts w:hint="eastAsia" w:ascii="宋体" w:hAnsi="宋体" w:eastAsia="宋体" w:cs="宋体"/>
                <w:color w:val="auto"/>
                <w:sz w:val="21"/>
                <w:szCs w:val="21"/>
                <w:highlight w:val="none"/>
                <w:lang w:val="zh-TW" w:eastAsia="zh-TW"/>
              </w:rPr>
              <w:t>进行</w:t>
            </w:r>
            <w:r>
              <w:rPr>
                <w:rFonts w:hint="eastAsia" w:ascii="宋体" w:hAnsi="宋体" w:eastAsia="宋体" w:cs="宋体"/>
                <w:color w:val="auto"/>
                <w:sz w:val="21"/>
                <w:szCs w:val="21"/>
                <w:highlight w:val="none"/>
                <w:lang w:val="en-US" w:eastAsia="zh-CN"/>
              </w:rPr>
              <w:t>综合打分</w:t>
            </w:r>
            <w:r>
              <w:rPr>
                <w:rFonts w:hint="eastAsia" w:ascii="宋体" w:hAnsi="宋体" w:cs="宋体"/>
                <w:color w:val="auto"/>
                <w:sz w:val="21"/>
                <w:szCs w:val="21"/>
                <w:highlight w:val="none"/>
                <w:lang w:val="zh-TW" w:eastAsia="zh-CN"/>
              </w:rPr>
              <w:t>：</w:t>
            </w:r>
          </w:p>
          <w:p w14:paraId="6E3F0C8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TW" w:eastAsia="zh-TW"/>
              </w:rPr>
              <w:t>方案</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质量保证措施针对性强</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zh-CN"/>
              </w:rPr>
              <w:t>；</w:t>
            </w:r>
          </w:p>
          <w:p w14:paraId="64E9FC1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TW" w:eastAsia="zh-TW"/>
              </w:rPr>
              <w:t>方案</w:t>
            </w:r>
            <w:r>
              <w:rPr>
                <w:rFonts w:hint="eastAsia" w:ascii="宋体" w:hAnsi="宋体" w:eastAsia="宋体" w:cs="宋体"/>
                <w:color w:val="auto"/>
                <w:sz w:val="21"/>
                <w:szCs w:val="21"/>
                <w:highlight w:val="none"/>
              </w:rPr>
              <w:t>较合理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质量保证措施针对性一般</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zh-CN"/>
              </w:rPr>
              <w:t>；</w:t>
            </w:r>
          </w:p>
          <w:p w14:paraId="627F51D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方案</w:t>
            </w:r>
            <w:r>
              <w:rPr>
                <w:rFonts w:hint="eastAsia" w:ascii="宋体" w:hAnsi="宋体" w:cs="宋体"/>
                <w:color w:val="auto"/>
                <w:sz w:val="21"/>
                <w:szCs w:val="21"/>
                <w:highlight w:val="none"/>
                <w:lang w:val="en-US" w:eastAsia="zh-CN"/>
              </w:rPr>
              <w:t>欠</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质量保证措施针对性差</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p>
          <w:p w14:paraId="11BA5AB0">
            <w:pPr>
              <w:pStyle w:val="11"/>
              <w:rPr>
                <w:rFonts w:hint="eastAsia"/>
                <w:color w:val="auto"/>
                <w:highlight w:val="none"/>
                <w:lang w:val="zh-TW" w:eastAsia="zh-TW"/>
              </w:rPr>
            </w:pPr>
            <w:r>
              <w:rPr>
                <w:rFonts w:hint="eastAsia" w:ascii="宋体" w:hAnsi="宋体" w:cs="宋体"/>
                <w:color w:val="auto"/>
                <w:sz w:val="21"/>
                <w:szCs w:val="21"/>
                <w:highlight w:val="none"/>
                <w:lang w:val="en-US" w:eastAsia="zh-CN"/>
              </w:rPr>
              <w:t>缺项不得分；</w:t>
            </w:r>
          </w:p>
        </w:tc>
        <w:tc>
          <w:tcPr>
            <w:tcW w:w="1076" w:type="dxa"/>
            <w:noWrap w:val="0"/>
            <w:vAlign w:val="center"/>
          </w:tcPr>
          <w:p w14:paraId="23CA964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530C3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2" w:hRule="atLeast"/>
        </w:trPr>
        <w:tc>
          <w:tcPr>
            <w:tcW w:w="1150" w:type="dxa"/>
            <w:vMerge w:val="continue"/>
            <w:noWrap w:val="0"/>
            <w:vAlign w:val="center"/>
          </w:tcPr>
          <w:p w14:paraId="1416886F">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7600" w:type="dxa"/>
            <w:tcBorders>
              <w:top w:val="single" w:color="auto" w:sz="4" w:space="0"/>
              <w:bottom w:val="single" w:color="auto" w:sz="4" w:space="0"/>
            </w:tcBorders>
            <w:noWrap w:val="0"/>
            <w:vAlign w:val="center"/>
          </w:tcPr>
          <w:p w14:paraId="38A3DEB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根据</w:t>
            </w:r>
            <w:r>
              <w:rPr>
                <w:rFonts w:hint="eastAsia" w:ascii="宋体" w:hAnsi="宋体" w:cs="宋体"/>
                <w:color w:val="auto"/>
                <w:sz w:val="21"/>
                <w:szCs w:val="21"/>
                <w:highlight w:val="none"/>
                <w:lang w:val="zh-TW" w:eastAsia="zh-CN"/>
              </w:rPr>
              <w:t>供应商</w:t>
            </w:r>
            <w:r>
              <w:rPr>
                <w:rFonts w:hint="eastAsia" w:ascii="宋体" w:hAnsi="宋体" w:eastAsia="宋体" w:cs="宋体"/>
                <w:color w:val="auto"/>
                <w:sz w:val="21"/>
                <w:szCs w:val="21"/>
                <w:highlight w:val="none"/>
                <w:lang w:val="zh-TW" w:eastAsia="zh-TW"/>
              </w:rPr>
              <w:t>提供的售后服务承诺、售后服务方案合理性、可行性情况、应急响应情况等进行</w:t>
            </w:r>
            <w:r>
              <w:rPr>
                <w:rFonts w:hint="eastAsia" w:ascii="宋体" w:hAnsi="宋体" w:eastAsia="宋体" w:cs="宋体"/>
                <w:color w:val="auto"/>
                <w:sz w:val="21"/>
                <w:szCs w:val="21"/>
                <w:highlight w:val="none"/>
                <w:lang w:val="zh-TW" w:eastAsia="zh-CN"/>
              </w:rPr>
              <w:t>评审</w:t>
            </w:r>
            <w:r>
              <w:rPr>
                <w:rFonts w:hint="eastAsia" w:ascii="宋体" w:hAnsi="宋体" w:eastAsia="宋体" w:cs="宋体"/>
                <w:color w:val="auto"/>
                <w:sz w:val="21"/>
                <w:szCs w:val="21"/>
                <w:highlight w:val="none"/>
                <w:lang w:val="zh-TW" w:eastAsia="zh-TW"/>
              </w:rPr>
              <w:t>。</w:t>
            </w:r>
          </w:p>
          <w:p w14:paraId="27BE202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TW" w:eastAsia="zh-TW"/>
              </w:rPr>
              <w:t>方案和措施</w:t>
            </w:r>
            <w:r>
              <w:rPr>
                <w:rFonts w:hint="eastAsia" w:ascii="宋体" w:hAnsi="宋体" w:eastAsia="宋体" w:cs="宋体"/>
                <w:color w:val="auto"/>
                <w:sz w:val="21"/>
                <w:szCs w:val="21"/>
                <w:highlight w:val="none"/>
              </w:rPr>
              <w:t>合理有效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针对性强</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lang w:val="zh-CN"/>
              </w:rPr>
              <w:t>分；</w:t>
            </w:r>
          </w:p>
          <w:p w14:paraId="62C6F5A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TW" w:eastAsia="zh-TW"/>
              </w:rPr>
              <w:t>方案和措施</w:t>
            </w:r>
            <w:r>
              <w:rPr>
                <w:rFonts w:hint="eastAsia" w:ascii="宋体" w:hAnsi="宋体" w:eastAsia="宋体" w:cs="宋体"/>
                <w:color w:val="auto"/>
                <w:sz w:val="21"/>
                <w:szCs w:val="21"/>
                <w:highlight w:val="none"/>
              </w:rPr>
              <w:t>较合理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针对性一般</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3.9-2</w:t>
            </w:r>
            <w:r>
              <w:rPr>
                <w:rFonts w:hint="eastAsia" w:ascii="宋体" w:hAnsi="宋体" w:eastAsia="宋体" w:cs="宋体"/>
                <w:color w:val="auto"/>
                <w:sz w:val="21"/>
                <w:szCs w:val="21"/>
                <w:highlight w:val="none"/>
                <w:lang w:val="zh-CN"/>
              </w:rPr>
              <w:t>分；</w:t>
            </w:r>
          </w:p>
          <w:p w14:paraId="7538BE0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方案和措施</w:t>
            </w:r>
            <w:r>
              <w:rPr>
                <w:rFonts w:hint="eastAsia" w:ascii="宋体" w:hAnsi="宋体" w:cs="宋体"/>
                <w:color w:val="auto"/>
                <w:sz w:val="21"/>
                <w:szCs w:val="21"/>
                <w:highlight w:val="none"/>
                <w:lang w:val="en-US" w:eastAsia="zh-CN"/>
              </w:rPr>
              <w:t>欠</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针对性差</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p>
          <w:p w14:paraId="6D3DEC6E">
            <w:pPr>
              <w:pStyle w:val="26"/>
              <w:ind w:firstLine="420" w:firstLineChars="200"/>
              <w:jc w:val="both"/>
              <w:rPr>
                <w:rFonts w:hint="eastAsia"/>
                <w:color w:val="auto"/>
                <w:highlight w:val="none"/>
                <w:lang w:val="zh-TW" w:eastAsia="zh-TW"/>
              </w:rPr>
            </w:pPr>
            <w:r>
              <w:rPr>
                <w:rFonts w:hint="eastAsia" w:ascii="宋体" w:hAnsi="宋体" w:cs="宋体"/>
                <w:color w:val="auto"/>
                <w:sz w:val="21"/>
                <w:szCs w:val="21"/>
                <w:highlight w:val="none"/>
                <w:lang w:val="en-US" w:eastAsia="zh-CN"/>
              </w:rPr>
              <w:t>缺项不得分；</w:t>
            </w:r>
          </w:p>
        </w:tc>
        <w:tc>
          <w:tcPr>
            <w:tcW w:w="1076" w:type="dxa"/>
            <w:noWrap w:val="0"/>
            <w:vAlign w:val="center"/>
          </w:tcPr>
          <w:p w14:paraId="69A9148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bl>
    <w:p w14:paraId="30E7E3E9">
      <w:pPr>
        <w:keepNext w:val="0"/>
        <w:keepLines w:val="0"/>
        <w:pageBreakBefore w:val="0"/>
        <w:widowControl w:val="0"/>
        <w:kinsoku/>
        <w:wordWrap/>
        <w:overflowPunct/>
        <w:topLinePunct w:val="0"/>
        <w:autoSpaceDE/>
        <w:autoSpaceDN/>
        <w:bidi w:val="0"/>
        <w:adjustRightInd w:val="0"/>
        <w:snapToGrid w:val="0"/>
        <w:spacing w:line="420" w:lineRule="exact"/>
        <w:ind w:right="0" w:rightChars="0"/>
        <w:textAlignment w:val="auto"/>
        <w:rPr>
          <w:rFonts w:ascii="宋体" w:hAnsi="宋体" w:cs="宋体"/>
          <w:color w:val="auto"/>
          <w:sz w:val="24"/>
          <w:highlight w:val="none"/>
        </w:rPr>
      </w:pPr>
      <w:r>
        <w:rPr>
          <w:rFonts w:hint="eastAsia"/>
          <w:color w:val="auto"/>
          <w:kern w:val="0"/>
          <w:sz w:val="24"/>
          <w:highlight w:val="none"/>
          <w:lang w:val="zh-CN"/>
        </w:rPr>
        <w:t>评委签名：</w:t>
      </w:r>
      <w:r>
        <w:rPr>
          <w:color w:val="auto"/>
          <w:kern w:val="0"/>
          <w:sz w:val="24"/>
          <w:highlight w:val="none"/>
          <w:lang w:val="zh-CN"/>
        </w:rPr>
        <w:t xml:space="preserve">                                 </w:t>
      </w:r>
      <w:r>
        <w:rPr>
          <w:rFonts w:hint="eastAsia"/>
          <w:color w:val="auto"/>
          <w:kern w:val="0"/>
          <w:sz w:val="24"/>
          <w:highlight w:val="none"/>
          <w:lang w:val="zh-CN"/>
        </w:rPr>
        <w:t>时间：</w:t>
      </w:r>
      <w:r>
        <w:rPr>
          <w:color w:val="auto"/>
          <w:kern w:val="0"/>
          <w:sz w:val="24"/>
          <w:highlight w:val="none"/>
          <w:lang w:val="zh-CN"/>
        </w:rPr>
        <w:t xml:space="preserve">     </w:t>
      </w:r>
      <w:r>
        <w:rPr>
          <w:rFonts w:hint="eastAsia"/>
          <w:color w:val="auto"/>
          <w:kern w:val="0"/>
          <w:sz w:val="24"/>
          <w:highlight w:val="none"/>
          <w:lang w:val="zh-CN"/>
        </w:rPr>
        <w:t>年</w:t>
      </w:r>
      <w:r>
        <w:rPr>
          <w:color w:val="auto"/>
          <w:kern w:val="0"/>
          <w:sz w:val="24"/>
          <w:highlight w:val="none"/>
          <w:lang w:val="zh-CN"/>
        </w:rPr>
        <w:t xml:space="preserve">  </w:t>
      </w:r>
      <w:r>
        <w:rPr>
          <w:rFonts w:hint="eastAsia"/>
          <w:color w:val="auto"/>
          <w:kern w:val="0"/>
          <w:sz w:val="24"/>
          <w:highlight w:val="none"/>
          <w:lang w:val="zh-CN"/>
        </w:rPr>
        <w:t>月</w:t>
      </w:r>
      <w:r>
        <w:rPr>
          <w:color w:val="auto"/>
          <w:kern w:val="0"/>
          <w:sz w:val="24"/>
          <w:highlight w:val="none"/>
          <w:lang w:val="zh-CN"/>
        </w:rPr>
        <w:t xml:space="preserve">   </w:t>
      </w:r>
      <w:r>
        <w:rPr>
          <w:rFonts w:hint="eastAsia"/>
          <w:color w:val="auto"/>
          <w:kern w:val="0"/>
          <w:sz w:val="24"/>
          <w:highlight w:val="none"/>
          <w:lang w:val="zh-CN"/>
        </w:rPr>
        <w:t>日</w:t>
      </w:r>
    </w:p>
    <w:p w14:paraId="596CB702">
      <w:pPr>
        <w:keepNext w:val="0"/>
        <w:keepLines w:val="0"/>
        <w:pageBreakBefore w:val="0"/>
        <w:widowControl w:val="0"/>
        <w:kinsoku/>
        <w:wordWrap/>
        <w:overflowPunct/>
        <w:topLinePunct w:val="0"/>
        <w:autoSpaceDE/>
        <w:autoSpaceDN/>
        <w:bidi w:val="0"/>
        <w:adjustRightInd w:val="0"/>
        <w:snapToGrid w:val="0"/>
        <w:spacing w:line="420" w:lineRule="exact"/>
        <w:ind w:right="0" w:rightChars="0" w:firstLine="420" w:firstLineChars="200"/>
        <w:textAlignment w:val="auto"/>
        <w:rPr>
          <w:rFonts w:hint="eastAsia" w:hAnsi="宋体" w:cs="宋体"/>
          <w:color w:val="auto"/>
          <w:highlight w:val="none"/>
        </w:rPr>
      </w:pPr>
      <w:r>
        <w:rPr>
          <w:rFonts w:hint="eastAsia" w:hAnsi="宋体" w:cs="宋体"/>
          <w:color w:val="auto"/>
          <w:highlight w:val="none"/>
        </w:rPr>
        <w:t>备注：评委的综合打分，采用记名方式。</w:t>
      </w:r>
      <w:bookmarkStart w:id="87" w:name="OLE_LINK67"/>
      <w:bookmarkStart w:id="88" w:name="OLE_LINK68"/>
      <w:r>
        <w:rPr>
          <w:rFonts w:hint="eastAsia" w:hAnsi="宋体" w:cs="宋体"/>
          <w:color w:val="auto"/>
          <w:highlight w:val="none"/>
        </w:rPr>
        <w:t>各供应商的技术商务得分为所有评委的有效评分的算术平均数。所有分值保留二位小数（采用四舍五入）。</w:t>
      </w:r>
      <w:bookmarkEnd w:id="87"/>
      <w:bookmarkEnd w:id="88"/>
    </w:p>
    <w:p w14:paraId="692C1ED7">
      <w:pPr>
        <w:pStyle w:val="11"/>
        <w:rPr>
          <w:rFonts w:hint="eastAsia" w:hAnsi="宋体" w:cs="宋体"/>
          <w:color w:val="auto"/>
          <w:highlight w:val="none"/>
        </w:rPr>
      </w:pPr>
    </w:p>
    <w:p w14:paraId="372FA372">
      <w:pPr>
        <w:pStyle w:val="11"/>
        <w:rPr>
          <w:rFonts w:hint="eastAsia" w:hAnsi="宋体" w:cs="宋体"/>
          <w:color w:val="auto"/>
          <w:highlight w:val="none"/>
        </w:rPr>
      </w:pPr>
    </w:p>
    <w:p w14:paraId="11139DCC">
      <w:pPr>
        <w:rPr>
          <w:rFonts w:hint="eastAsia" w:hAnsi="宋体" w:cs="宋体"/>
          <w:color w:val="auto"/>
          <w:highlight w:val="none"/>
        </w:rPr>
      </w:pPr>
    </w:p>
    <w:p w14:paraId="6129BBCF">
      <w:pPr>
        <w:pStyle w:val="11"/>
        <w:rPr>
          <w:rFonts w:hint="eastAsia" w:hAnsi="宋体" w:cs="宋体"/>
          <w:color w:val="auto"/>
          <w:highlight w:val="none"/>
        </w:rPr>
      </w:pPr>
    </w:p>
    <w:p w14:paraId="46769F21">
      <w:pPr>
        <w:rPr>
          <w:rFonts w:hint="eastAsia" w:hAnsi="宋体" w:cs="宋体"/>
          <w:color w:val="auto"/>
          <w:highlight w:val="none"/>
        </w:rPr>
      </w:pPr>
    </w:p>
    <w:p w14:paraId="3F990C8F">
      <w:pPr>
        <w:pStyle w:val="11"/>
        <w:rPr>
          <w:rFonts w:hint="eastAsia" w:hAnsi="宋体" w:cs="宋体"/>
          <w:color w:val="auto"/>
          <w:highlight w:val="none"/>
        </w:rPr>
      </w:pPr>
    </w:p>
    <w:p w14:paraId="041DDFC4">
      <w:pPr>
        <w:rPr>
          <w:rFonts w:hint="eastAsia" w:hAnsi="宋体" w:cs="宋体"/>
          <w:color w:val="auto"/>
          <w:highlight w:val="none"/>
        </w:rPr>
      </w:pPr>
    </w:p>
    <w:p w14:paraId="2F4FA90C">
      <w:pPr>
        <w:pStyle w:val="11"/>
        <w:rPr>
          <w:rFonts w:hint="eastAsia" w:hAnsi="宋体" w:cs="宋体"/>
          <w:color w:val="auto"/>
          <w:highlight w:val="none"/>
        </w:rPr>
      </w:pPr>
    </w:p>
    <w:p w14:paraId="2E600E2E">
      <w:pPr>
        <w:rPr>
          <w:rFonts w:hint="eastAsia" w:hAnsi="宋体" w:cs="宋体"/>
          <w:color w:val="auto"/>
          <w:highlight w:val="none"/>
        </w:rPr>
      </w:pPr>
    </w:p>
    <w:p w14:paraId="025C6B23">
      <w:pPr>
        <w:pStyle w:val="11"/>
        <w:rPr>
          <w:rFonts w:hint="eastAsia" w:hAnsi="宋体" w:cs="宋体"/>
          <w:color w:val="auto"/>
          <w:highlight w:val="none"/>
        </w:rPr>
      </w:pPr>
    </w:p>
    <w:p w14:paraId="29683548">
      <w:pPr>
        <w:rPr>
          <w:rFonts w:hint="eastAsia" w:hAnsi="宋体" w:cs="宋体"/>
          <w:color w:val="auto"/>
          <w:highlight w:val="none"/>
        </w:rPr>
      </w:pPr>
    </w:p>
    <w:p w14:paraId="3CE0C029">
      <w:pPr>
        <w:pStyle w:val="11"/>
        <w:rPr>
          <w:rFonts w:hint="eastAsia" w:hAnsi="宋体" w:cs="宋体"/>
          <w:color w:val="auto"/>
          <w:highlight w:val="none"/>
        </w:rPr>
      </w:pPr>
    </w:p>
    <w:p w14:paraId="6C2B2A71">
      <w:pPr>
        <w:rPr>
          <w:rFonts w:hint="eastAsia" w:hAnsi="宋体" w:cs="宋体"/>
          <w:color w:val="auto"/>
          <w:highlight w:val="none"/>
        </w:rPr>
      </w:pPr>
    </w:p>
    <w:p w14:paraId="3C69E1DC">
      <w:pPr>
        <w:pStyle w:val="11"/>
        <w:rPr>
          <w:rFonts w:hint="eastAsia" w:hAnsi="宋体" w:cs="宋体"/>
          <w:color w:val="auto"/>
          <w:highlight w:val="none"/>
        </w:rPr>
      </w:pPr>
    </w:p>
    <w:p w14:paraId="10EB379C">
      <w:pPr>
        <w:rPr>
          <w:rFonts w:hint="eastAsia" w:hAnsi="宋体" w:cs="宋体"/>
          <w:color w:val="auto"/>
          <w:highlight w:val="none"/>
        </w:rPr>
      </w:pPr>
    </w:p>
    <w:p w14:paraId="05D30F1A">
      <w:pPr>
        <w:pStyle w:val="11"/>
        <w:rPr>
          <w:rFonts w:hint="eastAsia" w:hAnsi="宋体" w:cs="宋体"/>
          <w:color w:val="auto"/>
          <w:highlight w:val="none"/>
        </w:rPr>
      </w:pPr>
    </w:p>
    <w:p w14:paraId="77E7F4C8">
      <w:pPr>
        <w:rPr>
          <w:rFonts w:hint="eastAsia" w:hAnsi="宋体" w:cs="宋体"/>
          <w:color w:val="auto"/>
          <w:highlight w:val="none"/>
        </w:rPr>
      </w:pPr>
    </w:p>
    <w:p w14:paraId="1C470B9F">
      <w:pPr>
        <w:pStyle w:val="11"/>
        <w:rPr>
          <w:rFonts w:hint="eastAsia" w:hAnsi="宋体" w:cs="宋体"/>
          <w:color w:val="auto"/>
          <w:highlight w:val="none"/>
        </w:rPr>
      </w:pPr>
    </w:p>
    <w:p w14:paraId="1B848738">
      <w:pPr>
        <w:rPr>
          <w:rFonts w:hint="eastAsia" w:hAnsi="宋体" w:cs="宋体"/>
          <w:color w:val="auto"/>
          <w:highlight w:val="none"/>
        </w:rPr>
      </w:pPr>
    </w:p>
    <w:p w14:paraId="5C9E8166">
      <w:pPr>
        <w:pStyle w:val="11"/>
        <w:rPr>
          <w:rFonts w:hint="eastAsia" w:hAnsi="宋体" w:cs="宋体"/>
          <w:color w:val="auto"/>
          <w:highlight w:val="none"/>
        </w:rPr>
      </w:pPr>
    </w:p>
    <w:p w14:paraId="47AB2FA9">
      <w:pPr>
        <w:rPr>
          <w:rFonts w:hint="eastAsia" w:hAnsi="宋体" w:cs="宋体"/>
          <w:color w:val="auto"/>
          <w:highlight w:val="none"/>
        </w:rPr>
      </w:pPr>
    </w:p>
    <w:p w14:paraId="26A124A6">
      <w:pPr>
        <w:pStyle w:val="11"/>
        <w:rPr>
          <w:rFonts w:hint="eastAsia"/>
        </w:rPr>
      </w:pPr>
    </w:p>
    <w:p w14:paraId="04D228ED">
      <w:pPr>
        <w:rPr>
          <w:rFonts w:hint="eastAsia"/>
        </w:rPr>
      </w:pPr>
    </w:p>
    <w:p w14:paraId="04085EB0">
      <w:pPr>
        <w:numPr>
          <w:ilvl w:val="0"/>
          <w:numId w:val="11"/>
        </w:numPr>
        <w:spacing w:line="240" w:lineRule="atLeast"/>
        <w:ind w:left="0" w:firstLine="422"/>
        <w:rPr>
          <w:rFonts w:ascii="宋体" w:hAnsi="宋体" w:cs="宋体"/>
          <w:b/>
          <w:color w:val="auto"/>
          <w:sz w:val="24"/>
          <w:highlight w:val="none"/>
        </w:rPr>
      </w:pPr>
      <w:r>
        <w:rPr>
          <w:rFonts w:hint="eastAsia" w:ascii="宋体" w:hAnsi="宋体" w:cs="宋体"/>
          <w:b/>
          <w:color w:val="auto"/>
          <w:sz w:val="24"/>
          <w:highlight w:val="none"/>
        </w:rPr>
        <w:t>报价文件符合性审查</w:t>
      </w:r>
    </w:p>
    <w:p w14:paraId="3F5F0AA9">
      <w:pPr>
        <w:pStyle w:val="3"/>
        <w:spacing w:before="0" w:after="0" w:line="240" w:lineRule="atLeast"/>
        <w:jc w:val="center"/>
        <w:rPr>
          <w:rFonts w:ascii="Cambria" w:hAnsi="Cambria"/>
          <w:color w:val="auto"/>
          <w:highlight w:val="none"/>
        </w:rPr>
      </w:pPr>
      <w:r>
        <w:rPr>
          <w:rFonts w:hint="eastAsia" w:ascii="Cambria" w:hAnsi="Cambria" w:cs="宋体"/>
          <w:color w:val="auto"/>
          <w:sz w:val="24"/>
          <w:szCs w:val="24"/>
          <w:highlight w:val="none"/>
        </w:rPr>
        <w:t>符合性审查表</w:t>
      </w:r>
    </w:p>
    <w:tbl>
      <w:tblPr>
        <w:tblStyle w:val="3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5887"/>
        <w:gridCol w:w="2801"/>
      </w:tblGrid>
      <w:tr w14:paraId="25B5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9EC3672">
            <w:pPr>
              <w:spacing w:line="3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7C967F4F">
            <w:pPr>
              <w:spacing w:line="360" w:lineRule="exact"/>
              <w:jc w:val="center"/>
              <w:rPr>
                <w:rFonts w:ascii="宋体" w:hAnsi="宋体"/>
                <w:b/>
                <w:color w:val="auto"/>
                <w:sz w:val="24"/>
                <w:highlight w:val="none"/>
              </w:rPr>
            </w:pPr>
            <w:r>
              <w:rPr>
                <w:rFonts w:hint="eastAsia" w:ascii="宋体" w:hAnsi="宋体"/>
                <w:b/>
                <w:color w:val="auto"/>
                <w:sz w:val="24"/>
                <w:highlight w:val="none"/>
              </w:rPr>
              <w:t>要求说明</w:t>
            </w:r>
          </w:p>
        </w:tc>
        <w:tc>
          <w:tcPr>
            <w:tcW w:w="2801" w:type="dxa"/>
            <w:tcBorders>
              <w:top w:val="single" w:color="auto" w:sz="4" w:space="0"/>
              <w:left w:val="single" w:color="auto" w:sz="4" w:space="0"/>
              <w:bottom w:val="single" w:color="auto" w:sz="4" w:space="0"/>
              <w:right w:val="single" w:color="auto" w:sz="4" w:space="0"/>
            </w:tcBorders>
            <w:noWrap w:val="0"/>
            <w:vAlign w:val="center"/>
          </w:tcPr>
          <w:p w14:paraId="40F52593">
            <w:pPr>
              <w:spacing w:line="360" w:lineRule="exact"/>
              <w:jc w:val="center"/>
              <w:rPr>
                <w:rFonts w:ascii="宋体" w:hAnsi="宋体"/>
                <w:b/>
                <w:color w:val="auto"/>
                <w:sz w:val="24"/>
                <w:highlight w:val="none"/>
              </w:rPr>
            </w:pPr>
            <w:r>
              <w:rPr>
                <w:rFonts w:hint="eastAsia" w:ascii="宋体" w:hAnsi="宋体"/>
                <w:b/>
                <w:color w:val="auto"/>
                <w:sz w:val="24"/>
                <w:highlight w:val="none"/>
              </w:rPr>
              <w:t>审查要求</w:t>
            </w:r>
          </w:p>
        </w:tc>
      </w:tr>
      <w:tr w14:paraId="76FE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0"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5583D3D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 w:val="24"/>
                <w:highlight w:val="none"/>
              </w:rPr>
            </w:pPr>
            <w:r>
              <w:rPr>
                <w:rFonts w:hint="eastAsia" w:ascii="宋体" w:hAnsi="宋体"/>
                <w:color w:val="auto"/>
                <w:sz w:val="24"/>
                <w:highlight w:val="none"/>
              </w:rPr>
              <w:t>1</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171E283D">
            <w:pPr>
              <w:keepNext w:val="0"/>
              <w:keepLines w:val="0"/>
              <w:pageBreakBefore w:val="0"/>
              <w:widowControl w:val="0"/>
              <w:tabs>
                <w:tab w:val="left" w:pos="612"/>
              </w:tabs>
              <w:kinsoku/>
              <w:wordWrap/>
              <w:overflowPunct/>
              <w:topLinePunct w:val="0"/>
              <w:autoSpaceDE/>
              <w:autoSpaceDN/>
              <w:bidi w:val="0"/>
              <w:adjustRightInd/>
              <w:snapToGrid/>
              <w:spacing w:line="42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（一）按照采购文件规定要求签署和盖章； </w:t>
            </w:r>
          </w:p>
          <w:p w14:paraId="327B595C">
            <w:pPr>
              <w:keepNext w:val="0"/>
              <w:keepLines w:val="0"/>
              <w:pageBreakBefore w:val="0"/>
              <w:widowControl w:val="0"/>
              <w:tabs>
                <w:tab w:val="left" w:pos="612"/>
              </w:tabs>
              <w:kinsoku/>
              <w:wordWrap/>
              <w:overflowPunct/>
              <w:topLinePunct w:val="0"/>
              <w:autoSpaceDE/>
              <w:autoSpaceDN/>
              <w:bidi w:val="0"/>
              <w:adjustRightInd/>
              <w:snapToGrid/>
              <w:spacing w:line="420" w:lineRule="exact"/>
              <w:textAlignment w:val="auto"/>
              <w:rPr>
                <w:rFonts w:ascii="宋体" w:hAnsi="宋体" w:cs="宋体"/>
                <w:color w:val="auto"/>
                <w:sz w:val="24"/>
                <w:highlight w:val="none"/>
              </w:rPr>
            </w:pPr>
            <w:r>
              <w:rPr>
                <w:rFonts w:hint="eastAsia" w:ascii="宋体" w:hAnsi="宋体" w:cs="宋体"/>
                <w:color w:val="auto"/>
                <w:sz w:val="24"/>
                <w:highlight w:val="none"/>
              </w:rPr>
              <w:t>（二）采用人民币报价；</w:t>
            </w:r>
          </w:p>
          <w:p w14:paraId="0B02ADE8">
            <w:pPr>
              <w:keepNext w:val="0"/>
              <w:keepLines w:val="0"/>
              <w:pageBreakBefore w:val="0"/>
              <w:widowControl w:val="0"/>
              <w:tabs>
                <w:tab w:val="left" w:pos="612"/>
              </w:tabs>
              <w:kinsoku/>
              <w:wordWrap/>
              <w:overflowPunct/>
              <w:topLinePunct w:val="0"/>
              <w:autoSpaceDE/>
              <w:autoSpaceDN/>
              <w:bidi w:val="0"/>
              <w:adjustRightInd/>
              <w:snapToGrid/>
              <w:spacing w:line="420" w:lineRule="exact"/>
              <w:textAlignment w:val="auto"/>
              <w:rPr>
                <w:rFonts w:ascii="宋体" w:hAnsi="宋体" w:cs="宋体"/>
                <w:color w:val="auto"/>
                <w:sz w:val="24"/>
                <w:highlight w:val="none"/>
              </w:rPr>
            </w:pPr>
            <w:r>
              <w:rPr>
                <w:rFonts w:hint="eastAsia" w:ascii="宋体" w:hAnsi="宋体" w:cs="宋体"/>
                <w:color w:val="auto"/>
                <w:sz w:val="24"/>
                <w:highlight w:val="none"/>
              </w:rPr>
              <w:t>（三）不存在报价超出最高限价，或者超出采购预算金额，采购人不能支付的情形；</w:t>
            </w:r>
          </w:p>
          <w:p w14:paraId="4D48D9C8">
            <w:pPr>
              <w:keepNext w:val="0"/>
              <w:keepLines w:val="0"/>
              <w:pageBreakBefore w:val="0"/>
              <w:widowControl w:val="0"/>
              <w:tabs>
                <w:tab w:val="left" w:pos="612"/>
              </w:tabs>
              <w:kinsoku/>
              <w:wordWrap/>
              <w:overflowPunct/>
              <w:topLinePunct w:val="0"/>
              <w:autoSpaceDE/>
              <w:autoSpaceDN/>
              <w:bidi w:val="0"/>
              <w:adjustRightInd/>
              <w:snapToGrid/>
              <w:spacing w:line="420" w:lineRule="exact"/>
              <w:textAlignment w:val="auto"/>
              <w:rPr>
                <w:rFonts w:ascii="宋体" w:hAnsi="宋体" w:cs="宋体"/>
                <w:color w:val="auto"/>
                <w:sz w:val="24"/>
                <w:highlight w:val="none"/>
              </w:rPr>
            </w:pPr>
            <w:r>
              <w:rPr>
                <w:rFonts w:hint="eastAsia" w:ascii="宋体" w:hAnsi="宋体" w:cs="宋体"/>
                <w:color w:val="auto"/>
                <w:sz w:val="24"/>
                <w:highlight w:val="none"/>
              </w:rPr>
              <w:t>（四）投标报价中未出现重大缺项、漏项；</w:t>
            </w:r>
          </w:p>
          <w:p w14:paraId="41EF9364">
            <w:pPr>
              <w:keepNext w:val="0"/>
              <w:keepLines w:val="0"/>
              <w:pageBreakBefore w:val="0"/>
              <w:widowControl w:val="0"/>
              <w:tabs>
                <w:tab w:val="left" w:pos="612"/>
              </w:tabs>
              <w:kinsoku/>
              <w:wordWrap/>
              <w:overflowPunct/>
              <w:topLinePunct w:val="0"/>
              <w:autoSpaceDE/>
              <w:autoSpaceDN/>
              <w:bidi w:val="0"/>
              <w:adjustRightInd/>
              <w:snapToGrid/>
              <w:spacing w:line="420" w:lineRule="exact"/>
              <w:textAlignment w:val="auto"/>
              <w:rPr>
                <w:rFonts w:ascii="宋体" w:hAnsi="宋体" w:cs="宋体"/>
                <w:color w:val="auto"/>
                <w:sz w:val="24"/>
                <w:highlight w:val="none"/>
              </w:rPr>
            </w:pPr>
            <w:r>
              <w:rPr>
                <w:rFonts w:hint="eastAsia" w:ascii="宋体" w:hAnsi="宋体" w:cs="宋体"/>
                <w:color w:val="auto"/>
                <w:sz w:val="24"/>
                <w:highlight w:val="none"/>
              </w:rPr>
              <w:t>（五）按货物（服务）的清单分项报价并合计总价，且只有一个报价；</w:t>
            </w:r>
          </w:p>
          <w:p w14:paraId="35D77839">
            <w:pPr>
              <w:keepNext w:val="0"/>
              <w:keepLines w:val="0"/>
              <w:pageBreakBefore w:val="0"/>
              <w:widowControl w:val="0"/>
              <w:tabs>
                <w:tab w:val="left" w:pos="612"/>
              </w:tabs>
              <w:kinsoku/>
              <w:wordWrap/>
              <w:overflowPunct/>
              <w:topLinePunct w:val="0"/>
              <w:autoSpaceDE/>
              <w:autoSpaceDN/>
              <w:bidi w:val="0"/>
              <w:adjustRightInd/>
              <w:snapToGrid/>
              <w:spacing w:line="420" w:lineRule="exact"/>
              <w:textAlignment w:val="auto"/>
              <w:rPr>
                <w:rFonts w:ascii="宋体" w:hAnsi="宋体" w:cs="宋体"/>
                <w:color w:val="auto"/>
                <w:sz w:val="24"/>
                <w:highlight w:val="none"/>
              </w:rPr>
            </w:pPr>
            <w:r>
              <w:rPr>
                <w:rFonts w:hint="eastAsia" w:ascii="宋体" w:hAnsi="宋体" w:cs="宋体"/>
                <w:color w:val="auto"/>
                <w:sz w:val="24"/>
                <w:highlight w:val="none"/>
              </w:rPr>
              <w:t>（六）报价合理的：评标委员会认为供应商的报价明显低于其他通过符合性审查供应商的报价，有可能不能诚信履约的，应当要求其在评标现场合理的时间内提供书面说明，必要时提交相关证明材料；供应商不能证明其报价合理性的，评标委员会应当将其作为无效投标处理。</w:t>
            </w:r>
          </w:p>
          <w:p w14:paraId="481DFE19">
            <w:pPr>
              <w:keepNext w:val="0"/>
              <w:keepLines w:val="0"/>
              <w:pageBreakBefore w:val="0"/>
              <w:widowControl w:val="0"/>
              <w:tabs>
                <w:tab w:val="left" w:pos="612"/>
              </w:tabs>
              <w:kinsoku/>
              <w:wordWrap/>
              <w:overflowPunct/>
              <w:topLinePunct w:val="0"/>
              <w:autoSpaceDE/>
              <w:autoSpaceDN/>
              <w:bidi w:val="0"/>
              <w:adjustRightInd/>
              <w:snapToGrid/>
              <w:spacing w:line="420" w:lineRule="exact"/>
              <w:textAlignment w:val="auto"/>
              <w:rPr>
                <w:rFonts w:ascii="宋体" w:hAnsi="宋体"/>
                <w:color w:val="auto"/>
                <w:sz w:val="24"/>
                <w:highlight w:val="none"/>
              </w:rPr>
            </w:pPr>
            <w:r>
              <w:rPr>
                <w:rFonts w:hint="eastAsia" w:ascii="宋体" w:hAnsi="宋体" w:cs="宋体"/>
                <w:color w:val="auto"/>
                <w:sz w:val="24"/>
                <w:highlight w:val="none"/>
              </w:rPr>
              <w:t>（七）报价文件与技术商务文件的货物（服务）内容不存在重大差异的；</w:t>
            </w:r>
          </w:p>
        </w:tc>
        <w:tc>
          <w:tcPr>
            <w:tcW w:w="2801" w:type="dxa"/>
            <w:tcBorders>
              <w:top w:val="single" w:color="auto" w:sz="4" w:space="0"/>
              <w:left w:val="single" w:color="auto" w:sz="4" w:space="0"/>
              <w:bottom w:val="single" w:color="auto" w:sz="4" w:space="0"/>
              <w:right w:val="single" w:color="auto" w:sz="4" w:space="0"/>
            </w:tcBorders>
            <w:noWrap w:val="0"/>
            <w:vAlign w:val="center"/>
          </w:tcPr>
          <w:p w14:paraId="4DB6DC35">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 w:val="24"/>
                <w:highlight w:val="none"/>
              </w:rPr>
            </w:pPr>
            <w:r>
              <w:rPr>
                <w:rFonts w:hint="eastAsia" w:ascii="宋体" w:hAnsi="宋体"/>
                <w:color w:val="auto"/>
                <w:sz w:val="24"/>
                <w:highlight w:val="none"/>
              </w:rPr>
              <w:t>提供“报价一览表”</w:t>
            </w:r>
          </w:p>
        </w:tc>
      </w:tr>
      <w:tr w14:paraId="0E3C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AEE5DB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 w:val="24"/>
                <w:highlight w:val="none"/>
              </w:rPr>
            </w:pPr>
            <w:r>
              <w:rPr>
                <w:rFonts w:hint="eastAsia" w:ascii="宋体" w:hAnsi="宋体"/>
                <w:color w:val="auto"/>
                <w:sz w:val="24"/>
                <w:highlight w:val="none"/>
              </w:rPr>
              <w:t>2</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07815723">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 w:val="24"/>
                <w:highlight w:val="none"/>
              </w:rPr>
            </w:pPr>
            <w:r>
              <w:rPr>
                <w:rFonts w:hint="eastAsia" w:ascii="宋体" w:hAnsi="宋体"/>
                <w:color w:val="auto"/>
                <w:sz w:val="24"/>
                <w:highlight w:val="none"/>
              </w:rPr>
              <w:t>符合法律、法规和采购文件中规定的其他实质性要求（实质性要求采购文件中“</w:t>
            </w:r>
            <w:r>
              <w:rPr>
                <w:rFonts w:hint="eastAsia" w:ascii="宋体" w:hAnsi="宋体" w:cs="宋体"/>
                <w:color w:val="auto"/>
                <w:sz w:val="24"/>
                <w:highlight w:val="none"/>
              </w:rPr>
              <w:t>▲</w:t>
            </w:r>
            <w:r>
              <w:rPr>
                <w:rFonts w:hint="eastAsia" w:ascii="宋体" w:hAnsi="宋体"/>
                <w:color w:val="auto"/>
                <w:sz w:val="24"/>
                <w:highlight w:val="none"/>
              </w:rPr>
              <w:t>”标记）</w:t>
            </w:r>
          </w:p>
        </w:tc>
        <w:tc>
          <w:tcPr>
            <w:tcW w:w="2801" w:type="dxa"/>
            <w:tcBorders>
              <w:top w:val="single" w:color="auto" w:sz="4" w:space="0"/>
              <w:left w:val="single" w:color="auto" w:sz="4" w:space="0"/>
              <w:bottom w:val="single" w:color="auto" w:sz="4" w:space="0"/>
              <w:right w:val="single" w:color="auto" w:sz="4" w:space="0"/>
            </w:tcBorders>
            <w:noWrap w:val="0"/>
            <w:vAlign w:val="center"/>
          </w:tcPr>
          <w:p w14:paraId="2BD9BCBB">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 w:val="24"/>
                <w:highlight w:val="none"/>
              </w:rPr>
            </w:pPr>
            <w:r>
              <w:rPr>
                <w:rFonts w:hint="eastAsia" w:ascii="宋体" w:hAnsi="宋体"/>
                <w:color w:val="auto"/>
                <w:sz w:val="24"/>
                <w:highlight w:val="none"/>
              </w:rPr>
              <w:t>符合所述要求。</w:t>
            </w:r>
          </w:p>
        </w:tc>
      </w:tr>
      <w:tr w14:paraId="55E2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598" w:type="dxa"/>
            <w:gridSpan w:val="2"/>
            <w:tcBorders>
              <w:top w:val="single" w:color="auto" w:sz="4" w:space="0"/>
              <w:left w:val="single" w:color="auto" w:sz="4" w:space="0"/>
              <w:bottom w:val="single" w:color="auto" w:sz="4" w:space="0"/>
              <w:right w:val="single" w:color="auto" w:sz="4" w:space="0"/>
            </w:tcBorders>
            <w:noWrap w:val="0"/>
            <w:vAlign w:val="center"/>
          </w:tcPr>
          <w:p w14:paraId="07A849F0">
            <w:pPr>
              <w:spacing w:line="360" w:lineRule="exact"/>
              <w:jc w:val="center"/>
              <w:rPr>
                <w:rFonts w:ascii="宋体" w:hAnsi="宋体"/>
                <w:color w:val="auto"/>
                <w:sz w:val="24"/>
                <w:highlight w:val="none"/>
              </w:rPr>
            </w:pPr>
            <w:r>
              <w:rPr>
                <w:rFonts w:hint="eastAsia" w:ascii="宋体" w:hAnsi="宋体"/>
                <w:b/>
                <w:color w:val="auto"/>
                <w:sz w:val="24"/>
                <w:highlight w:val="none"/>
              </w:rPr>
              <w:t>报价审查结论</w:t>
            </w:r>
          </w:p>
        </w:tc>
        <w:tc>
          <w:tcPr>
            <w:tcW w:w="2801" w:type="dxa"/>
            <w:tcBorders>
              <w:top w:val="single" w:color="auto" w:sz="4" w:space="0"/>
              <w:left w:val="single" w:color="auto" w:sz="4" w:space="0"/>
              <w:bottom w:val="single" w:color="auto" w:sz="4" w:space="0"/>
              <w:right w:val="single" w:color="auto" w:sz="4" w:space="0"/>
            </w:tcBorders>
            <w:noWrap w:val="0"/>
            <w:vAlign w:val="center"/>
          </w:tcPr>
          <w:p w14:paraId="782793F6">
            <w:pPr>
              <w:spacing w:line="360" w:lineRule="exact"/>
              <w:rPr>
                <w:rFonts w:ascii="宋体" w:hAnsi="宋体"/>
                <w:color w:val="auto"/>
                <w:sz w:val="24"/>
                <w:highlight w:val="none"/>
              </w:rPr>
            </w:pPr>
          </w:p>
        </w:tc>
      </w:tr>
    </w:tbl>
    <w:p w14:paraId="49F5D17C">
      <w:pPr>
        <w:pStyle w:val="14"/>
        <w:rPr>
          <w:color w:val="auto"/>
          <w:sz w:val="24"/>
          <w:highlight w:val="none"/>
        </w:rPr>
      </w:pPr>
      <w:r>
        <w:rPr>
          <w:rFonts w:hint="eastAsia" w:ascii="宋体" w:hAnsi="宋体"/>
          <w:b/>
          <w:color w:val="auto"/>
          <w:sz w:val="24"/>
          <w:highlight w:val="none"/>
        </w:rPr>
        <w:t>注：上述审查项目中，任意一项不符合的，报价审查不合格。本项无需在政采云中设置关联点。</w:t>
      </w:r>
    </w:p>
    <w:p w14:paraId="54B0F7E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（五）报价评分表</w:t>
      </w:r>
    </w:p>
    <w:tbl>
      <w:tblPr>
        <w:tblStyle w:val="37"/>
        <w:tblW w:w="9582"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49"/>
        <w:gridCol w:w="2258"/>
      </w:tblGrid>
      <w:tr w14:paraId="590A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324" w:type="dxa"/>
            <w:gridSpan w:val="2"/>
            <w:tcBorders>
              <w:top w:val="single" w:color="auto" w:sz="4" w:space="0"/>
              <w:left w:val="single" w:color="auto" w:sz="4" w:space="0"/>
              <w:bottom w:val="single" w:color="auto" w:sz="4" w:space="0"/>
              <w:right w:val="single" w:color="auto" w:sz="4" w:space="0"/>
            </w:tcBorders>
            <w:noWrap w:val="0"/>
            <w:vAlign w:val="center"/>
          </w:tcPr>
          <w:p w14:paraId="70AA4492">
            <w:pPr>
              <w:spacing w:line="360" w:lineRule="exact"/>
              <w:ind w:firstLine="120" w:firstLineChars="50"/>
              <w:jc w:val="center"/>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价格分内容</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704B3582">
            <w:pPr>
              <w:spacing w:line="360" w:lineRule="exact"/>
              <w:jc w:val="center"/>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分值</w:t>
            </w:r>
          </w:p>
        </w:tc>
      </w:tr>
      <w:tr w14:paraId="21FD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BAF3C3C">
            <w:pPr>
              <w:spacing w:line="320" w:lineRule="exact"/>
              <w:jc w:val="center"/>
              <w:rPr>
                <w:rFonts w:ascii="宋体" w:hAnsi="宋体"/>
                <w:color w:val="auto"/>
                <w:sz w:val="24"/>
                <w:highlight w:val="none"/>
              </w:rPr>
            </w:pPr>
            <w:r>
              <w:rPr>
                <w:rFonts w:hint="eastAsia" w:ascii="宋体" w:hAnsi="宋体"/>
                <w:color w:val="auto"/>
                <w:sz w:val="24"/>
                <w:highlight w:val="none"/>
              </w:rPr>
              <w:t>价格分</w:t>
            </w:r>
            <w:r>
              <w:rPr>
                <w:rFonts w:hint="eastAsia" w:ascii="宋体" w:hAnsi="宋体"/>
                <w:color w:val="auto"/>
                <w:sz w:val="24"/>
                <w:highlight w:val="none"/>
                <w:lang w:val="en-US" w:eastAsia="zh-CN"/>
              </w:rPr>
              <w:t>40</w:t>
            </w:r>
            <w:r>
              <w:rPr>
                <w:rFonts w:hint="eastAsia" w:ascii="宋体" w:hAnsi="宋体"/>
                <w:color w:val="auto"/>
                <w:sz w:val="24"/>
                <w:highlight w:val="none"/>
              </w:rPr>
              <w:t>分</w:t>
            </w:r>
          </w:p>
        </w:tc>
        <w:tc>
          <w:tcPr>
            <w:tcW w:w="6649" w:type="dxa"/>
            <w:tcBorders>
              <w:top w:val="single" w:color="auto" w:sz="4" w:space="0"/>
              <w:left w:val="single" w:color="auto" w:sz="4" w:space="0"/>
              <w:bottom w:val="single" w:color="auto" w:sz="4" w:space="0"/>
              <w:right w:val="single" w:color="auto" w:sz="4" w:space="0"/>
            </w:tcBorders>
            <w:noWrap w:val="0"/>
            <w:vAlign w:val="center"/>
          </w:tcPr>
          <w:p w14:paraId="2D127E91">
            <w:pPr>
              <w:spacing w:line="340" w:lineRule="exact"/>
              <w:rPr>
                <w:color w:val="auto"/>
                <w:sz w:val="24"/>
                <w:highlight w:val="none"/>
              </w:rPr>
            </w:pPr>
            <w:r>
              <w:rPr>
                <w:rFonts w:hint="eastAsia"/>
                <w:color w:val="auto"/>
                <w:sz w:val="24"/>
                <w:highlight w:val="none"/>
              </w:rPr>
              <w:t>评标基准价</w:t>
            </w:r>
            <w:r>
              <w:rPr>
                <w:color w:val="auto"/>
                <w:sz w:val="24"/>
                <w:highlight w:val="none"/>
              </w:rPr>
              <w:t>=</w:t>
            </w:r>
            <w:r>
              <w:rPr>
                <w:rFonts w:hint="eastAsia"/>
                <w:color w:val="auto"/>
                <w:sz w:val="24"/>
                <w:highlight w:val="none"/>
              </w:rPr>
              <w:t>满足</w:t>
            </w:r>
            <w:r>
              <w:rPr>
                <w:rFonts w:hint="eastAsia"/>
                <w:color w:val="auto"/>
                <w:sz w:val="24"/>
                <w:highlight w:val="none"/>
                <w:lang w:eastAsia="zh-CN"/>
              </w:rPr>
              <w:t>采购文件</w:t>
            </w:r>
            <w:r>
              <w:rPr>
                <w:rFonts w:hint="eastAsia"/>
                <w:color w:val="auto"/>
                <w:sz w:val="24"/>
                <w:highlight w:val="none"/>
              </w:rPr>
              <w:t>要求且“参与评审的价格”中最低的价格为评标基准价</w:t>
            </w:r>
          </w:p>
          <w:p w14:paraId="7492A026">
            <w:pPr>
              <w:spacing w:line="340" w:lineRule="exact"/>
              <w:rPr>
                <w:color w:val="auto"/>
                <w:sz w:val="24"/>
                <w:highlight w:val="none"/>
              </w:rPr>
            </w:pPr>
            <w:r>
              <w:rPr>
                <w:rFonts w:hint="eastAsia"/>
                <w:color w:val="auto"/>
                <w:sz w:val="24"/>
                <w:highlight w:val="none"/>
              </w:rPr>
              <w:t>基准价得分为满分</w:t>
            </w:r>
            <w:r>
              <w:rPr>
                <w:rFonts w:hint="eastAsia"/>
                <w:color w:val="auto"/>
                <w:sz w:val="24"/>
                <w:highlight w:val="none"/>
                <w:lang w:val="en-US" w:eastAsia="zh-CN"/>
              </w:rPr>
              <w:t>40</w:t>
            </w:r>
            <w:r>
              <w:rPr>
                <w:rFonts w:hint="eastAsia"/>
                <w:color w:val="auto"/>
                <w:sz w:val="24"/>
                <w:highlight w:val="none"/>
              </w:rPr>
              <w:t>分，其他供应商报价得分计算公式如下：</w:t>
            </w:r>
          </w:p>
          <w:p w14:paraId="7DC3C3D3">
            <w:pPr>
              <w:pStyle w:val="52"/>
              <w:spacing w:line="340" w:lineRule="exact"/>
              <w:rPr>
                <w:color w:val="auto"/>
                <w:sz w:val="24"/>
                <w:highlight w:val="none"/>
              </w:rPr>
            </w:pPr>
            <w:r>
              <w:rPr>
                <w:rFonts w:hint="eastAsia"/>
                <w:color w:val="auto"/>
                <w:sz w:val="24"/>
                <w:highlight w:val="none"/>
              </w:rPr>
              <w:t>其他供应商报价得分</w:t>
            </w:r>
            <w:r>
              <w:rPr>
                <w:color w:val="auto"/>
                <w:sz w:val="24"/>
                <w:highlight w:val="none"/>
              </w:rPr>
              <w:t>=（</w:t>
            </w:r>
            <w:r>
              <w:rPr>
                <w:rFonts w:hint="eastAsia"/>
                <w:color w:val="auto"/>
                <w:sz w:val="24"/>
                <w:highlight w:val="none"/>
              </w:rPr>
              <w:t>评标基准价</w:t>
            </w:r>
            <w:r>
              <w:rPr>
                <w:color w:val="auto"/>
                <w:sz w:val="24"/>
                <w:highlight w:val="none"/>
              </w:rPr>
              <w:t>/</w:t>
            </w:r>
            <w:r>
              <w:rPr>
                <w:rFonts w:hint="eastAsia"/>
                <w:color w:val="auto"/>
                <w:sz w:val="24"/>
                <w:highlight w:val="none"/>
              </w:rPr>
              <w:t>参与评审的价格</w:t>
            </w:r>
            <w:r>
              <w:rPr>
                <w:color w:val="auto"/>
                <w:sz w:val="24"/>
                <w:highlight w:val="none"/>
              </w:rPr>
              <w:t>）</w:t>
            </w:r>
            <w:r>
              <w:rPr>
                <w:rFonts w:hint="eastAsia"/>
                <w:color w:val="auto"/>
                <w:sz w:val="24"/>
                <w:highlight w:val="none"/>
              </w:rPr>
              <w:t>×</w:t>
            </w:r>
            <w:r>
              <w:rPr>
                <w:rFonts w:hint="eastAsia"/>
                <w:color w:val="auto"/>
                <w:sz w:val="24"/>
                <w:highlight w:val="none"/>
                <w:lang w:val="en-US" w:eastAsia="zh-CN"/>
              </w:rPr>
              <w:t>40</w:t>
            </w:r>
            <w:r>
              <w:rPr>
                <w:color w:val="auto"/>
                <w:sz w:val="24"/>
                <w:highlight w:val="none"/>
              </w:rPr>
              <w:t>%</w:t>
            </w:r>
            <w:r>
              <w:rPr>
                <w:rFonts w:hint="eastAsia"/>
                <w:color w:val="auto"/>
                <w:sz w:val="24"/>
                <w:highlight w:val="none"/>
              </w:rPr>
              <w:t>×</w:t>
            </w:r>
            <w:r>
              <w:rPr>
                <w:color w:val="auto"/>
                <w:sz w:val="24"/>
                <w:highlight w:val="none"/>
              </w:rPr>
              <w:t>100</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535A6C36">
            <w:pPr>
              <w:spacing w:line="360" w:lineRule="exact"/>
              <w:jc w:val="center"/>
              <w:rPr>
                <w:rFonts w:ascii="宋体" w:hAnsi="宋体"/>
                <w:color w:val="auto"/>
                <w:sz w:val="24"/>
                <w:highlight w:val="none"/>
              </w:rPr>
            </w:pPr>
          </w:p>
        </w:tc>
      </w:tr>
      <w:tr w14:paraId="246B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24" w:type="dxa"/>
            <w:gridSpan w:val="2"/>
            <w:tcBorders>
              <w:top w:val="single" w:color="auto" w:sz="4" w:space="0"/>
              <w:left w:val="single" w:color="auto" w:sz="4" w:space="0"/>
              <w:bottom w:val="single" w:color="auto" w:sz="4" w:space="0"/>
              <w:right w:val="single" w:color="auto" w:sz="4" w:space="0"/>
            </w:tcBorders>
            <w:noWrap w:val="0"/>
            <w:vAlign w:val="center"/>
          </w:tcPr>
          <w:p w14:paraId="06153123">
            <w:pPr>
              <w:spacing w:line="360" w:lineRule="exact"/>
              <w:jc w:val="center"/>
              <w:rPr>
                <w:rFonts w:ascii="宋体" w:hAnsi="宋体"/>
                <w:color w:val="auto"/>
                <w:sz w:val="24"/>
                <w:highlight w:val="none"/>
              </w:rPr>
            </w:pPr>
            <w:r>
              <w:rPr>
                <w:rFonts w:hint="eastAsia" w:ascii="宋体" w:hAnsi="宋体"/>
                <w:b/>
                <w:color w:val="auto"/>
                <w:sz w:val="24"/>
                <w:highlight w:val="none"/>
              </w:rPr>
              <w:t>报价得分（</w:t>
            </w:r>
            <w:r>
              <w:rPr>
                <w:rFonts w:hint="eastAsia" w:ascii="宋体" w:hAnsi="宋体"/>
                <w:b/>
                <w:color w:val="auto"/>
                <w:sz w:val="24"/>
                <w:highlight w:val="none"/>
                <w:lang w:val="en-US" w:eastAsia="zh-CN"/>
              </w:rPr>
              <w:t>40</w:t>
            </w:r>
            <w:r>
              <w:rPr>
                <w:rFonts w:hint="eastAsia" w:ascii="宋体" w:hAnsi="宋体"/>
                <w:b/>
                <w:color w:val="auto"/>
                <w:sz w:val="24"/>
                <w:highlight w:val="none"/>
              </w:rPr>
              <w:t>分）</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1650A21D">
            <w:pPr>
              <w:spacing w:line="360" w:lineRule="exact"/>
              <w:jc w:val="center"/>
              <w:rPr>
                <w:rFonts w:ascii="宋体" w:hAnsi="宋体"/>
                <w:color w:val="auto"/>
                <w:sz w:val="24"/>
                <w:highlight w:val="none"/>
              </w:rPr>
            </w:pPr>
          </w:p>
        </w:tc>
      </w:tr>
    </w:tbl>
    <w:p w14:paraId="176F7039">
      <w:pPr>
        <w:keepNext w:val="0"/>
        <w:keepLines w:val="0"/>
        <w:pageBreakBefore w:val="0"/>
        <w:widowControl w:val="0"/>
        <w:kinsoku/>
        <w:wordWrap/>
        <w:overflowPunct/>
        <w:topLinePunct w:val="0"/>
        <w:autoSpaceDE w:val="0"/>
        <w:autoSpaceDN w:val="0"/>
        <w:bidi w:val="0"/>
        <w:adjustRightInd w:val="0"/>
        <w:spacing w:line="400" w:lineRule="exact"/>
        <w:ind w:firstLine="482" w:firstLineChars="200"/>
        <w:jc w:val="left"/>
        <w:textAlignment w:val="auto"/>
        <w:rPr>
          <w:rFonts w:ascii="宋体" w:hAnsi="宋体"/>
          <w:b/>
          <w:color w:val="auto"/>
          <w:kern w:val="0"/>
          <w:sz w:val="24"/>
          <w:highlight w:val="none"/>
        </w:rPr>
      </w:pPr>
      <w:bookmarkStart w:id="89" w:name="_Toc9029"/>
      <w:r>
        <w:rPr>
          <w:rFonts w:hint="eastAsia" w:ascii="宋体" w:hAnsi="宋体"/>
          <w:b/>
          <w:color w:val="auto"/>
          <w:kern w:val="0"/>
          <w:sz w:val="24"/>
          <w:highlight w:val="none"/>
        </w:rPr>
        <w:t>六、投标的澄清</w:t>
      </w:r>
    </w:p>
    <w:p w14:paraId="390CC28B">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评标小组在对响应文件的有效性、完整性和响应程度进行审查时，可以要求供应商对响应文件中含义不明确、同类问题表述不一致或者有明显文字和计算错误的内容等做出必要的澄清。供应商的澄清不得超出响应文件的范围或者改变响应文件的实质性内容。</w:t>
      </w:r>
    </w:p>
    <w:p w14:paraId="637A789A">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2、政采云具体操作如下：</w:t>
      </w:r>
    </w:p>
    <w:p w14:paraId="7A66CB09">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在评审过程中，如评审小组对响应文件有疑问，由评审组长将问题汇总后发函，或由采购代理机构代替发起。供应商在截止时间前，予以回复。此回复将作为响应文件内容的一部分，具有相应的法律效力。</w:t>
      </w:r>
    </w:p>
    <w:p w14:paraId="7E24971F">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路径：用户中心—项目采购—询标澄清</w:t>
      </w:r>
    </w:p>
    <w:p w14:paraId="6CF7A009">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（1）政采云平台通过待办事项和短信提醒供应商在截止时间前完成澄清。</w:t>
      </w:r>
    </w:p>
    <w:p w14:paraId="710E27D7">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（2）供应商在“询标澄清-待办理”标签页下选择状态为“待澄清”的项目，点击操作栏【澄清】。</w:t>
      </w:r>
    </w:p>
    <w:p w14:paraId="5569AB6F">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（3）查看函内容，在澄清截止时间前上传澄清文件并对澄清文件进行签章。（注：澄清文件必须以PDF格式上传，文件大小：50M。）</w:t>
      </w:r>
    </w:p>
    <w:p w14:paraId="4DCD481F">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（4）签章完成，文件名称处显示“已签章”，供应商可“撤回签章”修改澄清函和“查看文件”。</w:t>
      </w:r>
    </w:p>
    <w:p w14:paraId="45B67907">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B17CA42">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（6）完成状态：供应商澄清文件提交成功后，在“询标澄清-全部”标签页下显示状态为“已澄清”。</w:t>
      </w:r>
    </w:p>
    <w:p w14:paraId="65DD55BE">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3、供应商未在截止时间前完成澄清，将被视作自动放弃。</w:t>
      </w:r>
    </w:p>
    <w:p w14:paraId="69C7B0F5">
      <w:pPr>
        <w:pStyle w:val="20"/>
        <w:keepNext w:val="0"/>
        <w:keepLines w:val="0"/>
        <w:pageBreakBefore w:val="0"/>
        <w:widowControl w:val="0"/>
        <w:kinsoku/>
        <w:wordWrap/>
        <w:overflowPunct/>
        <w:topLinePunct w:val="0"/>
        <w:bidi w:val="0"/>
        <w:snapToGrid w:val="0"/>
        <w:spacing w:before="0" w:beforeLines="0" w:after="0" w:afterLines="0" w:line="400" w:lineRule="exact"/>
        <w:ind w:firstLine="482" w:firstLineChars="200"/>
        <w:textAlignment w:val="auto"/>
        <w:rPr>
          <w:rFonts w:hAnsi="宋体" w:cs="宋体"/>
          <w:b/>
          <w:color w:val="auto"/>
          <w:highlight w:val="none"/>
        </w:rPr>
      </w:pPr>
      <w:r>
        <w:rPr>
          <w:rFonts w:hint="eastAsia" w:hAnsi="宋体" w:cs="宋体"/>
          <w:b/>
          <w:color w:val="auto"/>
          <w:highlight w:val="none"/>
        </w:rPr>
        <w:t>七、定标</w:t>
      </w:r>
      <w:bookmarkEnd w:id="89"/>
    </w:p>
    <w:p w14:paraId="2A53C932">
      <w:pPr>
        <w:pStyle w:val="20"/>
        <w:keepNext w:val="0"/>
        <w:keepLines w:val="0"/>
        <w:pageBreakBefore w:val="0"/>
        <w:widowControl w:val="0"/>
        <w:kinsoku/>
        <w:wordWrap/>
        <w:overflowPunct/>
        <w:topLinePunct w:val="0"/>
        <w:bidi w:val="0"/>
        <w:snapToGrid w:val="0"/>
        <w:spacing w:before="0" w:beforeLines="0" w:after="0" w:afterLines="0" w:line="400" w:lineRule="exact"/>
        <w:ind w:firstLine="482" w:firstLineChars="200"/>
        <w:textAlignment w:val="auto"/>
        <w:rPr>
          <w:rFonts w:hAnsi="宋体" w:cs="宋体"/>
          <w:b/>
          <w:bCs/>
          <w:color w:val="auto"/>
          <w:highlight w:val="none"/>
        </w:rPr>
      </w:pPr>
      <w:r>
        <w:rPr>
          <w:rFonts w:hint="eastAsia" w:hAnsi="宋体" w:cs="宋体"/>
          <w:b/>
          <w:bCs/>
          <w:color w:val="auto"/>
          <w:highlight w:val="none"/>
        </w:rPr>
        <w:t>（一）确定中标供应商。</w:t>
      </w:r>
    </w:p>
    <w:p w14:paraId="72466D74">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1.评标委员会推荐</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名中标候选人。</w:t>
      </w:r>
    </w:p>
    <w:p w14:paraId="6E1FA745">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2.采购代理机构在评标结束后将评审结果确认单交采购人确认。</w:t>
      </w:r>
    </w:p>
    <w:p w14:paraId="1051ADF4">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3.采购人依法确定中标供应商后2个工作日内，在相关网站上发布中标公告。</w:t>
      </w:r>
    </w:p>
    <w:p w14:paraId="3DBFFF4C">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4.若中标供应商放弃中标，或因不可抗力提出不能履行合同，或不按采购文件规定提交履约担保，或其它原因被依法撤销中标资格，则采购人可确定排名第二的中标候选人为中标供应商或重新组织招标。</w:t>
      </w:r>
    </w:p>
    <w:p w14:paraId="4B44C83F">
      <w:pPr>
        <w:keepNext w:val="0"/>
        <w:keepLines w:val="0"/>
        <w:pageBreakBefore w:val="0"/>
        <w:widowControl w:val="0"/>
        <w:kinsoku/>
        <w:wordWrap/>
        <w:overflowPunct/>
        <w:topLinePunct w:val="0"/>
        <w:bidi w:val="0"/>
        <w:snapToGrid w:val="0"/>
        <w:spacing w:line="40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八、评标过程的监控与保密</w:t>
      </w:r>
    </w:p>
    <w:p w14:paraId="497DE870">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1、本项目评标过程实行全程录音、录像监控，供应商在评标过程中所进行的试图影响评标结果的不公正活动，可能导致其投标被拒绝。</w:t>
      </w:r>
    </w:p>
    <w:p w14:paraId="3150250F">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2、开标后到中标通知书发出之前，所有涉及评标委员会名单以及对响应文件的澄清、评价、比较等情况，评标委员会成员、采购人和采购代理机构的有关人员均不得向供应商或其他无关人员透露。</w:t>
      </w:r>
    </w:p>
    <w:p w14:paraId="53ABE0D5">
      <w:pPr>
        <w:keepNext w:val="0"/>
        <w:keepLines w:val="0"/>
        <w:pageBreakBefore w:val="0"/>
        <w:widowControl w:val="0"/>
        <w:kinsoku/>
        <w:wordWrap/>
        <w:overflowPunct/>
        <w:topLinePunct w:val="0"/>
        <w:bidi w:val="0"/>
        <w:snapToGrid w:val="0"/>
        <w:spacing w:line="40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八、中标通知</w:t>
      </w:r>
    </w:p>
    <w:p w14:paraId="134A8963">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1、中标公告质疑期满后无异议的，采购人向中标供应商签发中标通知书。</w:t>
      </w:r>
    </w:p>
    <w:p w14:paraId="56A5374D">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2、中标通知书将是合同的一个组成部分。</w:t>
      </w:r>
    </w:p>
    <w:p w14:paraId="57952420">
      <w:pPr>
        <w:keepNext w:val="0"/>
        <w:keepLines w:val="0"/>
        <w:pageBreakBefore w:val="0"/>
        <w:widowControl w:val="0"/>
        <w:kinsoku/>
        <w:wordWrap/>
        <w:overflowPunct/>
        <w:topLinePunct w:val="0"/>
        <w:bidi w:val="0"/>
        <w:snapToGrid w:val="0"/>
        <w:spacing w:line="400" w:lineRule="exact"/>
        <w:ind w:firstLine="480" w:firstLineChars="200"/>
        <w:textAlignment w:val="auto"/>
        <w:rPr>
          <w:color w:val="auto"/>
          <w:highlight w:val="none"/>
        </w:rPr>
      </w:pPr>
      <w:r>
        <w:rPr>
          <w:rFonts w:hint="eastAsia" w:ascii="宋体" w:hAnsi="宋体" w:cs="宋体"/>
          <w:color w:val="auto"/>
          <w:sz w:val="24"/>
          <w:highlight w:val="none"/>
        </w:rPr>
        <w:t>3、中标通知书获取方式：现场领取或邮寄。</w:t>
      </w:r>
    </w:p>
    <w:p w14:paraId="4D478C19">
      <w:pPr>
        <w:pStyle w:val="11"/>
        <w:rPr>
          <w:rFonts w:hint="eastAsia"/>
          <w:color w:val="auto"/>
          <w:highlight w:val="none"/>
        </w:rPr>
      </w:pPr>
    </w:p>
    <w:p w14:paraId="1E1E2D2E">
      <w:pPr>
        <w:rPr>
          <w:rFonts w:hint="eastAsia"/>
          <w:color w:val="auto"/>
          <w:highlight w:val="none"/>
        </w:rPr>
      </w:pPr>
    </w:p>
    <w:p w14:paraId="2883404C">
      <w:pPr>
        <w:pStyle w:val="121"/>
        <w:rPr>
          <w:rFonts w:hint="eastAsia"/>
          <w:color w:val="auto"/>
          <w:highlight w:val="none"/>
        </w:rPr>
        <w:sectPr>
          <w:pgSz w:w="11906" w:h="16838"/>
          <w:pgMar w:top="1440" w:right="1440" w:bottom="1440" w:left="1440" w:header="851" w:footer="992" w:gutter="0"/>
          <w:cols w:space="720" w:num="1"/>
          <w:rtlGutter w:val="0"/>
          <w:docGrid w:type="lines" w:linePitch="312" w:charSpace="0"/>
        </w:sectPr>
      </w:pPr>
    </w:p>
    <w:p w14:paraId="4608A57E">
      <w:pPr>
        <w:pStyle w:val="3"/>
        <w:jc w:val="center"/>
        <w:rPr>
          <w:rFonts w:hint="eastAsia"/>
          <w:color w:val="auto"/>
          <w:highlight w:val="none"/>
        </w:rPr>
      </w:pPr>
      <w:r>
        <w:rPr>
          <w:rFonts w:hint="eastAsia"/>
          <w:color w:val="auto"/>
          <w:highlight w:val="none"/>
        </w:rPr>
        <w:t xml:space="preserve">第四章 </w:t>
      </w:r>
      <w:bookmarkStart w:id="90" w:name="_Toc23716"/>
      <w:bookmarkStart w:id="91" w:name="_Toc28373"/>
      <w:r>
        <w:rPr>
          <w:rFonts w:hint="eastAsia"/>
          <w:color w:val="auto"/>
          <w:highlight w:val="none"/>
        </w:rPr>
        <w:t>采购需求</w:t>
      </w:r>
      <w:bookmarkEnd w:id="90"/>
      <w:bookmarkEnd w:id="91"/>
    </w:p>
    <w:p w14:paraId="1A51935B">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1"/>
        <w:rPr>
          <w:rFonts w:hint="eastAsia" w:ascii="宋体" w:hAnsi="宋体" w:eastAsia="宋体" w:cs="宋体"/>
          <w:b/>
          <w:bCs/>
          <w:sz w:val="24"/>
          <w:szCs w:val="24"/>
          <w:highlight w:val="none"/>
        </w:rPr>
      </w:pPr>
      <w:bookmarkStart w:id="92" w:name="_Toc12072"/>
      <w:bookmarkStart w:id="93" w:name="_Toc1267"/>
      <w:r>
        <w:rPr>
          <w:rFonts w:hint="eastAsia" w:ascii="宋体" w:hAnsi="宋体" w:eastAsia="宋体" w:cs="宋体"/>
          <w:b/>
          <w:bCs/>
          <w:sz w:val="24"/>
          <w:szCs w:val="24"/>
          <w:highlight w:val="none"/>
        </w:rPr>
        <w:t>一、项目概况说明</w:t>
      </w:r>
    </w:p>
    <w:p w14:paraId="4479CD08">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2"/>
        <w:rPr>
          <w:rFonts w:hint="eastAsia" w:ascii="宋体" w:hAnsi="宋体" w:eastAsia="宋体" w:cs="宋体"/>
          <w:b/>
          <w:bCs/>
          <w:color w:val="000000"/>
          <w:sz w:val="24"/>
          <w:szCs w:val="24"/>
          <w:highlight w:val="none"/>
        </w:rPr>
      </w:pPr>
      <w:r>
        <w:rPr>
          <w:rFonts w:hint="eastAsia" w:ascii="宋体" w:hAnsi="宋体" w:eastAsia="宋体" w:cs="宋体"/>
          <w:color w:val="000000"/>
          <w:kern w:val="2"/>
          <w:sz w:val="24"/>
          <w:szCs w:val="24"/>
          <w:highlight w:val="none"/>
        </w:rPr>
        <w:t>（</w:t>
      </w:r>
      <w:r>
        <w:rPr>
          <w:rFonts w:hint="eastAsia" w:ascii="宋体" w:hAnsi="宋体" w:eastAsia="宋体" w:cs="宋体"/>
          <w:b/>
          <w:bCs/>
          <w:color w:val="000000"/>
          <w:sz w:val="24"/>
          <w:szCs w:val="24"/>
          <w:highlight w:val="none"/>
        </w:rPr>
        <w:t>一）目标任务</w:t>
      </w:r>
    </w:p>
    <w:p w14:paraId="74A035FE">
      <w:pPr>
        <w:keepNext w:val="0"/>
        <w:keepLines w:val="0"/>
        <w:pageBreakBefore w:val="0"/>
        <w:widowControl w:val="0"/>
        <w:kinsoku/>
        <w:wordWrap/>
        <w:overflowPunct/>
        <w:topLinePunct w:val="0"/>
        <w:autoSpaceDE/>
        <w:autoSpaceDN/>
        <w:bidi w:val="0"/>
        <w:adjustRightInd w:val="0"/>
        <w:spacing w:line="480" w:lineRule="exact"/>
        <w:ind w:firstLine="480" w:firstLineChars="200"/>
        <w:jc w:val="lef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color w:val="000000"/>
          <w:sz w:val="24"/>
          <w:szCs w:val="24"/>
          <w:highlight w:val="none"/>
        </w:rPr>
        <w:t>认知障碍已经成为困扰家庭和社会的公共问题，亟待获得专业的照护帮助。</w:t>
      </w:r>
      <w:r>
        <w:rPr>
          <w:rFonts w:hint="eastAsia" w:ascii="宋体" w:hAnsi="宋体" w:eastAsia="宋体" w:cs="宋体"/>
          <w:color w:val="000000"/>
          <w:sz w:val="24"/>
          <w:szCs w:val="24"/>
          <w:highlight w:val="none"/>
          <w:lang w:val="en-US" w:eastAsia="zh-CN"/>
        </w:rPr>
        <w:t>根据省市县民生实事项目要求（浙民养〔2022〕34号、象民发〔2024〕17号 ），</w:t>
      </w:r>
      <w:r>
        <w:rPr>
          <w:rFonts w:hint="eastAsia" w:ascii="宋体" w:hAnsi="宋体" w:cs="宋体"/>
          <w:color w:val="000000"/>
          <w:sz w:val="24"/>
          <w:szCs w:val="24"/>
          <w:highlight w:val="none"/>
          <w:lang w:val="en-US" w:eastAsia="zh-CN"/>
        </w:rPr>
        <w:t>计划对贤庠镇敬老院进行认知障碍照护专区改造提升，新增认知障碍照护专区床位30张，打造家庭式住养环境，培训培育专业的认知障碍照护服务队伍，提供针对认知障碍老人的个性化照护、身体残存机能康复训练、生活照料、心理干预、社会交往等专业性、全方位服务，通过数字赋能，进行智慧化管理，项目预算投入45万元</w:t>
      </w:r>
      <w:r>
        <w:rPr>
          <w:rFonts w:hint="eastAsia" w:ascii="宋体" w:hAnsi="宋体" w:eastAsia="宋体" w:cs="宋体"/>
          <w:color w:val="000000"/>
          <w:sz w:val="24"/>
          <w:szCs w:val="24"/>
          <w:highlight w:val="none"/>
          <w:lang w:val="en-US" w:eastAsia="zh-CN"/>
        </w:rPr>
        <w:t>（以最后结算为准）</w:t>
      </w:r>
      <w:r>
        <w:rPr>
          <w:rFonts w:hint="eastAsia" w:ascii="宋体" w:hAnsi="宋体" w:eastAsia="宋体" w:cs="宋体"/>
          <w:b w:val="0"/>
          <w:bCs w:val="0"/>
          <w:color w:val="000000"/>
          <w:kern w:val="2"/>
          <w:sz w:val="21"/>
          <w:szCs w:val="21"/>
          <w:highlight w:val="none"/>
          <w:lang w:val="en-US" w:eastAsia="zh-CN" w:bidi="ar-SA"/>
        </w:rPr>
        <w:t>。</w:t>
      </w:r>
    </w:p>
    <w:p w14:paraId="67E68368">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二）服务对象</w:t>
      </w:r>
    </w:p>
    <w:p w14:paraId="26BB7442">
      <w:pPr>
        <w:pStyle w:val="178"/>
        <w:keepNext w:val="0"/>
        <w:keepLines w:val="0"/>
        <w:pageBreakBefore w:val="0"/>
        <w:kinsoku/>
        <w:wordWrap/>
        <w:overflowPunct/>
        <w:topLinePunct w:val="0"/>
        <w:autoSpaceDE/>
        <w:autoSpaceDN/>
        <w:bidi w:val="0"/>
        <w:adjustRightInd/>
        <w:spacing w:afterLines="0" w:line="440" w:lineRule="exact"/>
        <w:ind w:firstLine="480" w:firstLineChars="200"/>
        <w:jc w:val="left"/>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服务对象为经认知障碍评估后符合机构入住要求的老年人。不接受不可控的有攻击行为、抑郁、妄想等患者老年人。</w:t>
      </w:r>
    </w:p>
    <w:p w14:paraId="42BC5662">
      <w:pPr>
        <w:keepNext w:val="0"/>
        <w:keepLines w:val="0"/>
        <w:pageBreakBefore w:val="0"/>
        <w:numPr>
          <w:ilvl w:val="0"/>
          <w:numId w:val="12"/>
        </w:numPr>
        <w:kinsoku/>
        <w:wordWrap/>
        <w:overflowPunct/>
        <w:topLinePunct w:val="0"/>
        <w:autoSpaceDE/>
        <w:autoSpaceDN/>
        <w:bidi w:val="0"/>
        <w:adjustRightInd/>
        <w:spacing w:line="440" w:lineRule="exact"/>
        <w:ind w:firstLine="482" w:firstLineChars="200"/>
        <w:textAlignment w:val="auto"/>
        <w:outlineLvl w:val="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采购服务范围</w:t>
      </w:r>
    </w:p>
    <w:p w14:paraId="52E5400F">
      <w:pPr>
        <w:pStyle w:val="178"/>
        <w:keepNext w:val="0"/>
        <w:keepLines w:val="0"/>
        <w:pageBreakBefore w:val="0"/>
        <w:kinsoku/>
        <w:wordWrap/>
        <w:overflowPunct/>
        <w:topLinePunct w:val="0"/>
        <w:autoSpaceDE/>
        <w:autoSpaceDN/>
        <w:bidi w:val="0"/>
        <w:adjustRightInd/>
        <w:spacing w:afterLines="0" w:line="440" w:lineRule="exact"/>
        <w:ind w:firstLine="480" w:firstLineChars="200"/>
        <w:jc w:val="left"/>
        <w:textAlignment w:val="auto"/>
        <w:rPr>
          <w:rFonts w:hint="eastAsia" w:ascii="宋体" w:hAnsi="宋体" w:eastAsia="宋体" w:cs="宋体"/>
          <w:color w:val="000000"/>
          <w:kern w:val="2"/>
          <w:sz w:val="24"/>
          <w:szCs w:val="24"/>
          <w:highlight w:val="none"/>
          <w:lang w:val="en-US" w:eastAsia="zh-CN"/>
        </w:rPr>
      </w:pPr>
      <w:r>
        <w:rPr>
          <w:rFonts w:hint="eastAsia" w:ascii="Arial" w:hAnsi="Arial"/>
          <w:color w:val="auto"/>
          <w:szCs w:val="22"/>
          <w:highlight w:val="none"/>
          <w:lang w:eastAsia="zh-CN"/>
        </w:rPr>
        <w:t>象山县贤庠镇</w:t>
      </w:r>
      <w:r>
        <w:rPr>
          <w:rFonts w:hint="eastAsia" w:ascii="Arial" w:hAnsi="Arial"/>
          <w:color w:val="auto"/>
          <w:szCs w:val="22"/>
          <w:highlight w:val="none"/>
          <w:lang w:val="en-US" w:eastAsia="zh-CN"/>
        </w:rPr>
        <w:t>敬老院</w:t>
      </w:r>
      <w:r>
        <w:rPr>
          <w:rFonts w:hint="eastAsia" w:ascii="Arial" w:hAnsi="Arial"/>
          <w:color w:val="auto"/>
          <w:szCs w:val="22"/>
          <w:highlight w:val="none"/>
          <w:lang w:eastAsia="zh-CN"/>
        </w:rPr>
        <w:t>认知障碍照护专区改造</w:t>
      </w:r>
      <w:r>
        <w:rPr>
          <w:rFonts w:hint="eastAsia" w:ascii="宋体" w:hAnsi="宋体" w:eastAsia="宋体" w:cs="宋体"/>
          <w:color w:val="000000"/>
          <w:kern w:val="2"/>
          <w:sz w:val="24"/>
          <w:szCs w:val="24"/>
          <w:highlight w:val="none"/>
          <w:lang w:val="zh-TW" w:eastAsia="zh-CN"/>
        </w:rPr>
        <w:t>，</w:t>
      </w:r>
      <w:r>
        <w:rPr>
          <w:rFonts w:hint="eastAsia" w:ascii="宋体" w:hAnsi="宋体" w:eastAsia="宋体" w:cs="宋体"/>
          <w:color w:val="000000"/>
          <w:kern w:val="2"/>
          <w:sz w:val="24"/>
          <w:szCs w:val="24"/>
          <w:highlight w:val="none"/>
          <w:lang w:val="en-US" w:eastAsia="zh-CN"/>
        </w:rPr>
        <w:t>改造内容包括：</w:t>
      </w:r>
      <w:r>
        <w:rPr>
          <w:rFonts w:hint="eastAsia" w:ascii="宋体" w:hAnsi="宋体" w:cs="宋体"/>
          <w:color w:val="000000"/>
          <w:kern w:val="2"/>
          <w:sz w:val="24"/>
          <w:szCs w:val="24"/>
          <w:highlight w:val="none"/>
          <w:lang w:val="en-US" w:eastAsia="zh-CN"/>
        </w:rPr>
        <w:t>认知障碍照护专区改造提升，新增认知障碍照护专区床位30张，打造家庭式住养环境，培训培育专业的认知障碍照护服务队伍，提供针对认知障碍老人的个性化照护、身体残存机能康复训练、生活照料、心理干预、社会交往等专业性、全方位服务，通过数字赋能，进行智慧化管理及认知障碍照护专区功能化配套设施设备的供货及安装调试</w:t>
      </w:r>
      <w:r>
        <w:rPr>
          <w:rFonts w:hint="eastAsia" w:ascii="宋体" w:hAnsi="宋体" w:eastAsia="宋体" w:cs="宋体"/>
          <w:color w:val="000000"/>
          <w:kern w:val="2"/>
          <w:sz w:val="24"/>
          <w:szCs w:val="24"/>
          <w:highlight w:val="none"/>
          <w:lang w:val="en-US" w:eastAsia="zh-CN"/>
        </w:rPr>
        <w:t>。</w:t>
      </w:r>
    </w:p>
    <w:p w14:paraId="0C83530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eastAsia="宋体" w:cs="宋体"/>
          <w:b/>
          <w:bCs/>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rPr>
        <w:t>二、</w:t>
      </w:r>
      <w:r>
        <w:rPr>
          <w:rFonts w:hint="eastAsia" w:ascii="宋体" w:hAnsi="宋体" w:eastAsia="宋体" w:cs="宋体"/>
          <w:b/>
          <w:bCs/>
          <w:kern w:val="2"/>
          <w:sz w:val="24"/>
          <w:szCs w:val="24"/>
          <w:highlight w:val="none"/>
          <w:lang w:val="en-US" w:eastAsia="zh-CN" w:bidi="ar-SA"/>
        </w:rPr>
        <w:t>认知障碍照护专区设施设备基本配置及要求</w:t>
      </w:r>
    </w:p>
    <w:p w14:paraId="355F727F">
      <w:pPr>
        <w:keepNext w:val="0"/>
        <w:keepLines w:val="0"/>
        <w:pageBreakBefore w:val="0"/>
        <w:widowControl w:val="0"/>
        <w:kinsoku/>
        <w:wordWrap/>
        <w:overflowPunct/>
        <w:topLinePunct w:val="0"/>
        <w:autoSpaceDE/>
        <w:autoSpaceDN/>
        <w:bidi w:val="0"/>
        <w:adjustRightInd/>
        <w:spacing w:line="440" w:lineRule="exact"/>
        <w:ind w:firstLine="480" w:firstLineChars="200"/>
        <w:jc w:val="both"/>
        <w:textAlignment w:val="auto"/>
        <w:outlineLvl w:val="9"/>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按照家庭环境，</w:t>
      </w:r>
      <w:r>
        <w:rPr>
          <w:rFonts w:hint="eastAsia" w:ascii="宋体" w:hAnsi="宋体" w:cs="宋体"/>
          <w:color w:val="000000"/>
          <w:sz w:val="24"/>
          <w:szCs w:val="24"/>
          <w:highlight w:val="none"/>
          <w:lang w:val="en-US" w:eastAsia="zh-CN"/>
        </w:rPr>
        <w:t>本次改造还需配备相关设施设备，</w:t>
      </w:r>
      <w:r>
        <w:rPr>
          <w:rFonts w:hint="eastAsia" w:ascii="宋体" w:hAnsi="宋体" w:cs="宋体"/>
          <w:b/>
          <w:bCs/>
          <w:color w:val="000000"/>
          <w:sz w:val="24"/>
          <w:szCs w:val="24"/>
          <w:highlight w:val="none"/>
          <w:lang w:val="en-US" w:eastAsia="zh-CN"/>
        </w:rPr>
        <w:t>详见采购清单</w:t>
      </w:r>
      <w:r>
        <w:rPr>
          <w:rFonts w:hint="eastAsia" w:ascii="宋体" w:hAnsi="宋体" w:cs="宋体"/>
          <w:color w:val="000000"/>
          <w:sz w:val="24"/>
          <w:szCs w:val="24"/>
          <w:highlight w:val="none"/>
          <w:lang w:val="en-US" w:eastAsia="zh-CN"/>
        </w:rPr>
        <w:t>。</w:t>
      </w:r>
    </w:p>
    <w:p w14:paraId="1DACC5B1">
      <w:pPr>
        <w:pStyle w:val="11"/>
        <w:rPr>
          <w:rFonts w:hint="eastAsia" w:ascii="宋体" w:hAnsi="宋体" w:cs="宋体"/>
          <w:color w:val="000000"/>
          <w:sz w:val="24"/>
          <w:szCs w:val="24"/>
          <w:highlight w:val="none"/>
          <w:lang w:val="en-US" w:eastAsia="zh-CN"/>
        </w:rPr>
      </w:pPr>
    </w:p>
    <w:p w14:paraId="43D73EC8">
      <w:pPr>
        <w:rPr>
          <w:rFonts w:hint="eastAsia" w:ascii="宋体" w:hAnsi="宋体" w:cs="宋体"/>
          <w:color w:val="000000"/>
          <w:sz w:val="24"/>
          <w:szCs w:val="24"/>
          <w:highlight w:val="none"/>
          <w:lang w:val="en-US" w:eastAsia="zh-CN"/>
        </w:rPr>
      </w:pPr>
    </w:p>
    <w:p w14:paraId="3C5CA843">
      <w:pPr>
        <w:pStyle w:val="11"/>
        <w:rPr>
          <w:rFonts w:hint="eastAsia" w:ascii="宋体" w:hAnsi="宋体" w:cs="宋体"/>
          <w:color w:val="000000"/>
          <w:sz w:val="24"/>
          <w:szCs w:val="24"/>
          <w:highlight w:val="none"/>
          <w:lang w:val="en-US" w:eastAsia="zh-CN"/>
        </w:rPr>
      </w:pPr>
    </w:p>
    <w:p w14:paraId="598DBA2F">
      <w:pPr>
        <w:rPr>
          <w:rFonts w:hint="eastAsia" w:ascii="宋体" w:hAnsi="宋体" w:cs="宋体"/>
          <w:color w:val="000000"/>
          <w:sz w:val="24"/>
          <w:szCs w:val="24"/>
          <w:highlight w:val="none"/>
          <w:lang w:val="en-US" w:eastAsia="zh-CN"/>
        </w:rPr>
      </w:pPr>
    </w:p>
    <w:p w14:paraId="5490E86B">
      <w:pPr>
        <w:pStyle w:val="11"/>
        <w:rPr>
          <w:rFonts w:hint="eastAsia" w:ascii="宋体" w:hAnsi="宋体" w:cs="宋体"/>
          <w:color w:val="000000"/>
          <w:sz w:val="24"/>
          <w:szCs w:val="24"/>
          <w:highlight w:val="none"/>
          <w:lang w:val="en-US" w:eastAsia="zh-CN"/>
        </w:rPr>
      </w:pPr>
    </w:p>
    <w:p w14:paraId="3F3C73E5">
      <w:pPr>
        <w:rPr>
          <w:rFonts w:hint="eastAsia" w:ascii="宋体" w:hAnsi="宋体" w:cs="宋体"/>
          <w:color w:val="000000"/>
          <w:sz w:val="24"/>
          <w:szCs w:val="24"/>
          <w:highlight w:val="none"/>
          <w:lang w:val="en-US" w:eastAsia="zh-CN"/>
        </w:rPr>
      </w:pPr>
    </w:p>
    <w:p w14:paraId="664BAE5F">
      <w:pPr>
        <w:pStyle w:val="11"/>
        <w:rPr>
          <w:rFonts w:hint="eastAsia" w:ascii="宋体" w:hAnsi="宋体" w:cs="宋体"/>
          <w:color w:val="000000"/>
          <w:sz w:val="24"/>
          <w:szCs w:val="24"/>
          <w:highlight w:val="none"/>
          <w:lang w:val="en-US" w:eastAsia="zh-CN"/>
        </w:rPr>
      </w:pPr>
    </w:p>
    <w:p w14:paraId="483DA718">
      <w:pPr>
        <w:rPr>
          <w:rFonts w:hint="eastAsia" w:ascii="宋体" w:hAnsi="宋体" w:cs="宋体"/>
          <w:color w:val="000000"/>
          <w:sz w:val="24"/>
          <w:szCs w:val="24"/>
          <w:highlight w:val="none"/>
          <w:lang w:val="en-US" w:eastAsia="zh-CN"/>
        </w:rPr>
      </w:pPr>
    </w:p>
    <w:p w14:paraId="166B1E73">
      <w:pPr>
        <w:pStyle w:val="11"/>
        <w:rPr>
          <w:rFonts w:hint="eastAsia" w:ascii="宋体" w:hAnsi="宋体" w:cs="宋体"/>
          <w:color w:val="000000"/>
          <w:sz w:val="24"/>
          <w:szCs w:val="24"/>
          <w:highlight w:val="none"/>
          <w:lang w:val="en-US" w:eastAsia="zh-CN"/>
        </w:rPr>
      </w:pPr>
    </w:p>
    <w:p w14:paraId="4875A18C">
      <w:pPr>
        <w:rPr>
          <w:rFonts w:hint="eastAsia" w:ascii="宋体" w:hAnsi="宋体" w:cs="宋体"/>
          <w:color w:val="000000"/>
          <w:sz w:val="24"/>
          <w:szCs w:val="24"/>
          <w:highlight w:val="none"/>
          <w:lang w:val="en-US" w:eastAsia="zh-CN"/>
        </w:rPr>
      </w:pPr>
    </w:p>
    <w:p w14:paraId="3DC2F7FE">
      <w:pPr>
        <w:pStyle w:val="11"/>
        <w:rPr>
          <w:rFonts w:hint="default"/>
          <w:lang w:val="en-US" w:eastAsia="zh-CN"/>
        </w:rPr>
      </w:pPr>
    </w:p>
    <w:p w14:paraId="7C00706D">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br w:type="page"/>
      </w:r>
    </w:p>
    <w:p w14:paraId="39074CE4">
      <w:pPr>
        <w:pStyle w:val="11"/>
        <w:tabs>
          <w:tab w:val="left" w:pos="7770"/>
        </w:tabs>
        <w:rPr>
          <w:rFonts w:hint="eastAsia"/>
          <w:lang w:val="en-US" w:eastAsia="zh-CN"/>
        </w:rPr>
      </w:pPr>
    </w:p>
    <w:p w14:paraId="3CE8ECAA">
      <w:pPr>
        <w:snapToGrid w:val="0"/>
        <w:spacing w:line="280" w:lineRule="exact"/>
        <w:rPr>
          <w:rFonts w:hint="eastAsia" w:ascii="宋体" w:hAnsi="宋体" w:cs="宋体"/>
          <w:b/>
          <w:szCs w:val="21"/>
          <w:highlight w:val="none"/>
          <w:lang w:val="en-US" w:eastAsia="zh-CN"/>
        </w:rPr>
      </w:pPr>
    </w:p>
    <w:p w14:paraId="74D9D43B">
      <w:pPr>
        <w:snapToGrid w:val="0"/>
        <w:spacing w:line="280" w:lineRule="exact"/>
        <w:rPr>
          <w:rFonts w:hint="eastAsia" w:ascii="宋体" w:hAnsi="宋体" w:cs="宋体"/>
          <w:b/>
          <w:szCs w:val="21"/>
          <w:highlight w:val="none"/>
        </w:rPr>
      </w:pPr>
      <w:r>
        <w:rPr>
          <w:rFonts w:hint="eastAsia" w:ascii="宋体" w:hAnsi="宋体" w:cs="宋体"/>
          <w:b/>
          <w:szCs w:val="21"/>
          <w:highlight w:val="none"/>
          <w:lang w:val="en-US" w:eastAsia="zh-CN"/>
        </w:rPr>
        <w:t>采购清单：</w:t>
      </w:r>
    </w:p>
    <w:tbl>
      <w:tblPr>
        <w:tblStyle w:val="37"/>
        <w:tblpPr w:leftFromText="180" w:rightFromText="180" w:vertAnchor="text" w:horzAnchor="page" w:tblpX="1208" w:tblpY="206"/>
        <w:tblOverlap w:val="never"/>
        <w:tblW w:w="10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1732"/>
        <w:gridCol w:w="883"/>
        <w:gridCol w:w="795"/>
        <w:gridCol w:w="4125"/>
        <w:gridCol w:w="1695"/>
      </w:tblGrid>
      <w:tr w14:paraId="5594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07" w:type="dxa"/>
            <w:gridSpan w:val="6"/>
            <w:tcBorders>
              <w:top w:val="single" w:color="000000" w:sz="2" w:space="0"/>
              <w:left w:val="single" w:color="000000" w:sz="2" w:space="0"/>
              <w:bottom w:val="single" w:color="000000" w:sz="2" w:space="0"/>
              <w:right w:val="single" w:color="000000" w:sz="2" w:space="0"/>
            </w:tcBorders>
            <w:noWrap/>
            <w:vAlign w:val="center"/>
          </w:tcPr>
          <w:p w14:paraId="22D5D40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老年住房具体采购</w:t>
            </w:r>
            <w:r>
              <w:rPr>
                <w:rFonts w:hint="eastAsia" w:ascii="宋体" w:hAnsi="宋体" w:eastAsia="宋体" w:cs="宋体"/>
                <w:b/>
                <w:bCs/>
                <w:i w:val="0"/>
                <w:iCs w:val="0"/>
                <w:color w:val="auto"/>
                <w:kern w:val="0"/>
                <w:sz w:val="18"/>
                <w:szCs w:val="18"/>
                <w:highlight w:val="none"/>
                <w:u w:val="none"/>
                <w:lang w:val="en-US" w:eastAsia="zh-CN" w:bidi="ar"/>
              </w:rPr>
              <w:t>清单</w:t>
            </w:r>
          </w:p>
        </w:tc>
      </w:tr>
      <w:tr w14:paraId="280C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2" w:space="0"/>
              <w:left w:val="single" w:color="000000" w:sz="4" w:space="0"/>
              <w:bottom w:val="single" w:color="000000" w:sz="4" w:space="0"/>
              <w:right w:val="single" w:color="000000" w:sz="4" w:space="0"/>
            </w:tcBorders>
            <w:noWrap w:val="0"/>
            <w:vAlign w:val="center"/>
          </w:tcPr>
          <w:p w14:paraId="011E042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732" w:type="dxa"/>
            <w:tcBorders>
              <w:top w:val="single" w:color="000000" w:sz="2" w:space="0"/>
              <w:left w:val="single" w:color="000000" w:sz="4" w:space="0"/>
              <w:bottom w:val="single" w:color="000000" w:sz="4" w:space="0"/>
              <w:right w:val="single" w:color="000000" w:sz="4" w:space="0"/>
            </w:tcBorders>
            <w:noWrap w:val="0"/>
            <w:vAlign w:val="center"/>
          </w:tcPr>
          <w:p w14:paraId="4F50DAC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品名</w:t>
            </w:r>
          </w:p>
        </w:tc>
        <w:tc>
          <w:tcPr>
            <w:tcW w:w="883" w:type="dxa"/>
            <w:tcBorders>
              <w:top w:val="single" w:color="000000" w:sz="2" w:space="0"/>
              <w:left w:val="single" w:color="000000" w:sz="4" w:space="0"/>
              <w:bottom w:val="single" w:color="000000" w:sz="4" w:space="0"/>
              <w:right w:val="single" w:color="000000" w:sz="4" w:space="0"/>
            </w:tcBorders>
            <w:noWrap w:val="0"/>
            <w:vAlign w:val="center"/>
          </w:tcPr>
          <w:p w14:paraId="5743397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795" w:type="dxa"/>
            <w:tcBorders>
              <w:top w:val="single" w:color="000000" w:sz="2" w:space="0"/>
              <w:left w:val="single" w:color="000000" w:sz="4" w:space="0"/>
              <w:bottom w:val="single" w:color="000000" w:sz="4" w:space="0"/>
              <w:right w:val="single" w:color="000000" w:sz="4" w:space="0"/>
            </w:tcBorders>
            <w:noWrap w:val="0"/>
            <w:vAlign w:val="center"/>
          </w:tcPr>
          <w:p w14:paraId="27FDDD7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4125" w:type="dxa"/>
            <w:tcBorders>
              <w:top w:val="single" w:color="000000" w:sz="2" w:space="0"/>
              <w:left w:val="single" w:color="000000" w:sz="4" w:space="0"/>
              <w:bottom w:val="single" w:color="000000" w:sz="4" w:space="0"/>
              <w:right w:val="single" w:color="000000" w:sz="4" w:space="0"/>
            </w:tcBorders>
            <w:noWrap w:val="0"/>
            <w:vAlign w:val="center"/>
          </w:tcPr>
          <w:p w14:paraId="1C4DBC2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技术参数</w:t>
            </w:r>
          </w:p>
        </w:tc>
        <w:tc>
          <w:tcPr>
            <w:tcW w:w="1695" w:type="dxa"/>
            <w:tcBorders>
              <w:top w:val="single" w:color="000000" w:sz="2" w:space="0"/>
              <w:left w:val="single" w:color="000000" w:sz="4" w:space="0"/>
              <w:bottom w:val="single" w:color="000000" w:sz="4" w:space="0"/>
              <w:right w:val="single" w:color="000000" w:sz="4" w:space="0"/>
            </w:tcBorders>
            <w:noWrap w:val="0"/>
            <w:vAlign w:val="center"/>
          </w:tcPr>
          <w:p w14:paraId="79D7AE1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示意图</w:t>
            </w:r>
          </w:p>
        </w:tc>
      </w:tr>
      <w:tr w14:paraId="0C80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C237E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3B3AA7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房间阳台</w:t>
            </w:r>
            <w:r>
              <w:rPr>
                <w:rFonts w:hint="eastAsia" w:ascii="宋体" w:hAnsi="宋体" w:eastAsia="宋体" w:cs="宋体"/>
                <w:i w:val="0"/>
                <w:iCs w:val="0"/>
                <w:color w:val="000000"/>
                <w:kern w:val="0"/>
                <w:sz w:val="18"/>
                <w:szCs w:val="18"/>
                <w:highlight w:val="none"/>
                <w:u w:val="none"/>
                <w:lang w:val="en-US" w:eastAsia="zh-CN" w:bidi="ar"/>
              </w:rPr>
              <w:br w:type="textWrapping"/>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7D299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E64AC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60.6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02FA8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地砖楼地面（干混砂浆铺贴） 地面瓷砖铺贴                                                          1、1:3干硬性水泥砂浆找平；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2、专用粘结剂铺贴600*600瓷砖</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467D4D9">
            <w:pPr>
              <w:jc w:val="center"/>
              <w:rPr>
                <w:rFonts w:hint="eastAsia" w:ascii="宋体" w:hAnsi="宋体" w:eastAsia="宋体" w:cs="宋体"/>
                <w:i w:val="0"/>
                <w:iCs w:val="0"/>
                <w:color w:val="auto"/>
                <w:sz w:val="18"/>
                <w:szCs w:val="18"/>
                <w:highlight w:val="none"/>
                <w:u w:val="none"/>
              </w:rPr>
            </w:pPr>
          </w:p>
        </w:tc>
      </w:tr>
      <w:tr w14:paraId="44AD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078D1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399D1E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病房吊顶</w:t>
            </w:r>
            <w:r>
              <w:rPr>
                <w:rFonts w:hint="eastAsia" w:ascii="宋体" w:hAnsi="宋体" w:eastAsia="宋体" w:cs="宋体"/>
                <w:i w:val="0"/>
                <w:iCs w:val="0"/>
                <w:color w:val="000000"/>
                <w:kern w:val="0"/>
                <w:sz w:val="18"/>
                <w:szCs w:val="18"/>
                <w:highlight w:val="none"/>
                <w:u w:val="none"/>
                <w:lang w:val="en-US" w:eastAsia="zh-CN" w:bidi="ar"/>
              </w:rPr>
              <w:br w:type="textWrapping"/>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C09A3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A0974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293.6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C9CB1AA">
            <w:pPr>
              <w:keepNext w:val="0"/>
              <w:keepLines w:val="0"/>
              <w:widowControl/>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轻钢龙骨（U50型）吊顶 平面矿棉板</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5FAB1EB">
            <w:pPr>
              <w:jc w:val="center"/>
              <w:rPr>
                <w:rFonts w:hint="eastAsia" w:ascii="宋体" w:hAnsi="宋体" w:eastAsia="宋体" w:cs="宋体"/>
                <w:i w:val="0"/>
                <w:iCs w:val="0"/>
                <w:color w:val="auto"/>
                <w:kern w:val="2"/>
                <w:sz w:val="18"/>
                <w:szCs w:val="18"/>
                <w:highlight w:val="none"/>
                <w:u w:val="none"/>
                <w:lang w:val="en-US" w:eastAsia="zh-CN" w:bidi="ar-SA"/>
              </w:rPr>
            </w:pPr>
          </w:p>
        </w:tc>
      </w:tr>
      <w:tr w14:paraId="354B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7EEA3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4613DD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 xml:space="preserve">消防喷淋改造（包换管子更换）  </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2873D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8B99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100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A3B331C">
            <w:pPr>
              <w:pStyle w:val="31"/>
              <w:keepNext w:val="0"/>
              <w:keepLines w:val="0"/>
              <w:widowControl/>
              <w:suppressLineNumbers w:val="0"/>
              <w:spacing w:before="0" w:beforeAutospacing="0" w:after="0" w:afterAutospacing="0"/>
              <w:ind w:left="0" w:right="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经发包人同意，根据现场施工确认</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6CA4E64">
            <w:pPr>
              <w:jc w:val="center"/>
              <w:rPr>
                <w:rFonts w:hint="eastAsia" w:ascii="宋体" w:hAnsi="宋体" w:eastAsia="宋体" w:cs="宋体"/>
                <w:i w:val="0"/>
                <w:iCs w:val="0"/>
                <w:color w:val="auto"/>
                <w:kern w:val="2"/>
                <w:sz w:val="18"/>
                <w:szCs w:val="18"/>
                <w:highlight w:val="none"/>
                <w:u w:val="none"/>
                <w:lang w:val="en-US" w:eastAsia="zh-CN" w:bidi="ar-SA"/>
              </w:rPr>
            </w:pPr>
          </w:p>
        </w:tc>
      </w:tr>
      <w:tr w14:paraId="663A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29B00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38BD07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软装类</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EC684CB">
            <w:pPr>
              <w:rPr>
                <w:rFonts w:hint="eastAsia" w:ascii="宋体" w:hAnsi="宋体" w:eastAsia="宋体" w:cs="宋体"/>
                <w:i w:val="0"/>
                <w:iCs w:val="0"/>
                <w:color w:val="auto"/>
                <w:sz w:val="18"/>
                <w:szCs w:val="18"/>
                <w:highlight w:val="none"/>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C2B687F">
            <w:pPr>
              <w:rPr>
                <w:rFonts w:hint="eastAsia" w:ascii="宋体" w:hAnsi="宋体" w:eastAsia="宋体" w:cs="宋体"/>
                <w:i w:val="0"/>
                <w:iCs w:val="0"/>
                <w:color w:val="auto"/>
                <w:sz w:val="18"/>
                <w:szCs w:val="18"/>
                <w:highlight w:val="none"/>
                <w:u w:val="none"/>
                <w:lang w:val="en-US" w:eastAsia="zh-CN"/>
              </w:rPr>
            </w:pP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3CFFDDE">
            <w:pPr>
              <w:pStyle w:val="31"/>
              <w:keepNext w:val="0"/>
              <w:keepLines w:val="0"/>
              <w:widowControl/>
              <w:suppressLineNumbers w:val="0"/>
              <w:spacing w:before="0" w:beforeAutospacing="0" w:after="0" w:afterAutospacing="0"/>
              <w:ind w:left="0" w:right="0"/>
              <w:jc w:val="both"/>
              <w:rPr>
                <w:rFonts w:hint="eastAsia" w:ascii="宋体" w:hAnsi="宋体" w:eastAsia="宋体" w:cs="宋体"/>
                <w:color w:val="auto"/>
                <w:sz w:val="18"/>
                <w:szCs w:val="18"/>
                <w:highlight w:val="none"/>
                <w:lang w:val="en-US" w:eastAsia="zh-CN"/>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B486EA0">
            <w:pPr>
              <w:jc w:val="center"/>
              <w:rPr>
                <w:rFonts w:hint="eastAsia" w:ascii="宋体" w:hAnsi="宋体" w:eastAsia="宋体" w:cs="宋体"/>
                <w:i w:val="0"/>
                <w:iCs w:val="0"/>
                <w:color w:val="auto"/>
                <w:kern w:val="2"/>
                <w:sz w:val="18"/>
                <w:szCs w:val="18"/>
                <w:highlight w:val="none"/>
                <w:u w:val="none"/>
                <w:lang w:val="en-US" w:eastAsia="zh-CN" w:bidi="ar-SA"/>
              </w:rPr>
            </w:pPr>
          </w:p>
        </w:tc>
      </w:tr>
      <w:tr w14:paraId="5E37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F12BF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77C33E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 xml:space="preserve">床位 </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C838F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9B6C4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30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4BC3087">
            <w:pPr>
              <w:keepNext w:val="0"/>
              <w:keepLines w:val="0"/>
              <w:widowControl/>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 xml:space="preserve">一、规格： ≥2050*1000*500mm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二、功能配置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（1）整床具有2种调节功能：背部0-75°，腿部0-45°，整体高度：500mm。整床承重≥250Kg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（2）产品材料：床体采用优质冷轧碳素钢管 80×40×1.2mm 壁厚，床腿 为优质冷轧碳素钢管 40×40×1.2mm  壁厚，外表美观，寿命长。四角点滴输液架插孔，方便护理人员调整点滴护理时的位置。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（3）床头尾：采用木质颗粒板床头尾，床头带软包，两侧带木质围挡，两侧设有扶手，方便病人走动借力。  （款式可以根据需求定制）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护栏：木纹色不锈钢扶手，表面硬化处理，5支不锈钢护栏支柱，上下连接件采用一次冲压成形钢件，厚度≥2.0mm，开关精心防夹手设计确保长期使用的安全性，配有防松紧固件，耐磨，不变形，可收缩平放，收缩时略 高于床面，可防止床垫移位。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（5）床面用液压机模具一次带钢冲压成型，四角平滑完整，带模压圆孔凹槽和透气孔，采用鞍钢板材。床面焊接加强钢管，增大承载力，延长使用寿命。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（6）脚轮：采用5 寸高档静音脚轮，内置全封闭自润滑轴承，不需加油护理，防异物卷入,独立刹车；轮面采用 TPR 高分子耐磨材料，耐磨，无噪音。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传动部分：ABS材质摇把折叠设计，可隐藏于床头下面。把手带凹型防滑设计，美观舒适，伸缩杆为不锈钢材质，钢制万向节，丝杠采用45#钢双丝挤压成型，有过盈保护、双向限位功能，摇动灵活，无噪音。具有ABS防尘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三、可选配置：6公分床垫，采用 40mm 优质海南优质椰丝棕片和 20mm 高温高压处理、高密度、高弹性海绵，外罩采用优质防水牛津布，防水易擦拭、有透气性。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特点;耐磨，透气、防蛀、防腐、易拆洗、洗后不变形。（与床配套）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四、配置ABS餐桌</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BAF70D9">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drawing>
                <wp:inline distT="0" distB="0" distL="114300" distR="114300">
                  <wp:extent cx="762000" cy="628650"/>
                  <wp:effectExtent l="0" t="0" r="0" b="0"/>
                  <wp:docPr id="27"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descr="IMG_256"/>
                          <pic:cNvPicPr>
                            <a:picLocks noChangeAspect="1"/>
                          </pic:cNvPicPr>
                        </pic:nvPicPr>
                        <pic:blipFill>
                          <a:blip r:embed="rId12"/>
                          <a:stretch>
                            <a:fillRect/>
                          </a:stretch>
                        </pic:blipFill>
                        <pic:spPr>
                          <a:xfrm>
                            <a:off x="0" y="0"/>
                            <a:ext cx="762000" cy="628650"/>
                          </a:xfrm>
                          <a:prstGeom prst="rect">
                            <a:avLst/>
                          </a:prstGeom>
                          <a:noFill/>
                          <a:ln w="9525">
                            <a:noFill/>
                          </a:ln>
                        </pic:spPr>
                      </pic:pic>
                    </a:graphicData>
                  </a:graphic>
                </wp:inline>
              </w:drawing>
            </w:r>
          </w:p>
        </w:tc>
      </w:tr>
      <w:tr w14:paraId="70F1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03E09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0B0E70A6">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三人位房间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挂架版小米EA43英寸1+8G+智能wifi</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5B2FF1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6097483">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4E91603">
            <w:pPr>
              <w:keepNext w:val="0"/>
              <w:keepLines w:val="0"/>
              <w:widowControl/>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"屏幕显示：</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屏幕尺寸：43 英寸，适合中小空间，观影距离 1.5-2.5 米较为适宜。</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分辨率：1920×1080（全高清），能清晰呈现日常影视内容。</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屏幕比例：16:9，符合常见视频格式，无画面拉伸变形。</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背光源：LED，节能且寿命长。</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背光方式：直下式，提供均匀的屏幕亮度。</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可视角度：178°，多人观看时，不同角度画面无明显偏色、失真。</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刷新率：60Hz，满足日常观看电视节目、影视剧需求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硬件配置：</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运行内存（RAM）：1GB，可支持系统与部分常用应用流畅运行。</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存储内存（ROM）：8GB，可用于安装应用、存储部分缓存数据等，但空间相对有限，若需下载大量应用，可能需外接存储设备拓展。</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CPU：四核处理器，具体型号可能因批次有别，可保障基础操作及普通视频播放流畅度。</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GPU：Mali GPU，能较好处理图形渲染，提升画面显示效果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网络功能：支持 2.4GHz/5GHz 双频 WiFi，可快速连接家中无线网络，在线观看视频、下载应用等操作更流畅，部分机型同时配备有线网络接口，方便网络不稳定时使用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外观设计：</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边框材质：塑料材质，成本较低，不过质感上逊于金属边框。</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机身颜色：通常为黑色，经典百搭，能融入多种家装风格。</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屏占比：未明确官方数据，但整体外观较为简约，屏幕边框较窄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尺寸（不含底座）：长约 955.7mm、高约 551.6mm、厚约 83.2mm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尺寸（含底座）：长约 955.7mm、高约 600.8mm、厚约 210mm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重量（不含底座）：约 5.9kg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重量（含底座）：约 6kg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壁挂尺寸：一般为 200×200mm（支持壁挂安装，购买时可向商家咨询适配挂架）。</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接口：</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HDMI 接口：2 个（含一个 ARC），可连接电脑、游戏机、机顶盒等设备，ARC 接口支持音频回传，方便连接音响设备。</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AV 接口：1 个，可连接老旧设备，如部分 VCD、DVD 播放器。</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USB 接口：2 个，可外接 U 盘、移动硬盘，播放本地视频、音乐、图片等文件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模拟信号 DTMB 接口：1 个，可接收地面数字电视信号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以太网接口：1 个，用于连接有线网络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S/PDIF 接口：1 个，可外接数字音频设备，提升音频输出质量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音效：</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扬声器：2×8W，能满足日常音量需求，声音清晰，但在音质立体感、低音效果等方面表现相对一般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音频解码：支持 DTS-HD 音频解码，可播放多种音频格式文件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能效等级：三级能效，相对一级能效产品，在长期使用过程中能耗稍高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电源参数：</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电压：220V~ 50/60Hz，适应国内常规家庭用电环境。</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整机功率：约 70W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待机功率：≤0.50W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操作系统：MIUI for TV，界面简洁，操作方便，内置丰富应用，如在线视频平台、游戏中心、应用商店、电视管家等，支持智能互联，可与部分小米智能家居设备联动 。</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随机附件：通常包含遥控器（部分为蓝牙语音遥控器并含电池）、底座、安装说明、螺丝包等，具体以实际包装为准 。"</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44C36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drawing>
                <wp:inline distT="0" distB="0" distL="114300" distR="114300">
                  <wp:extent cx="962025" cy="628650"/>
                  <wp:effectExtent l="0" t="0" r="9525" b="0"/>
                  <wp:docPr id="28"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descr="IMG_257"/>
                          <pic:cNvPicPr>
                            <a:picLocks noChangeAspect="1"/>
                          </pic:cNvPicPr>
                        </pic:nvPicPr>
                        <pic:blipFill>
                          <a:blip r:embed="rId13"/>
                          <a:stretch>
                            <a:fillRect/>
                          </a:stretch>
                        </pic:blipFill>
                        <pic:spPr>
                          <a:xfrm>
                            <a:off x="0" y="0"/>
                            <a:ext cx="962025" cy="628650"/>
                          </a:xfrm>
                          <a:prstGeom prst="rect">
                            <a:avLst/>
                          </a:prstGeom>
                          <a:noFill/>
                          <a:ln w="9525">
                            <a:noFill/>
                          </a:ln>
                        </pic:spPr>
                      </pic:pic>
                    </a:graphicData>
                  </a:graphic>
                </wp:inline>
              </w:drawing>
            </w:r>
          </w:p>
        </w:tc>
      </w:tr>
      <w:tr w14:paraId="4C44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21412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7</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5518B633">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U型隔帘</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F9B108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3BA46D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2C19C18">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经发包人同意，根据现场施工确认</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01C7880">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drawing>
                <wp:inline distT="0" distB="0" distL="114300" distR="114300">
                  <wp:extent cx="466725" cy="628650"/>
                  <wp:effectExtent l="0" t="0" r="9525" b="0"/>
                  <wp:docPr id="29" name="图片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IMG_258"/>
                          <pic:cNvPicPr>
                            <a:picLocks noChangeAspect="1"/>
                          </pic:cNvPicPr>
                        </pic:nvPicPr>
                        <pic:blipFill>
                          <a:blip r:embed="rId14"/>
                          <a:stretch>
                            <a:fillRect/>
                          </a:stretch>
                        </pic:blipFill>
                        <pic:spPr>
                          <a:xfrm>
                            <a:off x="0" y="0"/>
                            <a:ext cx="466725" cy="628650"/>
                          </a:xfrm>
                          <a:prstGeom prst="rect">
                            <a:avLst/>
                          </a:prstGeom>
                          <a:noFill/>
                          <a:ln w="9525">
                            <a:noFill/>
                          </a:ln>
                        </pic:spPr>
                      </pic:pic>
                    </a:graphicData>
                  </a:graphic>
                </wp:inline>
              </w:drawing>
            </w:r>
          </w:p>
        </w:tc>
      </w:tr>
      <w:tr w14:paraId="334B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10397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8</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0ED587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床头柜</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253F5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4642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30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F2874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1、规格：60*40*40cm，一个抽屉，一个单开门。</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87615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drawing>
                <wp:inline distT="0" distB="0" distL="114300" distR="114300">
                  <wp:extent cx="600075" cy="628650"/>
                  <wp:effectExtent l="0" t="0" r="9525" b="0"/>
                  <wp:docPr id="30" name="图片 1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descr="IMG_259"/>
                          <pic:cNvPicPr>
                            <a:picLocks noChangeAspect="1"/>
                          </pic:cNvPicPr>
                        </pic:nvPicPr>
                        <pic:blipFill>
                          <a:blip r:embed="rId15"/>
                          <a:stretch>
                            <a:fillRect/>
                          </a:stretch>
                        </pic:blipFill>
                        <pic:spPr>
                          <a:xfrm>
                            <a:off x="0" y="0"/>
                            <a:ext cx="600075" cy="628650"/>
                          </a:xfrm>
                          <a:prstGeom prst="rect">
                            <a:avLst/>
                          </a:prstGeom>
                          <a:noFill/>
                          <a:ln w="9525">
                            <a:noFill/>
                          </a:ln>
                        </pic:spPr>
                      </pic:pic>
                    </a:graphicData>
                  </a:graphic>
                </wp:inline>
              </w:drawing>
            </w:r>
          </w:p>
        </w:tc>
      </w:tr>
      <w:tr w14:paraId="212B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48F3E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9</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41CEC38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床头装饰画</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1C55DD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5234BC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12BF8B8">
            <w:pPr>
              <w:keepNext w:val="0"/>
              <w:keepLines w:val="0"/>
              <w:widowControl/>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装裱方式：有框</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外框材质：铝合金</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画芯材质：油画布</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幅数：单幅</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装饰画分类：晶瓷画</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装饰画工艺：喷绘</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规格：吴冠中 - 江南水乡系列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尺寸：</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40*60（松木内框 + 画布）</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50*70（松木内框 + 画布）</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版权及专利情况：无相关版权或专利</w:t>
            </w:r>
            <w:r>
              <w:rPr>
                <w:rStyle w:val="183"/>
                <w:rFonts w:hint="eastAsia" w:ascii="宋体" w:hAnsi="宋体" w:eastAsia="宋体" w:cs="宋体"/>
                <w:sz w:val="18"/>
                <w:szCs w:val="18"/>
                <w:highlight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风格：新中式</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88E80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drawing>
                <wp:inline distT="0" distB="0" distL="114300" distR="114300">
                  <wp:extent cx="438150" cy="657225"/>
                  <wp:effectExtent l="0" t="0" r="0" b="9525"/>
                  <wp:docPr id="31" name="图片 1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descr="IMG_260"/>
                          <pic:cNvPicPr>
                            <a:picLocks noChangeAspect="1"/>
                          </pic:cNvPicPr>
                        </pic:nvPicPr>
                        <pic:blipFill>
                          <a:blip r:embed="rId16"/>
                          <a:stretch>
                            <a:fillRect/>
                          </a:stretch>
                        </pic:blipFill>
                        <pic:spPr>
                          <a:xfrm>
                            <a:off x="0" y="0"/>
                            <a:ext cx="438150" cy="657225"/>
                          </a:xfrm>
                          <a:prstGeom prst="rect">
                            <a:avLst/>
                          </a:prstGeom>
                          <a:noFill/>
                          <a:ln w="9525">
                            <a:noFill/>
                          </a:ln>
                        </pic:spPr>
                      </pic:pic>
                    </a:graphicData>
                  </a:graphic>
                </wp:inline>
              </w:drawing>
            </w:r>
          </w:p>
        </w:tc>
      </w:tr>
      <w:tr w14:paraId="0504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20D81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10</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512E417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感应小夜灯</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968D37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9BEC7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A09EC87">
            <w:pPr>
              <w:keepNext w:val="0"/>
              <w:keepLines w:val="0"/>
              <w:widowControl/>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专利情况：无相关专利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附加功能：夜灯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品牌：美的</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电压：≤36V（V）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灯罩材质：玻璃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开关类型：按钮式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风格：现代简约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灯光颜色：手动开关款、光感感应款、人体感应款、遥控款、暮云小夜灯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光源功率：0.4W、2W（W）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供电方式：插座供电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造型：几何立体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A【普通机械款】柔和暖光+手动开关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B【光控感应款】天黑即亮+天亮即灭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C【人体感应款】人来即亮+人走即灭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D 充电款+人体感应+1200毫安大容量电池</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4178A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drawing>
                <wp:inline distT="0" distB="0" distL="114300" distR="114300">
                  <wp:extent cx="790575" cy="704850"/>
                  <wp:effectExtent l="0" t="0" r="9525" b="0"/>
                  <wp:docPr id="32" name="图片 1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descr="IMG_261"/>
                          <pic:cNvPicPr>
                            <a:picLocks noChangeAspect="1"/>
                          </pic:cNvPicPr>
                        </pic:nvPicPr>
                        <pic:blipFill>
                          <a:blip r:embed="rId17"/>
                          <a:stretch>
                            <a:fillRect/>
                          </a:stretch>
                        </pic:blipFill>
                        <pic:spPr>
                          <a:xfrm>
                            <a:off x="0" y="0"/>
                            <a:ext cx="790575" cy="704850"/>
                          </a:xfrm>
                          <a:prstGeom prst="rect">
                            <a:avLst/>
                          </a:prstGeom>
                          <a:noFill/>
                          <a:ln w="9525">
                            <a:noFill/>
                          </a:ln>
                        </pic:spPr>
                      </pic:pic>
                    </a:graphicData>
                  </a:graphic>
                </wp:inline>
              </w:drawing>
            </w:r>
          </w:p>
        </w:tc>
      </w:tr>
      <w:tr w14:paraId="6F0C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A49EB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5A155C8B">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两门三抽+顶柜储物柜</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D57C73D">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E20FAD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B35C5B9">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经发包人同意，根据现场施工确认</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54CBD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drawing>
                <wp:inline distT="0" distB="0" distL="114300" distR="114300">
                  <wp:extent cx="809625" cy="819150"/>
                  <wp:effectExtent l="0" t="0" r="9525" b="0"/>
                  <wp:docPr id="33" name="图片 1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descr="IMG_262"/>
                          <pic:cNvPicPr>
                            <a:picLocks noChangeAspect="1"/>
                          </pic:cNvPicPr>
                        </pic:nvPicPr>
                        <pic:blipFill>
                          <a:blip r:embed="rId18"/>
                          <a:stretch>
                            <a:fillRect/>
                          </a:stretch>
                        </pic:blipFill>
                        <pic:spPr>
                          <a:xfrm>
                            <a:off x="0" y="0"/>
                            <a:ext cx="809625" cy="819150"/>
                          </a:xfrm>
                          <a:prstGeom prst="rect">
                            <a:avLst/>
                          </a:prstGeom>
                          <a:noFill/>
                          <a:ln w="9525">
                            <a:noFill/>
                          </a:ln>
                        </pic:spPr>
                      </pic:pic>
                    </a:graphicData>
                  </a:graphic>
                </wp:inline>
              </w:drawing>
            </w:r>
          </w:p>
        </w:tc>
      </w:tr>
    </w:tbl>
    <w:p w14:paraId="64F6285F">
      <w:pPr>
        <w:rPr>
          <w:rFonts w:hint="eastAsia"/>
          <w:highlight w:val="none"/>
          <w:lang w:val="en-US" w:eastAsia="zh-CN"/>
        </w:rPr>
      </w:pPr>
    </w:p>
    <w:p w14:paraId="16D26F74">
      <w:pPr>
        <w:rPr>
          <w:rFonts w:hint="eastAsia"/>
          <w:b/>
          <w:bCs/>
          <w:sz w:val="22"/>
          <w:szCs w:val="22"/>
          <w:highlight w:val="none"/>
          <w:lang w:val="en-US" w:eastAsia="zh-CN"/>
        </w:rPr>
      </w:pPr>
    </w:p>
    <w:p w14:paraId="27CA95A5">
      <w:pPr>
        <w:pStyle w:val="11"/>
        <w:rPr>
          <w:rFonts w:hint="eastAsia"/>
          <w:b/>
          <w:bCs/>
          <w:sz w:val="22"/>
          <w:szCs w:val="22"/>
          <w:highlight w:val="none"/>
          <w:lang w:val="en-US" w:eastAsia="zh-CN"/>
        </w:rPr>
      </w:pPr>
    </w:p>
    <w:p w14:paraId="0ABF5F5D">
      <w:pPr>
        <w:rPr>
          <w:rFonts w:hint="eastAsia"/>
          <w:b/>
          <w:bCs/>
          <w:sz w:val="22"/>
          <w:szCs w:val="22"/>
          <w:highlight w:val="none"/>
          <w:lang w:val="en-US" w:eastAsia="zh-CN"/>
        </w:rPr>
      </w:pPr>
    </w:p>
    <w:p w14:paraId="40CBE1F6">
      <w:pPr>
        <w:pStyle w:val="11"/>
        <w:rPr>
          <w:rFonts w:hint="eastAsia"/>
          <w:b/>
          <w:bCs/>
          <w:sz w:val="22"/>
          <w:szCs w:val="22"/>
          <w:highlight w:val="none"/>
          <w:lang w:val="en-US" w:eastAsia="zh-CN"/>
        </w:rPr>
      </w:pPr>
    </w:p>
    <w:p w14:paraId="0A231379">
      <w:pPr>
        <w:rPr>
          <w:rFonts w:hint="eastAsia"/>
          <w:b/>
          <w:bCs/>
          <w:sz w:val="22"/>
          <w:szCs w:val="22"/>
          <w:highlight w:val="none"/>
          <w:lang w:val="en-US" w:eastAsia="zh-CN"/>
        </w:rPr>
      </w:pPr>
    </w:p>
    <w:p w14:paraId="1AC36915">
      <w:pPr>
        <w:pStyle w:val="11"/>
        <w:rPr>
          <w:rFonts w:hint="eastAsia"/>
          <w:lang w:val="en-US" w:eastAsia="zh-CN"/>
        </w:rPr>
      </w:pPr>
    </w:p>
    <w:p w14:paraId="79B0FD9E">
      <w:pPr>
        <w:rPr>
          <w:rFonts w:hint="eastAsia"/>
          <w:b/>
          <w:bCs/>
          <w:sz w:val="22"/>
          <w:szCs w:val="22"/>
          <w:highlight w:val="none"/>
          <w:lang w:val="en-US" w:eastAsia="zh-CN"/>
        </w:rPr>
      </w:pPr>
      <w:r>
        <w:rPr>
          <w:rFonts w:hint="eastAsia"/>
          <w:b/>
          <w:bCs/>
          <w:sz w:val="22"/>
          <w:szCs w:val="22"/>
          <w:highlight w:val="none"/>
          <w:lang w:val="en-US" w:eastAsia="zh-CN"/>
        </w:rPr>
        <w:t>助浴室清单：</w:t>
      </w:r>
    </w:p>
    <w:tbl>
      <w:tblPr>
        <w:tblStyle w:val="37"/>
        <w:tblW w:w="5400" w:type="pct"/>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816"/>
        <w:gridCol w:w="5115"/>
        <w:gridCol w:w="693"/>
        <w:gridCol w:w="1540"/>
      </w:tblGrid>
      <w:tr w14:paraId="5D84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auto" w:sz="4" w:space="0"/>
              <w:left w:val="single" w:color="000000" w:sz="4" w:space="0"/>
              <w:bottom w:val="single" w:color="000000" w:sz="4" w:space="0"/>
              <w:right w:val="single" w:color="000000" w:sz="4" w:space="0"/>
            </w:tcBorders>
            <w:shd w:val="clear" w:color="auto" w:fill="auto"/>
            <w:vAlign w:val="center"/>
          </w:tcPr>
          <w:p w14:paraId="0100B09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909"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19BC2A6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内容名称</w:t>
            </w:r>
          </w:p>
        </w:tc>
        <w:tc>
          <w:tcPr>
            <w:tcW w:w="2562"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1BF58E1">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材料及尺寸</w:t>
            </w:r>
          </w:p>
        </w:tc>
        <w:tc>
          <w:tcPr>
            <w:tcW w:w="34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528EE87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71" w:type="pct"/>
            <w:tcBorders>
              <w:top w:val="single" w:color="auto" w:sz="4" w:space="0"/>
              <w:left w:val="single" w:color="000000" w:sz="4" w:space="0"/>
              <w:bottom w:val="single" w:color="000000" w:sz="4" w:space="0"/>
              <w:right w:val="single" w:color="000000" w:sz="4" w:space="0"/>
            </w:tcBorders>
            <w:shd w:val="clear" w:color="auto" w:fill="FFFFFF"/>
            <w:vAlign w:val="center"/>
          </w:tcPr>
          <w:p w14:paraId="71C43E5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14:paraId="1D2F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92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735F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立柱台盆拆除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F9A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sz w:val="21"/>
                <w:szCs w:val="21"/>
                <w:u w:val="none"/>
                <w:lang w:val="en-US" w:eastAsia="zh-CN"/>
              </w:rPr>
              <w:t>立柱台盆</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FD23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0C4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2347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87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DA8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铝扣板吊顶拆除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E85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kern w:val="0"/>
                <w:sz w:val="18"/>
                <w:szCs w:val="18"/>
                <w:u w:val="none"/>
                <w:lang w:val="en-US" w:eastAsia="zh-CN" w:bidi="ar"/>
              </w:rPr>
              <w:t>金属吊顶</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B0CE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33B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14.1</w:t>
            </w:r>
          </w:p>
        </w:tc>
      </w:tr>
      <w:tr w14:paraId="47EDA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1E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5AE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马桶拆除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D34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sz w:val="21"/>
                <w:szCs w:val="21"/>
                <w:u w:val="none"/>
                <w:lang w:val="en-US" w:eastAsia="zh-CN"/>
              </w:rPr>
              <w:t>洁具</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265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4A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w:t>
            </w:r>
          </w:p>
        </w:tc>
      </w:tr>
      <w:tr w14:paraId="0FAA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7F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4</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495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马桶扶手拆除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F07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kern w:val="0"/>
                <w:sz w:val="18"/>
                <w:szCs w:val="18"/>
                <w:u w:val="none"/>
                <w:lang w:val="en-US" w:eastAsia="zh-CN" w:bidi="ar"/>
              </w:rPr>
              <w:t>马桶扶手</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B0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AA3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3931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00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5B82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门套拆除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FE4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kern w:val="0"/>
                <w:sz w:val="18"/>
                <w:szCs w:val="18"/>
                <w:u w:val="none"/>
                <w:lang w:val="en-US" w:eastAsia="zh-CN" w:bidi="ar"/>
              </w:rPr>
              <w:t>门套</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692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AB8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5985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48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7665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门拆除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EC9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kern w:val="0"/>
                <w:sz w:val="18"/>
                <w:szCs w:val="18"/>
                <w:u w:val="none"/>
                <w:lang w:val="en-US" w:eastAsia="zh-CN" w:bidi="ar"/>
              </w:rPr>
              <w:t>门</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213F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樘</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7C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7073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37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7</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1F8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门套基层</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04C5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细木工板基层门套</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7F2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7D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42AF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90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8</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312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抹灰面批刮腻子（满刮两遍）</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2EE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u w:val="none"/>
                <w:lang w:eastAsia="zh-CN"/>
              </w:rPr>
              <w:t>墙面刮腻子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A90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73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17.55</w:t>
            </w:r>
          </w:p>
        </w:tc>
      </w:tr>
      <w:tr w14:paraId="5B11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8BD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9</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F91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EF0F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龙骨基层及铝扣板面层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65F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69F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14.1</w:t>
            </w:r>
          </w:p>
        </w:tc>
      </w:tr>
      <w:tr w14:paraId="4E80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62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BBC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不锈钢条形地漏</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7AB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不锈钢条形地漏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EC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7D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w:t>
            </w:r>
          </w:p>
        </w:tc>
      </w:tr>
      <w:tr w14:paraId="16FD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A83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11</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52D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地面防水保护层</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D949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防水涂料两遍</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ACC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FB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14.1</w:t>
            </w:r>
          </w:p>
        </w:tc>
      </w:tr>
      <w:tr w14:paraId="30F2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A4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12</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344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地砖地面拆除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68E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cs="宋体"/>
                <w:i w:val="0"/>
                <w:iCs w:val="0"/>
                <w:color w:val="000000"/>
                <w:kern w:val="0"/>
                <w:sz w:val="21"/>
                <w:szCs w:val="21"/>
                <w:u w:val="none"/>
                <w:lang w:val="en-US" w:eastAsia="zh-CN" w:bidi="ar"/>
              </w:rPr>
              <w:t>地面砖</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B01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00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14.1</w:t>
            </w:r>
          </w:p>
        </w:tc>
      </w:tr>
      <w:tr w14:paraId="5B30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AC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13</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50DC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地砖楼地面（干混砂浆铺贴） 周长2400mm以内 密缝</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D0C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u w:val="none"/>
                <w:lang w:eastAsia="zh-CN"/>
              </w:rPr>
              <w:t>地面贴防滑地砖</w:t>
            </w:r>
            <w:r>
              <w:rPr>
                <w:rFonts w:hint="eastAsia" w:ascii="宋体" w:hAnsi="宋体" w:cs="宋体"/>
                <w:i w:val="0"/>
                <w:iCs w:val="0"/>
                <w:color w:val="000000"/>
                <w:sz w:val="21"/>
                <w:szCs w:val="21"/>
                <w:u w:val="none"/>
                <w:lang w:val="en-US" w:eastAsia="zh-CN"/>
              </w:rPr>
              <w:t>600*600mm</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E0B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65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14.1</w:t>
            </w:r>
          </w:p>
        </w:tc>
      </w:tr>
      <w:tr w14:paraId="143F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54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14</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F38F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方形地漏</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DF9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方形地漏</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F3C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BC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w:t>
            </w:r>
          </w:p>
        </w:tc>
      </w:tr>
      <w:tr w14:paraId="538D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C2F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15</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AD9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换气扇</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B211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18"/>
                <w:szCs w:val="18"/>
                <w:u w:val="none"/>
                <w:lang w:val="en-US" w:eastAsia="zh-CN" w:bidi="ar"/>
              </w:rPr>
              <w:t>换气扇制作安装</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50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15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2A30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20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16</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856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墙地面防水</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02A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防水涂料两遍</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9EF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AC5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52.6</w:t>
            </w:r>
          </w:p>
        </w:tc>
      </w:tr>
      <w:tr w14:paraId="12C4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A0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17</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E23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墙面粉刷铲除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911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cs="宋体"/>
                <w:i w:val="0"/>
                <w:iCs w:val="0"/>
                <w:color w:val="000000"/>
                <w:kern w:val="0"/>
                <w:sz w:val="21"/>
                <w:szCs w:val="21"/>
                <w:u w:val="none"/>
                <w:lang w:val="en-US" w:eastAsia="zh-CN" w:bidi="ar"/>
              </w:rPr>
              <w:t>墙面粉刷层</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CC4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4E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22.9356</w:t>
            </w:r>
          </w:p>
        </w:tc>
      </w:tr>
      <w:tr w14:paraId="3B25F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39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18</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B9D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墙砖铺贴</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F96F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sz w:val="21"/>
                <w:szCs w:val="21"/>
                <w:u w:val="none"/>
                <w:lang w:val="en-US" w:eastAsia="zh-CN"/>
              </w:rPr>
              <w:t>墙面</w:t>
            </w:r>
            <w:r>
              <w:rPr>
                <w:rFonts w:hint="eastAsia" w:ascii="宋体" w:hAnsi="宋体" w:cs="宋体"/>
                <w:i w:val="0"/>
                <w:iCs w:val="0"/>
                <w:color w:val="000000"/>
                <w:sz w:val="21"/>
                <w:szCs w:val="21"/>
                <w:u w:val="none"/>
                <w:lang w:eastAsia="zh-CN"/>
              </w:rPr>
              <w:t>贴</w:t>
            </w:r>
            <w:r>
              <w:rPr>
                <w:rFonts w:hint="eastAsia" w:ascii="宋体" w:hAnsi="宋体" w:cs="宋体"/>
                <w:i w:val="0"/>
                <w:iCs w:val="0"/>
                <w:color w:val="000000"/>
                <w:sz w:val="21"/>
                <w:szCs w:val="21"/>
                <w:u w:val="none"/>
                <w:lang w:val="en-US" w:eastAsia="zh-CN"/>
              </w:rPr>
              <w:t>300*600mm墙面砖</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654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02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39</w:t>
            </w:r>
          </w:p>
        </w:tc>
      </w:tr>
      <w:tr w14:paraId="10E1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0B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19</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59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轻钢龙骨（U50型）吊顶 平面</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18F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轻钢龙骨U50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F7DE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95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14.1</w:t>
            </w:r>
          </w:p>
        </w:tc>
      </w:tr>
      <w:tr w14:paraId="7308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F2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E34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梳妆镜拆除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B28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kern w:val="0"/>
                <w:sz w:val="18"/>
                <w:szCs w:val="18"/>
                <w:u w:val="none"/>
                <w:lang w:val="en-US" w:eastAsia="zh-CN" w:bidi="ar"/>
              </w:rPr>
              <w:t>梳妆镜</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117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60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4115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736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21</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442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水电工人工费（含材料）</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7F44">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水电工人工费（含材料）</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30F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21A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3596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DE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22</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67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水泥砂浆墙面粉刷</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FF45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20厚墙面抹灰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A7C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B7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25.6</w:t>
            </w:r>
          </w:p>
        </w:tc>
      </w:tr>
      <w:tr w14:paraId="539F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E9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23</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6E5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台盆扶手拆除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20B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kern w:val="0"/>
                <w:sz w:val="18"/>
                <w:szCs w:val="18"/>
                <w:u w:val="none"/>
                <w:lang w:val="en-US" w:eastAsia="zh-CN" w:bidi="ar"/>
              </w:rPr>
              <w:t>台盆扶手</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D19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2B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21A1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3C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24</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36A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拖把池拆除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7B0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kern w:val="0"/>
                <w:sz w:val="18"/>
                <w:szCs w:val="18"/>
                <w:u w:val="none"/>
                <w:lang w:val="en-US" w:eastAsia="zh-CN" w:bidi="ar"/>
              </w:rPr>
              <w:t>拖把池</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8AE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AC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616A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A8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25</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F2D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吸顶灯</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8D61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LED吸顶灯24W</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AAC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24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667C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80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26</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F61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洗手盆拆除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3A0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kern w:val="0"/>
                <w:sz w:val="18"/>
                <w:szCs w:val="18"/>
                <w:u w:val="none"/>
                <w:lang w:val="en-US" w:eastAsia="zh-CN" w:bidi="ar"/>
              </w:rPr>
              <w:t>洗手盆</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2C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76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w:t>
            </w:r>
          </w:p>
        </w:tc>
      </w:tr>
      <w:tr w14:paraId="4E84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42C5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DB7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小便斗拆除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41D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kern w:val="0"/>
                <w:sz w:val="18"/>
                <w:szCs w:val="18"/>
                <w:u w:val="none"/>
                <w:lang w:val="en-US" w:eastAsia="zh-CN" w:bidi="ar"/>
              </w:rPr>
              <w:t>洁具</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F67C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CEC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30C9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461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D70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小便斗扶手拆除</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013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u w:val="none"/>
              </w:rPr>
              <w:t>拆除原</w:t>
            </w:r>
            <w:r>
              <w:rPr>
                <w:rFonts w:hint="eastAsia" w:ascii="宋体" w:hAnsi="宋体" w:eastAsia="宋体" w:cs="宋体"/>
                <w:i w:val="0"/>
                <w:iCs w:val="0"/>
                <w:color w:val="000000"/>
                <w:kern w:val="0"/>
                <w:sz w:val="18"/>
                <w:szCs w:val="18"/>
                <w:u w:val="none"/>
                <w:lang w:val="en-US" w:eastAsia="zh-CN" w:bidi="ar"/>
              </w:rPr>
              <w:t>小便斗扶手</w:t>
            </w:r>
            <w:r>
              <w:rPr>
                <w:rFonts w:hint="eastAsia" w:ascii="宋体" w:hAnsi="宋体" w:eastAsia="宋体" w:cs="宋体"/>
                <w:i w:val="0"/>
                <w:iCs w:val="0"/>
                <w:color w:val="000000"/>
                <w:sz w:val="21"/>
                <w:szCs w:val="21"/>
                <w:u w:val="none"/>
              </w:rPr>
              <w:t>，废料运至室外指定堆放点，综合单价不包括废料外运</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CA9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7D1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3CA1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02C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5AF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浴霸</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E386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取暖1100W浴霸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FE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8D9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109A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00F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148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坐便器（马桶）</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A6AD">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1.尺寸：650*390*720mm；最小坑距305mm；</w:t>
            </w:r>
          </w:p>
          <w:p w14:paraId="2B2283F0">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2.管径：8.0大管径，五孔超漩虹吸；</w:t>
            </w:r>
          </w:p>
          <w:p w14:paraId="1DBEF4A8">
            <w:pPr>
              <w:keepNext w:val="0"/>
              <w:keepLines w:val="0"/>
              <w:widowControl/>
              <w:suppressLineNumbers w:val="0"/>
              <w:jc w:val="left"/>
              <w:textAlignment w:val="cente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kern w:val="0"/>
                <w:sz w:val="18"/>
                <w:szCs w:val="18"/>
                <w:highlight w:val="none"/>
                <w:u w:val="none"/>
                <w:lang w:val="en-US" w:eastAsia="zh-CN" w:bidi="ar"/>
              </w:rPr>
              <w:t>3.特点：防溅防臭，抗菌环保。</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470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D1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2F54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0114">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5F6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助浴床（手动）</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AD67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不锈钢床体、防水床垫、不锈钢摇柄</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66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6E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A99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8"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0ED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E106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小便斗扶手</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2103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1.材质：不锈钢龙骨、不锈钢底座。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2.内衬龙骨：不锈钢¢28管，两头不锈钢垫片满焊处理。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3.外层材料：采用Φ35*3.5mm纯黄色或者纯白色ABS或者尼龙原装环保料，不能是米白色或者米黄色回收料生产，外表面只有6条防滑颗粒，并且面管两端人工倒角，使用中安全舒话避免划伤。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olor w:val="000000"/>
                <w:kern w:val="0"/>
                <w:sz w:val="18"/>
                <w:szCs w:val="18"/>
                <w:u w:val="none"/>
                <w:lang w:val="en-US" w:eastAsia="zh-CN" w:bidi="ar"/>
              </w:rPr>
              <w:t>4.BBP,DEHP,DBP有毒物质含量合格检测，提供具有CMA认证的检测机构的检测报告复印件。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olor w:val="000000"/>
                <w:kern w:val="0"/>
                <w:sz w:val="18"/>
                <w:szCs w:val="18"/>
                <w:u w:val="none"/>
                <w:lang w:val="en-US" w:eastAsia="zh-CN" w:bidi="ar"/>
              </w:rPr>
              <w:t>5.耐冲击性能合格检测，大肠杆菌，金黄色葡萄球菌等抗菌检测率必须在99.9%以上，提供具有CMA认证的检测机构的检测报告复印件</w:t>
            </w:r>
            <w:r>
              <w:rPr>
                <w:rFonts w:hint="eastAsia" w:ascii="宋体" w:hAnsi="宋体" w:cs="宋体"/>
                <w:i w:val="0"/>
                <w:iCs w:val="0"/>
                <w:color w:val="000000"/>
                <w:kern w:val="0"/>
                <w:sz w:val="18"/>
                <w:szCs w:val="18"/>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85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FCF4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5EE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703E7">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078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小便斗</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BA197">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电动，壁挂式小便斗</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3E6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9216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0335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109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33F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无障碍一体化台盆（小）</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D15FB">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瓷质</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67E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D9C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3BA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F34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9EFE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无障碍台盆柜</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CC1EB">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成品台盆柜</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BA3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C21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E42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142C">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518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污物处理池</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16333">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瓷质</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FA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29D6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63E6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D5250">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37</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304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拖把池</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0A097">
            <w:pPr>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瓷质</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459F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FAA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D99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CDC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38</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923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台盆水龙头</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AE2BD">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不锈钢</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96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6C5C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036D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CB8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39</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5D75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水龙头</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65DA4">
            <w:pPr>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不锈钢</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00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485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r>
      <w:tr w14:paraId="58C4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AED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E02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适老洗澡椅</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3E6A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高度调节7档，最大承重136KG，毛重3.52KG，敬重2.72KG，主要材质为加厚铝合金。</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169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65A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09D3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A261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41</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094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清洁池</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009D7">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瓷质清洁池</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383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729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5052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947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42</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725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马桶落地扶手</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D41E9">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安全扶手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6FF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9C2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3522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DE172">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43</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758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卷纸器</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DD209">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不锈钢</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2F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6F0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A7F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BC5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44</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768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镜柜</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71640">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成品镜柜（根据现场放置合适尺寸）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3E7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2E7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3572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A9F1">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BD2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换鞋凳</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E162B">
            <w:pPr>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换鞋凳</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170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29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2A01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216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46</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A444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恒温花洒</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B4DDC">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不锈钢</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14A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84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5584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F1C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47</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0916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更衣柜</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FD4A8">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木质更衣柜（根据现场放置合适尺寸）</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5183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12D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A18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D88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48</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EF2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防水型紧急呼叫器</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6F71B">
            <w:pPr>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防水型紧急呼叫器</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5C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0A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7AEF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03F6">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F67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L型扶手</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5B4E2">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无障碍L型扶手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09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0859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78F5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B2A1">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422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ABS扶手</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8210D">
            <w:pPr>
              <w:jc w:val="left"/>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墙面ABS靠墙扶手</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5C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B7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2.18</w:t>
            </w:r>
          </w:p>
        </w:tc>
      </w:tr>
      <w:tr w14:paraId="2730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0432">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B36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50L垃圾桶</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A176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容量规格：50L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尺寸参考：常规尺寸长 × 宽 × 高约 40×35×70cm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材质：多为 HDPE 塑料或不锈钢，塑料款轻便耐摔，不锈钢款坚固易清洁，均防水防腐蚀</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结构设计：带盖设计，脚踏开盖；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特点：容量大，无需频繁清理；表面光滑，易擦拭；符合常规垃圾收纳使用需求</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96F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A0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14:paraId="4597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D9F2">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52</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2C1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10kg洗衣机</w:t>
            </w:r>
          </w:p>
        </w:tc>
        <w:tc>
          <w:tcPr>
            <w:tcW w:w="2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C35C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洗涤容量：10kg</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烘干容量：约 7kg</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尺寸：高约 850mm× 宽约 595mm× 深约 560mm</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外观：金属钛配色，一体化全屏晶钻玻璃门</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核心配置：</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电机：BLDC 变频电机</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洗净比：1.1</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能效等级：一级</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主要功能：</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洗烘一体，支持多种洗涤模式（日常洗、羊毛洗等）</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蒸汽除菌净螨、智能投放、95℃高温筒自洁、中途添衣</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操控：触摸面板 + 360 度旋转旋钮，带显示屏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材质：不锈钢内筒，高强度塑料外筒 + 金属机身框架</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9CB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20F8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bl>
    <w:p w14:paraId="1B08730B">
      <w:pPr>
        <w:rPr>
          <w:rFonts w:hint="default"/>
          <w:highlight w:val="none"/>
          <w:lang w:val="en-US" w:eastAsia="zh-CN"/>
        </w:rPr>
      </w:pPr>
    </w:p>
    <w:p w14:paraId="3FD0A29E">
      <w:pPr>
        <w:pStyle w:val="11"/>
        <w:rPr>
          <w:rFonts w:hint="default"/>
          <w:highlight w:val="none"/>
          <w:lang w:val="en-US" w:eastAsia="zh-CN"/>
        </w:rPr>
      </w:pPr>
    </w:p>
    <w:p w14:paraId="30732166">
      <w:pPr>
        <w:rPr>
          <w:rFonts w:hint="default"/>
          <w:highlight w:val="none"/>
          <w:lang w:val="en-US" w:eastAsia="zh-CN"/>
        </w:rPr>
      </w:pPr>
    </w:p>
    <w:p w14:paraId="11DF2386">
      <w:pPr>
        <w:pStyle w:val="11"/>
        <w:rPr>
          <w:rFonts w:hint="default"/>
          <w:highlight w:val="none"/>
          <w:lang w:val="en-US" w:eastAsia="zh-CN"/>
        </w:rPr>
      </w:pPr>
    </w:p>
    <w:p w14:paraId="40E0FD3B">
      <w:pPr>
        <w:rPr>
          <w:rFonts w:hint="default"/>
          <w:highlight w:val="none"/>
          <w:lang w:val="en-US" w:eastAsia="zh-CN"/>
        </w:rPr>
      </w:pPr>
    </w:p>
    <w:p w14:paraId="58D7BCB9">
      <w:pPr>
        <w:pStyle w:val="11"/>
        <w:rPr>
          <w:rFonts w:hint="default"/>
          <w:highlight w:val="none"/>
          <w:lang w:val="en-US" w:eastAsia="zh-CN"/>
        </w:rPr>
      </w:pPr>
    </w:p>
    <w:p w14:paraId="68C0541C">
      <w:pPr>
        <w:rPr>
          <w:rFonts w:hint="default"/>
          <w:highlight w:val="none"/>
          <w:lang w:val="en-US" w:eastAsia="zh-CN"/>
        </w:rPr>
      </w:pPr>
    </w:p>
    <w:p w14:paraId="728EDADA">
      <w:pPr>
        <w:pStyle w:val="11"/>
        <w:rPr>
          <w:rFonts w:hint="default"/>
          <w:lang w:val="en-US" w:eastAsia="zh-CN"/>
        </w:rPr>
      </w:pPr>
    </w:p>
    <w:p w14:paraId="6A7338E0">
      <w:pPr>
        <w:rPr>
          <w:rFonts w:hint="default"/>
          <w:highlight w:val="none"/>
          <w:lang w:val="en-US" w:eastAsia="zh-CN"/>
        </w:rPr>
      </w:pPr>
    </w:p>
    <w:p w14:paraId="3782D7AF">
      <w:pPr>
        <w:rPr>
          <w:rFonts w:hint="eastAsia"/>
          <w:b/>
          <w:bCs/>
          <w:sz w:val="22"/>
          <w:szCs w:val="22"/>
          <w:highlight w:val="none"/>
          <w:lang w:val="en-US" w:eastAsia="zh-CN"/>
        </w:rPr>
      </w:pPr>
      <w:r>
        <w:rPr>
          <w:rFonts w:hint="eastAsia"/>
          <w:b/>
          <w:bCs/>
          <w:sz w:val="22"/>
          <w:szCs w:val="22"/>
          <w:highlight w:val="none"/>
          <w:lang w:val="en-US" w:eastAsia="zh-CN"/>
        </w:rPr>
        <w:t>备餐区及康复室清单：</w:t>
      </w:r>
    </w:p>
    <w:tbl>
      <w:tblPr>
        <w:tblStyle w:val="37"/>
        <w:tblW w:w="5127" w:type="pct"/>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
        <w:gridCol w:w="2361"/>
        <w:gridCol w:w="4587"/>
        <w:gridCol w:w="1016"/>
        <w:gridCol w:w="1050"/>
      </w:tblGrid>
      <w:tr w14:paraId="271F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244" w:type="pct"/>
            <w:tcBorders>
              <w:top w:val="single" w:color="auto" w:sz="4" w:space="0"/>
              <w:left w:val="single" w:color="000000" w:sz="4" w:space="0"/>
              <w:bottom w:val="single" w:color="000000" w:sz="4" w:space="0"/>
              <w:right w:val="single" w:color="000000" w:sz="4" w:space="0"/>
            </w:tcBorders>
            <w:shd w:val="clear" w:color="auto" w:fill="auto"/>
            <w:vAlign w:val="center"/>
          </w:tcPr>
          <w:p w14:paraId="24DB18E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highlight w:val="none"/>
                <w:u w:val="none"/>
              </w:rPr>
            </w:pPr>
            <w:r>
              <w:rPr>
                <w:rFonts w:hint="eastAsia" w:asciiTheme="majorEastAsia" w:hAnsiTheme="majorEastAsia" w:eastAsiaTheme="majorEastAsia" w:cstheme="majorEastAsia"/>
                <w:b/>
                <w:bCs/>
                <w:i w:val="0"/>
                <w:iCs w:val="0"/>
                <w:color w:val="000000"/>
                <w:kern w:val="0"/>
                <w:sz w:val="18"/>
                <w:szCs w:val="18"/>
                <w:highlight w:val="none"/>
                <w:u w:val="none"/>
                <w:lang w:val="en-US" w:eastAsia="zh-CN" w:bidi="ar"/>
              </w:rPr>
              <w:t>序号</w:t>
            </w:r>
          </w:p>
        </w:tc>
        <w:tc>
          <w:tcPr>
            <w:tcW w:w="1245"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3E16F4F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highlight w:val="none"/>
                <w:u w:val="none"/>
              </w:rPr>
            </w:pPr>
            <w:r>
              <w:rPr>
                <w:rFonts w:hint="eastAsia" w:asciiTheme="majorEastAsia" w:hAnsiTheme="majorEastAsia" w:eastAsiaTheme="majorEastAsia" w:cstheme="majorEastAsia"/>
                <w:b/>
                <w:bCs/>
                <w:i w:val="0"/>
                <w:iCs w:val="0"/>
                <w:color w:val="000000"/>
                <w:kern w:val="0"/>
                <w:sz w:val="18"/>
                <w:szCs w:val="18"/>
                <w:highlight w:val="none"/>
                <w:u w:val="none"/>
                <w:lang w:val="en-US" w:eastAsia="zh-CN" w:bidi="ar"/>
              </w:rPr>
              <w:t>内容名称</w:t>
            </w:r>
          </w:p>
        </w:tc>
        <w:tc>
          <w:tcPr>
            <w:tcW w:w="2419" w:type="pct"/>
            <w:tcBorders>
              <w:top w:val="single" w:color="auto" w:sz="4" w:space="0"/>
              <w:left w:val="single" w:color="000000" w:sz="4" w:space="0"/>
              <w:bottom w:val="single" w:color="000000" w:sz="4" w:space="0"/>
              <w:right w:val="single" w:color="000000" w:sz="4" w:space="0"/>
            </w:tcBorders>
            <w:shd w:val="clear" w:color="auto" w:fill="FFFFFF"/>
            <w:vAlign w:val="center"/>
          </w:tcPr>
          <w:p w14:paraId="52E1CC3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highlight w:val="none"/>
                <w:u w:val="none"/>
              </w:rPr>
            </w:pPr>
            <w:r>
              <w:rPr>
                <w:rFonts w:hint="eastAsia" w:asciiTheme="majorEastAsia" w:hAnsiTheme="majorEastAsia" w:eastAsiaTheme="majorEastAsia" w:cstheme="majorEastAsia"/>
                <w:b/>
                <w:bCs/>
                <w:i w:val="0"/>
                <w:iCs w:val="0"/>
                <w:color w:val="000000"/>
                <w:kern w:val="0"/>
                <w:sz w:val="18"/>
                <w:szCs w:val="18"/>
                <w:highlight w:val="none"/>
                <w:u w:val="none"/>
                <w:lang w:val="en-US" w:eastAsia="zh-CN" w:bidi="ar"/>
              </w:rPr>
              <w:t>材料及尺寸</w:t>
            </w:r>
          </w:p>
        </w:tc>
        <w:tc>
          <w:tcPr>
            <w:tcW w:w="53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2C58247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b/>
                <w:bCs/>
                <w:i w:val="0"/>
                <w:iCs w:val="0"/>
                <w:color w:val="000000"/>
                <w:kern w:val="0"/>
                <w:sz w:val="18"/>
                <w:szCs w:val="18"/>
                <w:highlight w:val="none"/>
                <w:u w:val="none"/>
                <w:lang w:val="en-US" w:eastAsia="zh-CN" w:bidi="ar"/>
              </w:rPr>
              <w:t>单位</w:t>
            </w:r>
          </w:p>
        </w:tc>
        <w:tc>
          <w:tcPr>
            <w:tcW w:w="554" w:type="pct"/>
            <w:tcBorders>
              <w:top w:val="single" w:color="auto" w:sz="4" w:space="0"/>
              <w:left w:val="single" w:color="000000" w:sz="4" w:space="0"/>
              <w:bottom w:val="single" w:color="000000" w:sz="4" w:space="0"/>
              <w:right w:val="single" w:color="000000" w:sz="4" w:space="0"/>
            </w:tcBorders>
            <w:shd w:val="clear" w:color="auto" w:fill="FFFFFF"/>
            <w:vAlign w:val="center"/>
          </w:tcPr>
          <w:p w14:paraId="1078ECE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highlight w:val="none"/>
                <w:u w:val="none"/>
              </w:rPr>
            </w:pPr>
            <w:r>
              <w:rPr>
                <w:rFonts w:hint="eastAsia" w:asciiTheme="majorEastAsia" w:hAnsiTheme="majorEastAsia" w:eastAsiaTheme="majorEastAsia" w:cstheme="majorEastAsia"/>
                <w:b/>
                <w:bCs/>
                <w:i w:val="0"/>
                <w:iCs w:val="0"/>
                <w:color w:val="000000"/>
                <w:kern w:val="0"/>
                <w:sz w:val="18"/>
                <w:szCs w:val="18"/>
                <w:highlight w:val="none"/>
                <w:u w:val="none"/>
                <w:lang w:val="en-US" w:eastAsia="zh-CN" w:bidi="ar"/>
              </w:rPr>
              <w:t>数量</w:t>
            </w:r>
          </w:p>
        </w:tc>
      </w:tr>
      <w:tr w14:paraId="00A8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F5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8D1A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定制备餐台</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FCE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lang w:val="en-US" w:eastAsia="zh-CN"/>
              </w:rPr>
            </w:pPr>
            <w:r>
              <w:rPr>
                <w:rFonts w:hint="eastAsia" w:asciiTheme="majorEastAsia" w:hAnsiTheme="majorEastAsia" w:eastAsiaTheme="majorEastAsia" w:cstheme="majorEastAsia"/>
                <w:i w:val="0"/>
                <w:iCs w:val="0"/>
                <w:color w:val="000000"/>
                <w:sz w:val="18"/>
                <w:szCs w:val="18"/>
                <w:highlight w:val="none"/>
                <w:u w:val="none"/>
                <w:lang w:val="en-US" w:eastAsia="zh-CN"/>
              </w:rPr>
              <w:t>以发包人确认的二次深化设计为准</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68F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m</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E6D7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2.86</w:t>
            </w:r>
          </w:p>
        </w:tc>
      </w:tr>
      <w:tr w14:paraId="5F3A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F2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0A5D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定制吊柜</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C8E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sz w:val="18"/>
                <w:szCs w:val="18"/>
                <w:highlight w:val="none"/>
                <w:u w:val="none"/>
                <w:lang w:val="en-US" w:eastAsia="zh-CN"/>
              </w:rPr>
              <w:t>以发包人确认的二次深化设计为准</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CF88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m</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F3F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5.2</w:t>
            </w:r>
          </w:p>
        </w:tc>
      </w:tr>
      <w:tr w14:paraId="1D44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75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04E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定制柜</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510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sz w:val="18"/>
                <w:szCs w:val="18"/>
                <w:highlight w:val="none"/>
                <w:u w:val="none"/>
                <w:lang w:val="en-US" w:eastAsia="zh-CN"/>
              </w:rPr>
              <w:t>以发包人确认的二次深化设计为准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259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94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w:t>
            </w:r>
          </w:p>
        </w:tc>
      </w:tr>
      <w:tr w14:paraId="17C4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FB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F1E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电工拆除加安装（含水电材料）</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3E9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电工拆除加安装（含水电材料）</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80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D3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18</w:t>
            </w:r>
          </w:p>
        </w:tc>
      </w:tr>
      <w:tr w14:paraId="1D25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D5D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07E3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黏土砖（实心砖）实心墙拆除</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465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sz w:val="18"/>
                <w:szCs w:val="18"/>
                <w:u w:val="none"/>
              </w:rPr>
              <w:t>拆除原砖墙，废料运至室外指定堆放点，综合单价不包括废料外运</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CE9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m³</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7C2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18</w:t>
            </w:r>
          </w:p>
        </w:tc>
      </w:tr>
      <w:tr w14:paraId="3573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866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4F5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墙、柱、天棚面刷乳胶漆 ~二遍</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552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sz w:val="18"/>
                <w:szCs w:val="18"/>
                <w:u w:val="none"/>
                <w:lang w:eastAsia="zh-CN"/>
              </w:rPr>
              <w:t>墙面乳胶漆两遍</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0B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B92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84</w:t>
            </w:r>
          </w:p>
        </w:tc>
      </w:tr>
      <w:tr w14:paraId="5F221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7FE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7</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A06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不锈钢单芯水槽</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EC07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lang w:val="en-US" w:eastAsia="zh-CN"/>
              </w:rPr>
            </w:pPr>
            <w:r>
              <w:rPr>
                <w:rFonts w:hint="eastAsia" w:asciiTheme="majorEastAsia" w:hAnsiTheme="majorEastAsia" w:eastAsiaTheme="majorEastAsia" w:cstheme="majorEastAsia"/>
                <w:i w:val="0"/>
                <w:iCs w:val="0"/>
                <w:color w:val="000000"/>
                <w:sz w:val="18"/>
                <w:szCs w:val="18"/>
                <w:highlight w:val="none"/>
                <w:u w:val="none"/>
                <w:lang w:val="en-US" w:eastAsia="zh-CN"/>
              </w:rPr>
              <w:t>不锈钢材质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F8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88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r>
      <w:tr w14:paraId="15DD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63A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7C0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消毒柜</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B45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lang w:val="en-US" w:eastAsia="zh-CN"/>
              </w:rPr>
            </w:pPr>
            <w:r>
              <w:rPr>
                <w:rFonts w:hint="eastAsia" w:asciiTheme="majorEastAsia" w:hAnsiTheme="majorEastAsia" w:eastAsiaTheme="majorEastAsia" w:cstheme="majorEastAsia"/>
                <w:i w:val="0"/>
                <w:iCs w:val="0"/>
                <w:color w:val="000000"/>
                <w:sz w:val="18"/>
                <w:szCs w:val="18"/>
                <w:highlight w:val="none"/>
                <w:u w:val="none"/>
                <w:lang w:val="en-US" w:eastAsia="zh-CN"/>
              </w:rPr>
              <w:t>以发包人确认的二次深化设计为准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ED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台</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8D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r>
      <w:tr w14:paraId="4F8C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97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74B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软装费用</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C94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65F7">
            <w:pPr>
              <w:jc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C1FE">
            <w:pPr>
              <w:jc w:val="center"/>
              <w:rPr>
                <w:rFonts w:hint="eastAsia" w:asciiTheme="majorEastAsia" w:hAnsiTheme="majorEastAsia" w:eastAsiaTheme="majorEastAsia" w:cstheme="majorEastAsia"/>
                <w:i w:val="0"/>
                <w:iCs w:val="0"/>
                <w:color w:val="000000"/>
                <w:sz w:val="18"/>
                <w:szCs w:val="18"/>
                <w:highlight w:val="none"/>
                <w:u w:val="none"/>
              </w:rPr>
            </w:pPr>
          </w:p>
        </w:tc>
      </w:tr>
      <w:tr w14:paraId="2A1B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59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E707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做旧展示矮柜软装</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D3F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sz w:val="18"/>
                <w:szCs w:val="18"/>
                <w:highlight w:val="none"/>
                <w:u w:val="none"/>
                <w:lang w:val="en-US" w:eastAsia="zh-CN"/>
              </w:rPr>
              <w:t>以发包人确认的二次深化设计为准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D6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DF5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r>
      <w:tr w14:paraId="3776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25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12D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水槽水龙头</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60A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lang w:val="en-US" w:eastAsia="zh-CN"/>
              </w:rPr>
            </w:pPr>
            <w:r>
              <w:rPr>
                <w:rFonts w:hint="eastAsia" w:asciiTheme="majorEastAsia" w:hAnsiTheme="majorEastAsia" w:eastAsiaTheme="majorEastAsia" w:cstheme="majorEastAsia"/>
                <w:i w:val="0"/>
                <w:iCs w:val="0"/>
                <w:color w:val="000000"/>
                <w:sz w:val="18"/>
                <w:szCs w:val="18"/>
                <w:highlight w:val="none"/>
                <w:u w:val="none"/>
                <w:lang w:val="en-US" w:eastAsia="zh-CN"/>
              </w:rPr>
              <w:t>不锈钢</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939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9BE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r>
      <w:tr w14:paraId="361B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EC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87B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适老三人沙发</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7296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规格：1760*650*780mm（长宽高）</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材质：橡胶木框架</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承重：≥200kg</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扶手高度：650mm（符合人体工学）</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55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张</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A1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r>
      <w:tr w14:paraId="6CD3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40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FA3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适老双人沙发</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17AA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规格：1510*770*770mm</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材质：橡胶木框架+防滑布艺面料</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座深：550mm（加深设计）</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扶手宽度：120mm（便于抓握）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A5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张</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9FA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r>
      <w:tr w14:paraId="2ACF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42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BEC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适老茶几（长方形）</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E664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规格：1600*600*600mm</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台面：8mm厚橡胶木整板</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边缘处理：R型倒角防撞</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离地高度：450mm（轮椅兼容）</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5B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张</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AC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r>
      <w:tr w14:paraId="2ED0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26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B92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适老餐桌-四人桌</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2668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规格：1400*800*750mm</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桌腿：40*40mm加粗橡胶木</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桌面防滑处理：食品级木蜡油涂层</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椅间距：≥600mm（轮椅回转空间）</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9E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张</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5E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w:t>
            </w:r>
          </w:p>
        </w:tc>
      </w:tr>
      <w:tr w14:paraId="61A4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BD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16</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CE21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适老椅</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B542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尺寸规格‌：宽525mm × 深560mm × 高835mm（含靠背）3</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‌主体材质‌：橡胶木实木框架</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‌安全设计‌：整体圆滑边缘处理（圆角R≥15mm），减少碰撞伤害</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‌表面工艺‌：水性环保漆处理，甲醛释放量≤0.020mg/m³</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3C3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张</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7E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20</w:t>
            </w:r>
          </w:p>
        </w:tc>
      </w:tr>
      <w:tr w14:paraId="6BB1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19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17</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D16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圈椅</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61CAC">
            <w:pPr>
              <w:jc w:val="left"/>
              <w:rPr>
                <w:rFonts w:hint="eastAsia" w:asciiTheme="majorEastAsia" w:hAnsiTheme="majorEastAsia" w:eastAsiaTheme="majorEastAsia" w:cstheme="majorEastAsia"/>
                <w:i w:val="0"/>
                <w:iCs w:val="0"/>
                <w:color w:val="000000"/>
                <w:sz w:val="18"/>
                <w:szCs w:val="18"/>
                <w:highlight w:val="none"/>
                <w:u w:val="none"/>
                <w:lang w:val="en-US" w:eastAsia="zh-CN"/>
              </w:rPr>
            </w:pPr>
            <w:r>
              <w:rPr>
                <w:rFonts w:hint="eastAsia" w:asciiTheme="majorEastAsia" w:hAnsiTheme="majorEastAsia" w:eastAsiaTheme="majorEastAsia" w:cstheme="majorEastAsia"/>
                <w:i w:val="0"/>
                <w:iCs w:val="0"/>
                <w:color w:val="000000"/>
                <w:sz w:val="18"/>
                <w:szCs w:val="18"/>
                <w:highlight w:val="none"/>
                <w:u w:val="none"/>
                <w:lang w:val="en-US" w:eastAsia="zh-CN"/>
              </w:rPr>
              <w:t>实木中式</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DBE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4B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r>
      <w:tr w14:paraId="5F1F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B1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18</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E53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棋牌桌</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9004D">
            <w:pPr>
              <w:jc w:val="left"/>
              <w:rPr>
                <w:rFonts w:hint="eastAsia" w:asciiTheme="majorEastAsia" w:hAnsiTheme="majorEastAsia" w:eastAsiaTheme="majorEastAsia" w:cstheme="majorEastAsia"/>
                <w:i w:val="0"/>
                <w:iCs w:val="0"/>
                <w:color w:val="000000"/>
                <w:sz w:val="18"/>
                <w:szCs w:val="18"/>
                <w:highlight w:val="none"/>
                <w:u w:val="none"/>
                <w:lang w:val="en-US" w:eastAsia="zh-CN"/>
              </w:rPr>
            </w:pPr>
            <w:r>
              <w:rPr>
                <w:rFonts w:hint="eastAsia" w:asciiTheme="majorEastAsia" w:hAnsiTheme="majorEastAsia" w:eastAsiaTheme="majorEastAsia" w:cstheme="majorEastAsia"/>
                <w:i w:val="0"/>
                <w:iCs w:val="0"/>
                <w:color w:val="000000"/>
                <w:sz w:val="18"/>
                <w:szCs w:val="18"/>
                <w:highlight w:val="none"/>
                <w:u w:val="none"/>
                <w:lang w:val="en-US" w:eastAsia="zh-CN"/>
              </w:rPr>
              <w:t>电动棋牌桌</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E2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张</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19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r>
      <w:tr w14:paraId="3AA9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41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19</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A7A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扑克纸牌</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DE6B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大字扑克，PVC材质，光面高清印刷清晰，防水耐用。150g/副，56张/副，含规则卡，切牌卡。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FC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幅</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64F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w:t>
            </w:r>
          </w:p>
        </w:tc>
      </w:tr>
      <w:tr w14:paraId="00C5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E42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20</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079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麻将牌</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F200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产品等级：特一级</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型号 / 规格：42#</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颜色：象牙白</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数量：144 张</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附加赠品：</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手提包</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带兜毯</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EA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副</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D4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r>
      <w:tr w14:paraId="3147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89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452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麻将纸牌</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EE48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包含数量：144 张</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纸张类型：长条纸</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产品特性：加厚</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产品名称：纸麻将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04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A8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w:t>
            </w:r>
          </w:p>
        </w:tc>
      </w:tr>
      <w:tr w14:paraId="5C8C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FF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22</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0F68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紧急呼叫器</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179D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4档音量可调，按钮供电CR2032纽扣电池，响铃供电220V市电，发射频率433MHZ，按键防水等级室外防雨淋，接收距离180米</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BC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EE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r>
      <w:tr w14:paraId="26F0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92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BE8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货架（大）</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E28C6">
            <w:pPr>
              <w:jc w:val="left"/>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sz w:val="18"/>
                <w:szCs w:val="18"/>
                <w:highlight w:val="none"/>
                <w:u w:val="none"/>
                <w:lang w:val="en-US" w:eastAsia="zh-CN"/>
              </w:rPr>
              <w:t>以发包人确认的二次深化设计为准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80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49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r>
      <w:tr w14:paraId="5FF9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5F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AC3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货架（小）</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BCB59">
            <w:pPr>
              <w:jc w:val="left"/>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sz w:val="18"/>
                <w:szCs w:val="18"/>
                <w:highlight w:val="none"/>
                <w:u w:val="none"/>
                <w:lang w:val="en-US" w:eastAsia="zh-CN"/>
              </w:rPr>
              <w:t>以发包人确认的二次深化设计为准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2AE2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61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r>
      <w:tr w14:paraId="7982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39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F3CD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茶几</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00ED">
            <w:pPr>
              <w:jc w:val="left"/>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sz w:val="18"/>
                <w:szCs w:val="18"/>
                <w:highlight w:val="none"/>
                <w:u w:val="none"/>
                <w:lang w:val="en-US" w:eastAsia="zh-CN"/>
              </w:rPr>
              <w:t>以发包人确认的二次深化设计为准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64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629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r>
      <w:tr w14:paraId="4B5C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79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26</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C6D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墙面游戏</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9095E">
            <w:pPr>
              <w:jc w:val="left"/>
              <w:rPr>
                <w:rFonts w:hint="eastAsia" w:asciiTheme="majorEastAsia" w:hAnsiTheme="majorEastAsia" w:eastAsiaTheme="majorEastAsia" w:cstheme="majorEastAsia"/>
                <w:i w:val="0"/>
                <w:iCs w:val="0"/>
                <w:color w:val="000000"/>
                <w:sz w:val="18"/>
                <w:szCs w:val="18"/>
                <w:highlight w:val="none"/>
                <w:u w:val="none"/>
                <w:lang w:val="en-US" w:eastAsia="zh-CN"/>
              </w:rPr>
            </w:pPr>
            <w:r>
              <w:rPr>
                <w:rFonts w:hint="eastAsia" w:asciiTheme="majorEastAsia" w:hAnsiTheme="majorEastAsia" w:eastAsiaTheme="majorEastAsia" w:cstheme="majorEastAsia"/>
                <w:i w:val="0"/>
                <w:iCs w:val="0"/>
                <w:color w:val="000000"/>
                <w:sz w:val="18"/>
                <w:szCs w:val="18"/>
                <w:highlight w:val="none"/>
                <w:u w:val="none"/>
                <w:lang w:val="en-US" w:eastAsia="zh-CN"/>
              </w:rPr>
              <w:t>触摸感知墙面游戏</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84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组</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90F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1435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C7B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27</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5CB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感官触摸体验板</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6F1E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一套含七种常见材料，XPE泡沫塑料，毛毡，水刺长绒布，碳纤维，皮糠纸，细纹皮革，金丝亚麻布。直径六厘米，无漆榉。</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88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A3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2BE3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F04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28</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0B8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二十四节气墙饰</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198B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18"/>
                <w:szCs w:val="18"/>
                <w:highlight w:val="none"/>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内容组成：二十四节气（共 24 块，每块对应一个节气）</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材质：10mm 雪弗板</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附加：5 米麻绳4 个挂钩</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整体尺寸：宽 508mm × 高 1000mm</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A7E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A7A5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2A18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4"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111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29</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B08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认知时钟</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9A51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直径：100mm</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材质：塑料</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指针配置：三针（时针、分针、秒针），均可灵活转动</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表盘设计：清晰印制时间刻度（1-12 小时标识），刻度字体清晰易读</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重量：约 50g）</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安装方式：可放置于桌面</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安全性能：边缘光滑无毛刺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06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4E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3F57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52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484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毛毡板</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B629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产品规格：80×180CM（长 × 宽）</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材质：高密度毛毡</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安装方式：免打孔安装（配套赠送魔术贴，通过魔术贴粘贴固定，安装便捷且不损伤墙面）</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特性：表面柔软，可反复粘贴固定物品，不易留痕；边缘整齐，做工精细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50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组</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97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57DC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CB1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858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定制值日板</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FD44F">
            <w:pPr>
              <w:jc w:val="left"/>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sz w:val="18"/>
                <w:szCs w:val="18"/>
                <w:highlight w:val="none"/>
                <w:u w:val="none"/>
                <w:lang w:val="en-US" w:eastAsia="zh-CN"/>
              </w:rPr>
              <w:t>以发包人确认的二次深化设计为准</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25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40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3A0D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87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32</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B44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百叶窗帘</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FB5A5">
            <w:pPr>
              <w:jc w:val="left"/>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highlight w:val="none"/>
                <w:u w:val="none"/>
                <w:lang w:val="en-US" w:eastAsia="zh-CN" w:bidi="ar"/>
              </w:rPr>
              <w:t>百叶窗帘</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705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AC8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1.62</w:t>
            </w:r>
          </w:p>
        </w:tc>
      </w:tr>
      <w:tr w14:paraId="1DA4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48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048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墙面彩绘及广告</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11F4C">
            <w:pPr>
              <w:jc w:val="left"/>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sz w:val="18"/>
                <w:szCs w:val="18"/>
                <w:u w:val="none"/>
                <w:lang w:eastAsia="zh-CN"/>
              </w:rPr>
              <w:t>墙面彩绘及</w:t>
            </w:r>
            <w:r>
              <w:rPr>
                <w:rFonts w:hint="eastAsia" w:asciiTheme="majorEastAsia" w:hAnsiTheme="majorEastAsia" w:eastAsiaTheme="majorEastAsia" w:cstheme="majorEastAsia"/>
                <w:i w:val="0"/>
                <w:iCs w:val="0"/>
                <w:color w:val="000000"/>
                <w:sz w:val="18"/>
                <w:szCs w:val="18"/>
                <w:u w:val="none"/>
                <w:lang w:val="en-US" w:eastAsia="zh-CN"/>
              </w:rPr>
              <w:t>广告</w:t>
            </w:r>
            <w:r>
              <w:rPr>
                <w:rFonts w:hint="eastAsia" w:asciiTheme="majorEastAsia" w:hAnsiTheme="majorEastAsia" w:eastAsiaTheme="majorEastAsia" w:cstheme="majorEastAsia"/>
                <w:i w:val="0"/>
                <w:iCs w:val="0"/>
                <w:color w:val="000000"/>
                <w:sz w:val="18"/>
                <w:szCs w:val="18"/>
                <w:u w:val="none"/>
                <w:lang w:eastAsia="zh-CN"/>
              </w:rPr>
              <w:t>装饰等（详见软装清单）</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62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6E4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54.00</w:t>
            </w:r>
          </w:p>
        </w:tc>
      </w:tr>
      <w:tr w14:paraId="7CA9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AE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4F8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怀旧物品集</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F49A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10本书籍，具有鲜明的 70-80 年代风格，绘画风格多样，融合了线描、素描、水彩、中国画（工笔重彩、写意）等多种艺术形式。常见的 64 开尺寸，单本长约 140mm、宽约 100mm</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43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2B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3695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C5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A66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园艺花架</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39AC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颜色：白色</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结构规格：6 层 7 盆设计</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整体高度：108CM</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材质：铁艺</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核心特性：</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隔层网片设计：每层采用网片结构，通风性好，利于绿植生长；网片平整光滑，放置花盆稳固不易滑落。</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承重性强：凭借优质铁艺材质和合理结构设计，每层可稳定承载花盆及绿植重量</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工艺细节：表面经防锈处理，防锈耐磨，延长使用寿命；边角打磨光滑，避免磕碰损伤，使用更安全。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E36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对</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77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6EF2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CE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36</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C28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地图认知处理</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710F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尺寸 420*290mm，包含中国地图，世界地图，采用环保 eva 磁贴，安全无毒，质地柔软，避免孩子玩耍时磕碰受伤。磁贴磁力强劲，能牢牢吸附在拼图底板上，即便拼图立起、轻微晃动，也不易脱落，确保拼图完整性与稳定性，反复使用也不易损坏。制作工艺精湛，拼图边缘光滑无毛刺，不会划伤孩子小手；马卡龙色系设计，色彩柔和、鲜艳，吸引注意力同时，培养他们的色彩认知能力。</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91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08F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2.00</w:t>
            </w:r>
          </w:p>
        </w:tc>
      </w:tr>
      <w:tr w14:paraId="60DF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86BF">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37</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792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配对拼图</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44AE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产品组合：3 盒套装，包含 3 大主题拼图卡片，分别为 “果蔬配对拼图”“动物配对拼图”“数字配对拼图”，每盒独立包装，主题清晰，便于分类收纳和针对性学习。</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规格尺寸：</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单张卡片尺寸：约 10×10cm</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每盒数量：每盒含 16 对配对卡片，3 盒总计 48 对，满足丰富的配对游戏需求。</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材质工艺：</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材质：采用加厚铜版纸或白卡纸，纸质坚韧耐撕，不易折损，可反复使用；表面覆哑膜，防水防污，便于清洁</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工艺：圆角切割设计，边缘光滑无毛刺，避免划伤手部；印刷色彩鲜艳饱满，图案清晰细腻，同时采用环保油墨，无异味，安全无毒。</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DC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9E7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3.00</w:t>
            </w:r>
          </w:p>
        </w:tc>
      </w:tr>
      <w:tr w14:paraId="6FB7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5F30">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38</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BA3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探索路线</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FADD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探索路线益智玩具拥有 258×295mm 的尺寸，面积大小适中，材质安全环保：采用优质的厚纸板制作，坚固耐用，不易损坏。并且选用的材质均符合国家安全标准，无毒无味，无尖锐边角</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913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幅</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0CA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2.00</w:t>
            </w:r>
          </w:p>
        </w:tc>
      </w:tr>
      <w:tr w14:paraId="4BF1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2C8C">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39</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4F5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桌面弹棋</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F7DE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规格：大号，尺寸 553×300×250mm</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棋子数量：20 颗</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材质：可根据实际补充（如木质棋盘 + 塑料棋子等）</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玩法：通过弹射棋子撞击对方棋子，适合双人或多人对战</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C7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DD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2.00</w:t>
            </w:r>
          </w:p>
        </w:tc>
      </w:tr>
      <w:tr w14:paraId="6325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4"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AFC8">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40</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4DB9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卡宏鼓</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CB98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规格尺寸：鼓体规格为 310×300×480mm，包装尺寸为 35×34×53cm。</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响弦特点：CL50 配备可调节响弦，能根据演奏者的需求调整音色，通过改变响弦的松紧等状态，使鼓发出不同音效。同时，响弦可拆卸，便于维护、更换，也方便携带和收纳。</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材质与颜色：桶身材质为高品质桦木，有原木色、黑色等多种颜色可选，如 CL50 为原木色（军鼓响弦），CL50BK 为黑色款（军鼓响弦）。</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17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10F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3B492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14F6">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41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FE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故事场景模拟板</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6ADD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尺寸规格：103×75cm（长 × 宽）</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产品类型：故事场景模拟毛毡板</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材质：毛毡（可补充具体类型，如高密度毛毡）</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核心功能：可粘贴毛毡配件（如人物、动物、场景元素等），用于搭建、模拟故事场景，辅助 storytelling</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特点：表面柔软，可反复粘贴；边缘整齐，便于摆放</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83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52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2.00</w:t>
            </w:r>
          </w:p>
        </w:tc>
      </w:tr>
      <w:tr w14:paraId="6C95D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E9B4">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42</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9CA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乐器套装</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5CA2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套装组成：13 件套组合，包含多种奥尔夫经典打击乐器（可根据实际补充具体乐器，如原木沙锤 2 个、原木三角铁 1 个、原木响板 2 副、原木双响筒 1 个、原木铃鼓 1 个、原木碰钟 1 对、原木木鱼 1 个、原木节奏棒 2 根等，总数量为 13 件）。​</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材质：主体采用原木材质（如榉木、松木等），无漆无异味，保留木材天然纹理，触感光滑；配件（如铃铛、金属片等）选用安全环保材料，符合儿童用品安全标准。​</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工艺：原木表面经过精细打磨，边缘圆润无毛刺，避免划伤；乐器结构稳固，拼接处紧密，耐用性强，适合反复敲击使用。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0A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F4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4785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C6B0">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43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B96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3d 无限魔方</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6CA1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材质：采用 ABS 塑料，质地坚韧耐摔，表面光滑无毛刺，手感舒适，符合安全标准。​</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尺寸：常规尺寸约 6cm×6cm×6cm（立方体结构），大小适中，便于单手抓握操作。</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A3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A8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3.00</w:t>
            </w:r>
          </w:p>
        </w:tc>
      </w:tr>
      <w:tr w14:paraId="2E0E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BA64">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44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F5AB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幽灵桌面游戏</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7D70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产品名称：幽灵桌面游戏（中国板）​</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材质：通常采用纸板或木质板材（棋盘）+ 塑料 / 木质 token（游戏配件），表面印刷清晰，边缘光滑，符合安全标准。​</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尺寸：常规棋盘尺寸约 40×50cm（展开后），游戏配件尺寸适配棋盘，便于摆放和操作。​</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核心特点：​</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基于经典幽灵游戏规则，玩法兼具策略性与趣味性。​</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配件齐全，包含棋盘、角色 token、任务卡等，支持多人对战（通常 2-6 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077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3E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2.00</w:t>
            </w:r>
          </w:p>
        </w:tc>
      </w:tr>
      <w:tr w14:paraId="6BA4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80ED">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45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364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卷帘</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E4219">
            <w:pPr>
              <w:jc w:val="left"/>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highlight w:val="none"/>
                <w:u w:val="none"/>
                <w:lang w:val="en-US" w:eastAsia="zh-CN" w:bidi="ar"/>
              </w:rPr>
              <w:t>布质卷帘</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E1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317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2.00</w:t>
            </w:r>
          </w:p>
        </w:tc>
      </w:tr>
      <w:tr w14:paraId="7D6B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AAA8">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46</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34E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认知症书籍</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E7412">
            <w:pPr>
              <w:jc w:val="left"/>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认知症书籍</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3A3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B3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56ED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8C98">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47</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1F2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疗愈娃娃</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DFC4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尺寸规格：​30 厘米​50 厘米​</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核心功能：​</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会眨眼：具备眨眼功能，增加互动真实感​</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会说话：内置语音模块，可发出预设语音内容（如安抚语句、简单对话等）​</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触感：采用亲肤面料，手感柔软舒适，触感细腻​</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安全认证：通过 3C 认证，符合国家玩具安全标准，确保使用安全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83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485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43B2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8CB1">
            <w:pPr>
              <w:keepNext w:val="0"/>
              <w:keepLines w:val="0"/>
              <w:widowControl/>
              <w:suppressLineNumbers w:val="0"/>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48</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C32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会呼吸的猫/狗</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AC1F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产品造型：仿真猫 / 狗造型（可选多种品种样式，如柯基、布偶猫等）​</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材质：外层采用真实动物毛发、PP 棉等亲肤面料，填充饱满柔软；内置安全气囊及微型驱动装置，模拟呼吸动作。</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93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12E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6680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BA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49</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BC7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万花筒</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6F65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尺寸规格：150×35mm（长度 × 直径），体型小巧，便于手持把玩​</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主体材质：轻便耐用；镜片为高透光玻璃镜片，折射效果清晰​</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核心功能：通过内部多面镜片反射，将底部彩色碎屑 / 图案组合成千变万化的对称花纹，转动筒体可呈现不同视觉效果​</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结构设计：筒体为圆柱形，一端为观察目镜，另一端为图案仓（内置彩色颗粒、碎玻璃或印花胶片等），部分款式可旋转调焦</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6A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890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2.00</w:t>
            </w:r>
          </w:p>
        </w:tc>
      </w:tr>
      <w:tr w14:paraId="3CF4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66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50</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4B1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音乐盒</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A482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材质：主体采用优质木材，木质纹理清晰自然，表面经过打磨处理，光滑无毛刺​</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发声方式：手摇式驱动，通过转动侧面摇柄，带动内部金属机芯运转，发出清脆悦耳的旋律​</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曲目配置：内置经典曲目（如《致爱丽丝》《小星星》等，具体可根据产品设定补充），单首曲目循环播放</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71E5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5F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3454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26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51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DE5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日常穿衣六面体</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62C8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材质：主体采用环保塑料或木质材料，边缘圆润光滑，无毛刺；布料配件（如衣物面料、拉链、纽扣等）选用无毒无害的棉、尼龙等材质，耐用且安全​</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结构设计：六面体每个面对应不同的穿衣技能主题，如系纽扣、拉拉链、系鞋带、粘魔术贴、扣按扣、系蝴蝶结等，每个面配备对应的模拟衣物部件与操作装置​</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核心功能：通过动手操作各面的穿衣部件，帮助儿童认识不同衣物的穿戴方式，锻炼手部精细动作、手眼协调能力及生活自理能力</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35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38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530F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7B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52</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BC4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触觉多感官手筒</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AF6A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筒身采用环保木材，质地轻便且耐用，边缘圆润无棱角；内部触感配件选用不同材质，均为无毒无害材料。</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D0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03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4A7D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19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53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89E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互动感官靠垫</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19A0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尺寸规格：50×50cm（正方形，大小适中，适合抱握或放置）​</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材质：外层采用亲肤面料，内填充柔软棉絮；含不同触感互动元素</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AA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64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5E4D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4"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64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54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70C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迷你香薰音乐套装</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7BE7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功能组合：集白噪音播放、助眠音乐、香薰、小夜灯功能于一体，支持自由切换或组合使用​</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规格尺寸：常规尺寸（如直径 10-15cm，高度 12-18cm，具体可根据常见款式补充），小巧不占地​</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材质：灯体多采用 ABS 塑料 + 硅胶，香薰仓适配天然精油，安全无异味​</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音效配置：内置多种白噪音（如雨声、海浪、鸟鸣等）和助眠音乐，可调节音量</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5A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32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1.00</w:t>
            </w:r>
          </w:p>
        </w:tc>
      </w:tr>
      <w:tr w14:paraId="3278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4"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EF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55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9AC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四肢联动家用脚踏车</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54CB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材质：主体框架采用高强度钢材，承重能力强可达150kg，座椅为高弹海绵材质，表面覆耐磨皮革，舒适透气；传动部件选用精密轴承，运行平稳噪音小。​</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核心功能：​支持上下肢联动训练，可单独训练上肢或下肢，也可协同锻炼，提升肢体协调性。​</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20 档速度阻力调节，通过电动控制系统实现阻力精准调控，满足不同康复阶段（如初期低阻力适应、后期高强度训练）的需求。​</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D22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76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r>
      <w:tr w14:paraId="65D1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18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56</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F0D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康复训练器材平衡杠</w:t>
            </w:r>
          </w:p>
        </w:tc>
        <w:tc>
          <w:tcPr>
            <w:tcW w:w="2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66C2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规格尺寸：长度 2 米，杠体直径约 5cm，两杠间距可调节（常规调节范围 50-80cm），高度可调节（60-90cm，适配不同身高使用者）​</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材质：主体采用不锈钢材质，耐腐蚀、承重强，表面光滑无毛刺，稳固耐用​</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结构设计：由两根平行杠体、底座及调节装置组成，底座宽大稳固（带防滑垫），防止使用时晃动​</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核心功能：辅助进行平衡能力、肢体协调能力及行走功能康复训练，适用于肢体功能障碍者或术后康复人群</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133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4A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r>
    </w:tbl>
    <w:p w14:paraId="32A1D7DB">
      <w:pPr>
        <w:pStyle w:val="11"/>
        <w:rPr>
          <w:rFonts w:hint="default"/>
          <w:lang w:val="en-US" w:eastAsia="zh-CN"/>
        </w:rPr>
      </w:pPr>
    </w:p>
    <w:p w14:paraId="7C5D47D1">
      <w:pPr>
        <w:rPr>
          <w:rFonts w:hint="default"/>
          <w:lang w:val="en-US" w:eastAsia="zh-CN"/>
        </w:rPr>
      </w:pPr>
    </w:p>
    <w:tbl>
      <w:tblPr>
        <w:tblStyle w:val="37"/>
        <w:tblpPr w:leftFromText="180" w:rightFromText="180" w:vertAnchor="text" w:horzAnchor="page" w:tblpX="1189" w:tblpY="302"/>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
        <w:gridCol w:w="1430"/>
        <w:gridCol w:w="1561"/>
        <w:gridCol w:w="1052"/>
        <w:gridCol w:w="3553"/>
        <w:gridCol w:w="1684"/>
      </w:tblGrid>
      <w:tr w14:paraId="369F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9740" w:type="dxa"/>
            <w:gridSpan w:val="6"/>
            <w:tcBorders>
              <w:top w:val="single" w:color="000000" w:sz="2" w:space="0"/>
              <w:left w:val="single" w:color="000000" w:sz="2" w:space="0"/>
              <w:bottom w:val="single" w:color="000000" w:sz="2" w:space="0"/>
              <w:right w:val="single" w:color="000000" w:sz="2" w:space="0"/>
            </w:tcBorders>
            <w:noWrap/>
            <w:vAlign w:val="center"/>
          </w:tcPr>
          <w:p w14:paraId="57173B4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大厅+走廊具体采购清单</w:t>
            </w:r>
          </w:p>
        </w:tc>
      </w:tr>
      <w:tr w14:paraId="42D8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60" w:type="dxa"/>
            <w:tcBorders>
              <w:top w:val="single" w:color="000000" w:sz="2" w:space="0"/>
              <w:left w:val="single" w:color="000000" w:sz="4" w:space="0"/>
              <w:bottom w:val="single" w:color="000000" w:sz="4" w:space="0"/>
              <w:right w:val="single" w:color="000000" w:sz="4" w:space="0"/>
            </w:tcBorders>
            <w:noWrap w:val="0"/>
            <w:vAlign w:val="center"/>
          </w:tcPr>
          <w:p w14:paraId="050BEBC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430" w:type="dxa"/>
            <w:tcBorders>
              <w:top w:val="single" w:color="000000" w:sz="2" w:space="0"/>
              <w:left w:val="single" w:color="000000" w:sz="4" w:space="0"/>
              <w:bottom w:val="single" w:color="000000" w:sz="4" w:space="0"/>
              <w:right w:val="single" w:color="000000" w:sz="4" w:space="0"/>
            </w:tcBorders>
            <w:noWrap w:val="0"/>
            <w:vAlign w:val="center"/>
          </w:tcPr>
          <w:p w14:paraId="448DE44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品名</w:t>
            </w:r>
          </w:p>
        </w:tc>
        <w:tc>
          <w:tcPr>
            <w:tcW w:w="1561" w:type="dxa"/>
            <w:tcBorders>
              <w:top w:val="single" w:color="000000" w:sz="2" w:space="0"/>
              <w:left w:val="single" w:color="000000" w:sz="4" w:space="0"/>
              <w:bottom w:val="single" w:color="000000" w:sz="4" w:space="0"/>
              <w:right w:val="single" w:color="000000" w:sz="4" w:space="0"/>
            </w:tcBorders>
            <w:noWrap w:val="0"/>
            <w:vAlign w:val="center"/>
          </w:tcPr>
          <w:p w14:paraId="471B33D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52" w:type="dxa"/>
            <w:tcBorders>
              <w:top w:val="single" w:color="000000" w:sz="2" w:space="0"/>
              <w:left w:val="single" w:color="000000" w:sz="4" w:space="0"/>
              <w:bottom w:val="single" w:color="000000" w:sz="4" w:space="0"/>
              <w:right w:val="single" w:color="000000" w:sz="4" w:space="0"/>
            </w:tcBorders>
            <w:noWrap w:val="0"/>
            <w:vAlign w:val="center"/>
          </w:tcPr>
          <w:p w14:paraId="48EE780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3553" w:type="dxa"/>
            <w:tcBorders>
              <w:top w:val="single" w:color="000000" w:sz="2" w:space="0"/>
              <w:left w:val="single" w:color="000000" w:sz="4" w:space="0"/>
              <w:bottom w:val="single" w:color="000000" w:sz="4" w:space="0"/>
              <w:right w:val="single" w:color="000000" w:sz="4" w:space="0"/>
            </w:tcBorders>
            <w:noWrap w:val="0"/>
            <w:vAlign w:val="center"/>
          </w:tcPr>
          <w:p w14:paraId="0668EF0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技术参数</w:t>
            </w:r>
          </w:p>
        </w:tc>
        <w:tc>
          <w:tcPr>
            <w:tcW w:w="1684" w:type="dxa"/>
            <w:tcBorders>
              <w:top w:val="single" w:color="000000" w:sz="2" w:space="0"/>
              <w:left w:val="single" w:color="000000" w:sz="4" w:space="0"/>
              <w:bottom w:val="single" w:color="000000" w:sz="4" w:space="0"/>
              <w:right w:val="single" w:color="000000" w:sz="4" w:space="0"/>
            </w:tcBorders>
            <w:noWrap w:val="0"/>
            <w:vAlign w:val="center"/>
          </w:tcPr>
          <w:p w14:paraId="398C7D1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14:paraId="04C7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49ADA7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8D4C8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门禁控制器双门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92F70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5058F1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FECF0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门禁</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472AFCC">
            <w:pPr>
              <w:jc w:val="center"/>
              <w:rPr>
                <w:rFonts w:hint="eastAsia" w:ascii="宋体" w:hAnsi="宋体" w:eastAsia="宋体" w:cs="宋体"/>
                <w:i w:val="0"/>
                <w:iCs w:val="0"/>
                <w:color w:val="auto"/>
                <w:sz w:val="18"/>
                <w:szCs w:val="18"/>
                <w:highlight w:val="none"/>
                <w:u w:val="none"/>
              </w:rPr>
            </w:pPr>
          </w:p>
        </w:tc>
      </w:tr>
      <w:tr w14:paraId="77F5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E381B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AF7F8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办公椅</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EFD04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0170D0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3553" w:type="dxa"/>
            <w:tcBorders>
              <w:top w:val="single" w:color="000000" w:sz="4" w:space="0"/>
              <w:left w:val="single" w:color="000000" w:sz="4" w:space="0"/>
              <w:bottom w:val="single" w:color="000000" w:sz="4" w:space="0"/>
              <w:right w:val="single" w:color="000000" w:sz="4" w:space="0"/>
            </w:tcBorders>
            <w:noWrap w:val="0"/>
            <w:vAlign w:val="center"/>
          </w:tcPr>
          <w:p w14:paraId="53048D11">
            <w:pPr>
              <w:keepNext w:val="0"/>
              <w:keepLines w:val="0"/>
              <w:widowControl/>
              <w:suppressLineNumbers w:val="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sz w:val="18"/>
                <w:szCs w:val="18"/>
                <w:highlight w:val="none"/>
                <w:u w:val="none"/>
                <w:lang w:val="en-US" w:eastAsia="zh-CN"/>
              </w:rPr>
              <w:t>以发包人确认的二次深化设计为准</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417E6EFC">
            <w:pPr>
              <w:jc w:val="center"/>
              <w:rPr>
                <w:rFonts w:hint="eastAsia" w:ascii="宋体" w:hAnsi="宋体" w:eastAsia="宋体" w:cs="宋体"/>
                <w:i w:val="0"/>
                <w:iCs w:val="0"/>
                <w:color w:val="auto"/>
                <w:kern w:val="2"/>
                <w:sz w:val="18"/>
                <w:szCs w:val="18"/>
                <w:highlight w:val="none"/>
                <w:u w:val="none"/>
                <w:lang w:val="en-US" w:eastAsia="zh-CN" w:bidi="ar-SA"/>
              </w:rPr>
            </w:pPr>
          </w:p>
        </w:tc>
      </w:tr>
      <w:tr w14:paraId="4E16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0EAAB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0DA13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无框（条夹）全玻璃门扇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9D433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4968C2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13.4</w:t>
            </w:r>
          </w:p>
        </w:tc>
        <w:tc>
          <w:tcPr>
            <w:tcW w:w="3553" w:type="dxa"/>
            <w:tcBorders>
              <w:top w:val="single" w:color="000000" w:sz="4" w:space="0"/>
              <w:left w:val="single" w:color="000000" w:sz="4" w:space="0"/>
              <w:bottom w:val="single" w:color="000000" w:sz="4" w:space="0"/>
              <w:right w:val="single" w:color="000000" w:sz="4" w:space="0"/>
            </w:tcBorders>
            <w:noWrap w:val="0"/>
            <w:vAlign w:val="center"/>
          </w:tcPr>
          <w:p w14:paraId="5FC3D870">
            <w:pPr>
              <w:pStyle w:val="31"/>
              <w:keepNext w:val="0"/>
              <w:keepLines w:val="0"/>
              <w:widowControl/>
              <w:suppressLineNumbers w:val="0"/>
              <w:spacing w:before="0" w:beforeAutospacing="0" w:after="0" w:afterAutospacing="0"/>
              <w:ind w:left="0" w:right="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全玻平开门，包括制作、安装</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30148CA2">
            <w:pPr>
              <w:jc w:val="center"/>
              <w:rPr>
                <w:rFonts w:hint="eastAsia" w:ascii="宋体" w:hAnsi="宋体" w:eastAsia="宋体" w:cs="宋体"/>
                <w:i w:val="0"/>
                <w:iCs w:val="0"/>
                <w:color w:val="auto"/>
                <w:kern w:val="2"/>
                <w:sz w:val="18"/>
                <w:szCs w:val="18"/>
                <w:highlight w:val="none"/>
                <w:u w:val="none"/>
                <w:lang w:val="en-US" w:eastAsia="zh-CN" w:bidi="ar-SA"/>
              </w:rPr>
            </w:pPr>
          </w:p>
        </w:tc>
      </w:tr>
      <w:tr w14:paraId="75C4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1BAACD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99305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适老椅</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E1643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75B56D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3553" w:type="dxa"/>
            <w:tcBorders>
              <w:top w:val="single" w:color="000000" w:sz="4" w:space="0"/>
              <w:left w:val="single" w:color="000000" w:sz="4" w:space="0"/>
              <w:bottom w:val="single" w:color="000000" w:sz="4" w:space="0"/>
              <w:right w:val="single" w:color="000000" w:sz="4" w:space="0"/>
            </w:tcBorders>
            <w:noWrap w:val="0"/>
            <w:vAlign w:val="center"/>
          </w:tcPr>
          <w:p w14:paraId="0BCFC380">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尺寸规格‌：宽525mm × 深560mm × 高835mm（含靠背）3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‌主体材质‌：橡胶木实木框架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‌安全设计‌：整体圆滑边缘处理（圆角R≥15mm），减少碰撞伤害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‌表面工艺‌：水性环保漆处理，甲醛释放量≤0.020mg/m³</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1088E1D3">
            <w:pPr>
              <w:jc w:val="center"/>
              <w:rPr>
                <w:rFonts w:hint="eastAsia" w:ascii="宋体" w:hAnsi="宋体" w:eastAsia="宋体" w:cs="宋体"/>
                <w:i w:val="0"/>
                <w:iCs w:val="0"/>
                <w:color w:val="auto"/>
                <w:kern w:val="2"/>
                <w:sz w:val="18"/>
                <w:szCs w:val="18"/>
                <w:highlight w:val="none"/>
                <w:u w:val="none"/>
                <w:lang w:val="en-US" w:eastAsia="zh-CN" w:bidi="ar-SA"/>
              </w:rPr>
            </w:pPr>
          </w:p>
        </w:tc>
      </w:tr>
      <w:tr w14:paraId="2938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58EEF4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227AF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文件柜</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4E9F3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0F8640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3553" w:type="dxa"/>
            <w:tcBorders>
              <w:top w:val="single" w:color="000000" w:sz="4" w:space="0"/>
              <w:left w:val="single" w:color="000000" w:sz="4" w:space="0"/>
              <w:bottom w:val="single" w:color="000000" w:sz="4" w:space="0"/>
              <w:right w:val="single" w:color="000000" w:sz="4" w:space="0"/>
            </w:tcBorders>
            <w:noWrap w:val="0"/>
            <w:vAlign w:val="center"/>
          </w:tcPr>
          <w:p w14:paraId="3F19B379">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sz w:val="18"/>
                <w:szCs w:val="18"/>
                <w:highlight w:val="none"/>
                <w:u w:val="none"/>
                <w:lang w:val="en-US" w:eastAsia="zh-CN"/>
              </w:rPr>
              <w:t>以发包人确认的二次深化设计为准</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08986C08">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p>
        </w:tc>
      </w:tr>
      <w:tr w14:paraId="15D5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343D9F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BDD462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书报架</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5FA6B3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5F4A778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3553" w:type="dxa"/>
            <w:tcBorders>
              <w:top w:val="single" w:color="000000" w:sz="4" w:space="0"/>
              <w:left w:val="single" w:color="000000" w:sz="4" w:space="0"/>
              <w:bottom w:val="single" w:color="000000" w:sz="4" w:space="0"/>
              <w:right w:val="single" w:color="000000" w:sz="4" w:space="0"/>
            </w:tcBorders>
            <w:noWrap w:val="0"/>
            <w:vAlign w:val="center"/>
          </w:tcPr>
          <w:p w14:paraId="105A3140">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sz w:val="18"/>
                <w:szCs w:val="18"/>
                <w:highlight w:val="none"/>
                <w:u w:val="none"/>
                <w:lang w:val="en-US" w:eastAsia="zh-CN"/>
              </w:rPr>
              <w:t>以发包人确认的二次深化设计为准</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013DDE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p>
        </w:tc>
      </w:tr>
      <w:tr w14:paraId="1158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2F72D6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A73E1FB">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吧台左侧软装花艺装饰 4X3m</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F3AD680">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1052" w:type="dxa"/>
            <w:tcBorders>
              <w:top w:val="single" w:color="000000" w:sz="4" w:space="0"/>
              <w:left w:val="single" w:color="000000" w:sz="4" w:space="0"/>
              <w:bottom w:val="single" w:color="auto" w:sz="4" w:space="0"/>
              <w:right w:val="single" w:color="000000" w:sz="4" w:space="0"/>
            </w:tcBorders>
            <w:noWrap w:val="0"/>
            <w:vAlign w:val="center"/>
          </w:tcPr>
          <w:p w14:paraId="27FE19EB">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3553" w:type="dxa"/>
            <w:tcBorders>
              <w:top w:val="single" w:color="000000" w:sz="4" w:space="0"/>
              <w:left w:val="single" w:color="000000" w:sz="4" w:space="0"/>
              <w:bottom w:val="single" w:color="auto" w:sz="4" w:space="0"/>
              <w:right w:val="single" w:color="000000" w:sz="4" w:space="0"/>
            </w:tcBorders>
            <w:noWrap w:val="0"/>
            <w:vAlign w:val="center"/>
          </w:tcPr>
          <w:p w14:paraId="30C30525">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sz w:val="18"/>
                <w:szCs w:val="18"/>
                <w:highlight w:val="none"/>
                <w:u w:val="none"/>
                <w:lang w:val="en-US" w:eastAsia="zh-CN"/>
              </w:rPr>
              <w:t>以发包人确认的二次深化设计为准</w:t>
            </w:r>
          </w:p>
        </w:tc>
        <w:tc>
          <w:tcPr>
            <w:tcW w:w="1684" w:type="dxa"/>
            <w:tcBorders>
              <w:top w:val="single" w:color="000000" w:sz="4" w:space="0"/>
              <w:left w:val="single" w:color="000000" w:sz="4" w:space="0"/>
              <w:bottom w:val="single" w:color="auto" w:sz="4" w:space="0"/>
              <w:right w:val="single" w:color="000000" w:sz="4" w:space="0"/>
            </w:tcBorders>
            <w:noWrap w:val="0"/>
            <w:vAlign w:val="center"/>
          </w:tcPr>
          <w:p w14:paraId="258F6EB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14:paraId="351D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60" w:type="dxa"/>
            <w:vMerge w:val="restart"/>
            <w:tcBorders>
              <w:top w:val="single" w:color="000000" w:sz="4" w:space="0"/>
              <w:left w:val="single" w:color="000000" w:sz="4" w:space="0"/>
              <w:right w:val="single" w:color="000000" w:sz="4" w:space="0"/>
            </w:tcBorders>
            <w:noWrap w:val="0"/>
            <w:vAlign w:val="center"/>
          </w:tcPr>
          <w:p w14:paraId="5206DD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430" w:type="dxa"/>
            <w:vMerge w:val="restart"/>
            <w:tcBorders>
              <w:top w:val="single" w:color="000000" w:sz="4" w:space="0"/>
              <w:left w:val="single" w:color="000000" w:sz="4" w:space="0"/>
              <w:right w:val="single" w:color="000000" w:sz="4" w:space="0"/>
            </w:tcBorders>
            <w:noWrap w:val="0"/>
            <w:vAlign w:val="center"/>
          </w:tcPr>
          <w:p w14:paraId="3F7B5E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走廊过道软装部分（文化墙 门牌 标识 地贴及形象栏）</w:t>
            </w:r>
          </w:p>
        </w:tc>
        <w:tc>
          <w:tcPr>
            <w:tcW w:w="1561" w:type="dxa"/>
            <w:vMerge w:val="restart"/>
            <w:tcBorders>
              <w:top w:val="single" w:color="000000" w:sz="4" w:space="0"/>
              <w:left w:val="single" w:color="000000" w:sz="4" w:space="0"/>
              <w:right w:val="single" w:color="auto" w:sz="4" w:space="0"/>
            </w:tcBorders>
            <w:noWrap w:val="0"/>
            <w:vAlign w:val="center"/>
          </w:tcPr>
          <w:p w14:paraId="5BF590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项</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317F02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2C26D645">
            <w:pPr>
              <w:keepNext w:val="0"/>
              <w:keepLines w:val="0"/>
              <w:widowControl/>
              <w:suppressLineNumbers w:val="0"/>
              <w:tabs>
                <w:tab w:val="center" w:pos="1699"/>
                <w:tab w:val="right" w:pos="3279"/>
              </w:tabs>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地贴指引标识（1*1m）</w:t>
            </w:r>
            <w:r>
              <w:rPr>
                <w:rFonts w:hint="eastAsia" w:ascii="宋体" w:hAnsi="宋体" w:eastAsia="宋体" w:cs="宋体"/>
                <w:i w:val="0"/>
                <w:iCs w:val="0"/>
                <w:color w:val="000000"/>
                <w:kern w:val="0"/>
                <w:sz w:val="18"/>
                <w:szCs w:val="18"/>
                <w:u w:val="none"/>
                <w:lang w:val="en-US" w:eastAsia="zh-CN" w:bidi="ar"/>
              </w:rPr>
              <w:tab/>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D9834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PVC+覆斜防滑纹膜</w:t>
            </w:r>
          </w:p>
        </w:tc>
      </w:tr>
      <w:tr w14:paraId="5A4E7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60" w:type="dxa"/>
            <w:vMerge w:val="continue"/>
            <w:tcBorders>
              <w:left w:val="single" w:color="000000" w:sz="4" w:space="0"/>
              <w:right w:val="single" w:color="000000" w:sz="4" w:space="0"/>
            </w:tcBorders>
            <w:noWrap w:val="0"/>
            <w:vAlign w:val="center"/>
          </w:tcPr>
          <w:p w14:paraId="6C355F2C">
            <w:pPr>
              <w:keepNext w:val="0"/>
              <w:keepLines w:val="0"/>
              <w:widowControl/>
              <w:suppressLineNumbers w:val="0"/>
              <w:jc w:val="center"/>
              <w:textAlignment w:val="center"/>
              <w:rPr>
                <w:rFonts w:hint="eastAsia" w:ascii="宋体" w:hAnsi="宋体" w:eastAsia="宋体" w:cs="宋体"/>
                <w:sz w:val="18"/>
                <w:szCs w:val="18"/>
              </w:rPr>
            </w:pPr>
          </w:p>
        </w:tc>
        <w:tc>
          <w:tcPr>
            <w:tcW w:w="1430" w:type="dxa"/>
            <w:vMerge w:val="continue"/>
            <w:tcBorders>
              <w:left w:val="single" w:color="000000" w:sz="4" w:space="0"/>
              <w:right w:val="single" w:color="000000" w:sz="4" w:space="0"/>
            </w:tcBorders>
            <w:noWrap w:val="0"/>
            <w:vAlign w:val="center"/>
          </w:tcPr>
          <w:p w14:paraId="0F7B610E">
            <w:pPr>
              <w:keepNext w:val="0"/>
              <w:keepLines w:val="0"/>
              <w:widowControl/>
              <w:suppressLineNumbers w:val="0"/>
              <w:jc w:val="center"/>
              <w:textAlignment w:val="center"/>
              <w:rPr>
                <w:rFonts w:hint="eastAsia" w:ascii="宋体" w:hAnsi="宋体" w:eastAsia="宋体" w:cs="宋体"/>
                <w:sz w:val="18"/>
                <w:szCs w:val="18"/>
              </w:rPr>
            </w:pPr>
          </w:p>
        </w:tc>
        <w:tc>
          <w:tcPr>
            <w:tcW w:w="1561" w:type="dxa"/>
            <w:vMerge w:val="continue"/>
            <w:tcBorders>
              <w:left w:val="single" w:color="000000" w:sz="4" w:space="0"/>
              <w:right w:val="single" w:color="auto" w:sz="4" w:space="0"/>
            </w:tcBorders>
            <w:noWrap w:val="0"/>
            <w:vAlign w:val="center"/>
          </w:tcPr>
          <w:p w14:paraId="51E66453">
            <w:pPr>
              <w:keepNext w:val="0"/>
              <w:keepLines w:val="0"/>
              <w:widowControl/>
              <w:suppressLineNumbers w:val="0"/>
              <w:jc w:val="center"/>
              <w:textAlignment w:val="center"/>
              <w:rPr>
                <w:rFonts w:hint="eastAsia" w:ascii="宋体" w:hAnsi="宋体" w:eastAsia="宋体" w:cs="宋体"/>
                <w:sz w:val="18"/>
                <w:szCs w:val="18"/>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3BA7678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6383E0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认知症知识形象墙（4*1.3m）</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185BA6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高密度雪弗板UV+侧边喷漆+亚克力画面+亚克力字</w:t>
            </w:r>
          </w:p>
        </w:tc>
      </w:tr>
      <w:tr w14:paraId="6AC4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460" w:type="dxa"/>
            <w:vMerge w:val="continue"/>
            <w:tcBorders>
              <w:left w:val="single" w:color="000000" w:sz="4" w:space="0"/>
              <w:right w:val="single" w:color="000000" w:sz="4" w:space="0"/>
            </w:tcBorders>
            <w:noWrap w:val="0"/>
            <w:vAlign w:val="center"/>
          </w:tcPr>
          <w:p w14:paraId="33D75C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30" w:type="dxa"/>
            <w:vMerge w:val="continue"/>
            <w:tcBorders>
              <w:left w:val="single" w:color="000000" w:sz="4" w:space="0"/>
              <w:right w:val="single" w:color="000000" w:sz="4" w:space="0"/>
            </w:tcBorders>
            <w:noWrap w:val="0"/>
            <w:vAlign w:val="center"/>
          </w:tcPr>
          <w:p w14:paraId="12D50F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1" w:type="dxa"/>
            <w:vMerge w:val="continue"/>
            <w:tcBorders>
              <w:left w:val="single" w:color="000000" w:sz="4" w:space="0"/>
              <w:right w:val="single" w:color="auto" w:sz="4" w:space="0"/>
            </w:tcBorders>
            <w:noWrap w:val="0"/>
            <w:vAlign w:val="center"/>
          </w:tcPr>
          <w:p w14:paraId="6E446C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3A3614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5229C7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贤祥老照片形象墙（4*1.3m）</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7A3240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高密度雪弗板UV+侧边喷漆+亚克力画面+亚克力字</w:t>
            </w:r>
          </w:p>
        </w:tc>
      </w:tr>
      <w:tr w14:paraId="5EFF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460" w:type="dxa"/>
            <w:vMerge w:val="continue"/>
            <w:tcBorders>
              <w:left w:val="single" w:color="000000" w:sz="4" w:space="0"/>
              <w:right w:val="single" w:color="000000" w:sz="4" w:space="0"/>
            </w:tcBorders>
            <w:noWrap w:val="0"/>
            <w:vAlign w:val="center"/>
          </w:tcPr>
          <w:p w14:paraId="48BD22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30" w:type="dxa"/>
            <w:vMerge w:val="continue"/>
            <w:tcBorders>
              <w:left w:val="single" w:color="000000" w:sz="4" w:space="0"/>
              <w:right w:val="single" w:color="000000" w:sz="4" w:space="0"/>
            </w:tcBorders>
            <w:noWrap w:val="0"/>
            <w:vAlign w:val="center"/>
          </w:tcPr>
          <w:p w14:paraId="3A15CD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1" w:type="dxa"/>
            <w:vMerge w:val="continue"/>
            <w:tcBorders>
              <w:left w:val="single" w:color="000000" w:sz="4" w:space="0"/>
              <w:right w:val="single" w:color="auto" w:sz="4" w:space="0"/>
            </w:tcBorders>
            <w:noWrap w:val="0"/>
            <w:vAlign w:val="center"/>
          </w:tcPr>
          <w:p w14:paraId="72859C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789C7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1E259C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健康养生形象墙（3*1m）</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1988A9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高密度雪弗板UV+侧边喷漆+亚克力画面+亚克力字</w:t>
            </w:r>
          </w:p>
        </w:tc>
      </w:tr>
      <w:tr w14:paraId="7E96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460" w:type="dxa"/>
            <w:vMerge w:val="continue"/>
            <w:tcBorders>
              <w:left w:val="single" w:color="000000" w:sz="4" w:space="0"/>
              <w:right w:val="single" w:color="000000" w:sz="4" w:space="0"/>
            </w:tcBorders>
            <w:noWrap w:val="0"/>
            <w:vAlign w:val="center"/>
          </w:tcPr>
          <w:p w14:paraId="62D3E9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30" w:type="dxa"/>
            <w:vMerge w:val="continue"/>
            <w:tcBorders>
              <w:left w:val="single" w:color="000000" w:sz="4" w:space="0"/>
              <w:right w:val="single" w:color="000000" w:sz="4" w:space="0"/>
            </w:tcBorders>
            <w:noWrap w:val="0"/>
            <w:vAlign w:val="center"/>
          </w:tcPr>
          <w:p w14:paraId="3B51F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1" w:type="dxa"/>
            <w:vMerge w:val="continue"/>
            <w:tcBorders>
              <w:left w:val="single" w:color="000000" w:sz="4" w:space="0"/>
              <w:right w:val="single" w:color="auto" w:sz="4" w:space="0"/>
            </w:tcBorders>
            <w:noWrap w:val="0"/>
            <w:vAlign w:val="center"/>
          </w:tcPr>
          <w:p w14:paraId="66B0A6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52192A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4BA133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怀旧生活形象墙（7*1.3m）</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B59D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高密度雪弗板UV+侧边喷漆+亚克力画面+亚克力字</w:t>
            </w:r>
          </w:p>
        </w:tc>
      </w:tr>
      <w:tr w14:paraId="6028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60" w:type="dxa"/>
            <w:vMerge w:val="continue"/>
            <w:tcBorders>
              <w:left w:val="single" w:color="000000" w:sz="4" w:space="0"/>
              <w:right w:val="single" w:color="000000" w:sz="4" w:space="0"/>
            </w:tcBorders>
            <w:noWrap w:val="0"/>
            <w:vAlign w:val="center"/>
          </w:tcPr>
          <w:p w14:paraId="4EE19500">
            <w:pPr>
              <w:keepNext w:val="0"/>
              <w:keepLines w:val="0"/>
              <w:widowControl/>
              <w:suppressLineNumbers w:val="0"/>
              <w:jc w:val="center"/>
              <w:textAlignment w:val="center"/>
              <w:rPr>
                <w:rFonts w:hint="eastAsia" w:ascii="宋体" w:hAnsi="宋体" w:eastAsia="宋体" w:cs="宋体"/>
                <w:sz w:val="18"/>
                <w:szCs w:val="18"/>
              </w:rPr>
            </w:pPr>
          </w:p>
        </w:tc>
        <w:tc>
          <w:tcPr>
            <w:tcW w:w="1430" w:type="dxa"/>
            <w:vMerge w:val="continue"/>
            <w:tcBorders>
              <w:left w:val="single" w:color="000000" w:sz="4" w:space="0"/>
              <w:right w:val="single" w:color="000000" w:sz="4" w:space="0"/>
            </w:tcBorders>
            <w:noWrap w:val="0"/>
            <w:vAlign w:val="center"/>
          </w:tcPr>
          <w:p w14:paraId="607E5C31">
            <w:pPr>
              <w:keepNext w:val="0"/>
              <w:keepLines w:val="0"/>
              <w:widowControl/>
              <w:suppressLineNumbers w:val="0"/>
              <w:jc w:val="center"/>
              <w:textAlignment w:val="center"/>
              <w:rPr>
                <w:rFonts w:hint="eastAsia" w:ascii="宋体" w:hAnsi="宋体" w:eastAsia="宋体" w:cs="宋体"/>
                <w:sz w:val="18"/>
                <w:szCs w:val="18"/>
              </w:rPr>
            </w:pPr>
          </w:p>
        </w:tc>
        <w:tc>
          <w:tcPr>
            <w:tcW w:w="1561" w:type="dxa"/>
            <w:vMerge w:val="continue"/>
            <w:tcBorders>
              <w:left w:val="single" w:color="000000" w:sz="4" w:space="0"/>
              <w:right w:val="single" w:color="auto" w:sz="4" w:space="0"/>
            </w:tcBorders>
            <w:noWrap w:val="0"/>
            <w:vAlign w:val="center"/>
          </w:tcPr>
          <w:p w14:paraId="0409EE8E">
            <w:pPr>
              <w:keepNext w:val="0"/>
              <w:keepLines w:val="0"/>
              <w:widowControl/>
              <w:suppressLineNumbers w:val="0"/>
              <w:jc w:val="center"/>
              <w:textAlignment w:val="center"/>
              <w:rPr>
                <w:rFonts w:hint="eastAsia" w:ascii="宋体" w:hAnsi="宋体" w:eastAsia="宋体" w:cs="宋体"/>
                <w:sz w:val="18"/>
                <w:szCs w:val="18"/>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2EAE46D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086292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照护台温馨提示墙（1*1.2m）</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072021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亚克力画面+亚克力字</w:t>
            </w:r>
          </w:p>
        </w:tc>
      </w:tr>
      <w:tr w14:paraId="63EC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60" w:type="dxa"/>
            <w:vMerge w:val="continue"/>
            <w:tcBorders>
              <w:left w:val="single" w:color="000000" w:sz="4" w:space="0"/>
              <w:right w:val="single" w:color="000000" w:sz="4" w:space="0"/>
            </w:tcBorders>
            <w:noWrap w:val="0"/>
            <w:vAlign w:val="center"/>
          </w:tcPr>
          <w:p w14:paraId="6785D3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30" w:type="dxa"/>
            <w:vMerge w:val="continue"/>
            <w:tcBorders>
              <w:left w:val="single" w:color="000000" w:sz="4" w:space="0"/>
              <w:right w:val="single" w:color="000000" w:sz="4" w:space="0"/>
            </w:tcBorders>
            <w:noWrap w:val="0"/>
            <w:vAlign w:val="center"/>
          </w:tcPr>
          <w:p w14:paraId="697F66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1" w:type="dxa"/>
            <w:vMerge w:val="continue"/>
            <w:tcBorders>
              <w:left w:val="single" w:color="000000" w:sz="4" w:space="0"/>
              <w:right w:val="single" w:color="auto" w:sz="4" w:space="0"/>
            </w:tcBorders>
            <w:noWrap w:val="0"/>
            <w:vAlign w:val="center"/>
          </w:tcPr>
          <w:p w14:paraId="42E99C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450053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550B01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公告栏（0.8*1.2m）</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552AF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高密度雪弗板</w:t>
            </w:r>
          </w:p>
        </w:tc>
      </w:tr>
      <w:tr w14:paraId="7958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60" w:type="dxa"/>
            <w:vMerge w:val="continue"/>
            <w:tcBorders>
              <w:left w:val="single" w:color="000000" w:sz="4" w:space="0"/>
              <w:right w:val="single" w:color="000000" w:sz="4" w:space="0"/>
            </w:tcBorders>
            <w:noWrap w:val="0"/>
            <w:vAlign w:val="center"/>
          </w:tcPr>
          <w:p w14:paraId="32E672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30" w:type="dxa"/>
            <w:vMerge w:val="continue"/>
            <w:tcBorders>
              <w:left w:val="single" w:color="000000" w:sz="4" w:space="0"/>
              <w:right w:val="single" w:color="000000" w:sz="4" w:space="0"/>
            </w:tcBorders>
            <w:noWrap w:val="0"/>
            <w:vAlign w:val="center"/>
          </w:tcPr>
          <w:p w14:paraId="4CEC5D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1" w:type="dxa"/>
            <w:vMerge w:val="continue"/>
            <w:tcBorders>
              <w:left w:val="single" w:color="000000" w:sz="4" w:space="0"/>
              <w:right w:val="single" w:color="auto" w:sz="4" w:space="0"/>
            </w:tcBorders>
            <w:noWrap w:val="0"/>
            <w:vAlign w:val="center"/>
          </w:tcPr>
          <w:p w14:paraId="22B8BB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0FABCA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5DECFA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制度牌（0.8*1.2m）</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D8EA4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高密度雪弗板</w:t>
            </w:r>
          </w:p>
        </w:tc>
      </w:tr>
      <w:tr w14:paraId="5FFF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60" w:type="dxa"/>
            <w:vMerge w:val="continue"/>
            <w:tcBorders>
              <w:left w:val="single" w:color="000000" w:sz="4" w:space="0"/>
              <w:right w:val="single" w:color="000000" w:sz="4" w:space="0"/>
            </w:tcBorders>
            <w:noWrap w:val="0"/>
            <w:vAlign w:val="center"/>
          </w:tcPr>
          <w:p w14:paraId="66E322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30" w:type="dxa"/>
            <w:vMerge w:val="continue"/>
            <w:tcBorders>
              <w:left w:val="single" w:color="000000" w:sz="4" w:space="0"/>
              <w:right w:val="single" w:color="000000" w:sz="4" w:space="0"/>
            </w:tcBorders>
            <w:noWrap w:val="0"/>
            <w:vAlign w:val="center"/>
          </w:tcPr>
          <w:p w14:paraId="0EC771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1" w:type="dxa"/>
            <w:vMerge w:val="continue"/>
            <w:tcBorders>
              <w:left w:val="single" w:color="000000" w:sz="4" w:space="0"/>
              <w:right w:val="single" w:color="auto" w:sz="4" w:space="0"/>
            </w:tcBorders>
            <w:noWrap w:val="0"/>
            <w:vAlign w:val="center"/>
          </w:tcPr>
          <w:p w14:paraId="402B5B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05B85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23A56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门牌（0.12*0.33m）</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064E7F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PVC</w:t>
            </w:r>
          </w:p>
        </w:tc>
      </w:tr>
      <w:tr w14:paraId="0132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60" w:type="dxa"/>
            <w:vMerge w:val="continue"/>
            <w:tcBorders>
              <w:left w:val="single" w:color="000000" w:sz="4" w:space="0"/>
              <w:right w:val="single" w:color="000000" w:sz="4" w:space="0"/>
            </w:tcBorders>
            <w:noWrap w:val="0"/>
            <w:vAlign w:val="center"/>
          </w:tcPr>
          <w:p w14:paraId="76DB2C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30" w:type="dxa"/>
            <w:vMerge w:val="continue"/>
            <w:tcBorders>
              <w:left w:val="single" w:color="000000" w:sz="4" w:space="0"/>
              <w:right w:val="single" w:color="000000" w:sz="4" w:space="0"/>
            </w:tcBorders>
            <w:noWrap w:val="0"/>
            <w:vAlign w:val="center"/>
          </w:tcPr>
          <w:p w14:paraId="0D2476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1" w:type="dxa"/>
            <w:vMerge w:val="continue"/>
            <w:tcBorders>
              <w:left w:val="single" w:color="000000" w:sz="4" w:space="0"/>
              <w:right w:val="single" w:color="auto" w:sz="4" w:space="0"/>
            </w:tcBorders>
            <w:noWrap w:val="0"/>
            <w:vAlign w:val="center"/>
          </w:tcPr>
          <w:p w14:paraId="0D1098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652E1C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27F363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照护值班台标识（0.4*1m）</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3CDD9D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亚克力画面+亚克力字</w:t>
            </w:r>
          </w:p>
        </w:tc>
      </w:tr>
      <w:tr w14:paraId="5C37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60" w:type="dxa"/>
            <w:vMerge w:val="continue"/>
            <w:tcBorders>
              <w:left w:val="single" w:color="000000" w:sz="4" w:space="0"/>
              <w:bottom w:val="single" w:color="000000" w:sz="4" w:space="0"/>
              <w:right w:val="single" w:color="000000" w:sz="4" w:space="0"/>
            </w:tcBorders>
            <w:noWrap w:val="0"/>
            <w:vAlign w:val="center"/>
          </w:tcPr>
          <w:p w14:paraId="0615C2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30" w:type="dxa"/>
            <w:vMerge w:val="continue"/>
            <w:tcBorders>
              <w:left w:val="single" w:color="000000" w:sz="4" w:space="0"/>
              <w:bottom w:val="single" w:color="000000" w:sz="4" w:space="0"/>
              <w:right w:val="single" w:color="000000" w:sz="4" w:space="0"/>
            </w:tcBorders>
            <w:noWrap w:val="0"/>
            <w:vAlign w:val="center"/>
          </w:tcPr>
          <w:p w14:paraId="285C9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1" w:type="dxa"/>
            <w:vMerge w:val="continue"/>
            <w:tcBorders>
              <w:left w:val="single" w:color="000000" w:sz="4" w:space="0"/>
              <w:bottom w:val="single" w:color="000000" w:sz="4" w:space="0"/>
              <w:right w:val="single" w:color="auto" w:sz="4" w:space="0"/>
            </w:tcBorders>
            <w:noWrap w:val="0"/>
            <w:vAlign w:val="center"/>
          </w:tcPr>
          <w:p w14:paraId="71B424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74E56C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09A407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墙角指引标识（0.12*0.6m）</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4B3CB1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亚克力画面+亚克力字</w:t>
            </w:r>
          </w:p>
        </w:tc>
      </w:tr>
      <w:tr w14:paraId="7334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60" w:type="dxa"/>
            <w:vMerge w:val="continue"/>
            <w:tcBorders>
              <w:left w:val="single" w:color="000000" w:sz="4" w:space="0"/>
              <w:bottom w:val="single" w:color="000000" w:sz="4" w:space="0"/>
              <w:right w:val="single" w:color="000000" w:sz="4" w:space="0"/>
            </w:tcBorders>
            <w:noWrap w:val="0"/>
            <w:vAlign w:val="center"/>
          </w:tcPr>
          <w:p w14:paraId="7C395360">
            <w:pPr>
              <w:keepNext w:val="0"/>
              <w:keepLines w:val="0"/>
              <w:widowControl/>
              <w:suppressLineNumbers w:val="0"/>
              <w:jc w:val="center"/>
              <w:textAlignment w:val="center"/>
              <w:rPr>
                <w:rFonts w:hint="eastAsia" w:ascii="宋体" w:hAnsi="宋体" w:eastAsia="宋体" w:cs="宋体"/>
                <w:sz w:val="18"/>
                <w:szCs w:val="18"/>
              </w:rPr>
            </w:pPr>
          </w:p>
        </w:tc>
        <w:tc>
          <w:tcPr>
            <w:tcW w:w="1430" w:type="dxa"/>
            <w:vMerge w:val="continue"/>
            <w:tcBorders>
              <w:left w:val="single" w:color="000000" w:sz="4" w:space="0"/>
              <w:bottom w:val="single" w:color="000000" w:sz="4" w:space="0"/>
              <w:right w:val="single" w:color="000000" w:sz="4" w:space="0"/>
            </w:tcBorders>
            <w:noWrap w:val="0"/>
            <w:vAlign w:val="center"/>
          </w:tcPr>
          <w:p w14:paraId="69E7C72F">
            <w:pPr>
              <w:keepNext w:val="0"/>
              <w:keepLines w:val="0"/>
              <w:widowControl/>
              <w:suppressLineNumbers w:val="0"/>
              <w:jc w:val="center"/>
              <w:textAlignment w:val="center"/>
              <w:rPr>
                <w:rFonts w:hint="eastAsia" w:ascii="宋体" w:hAnsi="宋体" w:eastAsia="宋体" w:cs="宋体"/>
                <w:sz w:val="18"/>
                <w:szCs w:val="18"/>
              </w:rPr>
            </w:pPr>
          </w:p>
        </w:tc>
        <w:tc>
          <w:tcPr>
            <w:tcW w:w="1561" w:type="dxa"/>
            <w:vMerge w:val="continue"/>
            <w:tcBorders>
              <w:left w:val="single" w:color="000000" w:sz="4" w:space="0"/>
              <w:bottom w:val="single" w:color="000000" w:sz="4" w:space="0"/>
              <w:right w:val="single" w:color="auto" w:sz="4" w:space="0"/>
            </w:tcBorders>
            <w:noWrap w:val="0"/>
            <w:vAlign w:val="center"/>
          </w:tcPr>
          <w:p w14:paraId="58E6CE2E">
            <w:pPr>
              <w:keepNext w:val="0"/>
              <w:keepLines w:val="0"/>
              <w:widowControl/>
              <w:suppressLineNumbers w:val="0"/>
              <w:jc w:val="center"/>
              <w:textAlignment w:val="center"/>
              <w:rPr>
                <w:rFonts w:hint="eastAsia" w:ascii="宋体" w:hAnsi="宋体" w:eastAsia="宋体" w:cs="宋体"/>
                <w:sz w:val="18"/>
                <w:szCs w:val="18"/>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2A4530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3553" w:type="dxa"/>
            <w:tcBorders>
              <w:top w:val="single" w:color="auto" w:sz="4" w:space="0"/>
              <w:left w:val="single" w:color="auto" w:sz="4" w:space="0"/>
              <w:bottom w:val="single" w:color="auto" w:sz="4" w:space="0"/>
              <w:right w:val="single" w:color="auto" w:sz="4" w:space="0"/>
            </w:tcBorders>
            <w:noWrap w:val="0"/>
            <w:vAlign w:val="center"/>
          </w:tcPr>
          <w:p w14:paraId="7A9123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墙面玩具（0.4*0.3m）</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D66F5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椴木+不锈钢</w:t>
            </w:r>
          </w:p>
        </w:tc>
      </w:tr>
    </w:tbl>
    <w:p w14:paraId="26C69DE8">
      <w:pPr>
        <w:pStyle w:val="11"/>
        <w:rPr>
          <w:rFonts w:hint="default"/>
          <w:lang w:val="en-US" w:eastAsia="zh-CN"/>
        </w:rPr>
      </w:pPr>
    </w:p>
    <w:p w14:paraId="7779F3D7">
      <w:pPr>
        <w:rPr>
          <w:rFonts w:hint="default"/>
          <w:lang w:val="en-US" w:eastAsia="zh-CN"/>
        </w:rPr>
        <w:sectPr>
          <w:pgSz w:w="11906" w:h="16838"/>
          <w:pgMar w:top="1440" w:right="1440" w:bottom="1440" w:left="1440" w:header="851" w:footer="992" w:gutter="0"/>
          <w:cols w:space="720" w:num="1"/>
          <w:rtlGutter w:val="0"/>
          <w:docGrid w:type="lines" w:linePitch="312" w:charSpace="0"/>
        </w:sectPr>
      </w:pPr>
    </w:p>
    <w:p w14:paraId="498E2053">
      <w:pPr>
        <w:pStyle w:val="3"/>
        <w:tabs>
          <w:tab w:val="left" w:pos="432"/>
          <w:tab w:val="left" w:pos="1110"/>
        </w:tabs>
        <w:ind w:left="0" w:firstLine="482" w:firstLineChars="200"/>
        <w:rPr>
          <w:rFonts w:ascii="宋体" w:hAnsi="宋体" w:eastAsia="宋体"/>
          <w:color w:val="auto"/>
          <w:sz w:val="24"/>
          <w:szCs w:val="24"/>
          <w:highlight w:val="none"/>
        </w:rPr>
      </w:pPr>
      <w:r>
        <w:rPr>
          <w:rFonts w:hint="eastAsia"/>
          <w:color w:val="auto"/>
          <w:sz w:val="24"/>
          <w:szCs w:val="24"/>
          <w:highlight w:val="none"/>
          <w:lang w:val="en-US" w:eastAsia="zh-CN"/>
        </w:rPr>
        <w:t>四</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重要商务要求一览表</w:t>
      </w:r>
    </w:p>
    <w:tbl>
      <w:tblPr>
        <w:tblStyle w:val="37"/>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390"/>
      </w:tblGrid>
      <w:tr w14:paraId="4415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22" w:type="dxa"/>
            <w:noWrap w:val="0"/>
            <w:vAlign w:val="center"/>
          </w:tcPr>
          <w:p w14:paraId="429B940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项目</w:t>
            </w:r>
          </w:p>
        </w:tc>
        <w:tc>
          <w:tcPr>
            <w:tcW w:w="7390" w:type="dxa"/>
            <w:noWrap w:val="0"/>
            <w:vAlign w:val="center"/>
          </w:tcPr>
          <w:p w14:paraId="46446DE9">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要 求</w:t>
            </w:r>
          </w:p>
        </w:tc>
      </w:tr>
      <w:tr w14:paraId="1D00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22" w:type="dxa"/>
            <w:noWrap w:val="0"/>
            <w:vAlign w:val="center"/>
          </w:tcPr>
          <w:p w14:paraId="2C499DC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1、设计方案</w:t>
            </w:r>
          </w:p>
        </w:tc>
        <w:tc>
          <w:tcPr>
            <w:tcW w:w="7390" w:type="dxa"/>
            <w:noWrap w:val="0"/>
            <w:vAlign w:val="center"/>
          </w:tcPr>
          <w:p w14:paraId="63DC57C0">
            <w:pPr>
              <w:keepNext w:val="0"/>
              <w:keepLines w:val="0"/>
              <w:pageBreakBefore w:val="0"/>
              <w:kinsoku/>
              <w:wordWrap/>
              <w:overflowPunct/>
              <w:topLinePunct w:val="0"/>
              <w:autoSpaceDE/>
              <w:autoSpaceDN/>
              <w:bidi w:val="0"/>
              <w:adjustRightInd/>
              <w:spacing w:line="440" w:lineRule="exact"/>
              <w:ind w:firstLine="241" w:firstLineChars="100"/>
              <w:jc w:val="both"/>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中标供应商应在合同签订后5天内提供两次深化设计方案，经象山县贤庠镇民政办认可后方可施工及现场布置。</w:t>
            </w:r>
          </w:p>
        </w:tc>
      </w:tr>
      <w:tr w14:paraId="0E7D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noWrap w:val="0"/>
            <w:vAlign w:val="center"/>
          </w:tcPr>
          <w:p w14:paraId="5750FDC7">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质保期</w:t>
            </w:r>
          </w:p>
        </w:tc>
        <w:tc>
          <w:tcPr>
            <w:tcW w:w="7390" w:type="dxa"/>
            <w:noWrap w:val="0"/>
            <w:vAlign w:val="center"/>
          </w:tcPr>
          <w:p w14:paraId="012CAC4E">
            <w:pPr>
              <w:pStyle w:val="179"/>
              <w:keepNext w:val="0"/>
              <w:keepLines w:val="0"/>
              <w:pageBreakBefore w:val="0"/>
              <w:widowControl w:val="0"/>
              <w:kinsoku/>
              <w:wordWrap/>
              <w:overflowPunct/>
              <w:topLinePunct w:val="0"/>
              <w:autoSpaceDE/>
              <w:autoSpaceDN/>
              <w:bidi w:val="0"/>
              <w:adjustRightInd w:val="0"/>
              <w:snapToGrid w:val="0"/>
              <w:spacing w:after="0" w:line="4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产品的质保期自验收合格之日起</w:t>
            </w:r>
            <w:r>
              <w:rPr>
                <w:rFonts w:hint="eastAsia" w:ascii="宋体" w:hAnsi="宋体" w:eastAsia="宋体" w:cs="宋体"/>
                <w:color w:val="auto"/>
                <w:sz w:val="24"/>
                <w:szCs w:val="24"/>
                <w:highlight w:val="none"/>
                <w:lang w:val="en-US" w:eastAsia="zh-Hans"/>
              </w:rPr>
              <w:t>一</w:t>
            </w:r>
            <w:r>
              <w:rPr>
                <w:rFonts w:hint="eastAsia" w:ascii="宋体" w:hAnsi="宋体" w:eastAsia="宋体" w:cs="宋体"/>
                <w:color w:val="auto"/>
                <w:sz w:val="24"/>
                <w:szCs w:val="24"/>
                <w:highlight w:val="none"/>
              </w:rPr>
              <w:t>年（自采购人在验收报告上签署</w:t>
            </w:r>
            <w:r>
              <w:rPr>
                <w:rFonts w:hint="eastAsia" w:ascii="宋体" w:hAnsi="宋体" w:eastAsia="宋体" w:cs="宋体"/>
                <w:sz w:val="24"/>
                <w:szCs w:val="24"/>
                <w:highlight w:val="none"/>
              </w:rPr>
              <w:t>“验收合格”之日起计算），质保期内，</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应保证除人为因素和法律规定的不可抗力造成的故障外免费负责维保、更换配件等；质保期满后应保证优惠提供备件和维保服务。</w:t>
            </w:r>
          </w:p>
        </w:tc>
      </w:tr>
      <w:tr w14:paraId="4621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noWrap w:val="0"/>
            <w:vAlign w:val="center"/>
          </w:tcPr>
          <w:p w14:paraId="135A2955">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、数量变更要求</w:t>
            </w:r>
          </w:p>
        </w:tc>
        <w:tc>
          <w:tcPr>
            <w:tcW w:w="7390" w:type="dxa"/>
            <w:noWrap w:val="0"/>
            <w:vAlign w:val="center"/>
          </w:tcPr>
          <w:p w14:paraId="18B015C2">
            <w:pPr>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供应商应配合采购人因实际情况变化而调整部分定购设备数量的权力，供应商应对设备和服务明细报价，施工设计变更后发生的数量增减，按中标单价不变的前提下进行调整，双方不得拒绝。</w:t>
            </w:r>
          </w:p>
        </w:tc>
      </w:tr>
      <w:tr w14:paraId="0081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22" w:type="dxa"/>
            <w:noWrap w:val="0"/>
            <w:vAlign w:val="center"/>
          </w:tcPr>
          <w:p w14:paraId="7546EA61">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、交货时间及交货地点</w:t>
            </w:r>
          </w:p>
        </w:tc>
        <w:tc>
          <w:tcPr>
            <w:tcW w:w="7390" w:type="dxa"/>
            <w:noWrap w:val="0"/>
            <w:vAlign w:val="center"/>
          </w:tcPr>
          <w:p w14:paraId="2E80B49E">
            <w:pPr>
              <w:pStyle w:val="31"/>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20" w:lineRule="exact"/>
              <w:ind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lang w:val="en-US" w:eastAsia="zh-CN"/>
              </w:rPr>
              <w:t>：合同签订后 45天内完成敬老院</w:t>
            </w:r>
            <w:r>
              <w:rPr>
                <w:rFonts w:hint="eastAsia" w:ascii="宋体" w:hAnsi="宋体" w:eastAsia="宋体" w:cs="宋体"/>
                <w:color w:val="auto"/>
                <w:sz w:val="24"/>
                <w:szCs w:val="24"/>
                <w:highlight w:val="none"/>
                <w:lang w:eastAsia="zh-CN"/>
              </w:rPr>
              <w:t>认知障碍照护专区的改造</w:t>
            </w:r>
            <w:r>
              <w:rPr>
                <w:rFonts w:hint="eastAsia" w:ascii="宋体" w:hAnsi="宋体" w:eastAsia="宋体" w:cs="宋体"/>
                <w:color w:val="auto"/>
                <w:sz w:val="24"/>
                <w:szCs w:val="24"/>
                <w:highlight w:val="none"/>
                <w:lang w:val="en-US" w:eastAsia="zh-CN"/>
              </w:rPr>
              <w:t>。</w:t>
            </w:r>
          </w:p>
          <w:p w14:paraId="3961D4B8">
            <w:pPr>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w:t>
            </w:r>
            <w:r>
              <w:rPr>
                <w:rFonts w:hint="eastAsia" w:ascii="宋体" w:hAnsi="宋体" w:eastAsia="宋体" w:cs="宋体"/>
                <w:color w:val="auto"/>
                <w:sz w:val="24"/>
                <w:szCs w:val="24"/>
                <w:highlight w:val="none"/>
                <w:lang w:val="en-US" w:eastAsia="zh-CN"/>
              </w:rPr>
              <w:t>地点</w:t>
            </w:r>
            <w:r>
              <w:rPr>
                <w:rFonts w:hint="eastAsia" w:ascii="宋体" w:hAnsi="宋体" w:eastAsia="宋体" w:cs="宋体"/>
                <w:color w:val="auto"/>
                <w:sz w:val="24"/>
                <w:szCs w:val="24"/>
                <w:highlight w:val="none"/>
              </w:rPr>
              <w:t>。</w:t>
            </w:r>
          </w:p>
        </w:tc>
      </w:tr>
      <w:tr w14:paraId="22F1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noWrap w:val="0"/>
            <w:vAlign w:val="center"/>
          </w:tcPr>
          <w:p w14:paraId="7CCD4AB0">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、付款方式</w:t>
            </w:r>
          </w:p>
        </w:tc>
        <w:tc>
          <w:tcPr>
            <w:tcW w:w="7390" w:type="dxa"/>
            <w:noWrap w:val="0"/>
            <w:vAlign w:val="center"/>
          </w:tcPr>
          <w:p w14:paraId="7C2041E4">
            <w:pPr>
              <w:pStyle w:val="121"/>
              <w:keepNext w:val="0"/>
              <w:keepLines w:val="0"/>
              <w:pageBreakBefore w:val="0"/>
              <w:widowControl w:val="0"/>
              <w:kinsoku/>
              <w:wordWrap/>
              <w:overflowPunct/>
              <w:topLinePunct w:val="0"/>
              <w:bidi w:val="0"/>
              <w:spacing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（1）合同签订并采购人发出供货通知后15天内支付合同价款的40%作为预付款（支付前，供应商向采购人提交等额预付款保函且经采购人认可）；</w:t>
            </w:r>
          </w:p>
          <w:p w14:paraId="513EA0AC">
            <w:pPr>
              <w:keepNext w:val="0"/>
              <w:keepLines w:val="0"/>
              <w:pageBreakBefore w:val="0"/>
              <w:widowControl/>
              <w:kinsoku/>
              <w:wordWrap/>
              <w:overflowPunct/>
              <w:topLinePunct w:val="0"/>
              <w:autoSpaceDE/>
              <w:autoSpaceDN/>
              <w:bidi w:val="0"/>
              <w:adjustRightInd w:val="0"/>
              <w:snapToGrid w:val="0"/>
              <w:spacing w:line="420" w:lineRule="exact"/>
              <w:ind w:left="0" w:firstLine="482" w:firstLineChars="200"/>
              <w:textAlignment w:val="auto"/>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snapToGrid w:val="0"/>
                <w:color w:val="auto"/>
                <w:kern w:val="0"/>
                <w:sz w:val="24"/>
                <w:szCs w:val="24"/>
                <w:highlight w:val="none"/>
                <w:lang w:val="en-US" w:eastAsia="zh-CN"/>
              </w:rPr>
              <w:t>验收合格后并</w:t>
            </w:r>
            <w:r>
              <w:rPr>
                <w:rFonts w:hint="eastAsia" w:ascii="宋体" w:hAnsi="宋体" w:eastAsia="宋体" w:cs="宋体"/>
                <w:b/>
                <w:bCs w:val="0"/>
                <w:snapToGrid w:val="0"/>
                <w:color w:val="auto"/>
                <w:kern w:val="0"/>
                <w:sz w:val="24"/>
                <w:szCs w:val="24"/>
                <w:highlight w:val="none"/>
              </w:rPr>
              <w:t>提交完整的技术资料</w:t>
            </w:r>
            <w:r>
              <w:rPr>
                <w:rFonts w:hint="eastAsia" w:ascii="宋体" w:hAnsi="宋体" w:eastAsia="宋体" w:cs="宋体"/>
                <w:b/>
                <w:bCs w:val="0"/>
                <w:snapToGrid w:val="0"/>
                <w:color w:val="auto"/>
                <w:kern w:val="0"/>
                <w:sz w:val="24"/>
                <w:szCs w:val="24"/>
                <w:highlight w:val="none"/>
                <w:lang w:val="en-US" w:eastAsia="zh-CN"/>
              </w:rPr>
              <w:t>后28天内支付至合同价款的100</w:t>
            </w:r>
            <w:r>
              <w:rPr>
                <w:rFonts w:hint="eastAsia" w:ascii="宋体" w:hAnsi="宋体" w:eastAsia="宋体" w:cs="宋体"/>
                <w:b/>
                <w:bCs w:val="0"/>
                <w:snapToGrid w:val="0"/>
                <w:color w:val="auto"/>
                <w:kern w:val="0"/>
                <w:sz w:val="24"/>
                <w:szCs w:val="24"/>
                <w:highlight w:val="none"/>
              </w:rPr>
              <w:t>%。</w:t>
            </w:r>
          </w:p>
          <w:p w14:paraId="6D634B43">
            <w:pPr>
              <w:pStyle w:val="36"/>
              <w:keepNext w:val="0"/>
              <w:keepLines w:val="0"/>
              <w:pageBreakBefore w:val="0"/>
              <w:widowControl w:val="0"/>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2828EC85">
            <w:pPr>
              <w:pStyle w:val="36"/>
              <w:keepNext w:val="0"/>
              <w:keepLines w:val="0"/>
              <w:pageBreakBefore w:val="0"/>
              <w:widowControl w:val="0"/>
              <w:numPr>
                <w:ilvl w:val="0"/>
                <w:numId w:val="13"/>
              </w:numPr>
              <w:kinsoku/>
              <w:wordWrap/>
              <w:overflowPunct/>
              <w:topLinePunct w:val="0"/>
              <w:autoSpaceDE/>
              <w:autoSpaceDN/>
              <w:bidi w:val="0"/>
              <w:spacing w:line="420" w:lineRule="exact"/>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在签订合同时，供应商明确表示无需预付款或者主动要求降低预付款比例的，采购合同可不适用前述规定。</w:t>
            </w:r>
          </w:p>
          <w:p w14:paraId="2789DC77">
            <w:pPr>
              <w:pStyle w:val="36"/>
              <w:keepNext w:val="0"/>
              <w:keepLines w:val="0"/>
              <w:pageBreakBefore w:val="0"/>
              <w:widowControl w:val="0"/>
              <w:numPr>
                <w:ilvl w:val="0"/>
                <w:numId w:val="13"/>
              </w:numPr>
              <w:kinsoku/>
              <w:wordWrap/>
              <w:overflowPunct/>
              <w:topLinePunct w:val="0"/>
              <w:autoSpaceDE/>
              <w:autoSpaceDN/>
              <w:bidi w:val="0"/>
              <w:spacing w:line="420" w:lineRule="exact"/>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如上级资金拨款未到位，预付款支付时间相应推迟。</w:t>
            </w:r>
          </w:p>
          <w:p w14:paraId="1B40B850">
            <w:pPr>
              <w:pStyle w:val="36"/>
              <w:keepNext w:val="0"/>
              <w:keepLines w:val="0"/>
              <w:pageBreakBefore w:val="0"/>
              <w:widowControl w:val="0"/>
              <w:numPr>
                <w:ilvl w:val="0"/>
                <w:numId w:val="0"/>
              </w:numPr>
              <w:kinsoku/>
              <w:wordWrap/>
              <w:overflowPunct/>
              <w:topLinePunct w:val="0"/>
              <w:autoSpaceDE/>
              <w:autoSpaceDN/>
              <w:bidi w:val="0"/>
              <w:spacing w:line="420" w:lineRule="exact"/>
              <w:ind w:left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（3）乙方按甲方要求提供全额增值税发票。</w:t>
            </w:r>
          </w:p>
        </w:tc>
      </w:tr>
      <w:tr w14:paraId="429B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722" w:type="dxa"/>
            <w:noWrap w:val="0"/>
            <w:vAlign w:val="center"/>
          </w:tcPr>
          <w:p w14:paraId="319BA4DF">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6、验收</w:t>
            </w:r>
          </w:p>
        </w:tc>
        <w:tc>
          <w:tcPr>
            <w:tcW w:w="7390" w:type="dxa"/>
            <w:noWrap w:val="0"/>
            <w:vAlign w:val="center"/>
          </w:tcPr>
          <w:p w14:paraId="589A02DD">
            <w:pPr>
              <w:pStyle w:val="179"/>
              <w:keepNext w:val="0"/>
              <w:keepLines w:val="0"/>
              <w:pageBreakBefore w:val="0"/>
              <w:widowControl w:val="0"/>
              <w:kinsoku/>
              <w:wordWrap/>
              <w:overflowPunct/>
              <w:topLinePunct w:val="0"/>
              <w:autoSpaceDE/>
              <w:autoSpaceDN/>
              <w:bidi w:val="0"/>
              <w:adjustRightInd w:val="0"/>
              <w:snapToGrid w:val="0"/>
              <w:spacing w:after="0" w:line="42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auto"/>
                <w:kern w:val="2"/>
                <w:sz w:val="24"/>
                <w:szCs w:val="24"/>
                <w:highlight w:val="none"/>
                <w:lang w:val="en-US" w:eastAsia="zh-CN" w:bidi="ar-SA"/>
              </w:rPr>
              <w:t>严格按照《浙江省认知障碍照护专区改造实施方案》文件规定对认知障碍照护专区床位进行验收，并定期开展服务评价。供应商应保证提供的定制产品、采购产品完全符合国家有关法律、法规、规章的规定，国家有关部门最新颁布强制性技术质量规范及国家现行相关政策的要求。</w:t>
            </w:r>
          </w:p>
        </w:tc>
      </w:tr>
    </w:tbl>
    <w:p w14:paraId="5CE67901">
      <w:pPr>
        <w:adjustRightInd/>
        <w:spacing w:before="120" w:beforeLines="50" w:after="120" w:afterLines="50"/>
        <w:rPr>
          <w:rFonts w:hint="eastAsia" w:ascii="宋体" w:hAnsi="宋体" w:cs="宋体"/>
          <w:b/>
          <w:bCs/>
          <w:color w:val="000000"/>
          <w:sz w:val="24"/>
          <w:highlight w:val="none"/>
          <w:lang w:val="en-US" w:eastAsia="zh-CN"/>
        </w:rPr>
      </w:pPr>
    </w:p>
    <w:p w14:paraId="34B6F647">
      <w:pPr>
        <w:adjustRightInd/>
        <w:spacing w:before="120" w:beforeLines="50" w:after="120" w:afterLines="50"/>
        <w:rPr>
          <w:rFonts w:hint="eastAsia" w:ascii="宋体" w:hAnsi="宋体" w:cs="宋体"/>
          <w:b/>
          <w:bCs/>
          <w:color w:val="000000"/>
          <w:sz w:val="24"/>
          <w:highlight w:val="none"/>
          <w:lang w:val="en-US" w:eastAsia="zh-CN"/>
        </w:rPr>
      </w:pPr>
    </w:p>
    <w:p w14:paraId="33C25454">
      <w:pPr>
        <w:pStyle w:val="11"/>
        <w:rPr>
          <w:rFonts w:hint="eastAsia"/>
          <w:lang w:val="en-US" w:eastAsia="zh-CN"/>
        </w:rPr>
      </w:pPr>
    </w:p>
    <w:p w14:paraId="195004E6">
      <w:pPr>
        <w:adjustRightInd/>
        <w:spacing w:before="120" w:beforeLines="50" w:after="120" w:afterLines="50"/>
        <w:rPr>
          <w:rFonts w:hint="default" w:ascii="宋体" w:hAnsi="宋体" w:eastAsia="宋体" w:cs="宋体"/>
          <w:b/>
          <w:bCs/>
          <w:color w:val="000000"/>
          <w:sz w:val="24"/>
          <w:highlight w:val="none"/>
          <w:lang w:val="en-US" w:eastAsia="zh-CN"/>
        </w:rPr>
      </w:pPr>
      <w:r>
        <w:rPr>
          <w:rFonts w:hint="eastAsia" w:ascii="宋体" w:hAnsi="宋体" w:cs="宋体"/>
          <w:b/>
          <w:bCs/>
          <w:color w:val="000000"/>
          <w:sz w:val="24"/>
          <w:highlight w:val="none"/>
          <w:lang w:val="en-US" w:eastAsia="zh-CN"/>
        </w:rPr>
        <w:t>四</w:t>
      </w:r>
      <w:r>
        <w:rPr>
          <w:rFonts w:hint="eastAsia" w:ascii="宋体" w:hAnsi="宋体" w:cs="宋体"/>
          <w:b/>
          <w:bCs/>
          <w:color w:val="000000"/>
          <w:sz w:val="24"/>
          <w:highlight w:val="none"/>
        </w:rPr>
        <w:t>、</w:t>
      </w:r>
      <w:r>
        <w:rPr>
          <w:rFonts w:hint="eastAsia" w:ascii="宋体" w:hAnsi="宋体" w:cs="宋体"/>
          <w:b/>
          <w:bCs/>
          <w:color w:val="000000"/>
          <w:sz w:val="24"/>
          <w:highlight w:val="none"/>
          <w:lang w:val="en-US" w:eastAsia="zh-CN"/>
        </w:rPr>
        <w:t>售后服务</w:t>
      </w:r>
    </w:p>
    <w:p w14:paraId="194FEA10">
      <w:pPr>
        <w:pStyle w:val="17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1.产品的质保期自验收合格之日起</w:t>
      </w:r>
      <w:r>
        <w:rPr>
          <w:rFonts w:hint="eastAsia" w:ascii="宋体" w:hAnsi="宋体" w:cs="宋体"/>
          <w:color w:val="auto"/>
          <w:sz w:val="24"/>
          <w:szCs w:val="24"/>
          <w:highlight w:val="none"/>
          <w:lang w:val="en-US" w:eastAsia="zh-Hans"/>
        </w:rPr>
        <w:t>一</w:t>
      </w:r>
      <w:r>
        <w:rPr>
          <w:rFonts w:hint="eastAsia" w:ascii="宋体" w:hAnsi="宋体" w:eastAsia="宋体" w:cs="宋体"/>
          <w:color w:val="auto"/>
          <w:sz w:val="24"/>
          <w:szCs w:val="24"/>
          <w:highlight w:val="none"/>
        </w:rPr>
        <w:t>年（自采购人在验收报告上签署</w:t>
      </w:r>
      <w:r>
        <w:rPr>
          <w:rFonts w:hint="eastAsia" w:ascii="宋体" w:hAnsi="宋体" w:eastAsia="宋体" w:cs="宋体"/>
          <w:sz w:val="24"/>
          <w:szCs w:val="24"/>
          <w:highlight w:val="none"/>
        </w:rPr>
        <w:t>“验收合格”之日起计算），质保期内，</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应保证除人为因素和法律规定的不可抗力造成的故障外免费负责维保、更换配件等；质保期满后应保证优惠提供备件和维保服务。</w:t>
      </w:r>
    </w:p>
    <w:p w14:paraId="26745054">
      <w:pPr>
        <w:pStyle w:val="17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须提供详细的售后服务承诺及准确有效的服务机构联系方式。</w:t>
      </w:r>
    </w:p>
    <w:p w14:paraId="59AAB3A1">
      <w:pPr>
        <w:pStyle w:val="17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能提供24小时全天候召修服务，接到故障通知后</w:t>
      </w:r>
      <w:r>
        <w:rPr>
          <w:rFonts w:hint="default" w:ascii="宋体" w:hAnsi="宋体" w:cs="宋体"/>
          <w:sz w:val="24"/>
          <w:szCs w:val="24"/>
          <w:highlight w:val="none"/>
        </w:rPr>
        <w:t>2</w:t>
      </w:r>
      <w:r>
        <w:rPr>
          <w:rFonts w:hint="eastAsia" w:ascii="宋体" w:hAnsi="宋体" w:eastAsia="宋体" w:cs="宋体"/>
          <w:sz w:val="24"/>
          <w:szCs w:val="24"/>
          <w:highlight w:val="none"/>
        </w:rPr>
        <w:t>小时以内到达现场履行维修服务义务，</w:t>
      </w:r>
      <w:r>
        <w:rPr>
          <w:rFonts w:hint="default" w:ascii="宋体" w:hAnsi="宋体" w:cs="宋体"/>
          <w:sz w:val="24"/>
          <w:szCs w:val="24"/>
          <w:highlight w:val="none"/>
        </w:rPr>
        <w:t>4</w:t>
      </w:r>
      <w:r>
        <w:rPr>
          <w:rFonts w:hint="eastAsia" w:ascii="宋体" w:hAnsi="宋体" w:eastAsia="宋体" w:cs="宋体"/>
          <w:sz w:val="24"/>
          <w:szCs w:val="24"/>
          <w:highlight w:val="none"/>
        </w:rPr>
        <w:t>小时解决问题，若不能在</w:t>
      </w:r>
      <w:r>
        <w:rPr>
          <w:rFonts w:hint="default" w:ascii="宋体" w:hAnsi="宋体" w:cs="宋体"/>
          <w:sz w:val="24"/>
          <w:szCs w:val="24"/>
          <w:highlight w:val="none"/>
        </w:rPr>
        <w:t>4</w:t>
      </w:r>
      <w:r>
        <w:rPr>
          <w:rFonts w:hint="eastAsia" w:ascii="宋体" w:hAnsi="宋体" w:eastAsia="宋体" w:cs="宋体"/>
          <w:sz w:val="24"/>
          <w:szCs w:val="24"/>
          <w:highlight w:val="none"/>
        </w:rPr>
        <w:t>小时内解决，须提供同等性能、同等配置的产品替换，质保期内发生的一切费用由</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承担。</w:t>
      </w:r>
    </w:p>
    <w:p w14:paraId="7343BCC6">
      <w:pPr>
        <w:pStyle w:val="17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4.备品备件及耗材要求：该产品所需要的所有配件，</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应常年备货以保证产品正常运行。</w:t>
      </w:r>
    </w:p>
    <w:p w14:paraId="1761AC06">
      <w:pPr>
        <w:pStyle w:val="17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5.质保期内</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应提供免费软件升级与技术支持服务。</w:t>
      </w:r>
    </w:p>
    <w:p w14:paraId="42BC2432">
      <w:pPr>
        <w:pStyle w:val="17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应结合产品的使用、保养过程，无偿对采购人派出的管理人员进行产品的基本知识、使用、维护保养技术的现场培训，以保证售后产品的良好运行</w:t>
      </w:r>
      <w:bookmarkStart w:id="94" w:name="_Toc5253"/>
      <w:r>
        <w:rPr>
          <w:rFonts w:hint="eastAsia" w:ascii="宋体" w:hAnsi="宋体" w:cs="宋体"/>
          <w:sz w:val="24"/>
          <w:szCs w:val="24"/>
          <w:highlight w:val="none"/>
          <w:lang w:eastAsia="zh-CN"/>
        </w:rPr>
        <w:t>。</w:t>
      </w:r>
    </w:p>
    <w:p w14:paraId="665099D1">
      <w:pPr>
        <w:pStyle w:val="3"/>
        <w:jc w:val="center"/>
        <w:rPr>
          <w:rFonts w:hint="eastAsia" w:ascii="宋体" w:hAnsi="宋体" w:eastAsia="宋体" w:cs="宋体"/>
          <w:sz w:val="24"/>
          <w:szCs w:val="24"/>
          <w:highlight w:val="none"/>
        </w:rPr>
      </w:pPr>
    </w:p>
    <w:p w14:paraId="4D7A40F0">
      <w:pPr>
        <w:pStyle w:val="3"/>
        <w:jc w:val="center"/>
        <w:rPr>
          <w:rFonts w:hint="eastAsia" w:ascii="宋体" w:hAnsi="宋体" w:eastAsia="宋体" w:cs="宋体"/>
          <w:sz w:val="24"/>
          <w:szCs w:val="24"/>
          <w:highlight w:val="none"/>
        </w:rPr>
      </w:pPr>
    </w:p>
    <w:p w14:paraId="61DC8406">
      <w:pPr>
        <w:pStyle w:val="3"/>
        <w:jc w:val="center"/>
        <w:rPr>
          <w:rFonts w:hint="eastAsia" w:ascii="宋体" w:hAnsi="宋体" w:eastAsia="宋体" w:cs="宋体"/>
          <w:sz w:val="24"/>
          <w:szCs w:val="24"/>
          <w:highlight w:val="none"/>
        </w:rPr>
      </w:pPr>
    </w:p>
    <w:p w14:paraId="2742FDB6">
      <w:pPr>
        <w:pStyle w:val="3"/>
        <w:jc w:val="center"/>
        <w:rPr>
          <w:rFonts w:hint="eastAsia" w:ascii="宋体" w:hAnsi="宋体" w:eastAsia="宋体" w:cs="宋体"/>
          <w:sz w:val="24"/>
          <w:szCs w:val="24"/>
          <w:highlight w:val="none"/>
        </w:rPr>
      </w:pPr>
    </w:p>
    <w:p w14:paraId="3C13B6B7">
      <w:pPr>
        <w:pStyle w:val="3"/>
        <w:jc w:val="center"/>
        <w:rPr>
          <w:rFonts w:hint="eastAsia" w:ascii="宋体" w:hAnsi="宋体" w:eastAsia="宋体" w:cs="宋体"/>
          <w:sz w:val="24"/>
          <w:szCs w:val="24"/>
          <w:highlight w:val="none"/>
        </w:rPr>
      </w:pPr>
    </w:p>
    <w:p w14:paraId="352944E2">
      <w:pPr>
        <w:pStyle w:val="3"/>
        <w:jc w:val="center"/>
        <w:rPr>
          <w:rFonts w:hint="eastAsia" w:ascii="宋体" w:hAnsi="宋体" w:eastAsia="宋体" w:cs="宋体"/>
          <w:sz w:val="24"/>
          <w:szCs w:val="24"/>
          <w:highlight w:val="none"/>
        </w:rPr>
      </w:pPr>
    </w:p>
    <w:p w14:paraId="3DD76D01">
      <w:pPr>
        <w:rPr>
          <w:rFonts w:hint="eastAsia" w:ascii="宋体" w:hAnsi="宋体" w:eastAsia="宋体" w:cs="宋体"/>
          <w:sz w:val="24"/>
          <w:szCs w:val="24"/>
          <w:highlight w:val="none"/>
        </w:rPr>
      </w:pPr>
    </w:p>
    <w:p w14:paraId="0D7B6956">
      <w:pPr>
        <w:pStyle w:val="11"/>
        <w:rPr>
          <w:rFonts w:hint="eastAsia" w:ascii="宋体" w:hAnsi="宋体" w:eastAsia="宋体" w:cs="宋体"/>
          <w:sz w:val="24"/>
          <w:szCs w:val="24"/>
          <w:highlight w:val="none"/>
        </w:rPr>
      </w:pPr>
    </w:p>
    <w:p w14:paraId="72D0B34E">
      <w:pPr>
        <w:pStyle w:val="15"/>
        <w:rPr>
          <w:rFonts w:hint="eastAsia" w:ascii="宋体" w:hAnsi="宋体" w:eastAsia="宋体" w:cs="宋体"/>
          <w:sz w:val="24"/>
          <w:szCs w:val="24"/>
          <w:highlight w:val="none"/>
        </w:rPr>
      </w:pPr>
    </w:p>
    <w:p w14:paraId="245BF63E">
      <w:pPr>
        <w:rPr>
          <w:rFonts w:hint="eastAsia" w:ascii="宋体" w:hAnsi="宋体" w:eastAsia="宋体" w:cs="宋体"/>
          <w:sz w:val="24"/>
          <w:szCs w:val="24"/>
          <w:highlight w:val="none"/>
        </w:rPr>
      </w:pPr>
    </w:p>
    <w:p w14:paraId="542234F0">
      <w:pPr>
        <w:pStyle w:val="11"/>
        <w:rPr>
          <w:rFonts w:hint="eastAsia"/>
          <w:highlight w:val="none"/>
        </w:rPr>
      </w:pPr>
    </w:p>
    <w:p w14:paraId="5CE0D843">
      <w:pPr>
        <w:pStyle w:val="3"/>
        <w:jc w:val="center"/>
        <w:rPr>
          <w:rFonts w:hint="eastAsia" w:ascii="宋体" w:hAnsi="宋体" w:eastAsia="宋体" w:cs="宋体"/>
          <w:sz w:val="24"/>
          <w:szCs w:val="24"/>
          <w:highlight w:val="none"/>
        </w:rPr>
      </w:pPr>
    </w:p>
    <w:p w14:paraId="2BDA838F">
      <w:pPr>
        <w:rPr>
          <w:rFonts w:hint="eastAsia" w:ascii="宋体" w:hAnsi="宋体" w:eastAsia="宋体" w:cs="宋体"/>
          <w:sz w:val="24"/>
          <w:szCs w:val="24"/>
          <w:highlight w:val="none"/>
        </w:rPr>
      </w:pPr>
    </w:p>
    <w:p w14:paraId="2B2B42BC">
      <w:pPr>
        <w:pStyle w:val="11"/>
        <w:rPr>
          <w:rFonts w:hint="eastAsia" w:ascii="宋体" w:hAnsi="宋体" w:eastAsia="宋体" w:cs="宋体"/>
          <w:sz w:val="24"/>
          <w:szCs w:val="24"/>
          <w:highlight w:val="none"/>
        </w:rPr>
      </w:pPr>
    </w:p>
    <w:p w14:paraId="00F26BE1">
      <w:pPr>
        <w:rPr>
          <w:rFonts w:hint="eastAsia"/>
        </w:rPr>
      </w:pPr>
    </w:p>
    <w:p w14:paraId="50C19875">
      <w:pPr>
        <w:rPr>
          <w:rFonts w:hint="eastAsia" w:ascii="宋体" w:hAnsi="宋体" w:eastAsia="宋体" w:cs="宋体"/>
          <w:sz w:val="24"/>
          <w:szCs w:val="24"/>
          <w:highlight w:val="none"/>
        </w:rPr>
      </w:pPr>
    </w:p>
    <w:p w14:paraId="390BFC33">
      <w:pPr>
        <w:pStyle w:val="11"/>
        <w:ind w:left="0" w:leftChars="0" w:firstLine="0" w:firstLineChars="0"/>
        <w:rPr>
          <w:rFonts w:hint="eastAsia"/>
          <w:highlight w:val="none"/>
        </w:rPr>
      </w:pPr>
    </w:p>
    <w:p w14:paraId="7DF3E792">
      <w:pPr>
        <w:pStyle w:val="3"/>
        <w:jc w:val="center"/>
        <w:rPr>
          <w:rFonts w:hint="eastAsia"/>
          <w:color w:val="auto"/>
          <w:highlight w:val="none"/>
        </w:rPr>
      </w:pPr>
      <w:r>
        <w:rPr>
          <w:rFonts w:hint="eastAsia"/>
          <w:color w:val="auto"/>
          <w:highlight w:val="none"/>
        </w:rPr>
        <w:t>第五章 合同格式</w:t>
      </w:r>
      <w:bookmarkEnd w:id="94"/>
    </w:p>
    <w:bookmarkEnd w:id="92"/>
    <w:bookmarkEnd w:id="93"/>
    <w:p w14:paraId="269E26E0">
      <w:pPr>
        <w:keepNext w:val="0"/>
        <w:keepLines w:val="0"/>
        <w:pageBreakBefore w:val="0"/>
        <w:widowControl w:val="0"/>
        <w:tabs>
          <w:tab w:val="left" w:pos="4620"/>
        </w:tabs>
        <w:kinsoku/>
        <w:wordWrap/>
        <w:overflowPunct/>
        <w:topLinePunct w:val="0"/>
        <w:autoSpaceDE/>
        <w:autoSpaceDN/>
        <w:bidi w:val="0"/>
        <w:adjustRightInd w:val="0"/>
        <w:snapToGrid w:val="0"/>
        <w:spacing w:line="360" w:lineRule="auto"/>
        <w:ind w:left="0" w:hanging="3051" w:hangingChars="1013"/>
        <w:jc w:val="center"/>
        <w:textAlignment w:val="auto"/>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象山县贤庠镇敬老院认知症照护专区改造项目</w:t>
      </w:r>
    </w:p>
    <w:p w14:paraId="1C4CF449">
      <w:pPr>
        <w:pStyle w:val="14"/>
        <w:keepNext w:val="0"/>
        <w:keepLines w:val="0"/>
        <w:pageBreakBefore w:val="0"/>
        <w:widowControl w:val="0"/>
        <w:kinsoku/>
        <w:wordWrap/>
        <w:overflowPunct/>
        <w:topLinePunct w:val="0"/>
        <w:autoSpaceDE/>
        <w:autoSpaceDN/>
        <w:bidi w:val="0"/>
        <w:spacing w:after="0" w:line="360" w:lineRule="auto"/>
        <w:ind w:left="0"/>
        <w:jc w:val="center"/>
        <w:textAlignment w:val="auto"/>
        <w:rPr>
          <w:rFonts w:hint="default"/>
          <w:color w:val="auto"/>
          <w:highlight w:val="none"/>
          <w:lang w:val="en-US" w:eastAsia="zh-CN"/>
        </w:rPr>
      </w:pPr>
      <w:r>
        <w:rPr>
          <w:rFonts w:hint="eastAsia" w:ascii="宋体" w:hAnsi="宋体" w:cs="宋体"/>
          <w:b/>
          <w:color w:val="auto"/>
          <w:sz w:val="30"/>
          <w:szCs w:val="30"/>
          <w:highlight w:val="none"/>
          <w:lang w:val="en-US" w:eastAsia="zh-CN"/>
        </w:rPr>
        <w:t>合同协议书</w:t>
      </w:r>
    </w:p>
    <w:p w14:paraId="42201117">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项目编号：</w:t>
      </w:r>
    </w:p>
    <w:p w14:paraId="1FB56655">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甲方：（买方）</w:t>
      </w:r>
    </w:p>
    <w:p w14:paraId="2F23269D">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w:t>
      </w:r>
    </w:p>
    <w:p w14:paraId="74F59429">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hAnsi="宋体" w:cs="宋体"/>
          <w:color w:val="auto"/>
          <w:sz w:val="24"/>
          <w:szCs w:val="24"/>
          <w:highlight w:val="none"/>
          <w:u w:val="single"/>
          <w:lang w:eastAsia="zh-CN"/>
        </w:rPr>
        <w:t>象山县贤庠镇敬老院认知症照护专区改造项目</w:t>
      </w:r>
      <w:r>
        <w:rPr>
          <w:rFonts w:hint="eastAsia" w:ascii="宋体" w:hAnsi="宋体" w:eastAsia="宋体" w:cs="宋体"/>
          <w:color w:val="auto"/>
          <w:sz w:val="24"/>
          <w:szCs w:val="24"/>
          <w:highlight w:val="none"/>
          <w:u w:val="single"/>
        </w:rPr>
        <w:t>公开招标的</w:t>
      </w:r>
      <w:r>
        <w:rPr>
          <w:rFonts w:hint="eastAsia" w:ascii="宋体" w:hAnsi="宋体" w:eastAsia="宋体" w:cs="宋体"/>
          <w:color w:val="auto"/>
          <w:sz w:val="24"/>
          <w:szCs w:val="24"/>
          <w:highlight w:val="none"/>
        </w:rPr>
        <w:t>结果，签署本合同。</w:t>
      </w:r>
    </w:p>
    <w:p w14:paraId="17076AAA">
      <w:pPr>
        <w:keepNext w:val="0"/>
        <w:keepLines w:val="0"/>
        <w:pageBreakBefore w:val="0"/>
        <w:numPr>
          <w:ilvl w:val="0"/>
          <w:numId w:val="0"/>
        </w:numPr>
        <w:kinsoku/>
        <w:wordWrap/>
        <w:overflowPunct/>
        <w:topLinePunct w:val="0"/>
        <w:autoSpaceDE/>
        <w:autoSpaceDN/>
        <w:bidi w:val="0"/>
        <w:adjustRightInd/>
        <w:spacing w:line="440" w:lineRule="exact"/>
        <w:ind w:firstLine="482" w:firstLineChars="200"/>
        <w:textAlignment w:val="auto"/>
        <w:outlineLvl w:val="2"/>
        <w:rPr>
          <w:rFonts w:hint="eastAsia" w:ascii="宋体" w:hAnsi="宋体" w:eastAsia="宋体" w:cs="宋体"/>
          <w:b/>
          <w:bCs/>
          <w:color w:val="000000"/>
          <w:sz w:val="24"/>
          <w:szCs w:val="24"/>
          <w:highlight w:val="none"/>
          <w:lang w:val="en-US" w:eastAsia="zh-CN"/>
        </w:rPr>
      </w:pPr>
      <w:r>
        <w:rPr>
          <w:rFonts w:hint="eastAsia" w:ascii="宋体" w:hAnsi="宋体" w:eastAsia="宋体" w:cs="宋体"/>
          <w:b/>
          <w:color w:val="auto"/>
          <w:sz w:val="24"/>
          <w:szCs w:val="24"/>
          <w:highlight w:val="none"/>
        </w:rPr>
        <w:t>一、</w:t>
      </w:r>
      <w:r>
        <w:rPr>
          <w:rFonts w:hint="eastAsia" w:ascii="宋体" w:hAnsi="宋体" w:eastAsia="宋体" w:cs="宋体"/>
          <w:b/>
          <w:bCs/>
          <w:color w:val="000000"/>
          <w:sz w:val="24"/>
          <w:szCs w:val="24"/>
          <w:highlight w:val="none"/>
          <w:lang w:val="en-US" w:eastAsia="zh-CN"/>
        </w:rPr>
        <w:t>采购服务范围：</w:t>
      </w:r>
    </w:p>
    <w:p w14:paraId="376755B5">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outlineLvl w:val="1"/>
        <w:rPr>
          <w:rFonts w:hint="eastAsia" w:ascii="宋体" w:hAnsi="宋体" w:eastAsia="宋体" w:cs="宋体"/>
          <w:b/>
          <w:color w:val="auto"/>
          <w:sz w:val="24"/>
          <w:szCs w:val="24"/>
          <w:highlight w:val="none"/>
        </w:rPr>
      </w:pPr>
      <w:r>
        <w:rPr>
          <w:rFonts w:hint="eastAsia" w:hAnsi="宋体" w:cs="宋体"/>
          <w:color w:val="000000"/>
          <w:kern w:val="2"/>
          <w:sz w:val="24"/>
          <w:szCs w:val="24"/>
          <w:highlight w:val="none"/>
          <w:lang w:val="zh-TW" w:eastAsia="zh-CN"/>
        </w:rPr>
        <w:t>象山县贤庠镇敬老院</w:t>
      </w:r>
      <w:r>
        <w:rPr>
          <w:rFonts w:hint="eastAsia" w:ascii="宋体" w:hAnsi="宋体" w:eastAsia="宋体" w:cs="宋体"/>
          <w:color w:val="000000"/>
          <w:kern w:val="2"/>
          <w:sz w:val="24"/>
          <w:szCs w:val="24"/>
          <w:highlight w:val="none"/>
          <w:lang w:val="zh-TW" w:eastAsia="zh-CN"/>
        </w:rPr>
        <w:t>认知障碍照护专区改造，</w:t>
      </w:r>
      <w:r>
        <w:rPr>
          <w:rFonts w:hint="eastAsia" w:ascii="宋体" w:hAnsi="宋体" w:eastAsia="宋体" w:cs="宋体"/>
          <w:color w:val="000000"/>
          <w:kern w:val="2"/>
          <w:sz w:val="24"/>
          <w:szCs w:val="24"/>
          <w:highlight w:val="none"/>
          <w:lang w:val="en-US" w:eastAsia="zh-CN"/>
        </w:rPr>
        <w:t>改造内容包括：</w:t>
      </w:r>
      <w:r>
        <w:rPr>
          <w:rFonts w:hint="eastAsia" w:hAnsi="宋体" w:cs="宋体"/>
          <w:color w:val="000000"/>
          <w:kern w:val="2"/>
          <w:sz w:val="24"/>
          <w:szCs w:val="24"/>
          <w:highlight w:val="none"/>
          <w:lang w:val="en-US" w:eastAsia="zh-CN"/>
        </w:rPr>
        <w:t>认知障碍照护专区改造提升，新增认知障碍照护专区床位30张，打造家庭式住养环境，培训培育专业的认知障碍照护服务队伍，提供针对认知障碍老人的个性化照护、身体残存机能康复训练、生活照料、心理干预、社会交往等专业性、全方位服务，通过数字赋能，进行智慧化管理及认知障碍照护专区功能化配套设施设备的供货及安装调试</w:t>
      </w:r>
      <w:r>
        <w:rPr>
          <w:rFonts w:hint="eastAsia" w:ascii="宋体" w:hAnsi="宋体" w:eastAsia="宋体" w:cs="宋体"/>
          <w:color w:val="000000"/>
          <w:kern w:val="2"/>
          <w:sz w:val="24"/>
          <w:szCs w:val="24"/>
          <w:highlight w:val="none"/>
          <w:lang w:val="en-US" w:eastAsia="zh-CN"/>
        </w:rPr>
        <w:t>。</w:t>
      </w:r>
    </w:p>
    <w:p w14:paraId="4EB2D0EF">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二、合同金额</w:t>
      </w:r>
    </w:p>
    <w:p w14:paraId="417EC9B3">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1</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本合同金额为（大写）：___________________元（￥____________元）人民币。以此为拨款依据，最终支付按合同和增减工程联系单金额，以审计审定为准。</w:t>
      </w:r>
    </w:p>
    <w:p w14:paraId="6D6C5ED6">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合同价格形式：固定单价。</w:t>
      </w:r>
    </w:p>
    <w:p w14:paraId="2A2BDA99">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三、采购清单及价格</w:t>
      </w:r>
    </w:p>
    <w:p w14:paraId="29AB0771">
      <w:pPr>
        <w:keepNext w:val="0"/>
        <w:keepLines w:val="0"/>
        <w:pageBreakBefore w:val="0"/>
        <w:widowControl w:val="0"/>
        <w:numPr>
          <w:ilvl w:val="0"/>
          <w:numId w:val="0"/>
        </w:numPr>
        <w:kinsoku/>
        <w:wordWrap/>
        <w:overflowPunct/>
        <w:topLinePunct w:val="0"/>
        <w:bidi w:val="0"/>
        <w:adjustRightInd/>
        <w:spacing w:line="440" w:lineRule="exact"/>
        <w:ind w:firstLine="482" w:firstLineChars="200"/>
        <w:textAlignment w:val="auto"/>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四、采购内容及要求</w:t>
      </w:r>
    </w:p>
    <w:p w14:paraId="499897CE">
      <w:pPr>
        <w:pStyle w:val="11"/>
        <w:keepNext w:val="0"/>
        <w:keepLines w:val="0"/>
        <w:pageBreakBefore w:val="0"/>
        <w:widowControl w:val="0"/>
        <w:kinsoku/>
        <w:wordWrap/>
        <w:overflowPunct/>
        <w:topLinePunct w:val="0"/>
        <w:bidi w:val="0"/>
        <w:adjustRightInd/>
        <w:spacing w:line="440" w:lineRule="exact"/>
        <w:ind w:leftChars="0" w:firstLine="482" w:firstLineChars="200"/>
        <w:textAlignment w:val="auto"/>
        <w:rPr>
          <w:rFonts w:hint="default"/>
          <w:highlight w:val="none"/>
          <w:lang w:val="en-US" w:eastAsia="zh-CN"/>
        </w:rPr>
      </w:pPr>
      <w:r>
        <w:rPr>
          <w:rFonts w:hint="eastAsia" w:hAnsi="宋体" w:cs="宋体"/>
          <w:b/>
          <w:color w:val="auto"/>
          <w:sz w:val="24"/>
          <w:szCs w:val="24"/>
          <w:highlight w:val="none"/>
          <w:lang w:val="en-US" w:eastAsia="zh-CN"/>
        </w:rPr>
        <w:t>详见附件《采购需求》</w:t>
      </w:r>
    </w:p>
    <w:p w14:paraId="491FC8C7">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440" w:lineRule="exact"/>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、技术资料</w:t>
      </w:r>
    </w:p>
    <w:p w14:paraId="4C87FC50">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乙方应按采购文件规定的时间向甲方提供使用货物的有关技术资料。</w:t>
      </w:r>
    </w:p>
    <w:p w14:paraId="55C22E5E">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DC318C0">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、知识产权</w:t>
      </w:r>
    </w:p>
    <w:p w14:paraId="18A011A2">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乙方应保证所提供的货物或其任何一部分均不会侵犯任何第三方的知识产权</w:t>
      </w:r>
      <w:r>
        <w:rPr>
          <w:rFonts w:hint="eastAsia" w:ascii="宋体" w:hAnsi="宋体" w:eastAsia="宋体" w:cs="宋体"/>
          <w:bCs/>
          <w:color w:val="auto"/>
          <w:sz w:val="24"/>
          <w:szCs w:val="24"/>
          <w:highlight w:val="none"/>
        </w:rPr>
        <w:t>。</w:t>
      </w:r>
    </w:p>
    <w:p w14:paraId="696D9F50">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、产权担保</w:t>
      </w:r>
    </w:p>
    <w:p w14:paraId="0623DF21">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乙方保证所交付的货物的所有权完全属于乙方且无任何抵押、查封等产权瑕疵。</w:t>
      </w:r>
    </w:p>
    <w:p w14:paraId="17E052F3">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、履约保证金</w:t>
      </w:r>
    </w:p>
    <w:p w14:paraId="306E45D8">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乙方交纳人民币</w:t>
      </w:r>
      <w:r>
        <w:rPr>
          <w:rFonts w:hint="eastAsia" w:ascii="宋体" w:hAnsi="宋体" w:eastAsia="宋体" w:cs="宋体"/>
          <w:b/>
          <w:color w:val="auto"/>
          <w:sz w:val="24"/>
          <w:szCs w:val="24"/>
          <w:highlight w:val="none"/>
          <w:u w:val="single"/>
        </w:rPr>
        <w:t xml:space="preserve">   </w:t>
      </w:r>
      <w:r>
        <w:rPr>
          <w:rFonts w:hint="eastAsia" w:hAnsi="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元作为本合同的履约保证金。</w:t>
      </w:r>
    </w:p>
    <w:p w14:paraId="3C85743E">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九</w:t>
      </w:r>
      <w:r>
        <w:rPr>
          <w:rFonts w:hint="eastAsia" w:ascii="宋体" w:hAnsi="宋体" w:eastAsia="宋体" w:cs="宋体"/>
          <w:b/>
          <w:color w:val="auto"/>
          <w:sz w:val="24"/>
          <w:szCs w:val="24"/>
          <w:highlight w:val="none"/>
        </w:rPr>
        <w:t>、转包或分包</w:t>
      </w:r>
    </w:p>
    <w:p w14:paraId="5E947FB8">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1.本合同范围的货物，应由乙方直接供应，不得转让他人供应；</w:t>
      </w:r>
    </w:p>
    <w:p w14:paraId="6244D476">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2.除非得到甲方的书面同意，乙方不得将本合同范围的货物全部或部分分包给他人供应；</w:t>
      </w:r>
    </w:p>
    <w:p w14:paraId="60CE6A59">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14:paraId="675CCE07">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十</w:t>
      </w:r>
      <w:r>
        <w:rPr>
          <w:rFonts w:hint="eastAsia" w:ascii="宋体" w:hAnsi="宋体" w:eastAsia="宋体" w:cs="宋体"/>
          <w:b/>
          <w:color w:val="auto"/>
          <w:sz w:val="24"/>
          <w:szCs w:val="24"/>
          <w:highlight w:val="none"/>
        </w:rPr>
        <w:t>、质保期</w:t>
      </w:r>
    </w:p>
    <w:p w14:paraId="47F253CD">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年。（自交货验收合格之日起计）</w:t>
      </w:r>
    </w:p>
    <w:p w14:paraId="0228B920">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十一</w:t>
      </w:r>
      <w:r>
        <w:rPr>
          <w:rFonts w:hint="eastAsia" w:ascii="宋体" w:hAnsi="宋体" w:eastAsia="宋体" w:cs="宋体"/>
          <w:b/>
          <w:color w:val="auto"/>
          <w:sz w:val="24"/>
          <w:szCs w:val="24"/>
          <w:highlight w:val="none"/>
        </w:rPr>
        <w:t>、交货期、交货方式及交货地点</w:t>
      </w:r>
    </w:p>
    <w:p w14:paraId="381B53D7">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szCs w:val="24"/>
          <w:highlight w:val="none"/>
        </w:rPr>
        <w:t>1. 交货期：</w:t>
      </w:r>
      <w:r>
        <w:rPr>
          <w:rFonts w:hint="eastAsia" w:hAnsi="宋体" w:cs="宋体"/>
          <w:color w:val="auto"/>
          <w:sz w:val="24"/>
          <w:highlight w:val="none"/>
          <w:lang w:val="en-US" w:eastAsia="zh-CN"/>
        </w:rPr>
        <w:t xml:space="preserve"> </w:t>
      </w:r>
    </w:p>
    <w:p w14:paraId="23F5E9DA">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 交货方式：</w:t>
      </w:r>
      <w:r>
        <w:rPr>
          <w:rFonts w:hint="eastAsia" w:hAnsi="宋体" w:eastAsia="宋体" w:cs="宋体"/>
          <w:bCs/>
          <w:color w:val="auto"/>
          <w:sz w:val="24"/>
          <w:szCs w:val="24"/>
          <w:highlight w:val="none"/>
          <w:lang w:val="en-US" w:eastAsia="zh-CN"/>
        </w:rPr>
        <w:t>现场交货</w:t>
      </w:r>
    </w:p>
    <w:p w14:paraId="3A8034A2">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Cs/>
          <w:color w:val="auto"/>
          <w:sz w:val="24"/>
          <w:szCs w:val="24"/>
          <w:highlight w:val="none"/>
        </w:rPr>
        <w:t>3. 交货地点：</w:t>
      </w:r>
      <w:r>
        <w:rPr>
          <w:rFonts w:hint="eastAsia" w:hAnsi="宋体" w:eastAsia="宋体" w:cs="宋体"/>
          <w:bCs/>
          <w:color w:val="auto"/>
          <w:sz w:val="24"/>
          <w:szCs w:val="24"/>
          <w:highlight w:val="none"/>
          <w:lang w:val="en-US" w:eastAsia="zh-CN"/>
        </w:rPr>
        <w:t>采购人指定</w:t>
      </w:r>
      <w:r>
        <w:rPr>
          <w:rFonts w:hint="eastAsia" w:hAnsi="宋体" w:cs="宋体"/>
          <w:bCs/>
          <w:color w:val="auto"/>
          <w:sz w:val="24"/>
          <w:szCs w:val="24"/>
          <w:highlight w:val="none"/>
          <w:lang w:val="en-US" w:eastAsia="zh-CN"/>
        </w:rPr>
        <w:t>地点</w:t>
      </w:r>
    </w:p>
    <w:p w14:paraId="7C1A2F2D">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二</w:t>
      </w:r>
      <w:r>
        <w:rPr>
          <w:rFonts w:hint="eastAsia" w:ascii="宋体" w:hAnsi="宋体" w:eastAsia="宋体" w:cs="宋体"/>
          <w:b/>
          <w:color w:val="auto"/>
          <w:sz w:val="24"/>
          <w:szCs w:val="24"/>
          <w:highlight w:val="none"/>
        </w:rPr>
        <w:t>、货款支付</w:t>
      </w:r>
      <w:r>
        <w:rPr>
          <w:rFonts w:hint="eastAsia" w:hAnsi="宋体" w:eastAsia="宋体" w:cs="宋体"/>
          <w:b/>
          <w:color w:val="auto"/>
          <w:sz w:val="24"/>
          <w:szCs w:val="24"/>
          <w:highlight w:val="none"/>
          <w:lang w:val="en-US" w:eastAsia="zh-CN"/>
        </w:rPr>
        <w:t>及结算</w:t>
      </w:r>
    </w:p>
    <w:p w14:paraId="49AB7AE1">
      <w:pPr>
        <w:pStyle w:val="121"/>
        <w:keepNext w:val="0"/>
        <w:keepLines w:val="0"/>
        <w:pageBreakBefore w:val="0"/>
        <w:widowControl w:val="0"/>
        <w:kinsoku/>
        <w:wordWrap/>
        <w:overflowPunct/>
        <w:topLinePunct w:val="0"/>
        <w:bidi w:val="0"/>
        <w:adjustRightInd w:val="0"/>
        <w:snapToGrid w:val="0"/>
        <w:spacing w:line="42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1.付款方式：</w:t>
      </w:r>
    </w:p>
    <w:p w14:paraId="2A465878">
      <w:pPr>
        <w:pStyle w:val="121"/>
        <w:keepNext w:val="0"/>
        <w:keepLines w:val="0"/>
        <w:pageBreakBefore w:val="0"/>
        <w:widowControl w:val="0"/>
        <w:kinsoku/>
        <w:wordWrap/>
        <w:overflowPunct/>
        <w:topLinePunct w:val="0"/>
        <w:bidi w:val="0"/>
        <w:spacing w:line="420" w:lineRule="exact"/>
        <w:ind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（1）合同签订并采购人发出供货通知后15天内支付合同价款的40%作为预付款（支付前，供应商向采购人提交等额预付款保函且经采购人认可）；</w:t>
      </w:r>
    </w:p>
    <w:p w14:paraId="6613B2B6">
      <w:pPr>
        <w:keepNext w:val="0"/>
        <w:keepLines w:val="0"/>
        <w:pageBreakBefore w:val="0"/>
        <w:widowControl/>
        <w:kinsoku/>
        <w:wordWrap/>
        <w:overflowPunct/>
        <w:topLinePunct w:val="0"/>
        <w:autoSpaceDE/>
        <w:autoSpaceDN/>
        <w:bidi w:val="0"/>
        <w:adjustRightInd w:val="0"/>
        <w:snapToGrid w:val="0"/>
        <w:spacing w:line="420" w:lineRule="exact"/>
        <w:ind w:left="0" w:firstLine="482" w:firstLineChars="200"/>
        <w:textAlignment w:val="auto"/>
        <w:rPr>
          <w:rFonts w:hint="eastAsia" w:ascii="宋体" w:hAnsi="宋体"/>
          <w:b/>
          <w:bCs w:val="0"/>
          <w:snapToGrid w:val="0"/>
          <w:color w:val="auto"/>
          <w:kern w:val="0"/>
          <w:sz w:val="24"/>
          <w:highlight w:val="none"/>
        </w:rPr>
      </w:pPr>
      <w:r>
        <w:rPr>
          <w:rFonts w:hint="eastAsia" w:ascii="宋体" w:hAnsi="宋体" w:eastAsia="宋体" w:cs="宋体"/>
          <w:b/>
          <w:bCs w:val="0"/>
          <w:color w:val="auto"/>
          <w:sz w:val="24"/>
          <w:highlight w:val="none"/>
          <w:lang w:val="en-US" w:eastAsia="zh-CN"/>
        </w:rPr>
        <w:t>（2）</w:t>
      </w:r>
      <w:r>
        <w:rPr>
          <w:rFonts w:hint="eastAsia" w:ascii="宋体" w:hAnsi="宋体"/>
          <w:b/>
          <w:bCs w:val="0"/>
          <w:snapToGrid w:val="0"/>
          <w:color w:val="auto"/>
          <w:kern w:val="0"/>
          <w:sz w:val="24"/>
          <w:highlight w:val="none"/>
          <w:lang w:val="en-US" w:eastAsia="zh-CN"/>
        </w:rPr>
        <w:t>验收合格后并</w:t>
      </w:r>
      <w:r>
        <w:rPr>
          <w:rFonts w:ascii="宋体" w:hAnsi="宋体"/>
          <w:b/>
          <w:bCs w:val="0"/>
          <w:snapToGrid w:val="0"/>
          <w:color w:val="auto"/>
          <w:kern w:val="0"/>
          <w:sz w:val="24"/>
          <w:highlight w:val="none"/>
        </w:rPr>
        <w:t>提交完整的技术资料</w:t>
      </w:r>
      <w:r>
        <w:rPr>
          <w:rFonts w:hint="eastAsia" w:ascii="宋体" w:hAnsi="宋体"/>
          <w:b/>
          <w:bCs w:val="0"/>
          <w:snapToGrid w:val="0"/>
          <w:color w:val="auto"/>
          <w:kern w:val="0"/>
          <w:sz w:val="24"/>
          <w:highlight w:val="none"/>
          <w:lang w:val="en-US" w:eastAsia="zh-CN"/>
        </w:rPr>
        <w:t>后28天内支付至合同价款的100</w:t>
      </w:r>
      <w:r>
        <w:rPr>
          <w:rFonts w:hint="eastAsia" w:ascii="宋体" w:hAnsi="宋体"/>
          <w:b/>
          <w:bCs w:val="0"/>
          <w:snapToGrid w:val="0"/>
          <w:color w:val="auto"/>
          <w:kern w:val="0"/>
          <w:sz w:val="24"/>
          <w:highlight w:val="none"/>
        </w:rPr>
        <w:t>%。</w:t>
      </w:r>
    </w:p>
    <w:p w14:paraId="33087D8E">
      <w:pPr>
        <w:pStyle w:val="36"/>
        <w:keepNext w:val="0"/>
        <w:keepLines w:val="0"/>
        <w:pageBreakBefore w:val="0"/>
        <w:widowControl w:val="0"/>
        <w:kinsoku/>
        <w:wordWrap/>
        <w:overflowPunct/>
        <w:topLinePunct w:val="0"/>
        <w:autoSpaceDE/>
        <w:autoSpaceDN/>
        <w:bidi w:val="0"/>
        <w:spacing w:line="420" w:lineRule="exact"/>
        <w:ind w:left="0" w:leftChars="0" w:firstLine="0" w:firstLineChars="0"/>
        <w:textAlignment w:val="auto"/>
        <w:rPr>
          <w:rFonts w:hint="eastAsia" w:ascii="Times New Roman" w:hAnsi="Times New Roman" w:eastAsia="宋体" w:cs="Times New Roman"/>
          <w:b/>
          <w:bCs w:val="0"/>
          <w:color w:val="auto"/>
          <w:sz w:val="24"/>
          <w:szCs w:val="24"/>
          <w:highlight w:val="none"/>
          <w:lang w:val="en-US" w:eastAsia="zh-CN"/>
        </w:rPr>
      </w:pPr>
      <w:r>
        <w:rPr>
          <w:rFonts w:hint="eastAsia" w:cs="Times New Roman"/>
          <w:b/>
          <w:bCs w:val="0"/>
          <w:color w:val="auto"/>
          <w:sz w:val="24"/>
          <w:szCs w:val="24"/>
          <w:highlight w:val="none"/>
          <w:lang w:val="en-US" w:eastAsia="zh-CN"/>
        </w:rPr>
        <w:t>备</w:t>
      </w:r>
      <w:r>
        <w:rPr>
          <w:rFonts w:hint="eastAsia" w:ascii="Times New Roman" w:hAnsi="Times New Roman" w:eastAsia="宋体" w:cs="Times New Roman"/>
          <w:b/>
          <w:bCs w:val="0"/>
          <w:color w:val="auto"/>
          <w:sz w:val="24"/>
          <w:szCs w:val="24"/>
          <w:highlight w:val="none"/>
          <w:lang w:val="en-US" w:eastAsia="zh-CN"/>
        </w:rPr>
        <w:t>注：</w:t>
      </w:r>
    </w:p>
    <w:p w14:paraId="361FAEC6">
      <w:pPr>
        <w:keepNext w:val="0"/>
        <w:keepLines w:val="0"/>
        <w:pageBreakBefore w:val="0"/>
        <w:widowControl/>
        <w:kinsoku/>
        <w:wordWrap/>
        <w:overflowPunct/>
        <w:topLinePunct w:val="0"/>
        <w:autoSpaceDE/>
        <w:autoSpaceDN/>
        <w:bidi w:val="0"/>
        <w:adjustRightInd w:val="0"/>
        <w:snapToGrid w:val="0"/>
        <w:spacing w:line="420" w:lineRule="exact"/>
        <w:ind w:left="0" w:firstLine="482" w:firstLineChars="200"/>
        <w:textAlignment w:val="auto"/>
        <w:rPr>
          <w:rFonts w:hint="eastAsia" w:ascii="宋体" w:hAnsi="宋体"/>
          <w:b/>
          <w:bCs w:val="0"/>
          <w:snapToGrid w:val="0"/>
          <w:color w:val="auto"/>
          <w:kern w:val="0"/>
          <w:sz w:val="24"/>
          <w:highlight w:val="none"/>
          <w:lang w:val="en-US" w:eastAsia="zh-CN"/>
        </w:rPr>
      </w:pPr>
      <w:r>
        <w:rPr>
          <w:rFonts w:hint="eastAsia" w:ascii="宋体" w:hAnsi="宋体"/>
          <w:b/>
          <w:bCs w:val="0"/>
          <w:snapToGrid w:val="0"/>
          <w:color w:val="auto"/>
          <w:kern w:val="0"/>
          <w:sz w:val="24"/>
          <w:highlight w:val="none"/>
          <w:lang w:val="en-US" w:eastAsia="zh-CN"/>
        </w:rPr>
        <w:t>（1）在签订合同时，供应商明确表示无需预付款或者主动要求降低预付款比例的，采购合同可不适用前述规定。</w:t>
      </w:r>
    </w:p>
    <w:p w14:paraId="646EDAF3">
      <w:pPr>
        <w:keepNext w:val="0"/>
        <w:keepLines w:val="0"/>
        <w:pageBreakBefore w:val="0"/>
        <w:widowControl/>
        <w:kinsoku/>
        <w:wordWrap/>
        <w:overflowPunct/>
        <w:topLinePunct w:val="0"/>
        <w:autoSpaceDE/>
        <w:autoSpaceDN/>
        <w:bidi w:val="0"/>
        <w:adjustRightInd w:val="0"/>
        <w:snapToGrid w:val="0"/>
        <w:spacing w:line="420" w:lineRule="exact"/>
        <w:ind w:left="0" w:firstLine="482" w:firstLineChars="200"/>
        <w:textAlignment w:val="auto"/>
        <w:rPr>
          <w:rFonts w:hint="eastAsia" w:ascii="宋体" w:hAnsi="宋体"/>
          <w:b/>
          <w:bCs w:val="0"/>
          <w:snapToGrid w:val="0"/>
          <w:color w:val="auto"/>
          <w:kern w:val="0"/>
          <w:sz w:val="24"/>
          <w:highlight w:val="none"/>
          <w:lang w:val="en-US" w:eastAsia="zh-CN"/>
        </w:rPr>
      </w:pPr>
      <w:r>
        <w:rPr>
          <w:rFonts w:hint="eastAsia" w:ascii="宋体" w:hAnsi="宋体"/>
          <w:b/>
          <w:bCs w:val="0"/>
          <w:snapToGrid w:val="0"/>
          <w:color w:val="auto"/>
          <w:kern w:val="0"/>
          <w:sz w:val="24"/>
          <w:highlight w:val="none"/>
          <w:lang w:val="en-US" w:eastAsia="zh-CN"/>
        </w:rPr>
        <w:t>（2）如上级资金拨款未到位，预付款支付时间相应推迟。</w:t>
      </w:r>
    </w:p>
    <w:p w14:paraId="4CE16BAB">
      <w:pPr>
        <w:keepNext w:val="0"/>
        <w:keepLines w:val="0"/>
        <w:pageBreakBefore w:val="0"/>
        <w:widowControl/>
        <w:kinsoku/>
        <w:wordWrap/>
        <w:overflowPunct/>
        <w:topLinePunct w:val="0"/>
        <w:autoSpaceDE/>
        <w:autoSpaceDN/>
        <w:bidi w:val="0"/>
        <w:adjustRightInd w:val="0"/>
        <w:snapToGrid w:val="0"/>
        <w:spacing w:line="420" w:lineRule="exact"/>
        <w:ind w:left="0" w:firstLine="482" w:firstLineChars="200"/>
        <w:textAlignment w:val="auto"/>
        <w:rPr>
          <w:rFonts w:hint="eastAsia" w:ascii="宋体" w:hAnsi="宋体"/>
          <w:b/>
          <w:bCs w:val="0"/>
          <w:snapToGrid w:val="0"/>
          <w:color w:val="auto"/>
          <w:kern w:val="0"/>
          <w:sz w:val="24"/>
          <w:highlight w:val="none"/>
          <w:lang w:val="en-US" w:eastAsia="zh-CN"/>
        </w:rPr>
      </w:pPr>
      <w:r>
        <w:rPr>
          <w:rFonts w:hint="eastAsia" w:ascii="宋体" w:hAnsi="宋体"/>
          <w:b/>
          <w:bCs w:val="0"/>
          <w:snapToGrid w:val="0"/>
          <w:color w:val="auto"/>
          <w:kern w:val="0"/>
          <w:sz w:val="24"/>
          <w:highlight w:val="none"/>
          <w:lang w:val="en-US" w:eastAsia="zh-CN"/>
        </w:rPr>
        <w:t>（3）乙方按甲方要求提供全额增值税发票。</w:t>
      </w:r>
    </w:p>
    <w:p w14:paraId="415D15F0">
      <w:pPr>
        <w:pStyle w:val="121"/>
        <w:keepNext w:val="0"/>
        <w:keepLines w:val="0"/>
        <w:pageBreakBefore w:val="0"/>
        <w:widowControl w:val="0"/>
        <w:kinsoku/>
        <w:wordWrap/>
        <w:overflowPunct/>
        <w:topLinePunct w:val="0"/>
        <w:bidi w:val="0"/>
        <w:adjustRightInd w:val="0"/>
        <w:snapToGrid w:val="0"/>
        <w:spacing w:line="42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结算方式</w:t>
      </w:r>
    </w:p>
    <w:p w14:paraId="7D9BE5DE">
      <w:pPr>
        <w:pStyle w:val="121"/>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本项目为“全费用综合单价”，</w:t>
      </w:r>
      <w:r>
        <w:rPr>
          <w:rFonts w:hint="eastAsia" w:ascii="宋体" w:hAnsi="宋体" w:eastAsia="宋体" w:cs="宋体"/>
          <w:color w:val="auto"/>
          <w:sz w:val="24"/>
          <w:szCs w:val="24"/>
          <w:highlight w:val="none"/>
        </w:rPr>
        <w:t>包括但不限于完成本项目的</w:t>
      </w:r>
      <w:r>
        <w:rPr>
          <w:rFonts w:hint="eastAsia" w:ascii="宋体" w:hAnsi="宋体" w:eastAsia="宋体" w:cs="宋体"/>
          <w:color w:val="auto"/>
          <w:sz w:val="24"/>
          <w:szCs w:val="24"/>
          <w:highlight w:val="none"/>
          <w:lang w:val="en-US" w:eastAsia="zh-CN"/>
        </w:rPr>
        <w:t>货款</w:t>
      </w:r>
      <w:r>
        <w:rPr>
          <w:rFonts w:hint="eastAsia" w:ascii="宋体" w:hAnsi="宋体" w:eastAsia="宋体" w:cs="宋体"/>
          <w:color w:val="auto"/>
          <w:sz w:val="24"/>
          <w:szCs w:val="24"/>
          <w:highlight w:val="none"/>
        </w:rPr>
        <w:t>、包装、运输、装卸、拆除、搬运、人工、驻场费、机械、安装调试、设备迁移、验收、保修及售后服务、利润、保险、税金</w:t>
      </w:r>
      <w:r>
        <w:rPr>
          <w:rFonts w:hint="eastAsia" w:ascii="宋体" w:hAnsi="宋体" w:eastAsia="宋体" w:cs="宋体"/>
          <w:color w:val="auto"/>
          <w:sz w:val="24"/>
          <w:szCs w:val="24"/>
          <w:highlight w:val="none"/>
          <w:lang w:val="en-US" w:eastAsia="zh-CN"/>
        </w:rPr>
        <w:t>、招标服务费</w:t>
      </w:r>
      <w:r>
        <w:rPr>
          <w:rFonts w:hint="eastAsia" w:ascii="宋体" w:hAnsi="宋体" w:eastAsia="宋体" w:cs="宋体"/>
          <w:color w:val="auto"/>
          <w:sz w:val="24"/>
          <w:szCs w:val="24"/>
          <w:highlight w:val="none"/>
        </w:rPr>
        <w:t>等完成本项目所需的一切费用。</w:t>
      </w:r>
      <w:r>
        <w:rPr>
          <w:rFonts w:hint="eastAsia" w:ascii="宋体" w:hAnsi="宋体" w:eastAsia="宋体" w:cs="宋体"/>
          <w:bCs/>
          <w:color w:val="auto"/>
          <w:sz w:val="24"/>
          <w:szCs w:val="24"/>
          <w:highlight w:val="none"/>
        </w:rPr>
        <w:t>设备数量变更或设计变更，单价固定不变，设备数量按实结算</w:t>
      </w:r>
      <w:r>
        <w:rPr>
          <w:rFonts w:hint="eastAsia" w:ascii="宋体" w:hAnsi="宋体" w:eastAsia="宋体" w:cs="宋体"/>
          <w:bCs/>
          <w:color w:val="auto"/>
          <w:sz w:val="24"/>
          <w:szCs w:val="24"/>
          <w:highlight w:val="none"/>
          <w:lang w:eastAsia="zh-CN"/>
        </w:rPr>
        <w:t>。</w:t>
      </w:r>
    </w:p>
    <w:p w14:paraId="3A4472D5">
      <w:pPr>
        <w:pStyle w:val="121"/>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甲方认为需要调整本工程承包范围的，乙方需无条件服从。甲方有权对本工程的承包范围，以及设备的规格型号、数量进行调整。</w:t>
      </w:r>
    </w:p>
    <w:p w14:paraId="154A7B43">
      <w:pPr>
        <w:pStyle w:val="121"/>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运输及费用：乙方负责办理运输和保险，将设备运抵甲方工地现场，并负责到场卸货。设备运输费、保险费及装卸费已包含在设备总价中，设备运输及到场卸货均由乙方自行负责，设备到场后，继续由乙方负责保管直至乙方设备安装完成并交付甲方使用后止。在此期间乙方自行负担相应费用，并承担一切责任。</w:t>
      </w:r>
    </w:p>
    <w:p w14:paraId="3B11C52E">
      <w:pPr>
        <w:rPr>
          <w:rFonts w:hint="eastAsia"/>
          <w:highlight w:val="none"/>
        </w:rPr>
      </w:pPr>
    </w:p>
    <w:p w14:paraId="040C153F">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、税费</w:t>
      </w:r>
    </w:p>
    <w:p w14:paraId="3071A204">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22FAA10E">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、质量保证及售后服务</w:t>
      </w:r>
    </w:p>
    <w:p w14:paraId="24EC6BC7">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乙方应按采购文件规定的货物性能、技术要求、质量标准向甲方提供未经使用的全新产品。</w:t>
      </w:r>
    </w:p>
    <w:p w14:paraId="0F42277C">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乙方提供的货物在质保期内因货物本身的质量问题发生故障，乙方应负责免费更换。对达不到技术要求者，根据实际情况，经双方协商，可按以下办法处理：</w:t>
      </w:r>
    </w:p>
    <w:p w14:paraId="64C5F779">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14:paraId="0A604F85">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0EF9042D">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⑶退货处理：乙方应退还甲方支付的合同款，同时应承担该货物的直接费用（运输、保险、检验、货款利息及银行手续费等）。</w:t>
      </w:r>
    </w:p>
    <w:p w14:paraId="0D5EB451">
      <w:pPr>
        <w:pStyle w:val="17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能提供24小时全天候召修服务，接到故障通知后</w:t>
      </w:r>
      <w:r>
        <w:rPr>
          <w:rFonts w:hint="default" w:ascii="宋体" w:hAnsi="宋体" w:cs="宋体"/>
          <w:sz w:val="24"/>
          <w:szCs w:val="24"/>
          <w:highlight w:val="none"/>
        </w:rPr>
        <w:t>2</w:t>
      </w:r>
      <w:r>
        <w:rPr>
          <w:rFonts w:hint="eastAsia" w:ascii="宋体" w:hAnsi="宋体" w:eastAsia="宋体" w:cs="宋体"/>
          <w:sz w:val="24"/>
          <w:szCs w:val="24"/>
          <w:highlight w:val="none"/>
        </w:rPr>
        <w:t>小时以内到达现场履行维修服务义务，</w:t>
      </w:r>
      <w:r>
        <w:rPr>
          <w:rFonts w:hint="default" w:ascii="宋体" w:hAnsi="宋体" w:cs="宋体"/>
          <w:sz w:val="24"/>
          <w:szCs w:val="24"/>
          <w:highlight w:val="none"/>
        </w:rPr>
        <w:t>4</w:t>
      </w:r>
      <w:r>
        <w:rPr>
          <w:rFonts w:hint="eastAsia" w:ascii="宋体" w:hAnsi="宋体" w:eastAsia="宋体" w:cs="宋体"/>
          <w:sz w:val="24"/>
          <w:szCs w:val="24"/>
          <w:highlight w:val="none"/>
        </w:rPr>
        <w:t>小时解决问题，若不能在</w:t>
      </w:r>
      <w:r>
        <w:rPr>
          <w:rFonts w:hint="default" w:ascii="宋体" w:hAnsi="宋体" w:cs="宋体"/>
          <w:sz w:val="24"/>
          <w:szCs w:val="24"/>
          <w:highlight w:val="none"/>
        </w:rPr>
        <w:t>4</w:t>
      </w:r>
      <w:r>
        <w:rPr>
          <w:rFonts w:hint="eastAsia" w:ascii="宋体" w:hAnsi="宋体" w:eastAsia="宋体" w:cs="宋体"/>
          <w:sz w:val="24"/>
          <w:szCs w:val="24"/>
          <w:highlight w:val="none"/>
        </w:rPr>
        <w:t>小时内解决，须提供同等性能、同等配置的产品替换，质保期内发生的一切费用由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承担。</w:t>
      </w:r>
    </w:p>
    <w:p w14:paraId="6D03156C">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在质保期内，乙方应对货物出现的质量及安全问题负责处理解决并承担一切费用。</w:t>
      </w:r>
    </w:p>
    <w:p w14:paraId="193C3EF6">
      <w:pPr>
        <w:pStyle w:val="17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5.上述的货物免费保修期为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年（自采购人在验收报告上签署</w:t>
      </w:r>
      <w:r>
        <w:rPr>
          <w:rFonts w:hint="eastAsia" w:ascii="宋体" w:hAnsi="宋体" w:eastAsia="宋体" w:cs="宋体"/>
          <w:sz w:val="24"/>
          <w:szCs w:val="24"/>
          <w:highlight w:val="none"/>
        </w:rPr>
        <w:t>“验收合格”之日起计算）</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质保期内，</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应保证除人为因素和法律规定的不可抗力造成的故障外免费负责维保、更换配件等；质保期满后应保证优惠提供备件和维保服务。</w:t>
      </w:r>
    </w:p>
    <w:p w14:paraId="07082344">
      <w:pPr>
        <w:pStyle w:val="17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.备品备件及耗材要求：该产品所需要的所有配件，</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应常年备货以保证产品正常运行。</w:t>
      </w:r>
    </w:p>
    <w:p w14:paraId="10B47AF1">
      <w:pPr>
        <w:pStyle w:val="17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.质保期内</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应提供免费软件升级与技术支持服务。</w:t>
      </w:r>
    </w:p>
    <w:p w14:paraId="6B55241C">
      <w:pPr>
        <w:pStyle w:val="17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应结合产品的使用、保养过程，无偿对采购人派出的管理人员进行产品的基本知识、使用、维护保养技术的现场培训，以保证售后产品的良好运行状态。</w:t>
      </w:r>
    </w:p>
    <w:p w14:paraId="65028FE4">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、调试和验收</w:t>
      </w:r>
    </w:p>
    <w:p w14:paraId="11A6EDDB">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甲方</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rPr>
        <w:t>严格按照《浙江省认知障碍照护专区改造实施方案》文件规定对认知障碍照护专区床位进行验收，并定期开展服务评价。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应保证提供的定制产品、采购产品完全符合国家有关法律、法规、规章的规定，国家有关部门最新颁布强制性技术质量规范及国家现行相关政策的要求。</w:t>
      </w:r>
    </w:p>
    <w:p w14:paraId="5ACEF5B2">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乙方交货前应对产品作出全面检查和对验收文件进行整理，并列出清单，作为甲方收货验收和使用的技术条件依据，检验的结果应随货物交甲方。</w:t>
      </w:r>
    </w:p>
    <w:p w14:paraId="0610DEFD">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甲方对乙方提供的货物在使用前进行调试时，乙方需负责安装并培训甲方的使用操作人员，并协助甲方一起调试，直到符合技术要求，甲方才做最终验收。</w:t>
      </w:r>
    </w:p>
    <w:p w14:paraId="1F95651D">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对技术复杂的货物，甲方应请国家认可的专业检测机构参与初步验收及最终验收，并由其出具质量检测报告。</w:t>
      </w:r>
    </w:p>
    <w:p w14:paraId="130B9FE5">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验收时乙方必须在现场，验收完毕后作出验收结果报告；验收费用由乙方负责。</w:t>
      </w:r>
    </w:p>
    <w:p w14:paraId="32425C79">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、货物包装、发运及运输</w:t>
      </w:r>
    </w:p>
    <w:p w14:paraId="2C2930F5">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乙方应在货物发运前对其进行满足运输距离、防潮、防震、防锈和防破损装卸等要求包装，以保证货物安全运达甲方指定地点。</w:t>
      </w:r>
    </w:p>
    <w:p w14:paraId="2B366254">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使用说明书、质量检验证明书、随配附件和工具以及清单一并附于货物内。</w:t>
      </w:r>
    </w:p>
    <w:p w14:paraId="78C44684">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乙方在货物发运手续办理完毕后24小时内或货到甲方48小时前通知甲方，以准备接货。</w:t>
      </w:r>
    </w:p>
    <w:p w14:paraId="4DC7267E">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货物在交付甲方前发生的风险均由乙方负责。</w:t>
      </w:r>
    </w:p>
    <w:p w14:paraId="0F40E878">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货物在规定的交付期限内由乙方送达甲方指定的地点视为交付，乙方同时需通知甲方货物已送达。</w:t>
      </w:r>
    </w:p>
    <w:p w14:paraId="290737E0">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、违约责任</w:t>
      </w:r>
    </w:p>
    <w:p w14:paraId="5404DE04">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甲方无正当理由拒收货物的，甲方向乙方偿付拒收货款总值的百分之五违约金。</w:t>
      </w:r>
    </w:p>
    <w:p w14:paraId="071D303D">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甲方无故逾期验收和办理货款支付手续的,甲方应按逾期付款总额每日万分之五向乙方支付违约金。</w:t>
      </w:r>
    </w:p>
    <w:p w14:paraId="0DB47384">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乙方由于非不可抗力原因和非甲方原因，造成产品不能按时供货和不能按时完成装配，则乙方须向甲方支付违约金。具体的赔付办法：①延误天数10天内的违约金为</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000元/天；②延误天数10天以上的违约金为</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000元/天；③延误超过</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0天以上的，甲方有权解除合同，乙方应支付签约合同价5%的违约金，并承担由此给甲方造成的所有损失。 </w:t>
      </w:r>
    </w:p>
    <w:p w14:paraId="493AACD1">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乙方未达到工程质量标准的，乙方须向甲方支付违约金。具体的赔付办法：①如乙方原因导致一次性未通过验收，则乙方将被扣没质量违约金为签约合同价的1%，并整改至符合合同约定的质量标准止，由此而造成的一切后果和费用均由乙方承担。②如验收不合格，则甲方有权退货，由此而造成的一切经济损失和后果均由乙方承担。且乙方还将另被扣没质量违约金为签约合同价的5%。</w:t>
      </w:r>
    </w:p>
    <w:p w14:paraId="19EB4097">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除本合同另有约定或双方达成一致外，甲方或乙方均不得中途擅自终止合同，如双方中的任何一方造成前述事实，则违约方将向另一方支付中途毁约违约金，金额为合同总价的30%。</w:t>
      </w:r>
    </w:p>
    <w:p w14:paraId="7E4DBE91">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、不可抗力事件处理</w:t>
      </w:r>
    </w:p>
    <w:p w14:paraId="12C3A726">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在合同有效期内，任何一方因不可抗力事件导致不能履行合同，则合同履行期可延长，其延长期与不可抗力影响期相同。</w:t>
      </w:r>
    </w:p>
    <w:p w14:paraId="0D44E3ED">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不可抗力事件发生后，应立即通知对方，并寄送有关权威机构出具的证明。</w:t>
      </w:r>
    </w:p>
    <w:p w14:paraId="1938703D">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不可抗力事件延续120天以上，双方应通过友好协商，确定是否继续履行合同。</w:t>
      </w:r>
    </w:p>
    <w:p w14:paraId="185CFC53">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九</w:t>
      </w:r>
      <w:r>
        <w:rPr>
          <w:rFonts w:hint="eastAsia" w:ascii="宋体" w:hAnsi="宋体" w:eastAsia="宋体" w:cs="宋体"/>
          <w:b/>
          <w:color w:val="auto"/>
          <w:sz w:val="24"/>
          <w:szCs w:val="24"/>
          <w:highlight w:val="none"/>
        </w:rPr>
        <w:t>、诉讼</w:t>
      </w:r>
    </w:p>
    <w:p w14:paraId="5E4D68DC">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双方在执行合同中所发生的一切争议，应通过协商解决。如协商不成，可向甲方所在地法院起诉。</w:t>
      </w:r>
    </w:p>
    <w:p w14:paraId="7B66B267">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2" w:firstLineChars="200"/>
        <w:textAlignment w:val="auto"/>
        <w:outlineLvl w:val="1"/>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二十</w:t>
      </w:r>
      <w:r>
        <w:rPr>
          <w:rFonts w:hint="eastAsia" w:ascii="宋体" w:hAnsi="宋体" w:eastAsia="宋体" w:cs="宋体"/>
          <w:b/>
          <w:color w:val="auto"/>
          <w:sz w:val="24"/>
          <w:szCs w:val="24"/>
          <w:highlight w:val="none"/>
        </w:rPr>
        <w:t>、合同生效及其它</w:t>
      </w:r>
    </w:p>
    <w:p w14:paraId="6117D7FD">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合同经双方法定代表人或授权代表签字并加盖单位公章后生效。</w:t>
      </w:r>
    </w:p>
    <w:p w14:paraId="06C5F47F">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62CE4314">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3.本合同未尽事宜，遵照《民法典》有关条文执行。</w:t>
      </w:r>
    </w:p>
    <w:p w14:paraId="172B0876">
      <w:pPr>
        <w:pStyle w:val="20"/>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4.本合同正本一式两份，具有同等法律效力，甲乙双方各执一份；副本</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份，(用途)。</w:t>
      </w:r>
    </w:p>
    <w:p w14:paraId="37BA700D">
      <w:pPr>
        <w:pStyle w:val="20"/>
        <w:snapToGrid w:val="0"/>
        <w:spacing w:before="0" w:beforeLines="0" w:after="0" w:afterLines="0" w:line="480" w:lineRule="auto"/>
        <w:ind w:left="420" w:hanging="480" w:hangingChars="200"/>
        <w:rPr>
          <w:rFonts w:hAnsi="宋体"/>
          <w:color w:val="auto"/>
          <w:sz w:val="24"/>
          <w:szCs w:val="24"/>
          <w:highlight w:val="none"/>
        </w:rPr>
      </w:pPr>
      <w:r>
        <w:rPr>
          <w:rFonts w:hAnsi="宋体"/>
          <w:color w:val="auto"/>
          <w:sz w:val="24"/>
          <w:szCs w:val="24"/>
          <w:highlight w:val="none"/>
        </w:rPr>
        <w:t xml:space="preserve">  甲方：</w:t>
      </w:r>
      <w:r>
        <w:rPr>
          <w:rFonts w:hint="eastAsia" w:hAnsi="宋体"/>
          <w:color w:val="auto"/>
          <w:sz w:val="24"/>
          <w:szCs w:val="24"/>
          <w:highlight w:val="none"/>
        </w:rPr>
        <w:t xml:space="preserve">  </w:t>
      </w:r>
      <w:r>
        <w:rPr>
          <w:rFonts w:hAnsi="宋体"/>
          <w:color w:val="auto"/>
          <w:sz w:val="24"/>
          <w:szCs w:val="24"/>
          <w:highlight w:val="none"/>
        </w:rPr>
        <w:t xml:space="preserve">                                 乙方： </w:t>
      </w:r>
    </w:p>
    <w:p w14:paraId="0324514B">
      <w:pPr>
        <w:pStyle w:val="20"/>
        <w:snapToGrid w:val="0"/>
        <w:spacing w:before="0" w:beforeLines="0" w:after="0" w:afterLines="0" w:line="480" w:lineRule="auto"/>
        <w:rPr>
          <w:rFonts w:hint="eastAsia" w:hAnsi="宋体"/>
          <w:color w:val="auto"/>
          <w:sz w:val="24"/>
          <w:szCs w:val="24"/>
          <w:highlight w:val="none"/>
        </w:rPr>
      </w:pPr>
      <w:r>
        <w:rPr>
          <w:rFonts w:hAnsi="宋体"/>
          <w:color w:val="auto"/>
          <w:sz w:val="24"/>
          <w:szCs w:val="24"/>
          <w:highlight w:val="none"/>
        </w:rPr>
        <w:t xml:space="preserve">  地址：                                   地址： </w:t>
      </w:r>
    </w:p>
    <w:p w14:paraId="3870FCDC">
      <w:pPr>
        <w:pStyle w:val="20"/>
        <w:snapToGrid w:val="0"/>
        <w:spacing w:before="0" w:beforeLines="0" w:after="0" w:afterLines="0" w:line="480" w:lineRule="auto"/>
        <w:rPr>
          <w:rFonts w:hAnsi="宋体"/>
          <w:color w:val="auto"/>
          <w:sz w:val="24"/>
          <w:szCs w:val="24"/>
          <w:highlight w:val="none"/>
        </w:rPr>
      </w:pPr>
      <w:r>
        <w:rPr>
          <w:rFonts w:hAnsi="宋体"/>
          <w:color w:val="auto"/>
          <w:sz w:val="24"/>
          <w:szCs w:val="24"/>
          <w:highlight w:val="none"/>
        </w:rPr>
        <w:t xml:space="preserve">  法定</w:t>
      </w:r>
      <w:r>
        <w:rPr>
          <w:rFonts w:hint="eastAsia" w:hAnsi="宋体"/>
          <w:color w:val="auto"/>
          <w:sz w:val="24"/>
          <w:szCs w:val="24"/>
          <w:highlight w:val="none"/>
        </w:rPr>
        <w:t>（授权）</w:t>
      </w:r>
      <w:r>
        <w:rPr>
          <w:rFonts w:hAnsi="宋体"/>
          <w:color w:val="auto"/>
          <w:sz w:val="24"/>
          <w:szCs w:val="24"/>
          <w:highlight w:val="none"/>
        </w:rPr>
        <w:t>代表人：                     法定</w:t>
      </w:r>
      <w:r>
        <w:rPr>
          <w:rFonts w:hint="eastAsia" w:hAnsi="宋体"/>
          <w:color w:val="auto"/>
          <w:sz w:val="24"/>
          <w:szCs w:val="24"/>
          <w:highlight w:val="none"/>
        </w:rPr>
        <w:t>（授权）</w:t>
      </w:r>
      <w:r>
        <w:rPr>
          <w:rFonts w:hAnsi="宋体"/>
          <w:color w:val="auto"/>
          <w:sz w:val="24"/>
          <w:szCs w:val="24"/>
          <w:highlight w:val="none"/>
        </w:rPr>
        <w:t>代表人：</w:t>
      </w:r>
    </w:p>
    <w:p w14:paraId="62DFA350">
      <w:pPr>
        <w:pStyle w:val="20"/>
        <w:snapToGrid w:val="0"/>
        <w:spacing w:before="0" w:beforeLines="0" w:after="0" w:afterLines="0" w:line="480" w:lineRule="auto"/>
        <w:rPr>
          <w:rFonts w:hint="eastAsia" w:hAnsi="宋体"/>
          <w:color w:val="auto"/>
          <w:sz w:val="24"/>
          <w:szCs w:val="24"/>
          <w:highlight w:val="none"/>
        </w:rPr>
      </w:pPr>
      <w:r>
        <w:rPr>
          <w:rFonts w:hAnsi="宋体"/>
          <w:color w:val="auto"/>
          <w:sz w:val="24"/>
          <w:szCs w:val="24"/>
          <w:highlight w:val="none"/>
        </w:rPr>
        <w:t xml:space="preserve">  签</w:t>
      </w:r>
      <w:r>
        <w:rPr>
          <w:rFonts w:hint="eastAsia" w:hAnsi="宋体"/>
          <w:color w:val="auto"/>
          <w:sz w:val="24"/>
          <w:szCs w:val="24"/>
          <w:highlight w:val="none"/>
        </w:rPr>
        <w:t>字日期</w:t>
      </w:r>
      <w:r>
        <w:rPr>
          <w:rFonts w:hAnsi="宋体"/>
          <w:color w:val="auto"/>
          <w:sz w:val="24"/>
          <w:szCs w:val="24"/>
          <w:highlight w:val="none"/>
        </w:rPr>
        <w:t xml:space="preserve">：      年  月  日  </w:t>
      </w:r>
      <w:r>
        <w:rPr>
          <w:rFonts w:hint="eastAsia" w:hAnsi="宋体"/>
          <w:color w:val="auto"/>
          <w:sz w:val="24"/>
          <w:szCs w:val="24"/>
          <w:highlight w:val="none"/>
        </w:rPr>
        <w:t xml:space="preserve">    </w:t>
      </w:r>
      <w:r>
        <w:rPr>
          <w:rFonts w:hAnsi="宋体"/>
          <w:color w:val="auto"/>
          <w:sz w:val="24"/>
          <w:szCs w:val="24"/>
          <w:highlight w:val="none"/>
        </w:rPr>
        <w:t xml:space="preserve">     签</w:t>
      </w:r>
      <w:r>
        <w:rPr>
          <w:rFonts w:hint="eastAsia" w:hAnsi="宋体"/>
          <w:color w:val="auto"/>
          <w:sz w:val="24"/>
          <w:szCs w:val="24"/>
          <w:highlight w:val="none"/>
        </w:rPr>
        <w:t>字</w:t>
      </w:r>
      <w:r>
        <w:rPr>
          <w:rFonts w:hAnsi="宋体"/>
          <w:color w:val="auto"/>
          <w:sz w:val="24"/>
          <w:szCs w:val="24"/>
          <w:highlight w:val="none"/>
        </w:rPr>
        <w:t>日期：      年  月  日</w:t>
      </w:r>
    </w:p>
    <w:p w14:paraId="0C47722D">
      <w:pPr>
        <w:pStyle w:val="3"/>
        <w:jc w:val="center"/>
        <w:rPr>
          <w:rFonts w:hint="eastAsia"/>
          <w:color w:val="auto"/>
          <w:highlight w:val="none"/>
        </w:rPr>
      </w:pPr>
    </w:p>
    <w:p w14:paraId="268ADDCF">
      <w:pPr>
        <w:pStyle w:val="3"/>
        <w:jc w:val="center"/>
        <w:rPr>
          <w:rFonts w:hint="eastAsia"/>
          <w:color w:val="auto"/>
          <w:highlight w:val="none"/>
        </w:rPr>
      </w:pPr>
    </w:p>
    <w:p w14:paraId="171BD2D6">
      <w:pPr>
        <w:pStyle w:val="3"/>
        <w:jc w:val="center"/>
        <w:rPr>
          <w:rFonts w:hint="eastAsia"/>
          <w:color w:val="auto"/>
          <w:highlight w:val="none"/>
        </w:rPr>
      </w:pPr>
    </w:p>
    <w:p w14:paraId="0B9D1D26">
      <w:pPr>
        <w:rPr>
          <w:rFonts w:hint="eastAsia"/>
          <w:color w:val="auto"/>
          <w:highlight w:val="none"/>
        </w:rPr>
      </w:pPr>
    </w:p>
    <w:p w14:paraId="31329A55">
      <w:pPr>
        <w:pStyle w:val="11"/>
        <w:rPr>
          <w:rFonts w:hint="eastAsia"/>
          <w:color w:val="auto"/>
          <w:highlight w:val="none"/>
        </w:rPr>
      </w:pPr>
    </w:p>
    <w:p w14:paraId="76581539">
      <w:pPr>
        <w:rPr>
          <w:rFonts w:hint="eastAsia"/>
          <w:color w:val="auto"/>
          <w:highlight w:val="none"/>
        </w:rPr>
      </w:pPr>
    </w:p>
    <w:p w14:paraId="6F2D3FDC">
      <w:pPr>
        <w:pStyle w:val="11"/>
        <w:rPr>
          <w:rFonts w:hint="eastAsia"/>
          <w:color w:val="auto"/>
          <w:highlight w:val="none"/>
        </w:rPr>
      </w:pPr>
    </w:p>
    <w:p w14:paraId="02E1197F">
      <w:pPr>
        <w:rPr>
          <w:rFonts w:hint="eastAsia"/>
          <w:color w:val="auto"/>
          <w:highlight w:val="none"/>
        </w:rPr>
      </w:pPr>
    </w:p>
    <w:p w14:paraId="64EB5BFD">
      <w:pPr>
        <w:pStyle w:val="11"/>
        <w:rPr>
          <w:rFonts w:hint="eastAsia"/>
          <w:color w:val="auto"/>
          <w:highlight w:val="none"/>
        </w:rPr>
      </w:pPr>
    </w:p>
    <w:p w14:paraId="3EBC3072">
      <w:pPr>
        <w:rPr>
          <w:rFonts w:hint="eastAsia"/>
          <w:color w:val="auto"/>
          <w:highlight w:val="none"/>
        </w:rPr>
      </w:pPr>
    </w:p>
    <w:p w14:paraId="549325C6">
      <w:pPr>
        <w:pStyle w:val="11"/>
        <w:rPr>
          <w:rFonts w:hint="eastAsia"/>
          <w:color w:val="auto"/>
          <w:highlight w:val="none"/>
        </w:rPr>
      </w:pPr>
    </w:p>
    <w:p w14:paraId="77672BCC">
      <w:pPr>
        <w:rPr>
          <w:rFonts w:hint="eastAsia"/>
          <w:color w:val="auto"/>
          <w:highlight w:val="none"/>
        </w:rPr>
      </w:pPr>
    </w:p>
    <w:p w14:paraId="1FC505B7">
      <w:pPr>
        <w:pStyle w:val="11"/>
        <w:rPr>
          <w:rFonts w:hint="eastAsia"/>
          <w:color w:val="auto"/>
          <w:highlight w:val="none"/>
        </w:rPr>
      </w:pPr>
    </w:p>
    <w:p w14:paraId="41AA8977">
      <w:pPr>
        <w:rPr>
          <w:rFonts w:hint="eastAsia"/>
          <w:color w:val="auto"/>
          <w:highlight w:val="none"/>
        </w:rPr>
      </w:pPr>
    </w:p>
    <w:p w14:paraId="25067F50">
      <w:pPr>
        <w:pStyle w:val="11"/>
        <w:rPr>
          <w:rFonts w:hint="eastAsia"/>
          <w:color w:val="auto"/>
          <w:highlight w:val="none"/>
        </w:rPr>
      </w:pPr>
    </w:p>
    <w:p w14:paraId="1CDA1E4A">
      <w:pPr>
        <w:rPr>
          <w:rFonts w:hint="eastAsia"/>
          <w:color w:val="auto"/>
          <w:highlight w:val="none"/>
        </w:rPr>
      </w:pPr>
    </w:p>
    <w:p w14:paraId="7CE7AA2B">
      <w:pPr>
        <w:pStyle w:val="11"/>
        <w:rPr>
          <w:rFonts w:hint="eastAsia"/>
          <w:color w:val="auto"/>
          <w:highlight w:val="none"/>
        </w:rPr>
      </w:pPr>
    </w:p>
    <w:p w14:paraId="798314C0">
      <w:pPr>
        <w:rPr>
          <w:rFonts w:hint="eastAsia"/>
          <w:color w:val="auto"/>
          <w:highlight w:val="none"/>
        </w:rPr>
      </w:pPr>
    </w:p>
    <w:p w14:paraId="67EBD30F">
      <w:pPr>
        <w:pStyle w:val="11"/>
        <w:rPr>
          <w:rFonts w:hint="eastAsia"/>
          <w:color w:val="auto"/>
          <w:highlight w:val="none"/>
        </w:rPr>
      </w:pPr>
    </w:p>
    <w:p w14:paraId="75A19689">
      <w:pPr>
        <w:rPr>
          <w:rFonts w:hint="eastAsia"/>
          <w:color w:val="auto"/>
          <w:highlight w:val="none"/>
        </w:rPr>
      </w:pPr>
    </w:p>
    <w:p w14:paraId="4650E9D6">
      <w:pPr>
        <w:pStyle w:val="11"/>
        <w:rPr>
          <w:rFonts w:hint="eastAsia"/>
          <w:color w:val="auto"/>
          <w:highlight w:val="none"/>
        </w:rPr>
      </w:pPr>
    </w:p>
    <w:p w14:paraId="709F4360">
      <w:pPr>
        <w:rPr>
          <w:rFonts w:hint="eastAsia"/>
          <w:color w:val="auto"/>
          <w:highlight w:val="none"/>
        </w:rPr>
      </w:pPr>
    </w:p>
    <w:p w14:paraId="7A523DF4">
      <w:pPr>
        <w:pStyle w:val="11"/>
        <w:rPr>
          <w:rFonts w:hint="eastAsia"/>
          <w:color w:val="auto"/>
          <w:highlight w:val="none"/>
        </w:rPr>
      </w:pPr>
    </w:p>
    <w:p w14:paraId="28221B84">
      <w:pPr>
        <w:rPr>
          <w:rFonts w:hint="eastAsia"/>
          <w:color w:val="auto"/>
          <w:highlight w:val="none"/>
        </w:rPr>
      </w:pPr>
    </w:p>
    <w:p w14:paraId="7FA4B609">
      <w:pPr>
        <w:pStyle w:val="11"/>
        <w:rPr>
          <w:rFonts w:hint="eastAsia"/>
          <w:color w:val="auto"/>
          <w:highlight w:val="none"/>
        </w:rPr>
      </w:pPr>
    </w:p>
    <w:p w14:paraId="7CA12BAF">
      <w:pPr>
        <w:rPr>
          <w:rFonts w:hint="eastAsia"/>
          <w:color w:val="auto"/>
          <w:highlight w:val="none"/>
        </w:rPr>
      </w:pPr>
    </w:p>
    <w:p w14:paraId="6CE47F37">
      <w:pPr>
        <w:pStyle w:val="11"/>
        <w:rPr>
          <w:rFonts w:hint="eastAsia"/>
          <w:color w:val="auto"/>
          <w:highlight w:val="none"/>
        </w:rPr>
      </w:pPr>
    </w:p>
    <w:p w14:paraId="43004521">
      <w:pPr>
        <w:rPr>
          <w:rFonts w:hint="eastAsia"/>
        </w:rPr>
      </w:pPr>
    </w:p>
    <w:p w14:paraId="327D654C">
      <w:pPr>
        <w:pStyle w:val="3"/>
        <w:jc w:val="center"/>
        <w:rPr>
          <w:rFonts w:hint="eastAsia"/>
          <w:color w:val="auto"/>
          <w:sz w:val="24"/>
          <w:highlight w:val="none"/>
        </w:rPr>
      </w:pPr>
      <w:r>
        <w:rPr>
          <w:rFonts w:hint="eastAsia"/>
          <w:color w:val="auto"/>
          <w:highlight w:val="none"/>
        </w:rPr>
        <w:t>第六章</w:t>
      </w:r>
      <w:r>
        <w:rPr>
          <w:rFonts w:hint="eastAsia"/>
          <w:color w:val="auto"/>
          <w:sz w:val="24"/>
          <w:highlight w:val="none"/>
        </w:rPr>
        <w:t xml:space="preserve"> </w:t>
      </w:r>
      <w:r>
        <w:rPr>
          <w:rFonts w:hint="eastAsia"/>
          <w:color w:val="auto"/>
          <w:highlight w:val="none"/>
        </w:rPr>
        <w:t xml:space="preserve"> 响应文件有关格式</w:t>
      </w:r>
    </w:p>
    <w:p w14:paraId="7241F18C">
      <w:pPr>
        <w:spacing w:line="360" w:lineRule="auto"/>
        <w:rPr>
          <w:rFonts w:hint="eastAsia" w:ascii="宋体" w:hAnsi="宋体"/>
          <w:b/>
          <w:color w:val="auto"/>
          <w:sz w:val="32"/>
          <w:szCs w:val="32"/>
          <w:highlight w:val="none"/>
        </w:rPr>
      </w:pPr>
    </w:p>
    <w:p w14:paraId="7D0FB5AF">
      <w:pPr>
        <w:spacing w:line="360" w:lineRule="auto"/>
        <w:ind w:firstLine="3213" w:firstLineChars="1000"/>
        <w:rPr>
          <w:rFonts w:ascii="宋体" w:hAnsi="宋体"/>
          <w:b/>
          <w:color w:val="auto"/>
          <w:sz w:val="32"/>
          <w:szCs w:val="32"/>
          <w:highlight w:val="none"/>
        </w:rPr>
      </w:pPr>
      <w:r>
        <w:rPr>
          <w:rFonts w:hint="eastAsia" w:ascii="宋体" w:hAnsi="宋体"/>
          <w:b/>
          <w:color w:val="auto"/>
          <w:sz w:val="32"/>
          <w:szCs w:val="32"/>
          <w:highlight w:val="none"/>
        </w:rPr>
        <w:t>一、报价文件</w:t>
      </w:r>
    </w:p>
    <w:p w14:paraId="483CF2D7">
      <w:pPr>
        <w:spacing w:line="360" w:lineRule="auto"/>
        <w:rPr>
          <w:rFonts w:hint="eastAsia" w:ascii="宋体" w:hAnsi="宋体"/>
          <w:b/>
          <w:color w:val="auto"/>
          <w:sz w:val="32"/>
          <w:szCs w:val="32"/>
          <w:highlight w:val="none"/>
        </w:rPr>
      </w:pPr>
    </w:p>
    <w:p w14:paraId="73144667">
      <w:pPr>
        <w:spacing w:line="360" w:lineRule="auto"/>
        <w:rPr>
          <w:rFonts w:hint="eastAsia" w:ascii="宋体" w:hAnsi="宋体"/>
          <w:b/>
          <w:color w:val="auto"/>
          <w:sz w:val="32"/>
          <w:szCs w:val="32"/>
          <w:highlight w:val="none"/>
        </w:rPr>
      </w:pPr>
    </w:p>
    <w:p w14:paraId="61CFE507">
      <w:pPr>
        <w:pStyle w:val="3"/>
        <w:rPr>
          <w:rFonts w:hint="eastAsia"/>
          <w:color w:val="auto"/>
          <w:sz w:val="32"/>
          <w:szCs w:val="32"/>
          <w:highlight w:val="none"/>
        </w:rPr>
      </w:pPr>
    </w:p>
    <w:p w14:paraId="1BACF06D">
      <w:pPr>
        <w:pStyle w:val="11"/>
        <w:rPr>
          <w:rFonts w:hint="eastAsia" w:ascii="宋体" w:hAnsi="宋体"/>
          <w:b/>
          <w:color w:val="auto"/>
          <w:sz w:val="32"/>
          <w:szCs w:val="32"/>
          <w:highlight w:val="none"/>
        </w:rPr>
      </w:pPr>
    </w:p>
    <w:p w14:paraId="3934B30B">
      <w:pPr>
        <w:pStyle w:val="11"/>
        <w:rPr>
          <w:rFonts w:hint="eastAsia" w:ascii="宋体" w:hAnsi="宋体"/>
          <w:b/>
          <w:color w:val="auto"/>
          <w:sz w:val="32"/>
          <w:szCs w:val="32"/>
          <w:highlight w:val="none"/>
        </w:rPr>
      </w:pPr>
    </w:p>
    <w:p w14:paraId="6FCEF77D">
      <w:pPr>
        <w:pStyle w:val="11"/>
        <w:rPr>
          <w:rFonts w:hint="eastAsia" w:ascii="宋体" w:hAnsi="宋体"/>
          <w:b/>
          <w:color w:val="auto"/>
          <w:sz w:val="32"/>
          <w:szCs w:val="32"/>
          <w:highlight w:val="none"/>
        </w:rPr>
      </w:pPr>
    </w:p>
    <w:p w14:paraId="2385F181">
      <w:pPr>
        <w:pStyle w:val="11"/>
        <w:rPr>
          <w:rFonts w:hint="eastAsia" w:ascii="宋体" w:hAnsi="宋体"/>
          <w:b/>
          <w:color w:val="auto"/>
          <w:sz w:val="32"/>
          <w:szCs w:val="32"/>
          <w:highlight w:val="none"/>
        </w:rPr>
      </w:pPr>
    </w:p>
    <w:p w14:paraId="5439CF12">
      <w:pPr>
        <w:pStyle w:val="11"/>
        <w:rPr>
          <w:rFonts w:hint="eastAsia" w:ascii="宋体" w:hAnsi="宋体"/>
          <w:b/>
          <w:color w:val="auto"/>
          <w:sz w:val="32"/>
          <w:szCs w:val="32"/>
          <w:highlight w:val="none"/>
        </w:rPr>
      </w:pPr>
    </w:p>
    <w:p w14:paraId="47B150A7">
      <w:pPr>
        <w:pStyle w:val="11"/>
        <w:rPr>
          <w:rFonts w:hint="eastAsia" w:ascii="宋体" w:hAnsi="宋体"/>
          <w:b/>
          <w:color w:val="auto"/>
          <w:sz w:val="32"/>
          <w:szCs w:val="32"/>
          <w:highlight w:val="none"/>
        </w:rPr>
      </w:pPr>
    </w:p>
    <w:p w14:paraId="5A314F0B">
      <w:pPr>
        <w:pStyle w:val="11"/>
        <w:rPr>
          <w:rFonts w:hint="eastAsia" w:ascii="宋体" w:hAnsi="宋体"/>
          <w:b/>
          <w:color w:val="auto"/>
          <w:sz w:val="32"/>
          <w:szCs w:val="32"/>
          <w:highlight w:val="none"/>
        </w:rPr>
      </w:pPr>
    </w:p>
    <w:p w14:paraId="6212460F">
      <w:pPr>
        <w:pStyle w:val="11"/>
        <w:rPr>
          <w:rFonts w:hint="eastAsia" w:ascii="宋体" w:hAnsi="宋体"/>
          <w:b/>
          <w:color w:val="auto"/>
          <w:sz w:val="32"/>
          <w:szCs w:val="32"/>
          <w:highlight w:val="none"/>
        </w:rPr>
      </w:pPr>
    </w:p>
    <w:p w14:paraId="0AD91555">
      <w:pPr>
        <w:pStyle w:val="11"/>
        <w:rPr>
          <w:rFonts w:hint="eastAsia" w:ascii="宋体" w:hAnsi="宋体"/>
          <w:b/>
          <w:color w:val="auto"/>
          <w:sz w:val="32"/>
          <w:szCs w:val="32"/>
          <w:highlight w:val="none"/>
        </w:rPr>
      </w:pPr>
    </w:p>
    <w:p w14:paraId="0DB32874">
      <w:pPr>
        <w:pStyle w:val="11"/>
        <w:rPr>
          <w:rFonts w:hint="eastAsia" w:ascii="宋体" w:hAnsi="宋体"/>
          <w:b/>
          <w:color w:val="auto"/>
          <w:sz w:val="32"/>
          <w:szCs w:val="32"/>
          <w:highlight w:val="none"/>
        </w:rPr>
      </w:pPr>
    </w:p>
    <w:p w14:paraId="4BC3417E">
      <w:pPr>
        <w:pStyle w:val="11"/>
        <w:rPr>
          <w:rFonts w:hint="eastAsia" w:ascii="宋体" w:hAnsi="宋体"/>
          <w:b/>
          <w:color w:val="auto"/>
          <w:sz w:val="32"/>
          <w:szCs w:val="32"/>
          <w:highlight w:val="none"/>
        </w:rPr>
      </w:pPr>
    </w:p>
    <w:p w14:paraId="4F1240D9">
      <w:pPr>
        <w:pStyle w:val="11"/>
        <w:rPr>
          <w:rFonts w:hint="eastAsia" w:ascii="宋体" w:hAnsi="宋体"/>
          <w:b/>
          <w:color w:val="auto"/>
          <w:sz w:val="32"/>
          <w:szCs w:val="32"/>
          <w:highlight w:val="none"/>
        </w:rPr>
      </w:pPr>
    </w:p>
    <w:p w14:paraId="0F586917">
      <w:pPr>
        <w:pStyle w:val="11"/>
        <w:rPr>
          <w:rFonts w:hint="eastAsia" w:ascii="宋体" w:hAnsi="宋体"/>
          <w:b/>
          <w:color w:val="auto"/>
          <w:sz w:val="32"/>
          <w:szCs w:val="32"/>
          <w:highlight w:val="none"/>
        </w:rPr>
      </w:pPr>
    </w:p>
    <w:p w14:paraId="2B04A353">
      <w:pPr>
        <w:pStyle w:val="11"/>
        <w:rPr>
          <w:rFonts w:hint="eastAsia" w:ascii="宋体" w:hAnsi="宋体"/>
          <w:b/>
          <w:color w:val="auto"/>
          <w:sz w:val="32"/>
          <w:szCs w:val="32"/>
          <w:highlight w:val="none"/>
        </w:rPr>
      </w:pPr>
    </w:p>
    <w:p w14:paraId="2C3C7EFA">
      <w:pPr>
        <w:pStyle w:val="11"/>
        <w:rPr>
          <w:rFonts w:hint="eastAsia" w:ascii="宋体" w:hAnsi="宋体"/>
          <w:b/>
          <w:color w:val="auto"/>
          <w:sz w:val="32"/>
          <w:szCs w:val="32"/>
          <w:highlight w:val="none"/>
        </w:rPr>
      </w:pPr>
    </w:p>
    <w:p w14:paraId="5E6955A2">
      <w:pPr>
        <w:pStyle w:val="11"/>
        <w:rPr>
          <w:rFonts w:hint="eastAsia" w:ascii="宋体" w:hAnsi="宋体"/>
          <w:b/>
          <w:color w:val="auto"/>
          <w:sz w:val="32"/>
          <w:szCs w:val="32"/>
          <w:highlight w:val="none"/>
        </w:rPr>
      </w:pPr>
    </w:p>
    <w:p w14:paraId="79786965">
      <w:pPr>
        <w:pStyle w:val="11"/>
        <w:rPr>
          <w:rFonts w:hint="eastAsia" w:ascii="宋体" w:hAnsi="宋体"/>
          <w:b/>
          <w:color w:val="auto"/>
          <w:sz w:val="32"/>
          <w:szCs w:val="32"/>
          <w:highlight w:val="none"/>
        </w:rPr>
      </w:pPr>
    </w:p>
    <w:p w14:paraId="10E1DA63">
      <w:pPr>
        <w:pStyle w:val="11"/>
        <w:rPr>
          <w:rFonts w:hint="eastAsia" w:ascii="宋体" w:hAnsi="宋体"/>
          <w:b/>
          <w:color w:val="auto"/>
          <w:sz w:val="32"/>
          <w:szCs w:val="32"/>
          <w:highlight w:val="none"/>
        </w:rPr>
      </w:pPr>
    </w:p>
    <w:p w14:paraId="5E3F588C">
      <w:pPr>
        <w:pStyle w:val="11"/>
        <w:rPr>
          <w:rFonts w:hint="eastAsia" w:ascii="宋体" w:hAnsi="宋体"/>
          <w:b/>
          <w:color w:val="auto"/>
          <w:sz w:val="32"/>
          <w:szCs w:val="32"/>
          <w:highlight w:val="none"/>
        </w:rPr>
      </w:pPr>
    </w:p>
    <w:p w14:paraId="66DEF354">
      <w:pPr>
        <w:pStyle w:val="11"/>
        <w:rPr>
          <w:rFonts w:hint="eastAsia" w:ascii="宋体" w:hAnsi="宋体"/>
          <w:b/>
          <w:color w:val="auto"/>
          <w:sz w:val="32"/>
          <w:szCs w:val="32"/>
          <w:highlight w:val="none"/>
        </w:rPr>
      </w:pPr>
    </w:p>
    <w:p w14:paraId="07085687">
      <w:pPr>
        <w:rPr>
          <w:rFonts w:hint="eastAsia"/>
        </w:rPr>
      </w:pPr>
    </w:p>
    <w:p w14:paraId="31516F4A">
      <w:pPr>
        <w:pStyle w:val="11"/>
        <w:rPr>
          <w:rFonts w:hint="eastAsia" w:ascii="宋体" w:hAnsi="宋体"/>
          <w:b/>
          <w:color w:val="auto"/>
          <w:sz w:val="32"/>
          <w:szCs w:val="32"/>
          <w:highlight w:val="none"/>
        </w:rPr>
      </w:pPr>
    </w:p>
    <w:p w14:paraId="7B220D79">
      <w:pPr>
        <w:spacing w:line="360" w:lineRule="auto"/>
        <w:rPr>
          <w:rFonts w:hint="eastAsia" w:ascii="宋体" w:hAnsi="宋体"/>
          <w:b/>
          <w:color w:val="auto"/>
          <w:sz w:val="32"/>
          <w:szCs w:val="32"/>
          <w:highlight w:val="none"/>
        </w:rPr>
      </w:pPr>
    </w:p>
    <w:p w14:paraId="7F5790CC">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14:paraId="6B8094F1">
      <w:pPr>
        <w:spacing w:line="360" w:lineRule="auto"/>
        <w:jc w:val="center"/>
        <w:rPr>
          <w:rFonts w:ascii="宋体" w:hAnsi="宋体"/>
          <w:b/>
          <w:color w:val="auto"/>
          <w:sz w:val="32"/>
          <w:szCs w:val="32"/>
          <w:highlight w:val="none"/>
        </w:rPr>
      </w:pPr>
    </w:p>
    <w:p w14:paraId="350666A7">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象山县贤庠镇敬老院认知症照护专区改造项目</w:t>
      </w:r>
    </w:p>
    <w:p w14:paraId="42A5938A">
      <w:pPr>
        <w:spacing w:line="360" w:lineRule="auto"/>
        <w:ind w:firstLine="2520" w:firstLineChars="700"/>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采购编号：</w:t>
      </w:r>
      <w:r>
        <w:rPr>
          <w:rFonts w:hint="eastAsia" w:ascii="宋体" w:hAnsi="宋体"/>
          <w:color w:val="auto"/>
          <w:sz w:val="36"/>
          <w:szCs w:val="36"/>
          <w:highlight w:val="none"/>
          <w:u w:val="single"/>
          <w:lang w:eastAsia="zh-CN"/>
        </w:rPr>
        <w:t>ZJQY-2025-011CG</w:t>
      </w:r>
    </w:p>
    <w:p w14:paraId="33E9791F">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子</w:t>
      </w:r>
      <w:r>
        <w:rPr>
          <w:rFonts w:ascii="宋体" w:hAnsi="宋体"/>
          <w:color w:val="auto"/>
          <w:sz w:val="36"/>
          <w:szCs w:val="36"/>
          <w:highlight w:val="none"/>
        </w:rPr>
        <w:t xml:space="preserve">    </w:t>
      </w:r>
      <w:r>
        <w:rPr>
          <w:rFonts w:hint="eastAsia" w:ascii="宋体" w:hAnsi="宋体"/>
          <w:color w:val="auto"/>
          <w:sz w:val="36"/>
          <w:szCs w:val="36"/>
          <w:highlight w:val="none"/>
        </w:rPr>
        <w:t>包：</w:t>
      </w:r>
      <w:r>
        <w:rPr>
          <w:rFonts w:hint="eastAsia" w:ascii="宋体" w:hAnsi="宋体"/>
          <w:color w:val="auto"/>
          <w:sz w:val="36"/>
          <w:szCs w:val="36"/>
          <w:highlight w:val="none"/>
          <w:u w:val="single"/>
        </w:rPr>
        <w:t>（如有多个子包）</w:t>
      </w:r>
    </w:p>
    <w:p w14:paraId="0D9C6567">
      <w:pPr>
        <w:rPr>
          <w:rFonts w:ascii="宋体" w:hAnsi="宋体"/>
          <w:color w:val="auto"/>
          <w:sz w:val="28"/>
          <w:szCs w:val="28"/>
          <w:highlight w:val="none"/>
        </w:rPr>
      </w:pPr>
    </w:p>
    <w:p w14:paraId="4C66927E">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1C87FF81">
      <w:pPr>
        <w:jc w:val="center"/>
        <w:rPr>
          <w:rFonts w:ascii="宋体" w:hAnsi="宋体"/>
          <w:color w:val="auto"/>
          <w:sz w:val="28"/>
          <w:szCs w:val="28"/>
          <w:highlight w:val="none"/>
        </w:rPr>
      </w:pPr>
    </w:p>
    <w:p w14:paraId="309CD14A">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响应文件</w:t>
      </w:r>
    </w:p>
    <w:p w14:paraId="245024F5">
      <w:pPr>
        <w:spacing w:line="360" w:lineRule="auto"/>
        <w:jc w:val="center"/>
        <w:rPr>
          <w:rFonts w:ascii="宋体" w:hAnsi="宋体"/>
          <w:color w:val="auto"/>
          <w:sz w:val="36"/>
          <w:szCs w:val="36"/>
          <w:highlight w:val="none"/>
        </w:rPr>
      </w:pPr>
    </w:p>
    <w:p w14:paraId="05F04357">
      <w:pPr>
        <w:spacing w:line="360" w:lineRule="auto"/>
        <w:jc w:val="center"/>
        <w:rPr>
          <w:rFonts w:ascii="宋体" w:hAnsi="宋体"/>
          <w:color w:val="auto"/>
          <w:sz w:val="36"/>
          <w:szCs w:val="36"/>
          <w:highlight w:val="none"/>
        </w:rPr>
      </w:pPr>
    </w:p>
    <w:p w14:paraId="19876A99">
      <w:pPr>
        <w:pStyle w:val="3"/>
        <w:rPr>
          <w:color w:val="auto"/>
          <w:highlight w:val="none"/>
        </w:rPr>
      </w:pPr>
    </w:p>
    <w:p w14:paraId="2E529064">
      <w:pPr>
        <w:pStyle w:val="11"/>
        <w:rPr>
          <w:color w:val="auto"/>
          <w:highlight w:val="none"/>
        </w:rPr>
      </w:pPr>
    </w:p>
    <w:p w14:paraId="0B1D63F2">
      <w:pPr>
        <w:spacing w:line="360" w:lineRule="auto"/>
        <w:jc w:val="center"/>
        <w:rPr>
          <w:rFonts w:ascii="宋体" w:hAnsi="宋体"/>
          <w:color w:val="auto"/>
          <w:sz w:val="36"/>
          <w:szCs w:val="36"/>
          <w:highlight w:val="none"/>
        </w:rPr>
      </w:pPr>
    </w:p>
    <w:p w14:paraId="1797D9E7">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26FC4A49">
      <w:pPr>
        <w:pStyle w:val="21"/>
        <w:ind w:left="101" w:leftChars="48" w:firstLine="2570" w:firstLineChars="800"/>
        <w:jc w:val="left"/>
        <w:rPr>
          <w:rFonts w:hAnsi="宋体"/>
          <w:color w:val="auto"/>
          <w:szCs w:val="28"/>
          <w:highlight w:val="none"/>
          <w:u w:val="single"/>
        </w:rPr>
      </w:pPr>
    </w:p>
    <w:p w14:paraId="422359AE">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14:paraId="191336BF">
      <w:pPr>
        <w:snapToGrid w:val="0"/>
        <w:rPr>
          <w:rFonts w:hint="eastAsia" w:ascii="宋体" w:hAnsi="宋体" w:cs="宋体"/>
          <w:b/>
          <w:bCs/>
          <w:color w:val="auto"/>
          <w:sz w:val="24"/>
          <w:highlight w:val="none"/>
        </w:rPr>
      </w:pPr>
      <w:r>
        <w:rPr>
          <w:rStyle w:val="99"/>
          <w:rFonts w:hAnsi="宋体"/>
          <w:color w:val="auto"/>
          <w:szCs w:val="21"/>
          <w:highlight w:val="none"/>
        </w:rPr>
        <w:br w:type="page"/>
      </w:r>
      <w:r>
        <w:rPr>
          <w:rFonts w:hint="eastAsia" w:ascii="宋体" w:hAnsi="宋体" w:cs="宋体"/>
          <w:color w:val="auto"/>
          <w:sz w:val="24"/>
          <w:highlight w:val="none"/>
        </w:rPr>
        <w:t xml:space="preserve">附件一：         </w:t>
      </w:r>
      <w:r>
        <w:rPr>
          <w:rFonts w:hint="eastAsia" w:ascii="宋体" w:hAnsi="宋体" w:cs="宋体"/>
          <w:b/>
          <w:bCs/>
          <w:color w:val="auto"/>
          <w:sz w:val="24"/>
          <w:highlight w:val="none"/>
        </w:rPr>
        <w:t xml:space="preserve"> </w:t>
      </w:r>
    </w:p>
    <w:p w14:paraId="05A123E0">
      <w:pPr>
        <w:snapToGrid w:val="0"/>
        <w:spacing w:before="50" w:after="50" w:line="440" w:lineRule="exact"/>
        <w:jc w:val="center"/>
        <w:rPr>
          <w:rFonts w:ascii="宋体" w:hAnsi="宋体"/>
          <w:b/>
          <w:color w:val="auto"/>
          <w:sz w:val="24"/>
          <w:highlight w:val="none"/>
        </w:rPr>
      </w:pPr>
      <w:r>
        <w:rPr>
          <w:rFonts w:hint="eastAsia" w:ascii="宋体" w:hAnsi="宋体"/>
          <w:b/>
          <w:color w:val="auto"/>
          <w:sz w:val="24"/>
          <w:highlight w:val="none"/>
        </w:rPr>
        <w:t>（一）开标一览表</w:t>
      </w:r>
    </w:p>
    <w:p w14:paraId="6860C2A5">
      <w:pPr>
        <w:pStyle w:val="15"/>
        <w:spacing w:line="360" w:lineRule="auto"/>
        <w:ind w:firstLine="0"/>
        <w:rPr>
          <w:color w:val="auto"/>
          <w:szCs w:val="21"/>
          <w:highlight w:val="none"/>
        </w:rPr>
      </w:pPr>
    </w:p>
    <w:p w14:paraId="7B4E61F6">
      <w:pPr>
        <w:pStyle w:val="15"/>
        <w:spacing w:line="360" w:lineRule="auto"/>
        <w:ind w:firstLine="0"/>
        <w:rPr>
          <w:color w:val="auto"/>
          <w:szCs w:val="21"/>
          <w:highlight w:val="none"/>
        </w:rPr>
      </w:pPr>
      <w:r>
        <w:rPr>
          <w:rFonts w:hint="eastAsia"/>
          <w:color w:val="auto"/>
          <w:szCs w:val="21"/>
          <w:highlight w:val="none"/>
        </w:rPr>
        <w:t>项目名称：</w:t>
      </w:r>
      <w:r>
        <w:rPr>
          <w:color w:val="auto"/>
          <w:szCs w:val="21"/>
          <w:highlight w:val="none"/>
        </w:rPr>
        <w:t xml:space="preserve"> </w:t>
      </w:r>
    </w:p>
    <w:p w14:paraId="45071E23">
      <w:pPr>
        <w:pStyle w:val="15"/>
        <w:spacing w:line="360" w:lineRule="auto"/>
        <w:ind w:firstLine="0"/>
        <w:rPr>
          <w:rFonts w:hAnsi="宋体"/>
          <w:color w:val="auto"/>
          <w:highlight w:val="none"/>
        </w:rPr>
      </w:pPr>
      <w:r>
        <w:rPr>
          <w:rFonts w:hint="eastAsia"/>
          <w:color w:val="auto"/>
          <w:szCs w:val="21"/>
          <w:highlight w:val="none"/>
        </w:rPr>
        <w:t>招标编号：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37"/>
        <w:gridCol w:w="1695"/>
        <w:gridCol w:w="3765"/>
      </w:tblGrid>
      <w:tr w14:paraId="2C24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0" w:type="dxa"/>
            <w:noWrap w:val="0"/>
            <w:vAlign w:val="center"/>
          </w:tcPr>
          <w:p w14:paraId="74BACCB6">
            <w:pPr>
              <w:pStyle w:val="15"/>
              <w:widowControl/>
              <w:spacing w:line="400" w:lineRule="exact"/>
              <w:ind w:firstLine="0"/>
              <w:jc w:val="center"/>
              <w:rPr>
                <w:rFonts w:ascii="宋体" w:cs="宋体"/>
                <w:color w:val="auto"/>
                <w:sz w:val="24"/>
                <w:szCs w:val="24"/>
                <w:highlight w:val="none"/>
                <w:lang w:val="zh-CN"/>
              </w:rPr>
            </w:pPr>
            <w:r>
              <w:rPr>
                <w:rFonts w:hint="eastAsia" w:hAnsi="宋体"/>
                <w:b/>
                <w:bCs/>
                <w:color w:val="auto"/>
                <w:sz w:val="24"/>
                <w:szCs w:val="24"/>
                <w:highlight w:val="none"/>
              </w:rPr>
              <w:t>序号</w:t>
            </w:r>
          </w:p>
        </w:tc>
        <w:tc>
          <w:tcPr>
            <w:tcW w:w="2437" w:type="dxa"/>
            <w:noWrap w:val="0"/>
            <w:vAlign w:val="center"/>
          </w:tcPr>
          <w:p w14:paraId="156FD579">
            <w:pPr>
              <w:pStyle w:val="15"/>
              <w:widowControl/>
              <w:spacing w:line="400" w:lineRule="exact"/>
              <w:rPr>
                <w:rFonts w:ascii="宋体" w:cs="宋体"/>
                <w:color w:val="auto"/>
                <w:sz w:val="24"/>
                <w:szCs w:val="24"/>
                <w:highlight w:val="none"/>
              </w:rPr>
            </w:pPr>
            <w:r>
              <w:rPr>
                <w:rFonts w:hint="eastAsia" w:hAnsi="宋体"/>
                <w:b/>
                <w:bCs/>
                <w:color w:val="auto"/>
                <w:sz w:val="24"/>
                <w:szCs w:val="24"/>
                <w:highlight w:val="none"/>
              </w:rPr>
              <w:t>项目名称</w:t>
            </w:r>
          </w:p>
        </w:tc>
        <w:tc>
          <w:tcPr>
            <w:tcW w:w="1695" w:type="dxa"/>
            <w:noWrap w:val="0"/>
            <w:vAlign w:val="center"/>
          </w:tcPr>
          <w:p w14:paraId="0C433752">
            <w:pPr>
              <w:pStyle w:val="15"/>
              <w:widowControl/>
              <w:spacing w:line="400" w:lineRule="exact"/>
              <w:ind w:firstLine="0"/>
              <w:jc w:val="center"/>
              <w:rPr>
                <w:rFonts w:hint="eastAsia" w:ascii="宋体" w:eastAsia="宋体" w:cs="宋体"/>
                <w:color w:val="auto"/>
                <w:sz w:val="24"/>
                <w:szCs w:val="24"/>
                <w:highlight w:val="none"/>
                <w:lang w:val="zh-CN" w:eastAsia="zh-CN"/>
              </w:rPr>
            </w:pPr>
            <w:r>
              <w:rPr>
                <w:rFonts w:hint="eastAsia" w:hAnsi="宋体"/>
                <w:b/>
                <w:bCs/>
                <w:color w:val="auto"/>
                <w:sz w:val="24"/>
                <w:szCs w:val="24"/>
                <w:highlight w:val="none"/>
                <w:lang w:val="en-US" w:eastAsia="zh-CN"/>
              </w:rPr>
              <w:t>供货期</w:t>
            </w:r>
          </w:p>
        </w:tc>
        <w:tc>
          <w:tcPr>
            <w:tcW w:w="3765" w:type="dxa"/>
            <w:noWrap w:val="0"/>
            <w:vAlign w:val="center"/>
          </w:tcPr>
          <w:p w14:paraId="3A81EAEB">
            <w:pPr>
              <w:pStyle w:val="15"/>
              <w:widowControl/>
              <w:spacing w:line="400" w:lineRule="exact"/>
              <w:ind w:firstLine="0"/>
              <w:jc w:val="center"/>
              <w:rPr>
                <w:rFonts w:hint="eastAsia" w:ascii="宋体" w:hAnsi="宋体" w:cs="宋体"/>
                <w:color w:val="auto"/>
                <w:sz w:val="24"/>
                <w:szCs w:val="24"/>
                <w:highlight w:val="none"/>
              </w:rPr>
            </w:pPr>
            <w:r>
              <w:rPr>
                <w:rFonts w:hint="eastAsia" w:hAnsi="宋体"/>
                <w:b/>
                <w:bCs/>
                <w:color w:val="auto"/>
                <w:sz w:val="24"/>
                <w:szCs w:val="24"/>
                <w:highlight w:val="none"/>
              </w:rPr>
              <w:t>投标总价（人民币：元）</w:t>
            </w:r>
          </w:p>
        </w:tc>
      </w:tr>
      <w:tr w14:paraId="7DA3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050" w:type="dxa"/>
            <w:noWrap w:val="0"/>
            <w:vAlign w:val="center"/>
          </w:tcPr>
          <w:p w14:paraId="4D627424">
            <w:pPr>
              <w:jc w:val="center"/>
              <w:rPr>
                <w:rFonts w:ascii="宋体" w:cs="宋体"/>
                <w:color w:val="auto"/>
                <w:sz w:val="24"/>
                <w:highlight w:val="none"/>
                <w:u w:val="single"/>
              </w:rPr>
            </w:pPr>
            <w:r>
              <w:rPr>
                <w:rFonts w:hint="eastAsia" w:ascii="宋体" w:hAnsi="宋体"/>
                <w:color w:val="auto"/>
                <w:sz w:val="24"/>
                <w:highlight w:val="none"/>
              </w:rPr>
              <w:t>1</w:t>
            </w:r>
          </w:p>
        </w:tc>
        <w:tc>
          <w:tcPr>
            <w:tcW w:w="2437" w:type="dxa"/>
            <w:noWrap w:val="0"/>
            <w:vAlign w:val="center"/>
          </w:tcPr>
          <w:p w14:paraId="6461F209">
            <w:pPr>
              <w:jc w:val="center"/>
              <w:rPr>
                <w:rFonts w:ascii="宋体" w:hAnsi="宋体" w:cs="宋体"/>
                <w:color w:val="auto"/>
                <w:sz w:val="24"/>
                <w:highlight w:val="none"/>
              </w:rPr>
            </w:pPr>
            <w:r>
              <w:rPr>
                <w:rFonts w:hint="eastAsia" w:ascii="Times New Roman" w:hAnsi="Times New Roman" w:eastAsia="宋体" w:cs="Times New Roman"/>
                <w:color w:val="auto"/>
                <w:kern w:val="2"/>
                <w:sz w:val="21"/>
                <w:szCs w:val="21"/>
                <w:highlight w:val="none"/>
                <w:lang w:val="en-US" w:eastAsia="zh-CN" w:bidi="ar-SA"/>
              </w:rPr>
              <w:t xml:space="preserve"> </w:t>
            </w:r>
          </w:p>
        </w:tc>
        <w:tc>
          <w:tcPr>
            <w:tcW w:w="1695" w:type="dxa"/>
            <w:noWrap w:val="0"/>
            <w:vAlign w:val="center"/>
          </w:tcPr>
          <w:p w14:paraId="1E5A3671">
            <w:pPr>
              <w:pStyle w:val="15"/>
              <w:widowControl/>
              <w:spacing w:line="240" w:lineRule="auto"/>
              <w:ind w:left="420" w:leftChars="200" w:firstLine="0"/>
              <w:jc w:val="center"/>
              <w:rPr>
                <w:rFonts w:ascii="宋体" w:hAnsi="宋体" w:cs="宋体"/>
                <w:color w:val="auto"/>
                <w:sz w:val="24"/>
                <w:szCs w:val="24"/>
                <w:highlight w:val="none"/>
              </w:rPr>
            </w:pPr>
          </w:p>
        </w:tc>
        <w:tc>
          <w:tcPr>
            <w:tcW w:w="3765" w:type="dxa"/>
            <w:noWrap w:val="0"/>
            <w:vAlign w:val="center"/>
          </w:tcPr>
          <w:p w14:paraId="24A7CD89">
            <w:pPr>
              <w:pStyle w:val="15"/>
              <w:widowControl/>
              <w:spacing w:line="400" w:lineRule="exact"/>
              <w:ind w:firstLine="0"/>
              <w:rPr>
                <w:rFonts w:hint="default" w:hAnsi="宋体" w:eastAsia="宋体"/>
                <w:color w:val="auto"/>
                <w:sz w:val="24"/>
                <w:szCs w:val="24"/>
                <w:highlight w:val="none"/>
                <w:u w:val="single"/>
                <w:lang w:val="en-US" w:eastAsia="zh-CN"/>
              </w:rPr>
            </w:pPr>
            <w:r>
              <w:rPr>
                <w:rFonts w:hint="eastAsia" w:hAnsi="宋体"/>
                <w:color w:val="auto"/>
                <w:sz w:val="24"/>
                <w:szCs w:val="24"/>
                <w:highlight w:val="none"/>
              </w:rPr>
              <w:t>小写：</w:t>
            </w:r>
            <w:r>
              <w:rPr>
                <w:rFonts w:hint="eastAsia" w:hAnsi="宋体"/>
                <w:color w:val="auto"/>
                <w:sz w:val="24"/>
                <w:szCs w:val="24"/>
                <w:highlight w:val="none"/>
                <w:u w:val="single"/>
                <w:lang w:val="en-US" w:eastAsia="zh-CN"/>
              </w:rPr>
              <w:t xml:space="preserve">          </w:t>
            </w:r>
          </w:p>
          <w:p w14:paraId="7F8800D7">
            <w:pPr>
              <w:pStyle w:val="15"/>
              <w:widowControl/>
              <w:spacing w:line="400" w:lineRule="exact"/>
              <w:ind w:firstLine="0"/>
              <w:rPr>
                <w:rFonts w:hint="eastAsia" w:eastAsia="宋体"/>
                <w:color w:val="auto"/>
                <w:highlight w:val="none"/>
                <w:lang w:val="en-US" w:eastAsia="zh-CN"/>
              </w:rPr>
            </w:pPr>
            <w:r>
              <w:rPr>
                <w:rFonts w:hint="eastAsia" w:hAnsi="宋体"/>
                <w:color w:val="auto"/>
                <w:sz w:val="24"/>
                <w:szCs w:val="24"/>
                <w:highlight w:val="none"/>
              </w:rPr>
              <w:t>大写：</w:t>
            </w:r>
            <w:r>
              <w:rPr>
                <w:rFonts w:hint="eastAsia" w:hAnsi="宋体"/>
                <w:color w:val="auto"/>
                <w:sz w:val="24"/>
                <w:szCs w:val="24"/>
                <w:highlight w:val="none"/>
                <w:u w:val="single"/>
                <w:lang w:val="en-US" w:eastAsia="zh-CN"/>
              </w:rPr>
              <w:t xml:space="preserve">          </w:t>
            </w:r>
          </w:p>
        </w:tc>
      </w:tr>
      <w:tr w14:paraId="428F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050" w:type="dxa"/>
            <w:noWrap w:val="0"/>
            <w:vAlign w:val="center"/>
          </w:tcPr>
          <w:p w14:paraId="68419032">
            <w:pPr>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投标声明</w:t>
            </w:r>
          </w:p>
        </w:tc>
        <w:tc>
          <w:tcPr>
            <w:tcW w:w="7897" w:type="dxa"/>
            <w:gridSpan w:val="3"/>
            <w:noWrap w:val="0"/>
            <w:vAlign w:val="center"/>
          </w:tcPr>
          <w:p w14:paraId="531A8339">
            <w:pPr>
              <w:snapToGrid w:val="0"/>
              <w:spacing w:before="50" w:after="50" w:line="360" w:lineRule="auto"/>
              <w:rPr>
                <w:rFonts w:hint="eastAsia" w:ascii="宋体" w:hAnsi="宋体" w:cs="宋体"/>
                <w:color w:val="auto"/>
                <w:sz w:val="24"/>
                <w:highlight w:val="none"/>
              </w:rPr>
            </w:pPr>
          </w:p>
        </w:tc>
      </w:tr>
    </w:tbl>
    <w:p w14:paraId="47140507">
      <w:pPr>
        <w:pStyle w:val="15"/>
        <w:spacing w:line="360" w:lineRule="auto"/>
        <w:ind w:firstLine="0"/>
        <w:rPr>
          <w:color w:val="auto"/>
          <w:sz w:val="24"/>
          <w:szCs w:val="24"/>
          <w:highlight w:val="none"/>
        </w:rPr>
      </w:pPr>
    </w:p>
    <w:p w14:paraId="5D6CF7EB">
      <w:pPr>
        <w:snapToGrid w:val="0"/>
        <w:spacing w:before="50" w:after="50"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注：1、本表“投标总价”应与“分项报价表”中“合计”一致。</w:t>
      </w:r>
    </w:p>
    <w:p w14:paraId="10A5C0FA">
      <w:pPr>
        <w:snapToGrid w:val="0"/>
        <w:spacing w:before="50" w:after="50" w:line="440" w:lineRule="exact"/>
        <w:ind w:firstLine="840" w:firstLineChars="400"/>
        <w:jc w:val="left"/>
        <w:rPr>
          <w:rFonts w:hint="eastAsia" w:ascii="宋体" w:hAnsi="宋体" w:cs="宋体"/>
          <w:color w:val="auto"/>
          <w:szCs w:val="21"/>
          <w:highlight w:val="none"/>
        </w:rPr>
      </w:pPr>
      <w:r>
        <w:rPr>
          <w:rFonts w:hint="eastAsia" w:ascii="宋体" w:hAnsi="宋体" w:cs="宋体"/>
          <w:color w:val="auto"/>
          <w:szCs w:val="21"/>
          <w:highlight w:val="none"/>
        </w:rPr>
        <w:t>2、投标总价指</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中所规定的完成本项所需的全部费用的总报价。</w:t>
      </w:r>
    </w:p>
    <w:p w14:paraId="50D612C5">
      <w:pPr>
        <w:snapToGrid w:val="0"/>
        <w:spacing w:before="50" w:after="50" w:line="440" w:lineRule="exact"/>
        <w:ind w:firstLine="840" w:firstLineChars="400"/>
        <w:jc w:val="left"/>
        <w:rPr>
          <w:rFonts w:hint="eastAsia" w:ascii="宋体" w:hAnsi="宋体" w:cs="宋体"/>
          <w:color w:val="auto"/>
          <w:szCs w:val="21"/>
          <w:highlight w:val="none"/>
        </w:rPr>
      </w:pPr>
      <w:r>
        <w:rPr>
          <w:rFonts w:hint="eastAsia" w:ascii="宋体" w:hAnsi="宋体" w:cs="宋体"/>
          <w:color w:val="auto"/>
          <w:szCs w:val="21"/>
          <w:highlight w:val="none"/>
        </w:rPr>
        <w:t>3、报价如涂改，应在涂改处加盖单位公章或者由法定代表人或授权委托人签字或盖章，否则其投标作无效标处理。</w:t>
      </w:r>
    </w:p>
    <w:p w14:paraId="053BB826">
      <w:pPr>
        <w:snapToGrid w:val="0"/>
        <w:spacing w:before="50" w:after="50"/>
        <w:ind w:leftChars="-95" w:hanging="199" w:hangingChars="95"/>
        <w:rPr>
          <w:rFonts w:hint="eastAsia" w:ascii="宋体" w:hAnsi="宋体" w:cs="宋体"/>
          <w:color w:val="auto"/>
          <w:szCs w:val="21"/>
          <w:highlight w:val="none"/>
        </w:rPr>
      </w:pPr>
    </w:p>
    <w:p w14:paraId="26426F0C">
      <w:pPr>
        <w:snapToGrid w:val="0"/>
        <w:spacing w:before="50" w:after="50"/>
        <w:ind w:leftChars="-95" w:hanging="199" w:hangingChars="95"/>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C1B60E8">
      <w:pPr>
        <w:snapToGrid w:val="0"/>
        <w:spacing w:before="50" w:after="50"/>
        <w:ind w:leftChars="-95" w:hanging="199" w:hangingChars="95"/>
        <w:jc w:val="center"/>
        <w:rPr>
          <w:rFonts w:hint="eastAsia" w:ascii="宋体" w:hAnsi="宋体" w:cs="宋体"/>
          <w:color w:val="auto"/>
          <w:szCs w:val="21"/>
          <w:highlight w:val="none"/>
        </w:rPr>
      </w:pPr>
    </w:p>
    <w:p w14:paraId="110EBAA7">
      <w:pPr>
        <w:snapToGrid w:val="0"/>
        <w:spacing w:before="50" w:after="50"/>
        <w:ind w:leftChars="-95" w:hanging="199" w:hangingChars="95"/>
        <w:jc w:val="center"/>
        <w:rPr>
          <w:rFonts w:hint="eastAsia" w:ascii="宋体" w:hAnsi="宋体" w:cs="宋体"/>
          <w:color w:val="auto"/>
          <w:szCs w:val="21"/>
          <w:highlight w:val="none"/>
        </w:rPr>
      </w:pPr>
    </w:p>
    <w:p w14:paraId="65B52761">
      <w:pPr>
        <w:snapToGrid w:val="0"/>
        <w:spacing w:before="50" w:after="50"/>
        <w:ind w:leftChars="-95" w:hanging="199" w:hangingChars="95"/>
        <w:jc w:val="center"/>
        <w:rPr>
          <w:rFonts w:hint="eastAsia" w:ascii="宋体" w:hAnsi="宋体" w:cs="宋体"/>
          <w:color w:val="auto"/>
          <w:sz w:val="24"/>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 w:val="24"/>
          <w:highlight w:val="none"/>
        </w:rPr>
        <w:t>供应商（盖章）：</w:t>
      </w:r>
    </w:p>
    <w:p w14:paraId="69DEF844">
      <w:pPr>
        <w:snapToGrid w:val="0"/>
        <w:spacing w:before="50" w:after="50"/>
        <w:ind w:left="29" w:leftChars="-95" w:hanging="228" w:hangingChars="95"/>
        <w:jc w:val="right"/>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法定代表人或授权代表（签字或盖章）：                   </w:t>
      </w:r>
    </w:p>
    <w:p w14:paraId="1F47E858">
      <w:pPr>
        <w:snapToGrid w:val="0"/>
        <w:spacing w:before="50" w:after="50"/>
        <w:ind w:left="-3" w:leftChars="-72" w:right="-817" w:rightChars="-389" w:hanging="148" w:hangingChars="62"/>
        <w:jc w:val="lef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    年   月   日</w:t>
      </w:r>
    </w:p>
    <w:p w14:paraId="50EAAE48">
      <w:pPr>
        <w:pStyle w:val="20"/>
        <w:snapToGrid w:val="0"/>
        <w:spacing w:before="295" w:beforeLines="0" w:after="295" w:afterLines="0" w:line="240" w:lineRule="auto"/>
        <w:rPr>
          <w:rFonts w:hint="eastAsia" w:hAnsi="宋体" w:cs="宋体"/>
          <w:color w:val="auto"/>
          <w:highlight w:val="none"/>
        </w:rPr>
      </w:pPr>
    </w:p>
    <w:p w14:paraId="376FDD89">
      <w:pPr>
        <w:pStyle w:val="20"/>
        <w:snapToGrid w:val="0"/>
        <w:spacing w:before="295" w:beforeLines="0" w:after="295" w:afterLines="0" w:line="240" w:lineRule="auto"/>
        <w:rPr>
          <w:rFonts w:hint="eastAsia" w:hAnsi="宋体" w:cs="宋体"/>
          <w:color w:val="auto"/>
          <w:highlight w:val="none"/>
        </w:rPr>
      </w:pPr>
    </w:p>
    <w:p w14:paraId="0B9DEFE3">
      <w:pPr>
        <w:rPr>
          <w:rFonts w:hint="eastAsia" w:hAnsi="宋体" w:cs="宋体"/>
          <w:color w:val="auto"/>
          <w:highlight w:val="none"/>
        </w:rPr>
      </w:pPr>
    </w:p>
    <w:p w14:paraId="59D29BF7">
      <w:pPr>
        <w:pStyle w:val="3"/>
        <w:rPr>
          <w:rFonts w:hint="eastAsia" w:hAnsi="宋体" w:cs="宋体"/>
          <w:color w:val="auto"/>
          <w:highlight w:val="none"/>
        </w:rPr>
      </w:pPr>
    </w:p>
    <w:p w14:paraId="78057D68">
      <w:pPr>
        <w:rPr>
          <w:rFonts w:hint="eastAsia"/>
        </w:rPr>
      </w:pPr>
    </w:p>
    <w:p w14:paraId="657FBFAA">
      <w:pPr>
        <w:rPr>
          <w:rFonts w:hint="eastAsia" w:hAnsi="宋体" w:cs="宋体"/>
          <w:color w:val="auto"/>
          <w:highlight w:val="none"/>
        </w:rPr>
      </w:pPr>
    </w:p>
    <w:p w14:paraId="2E74C81F">
      <w:pPr>
        <w:autoSpaceDE w:val="0"/>
        <w:autoSpaceDN w:val="0"/>
        <w:adjustRightInd w:val="0"/>
        <w:spacing w:line="400" w:lineRule="exact"/>
        <w:jc w:val="both"/>
        <w:outlineLvl w:val="0"/>
        <w:rPr>
          <w:rFonts w:hint="eastAsia" w:ascii="宋体" w:hAnsi="宋体"/>
          <w:b/>
          <w:color w:val="auto"/>
          <w:sz w:val="24"/>
          <w:highlight w:val="none"/>
          <w:lang w:val="en-US" w:eastAsia="zh-CN"/>
        </w:rPr>
      </w:pPr>
      <w:r>
        <w:rPr>
          <w:rFonts w:hint="eastAsia" w:ascii="宋体" w:hAnsi="宋体" w:eastAsia="宋体" w:cs="宋体"/>
          <w:color w:val="auto"/>
          <w:sz w:val="24"/>
          <w:highlight w:val="none"/>
          <w:lang w:val="en-US" w:eastAsia="zh-CN"/>
        </w:rPr>
        <w:t xml:space="preserve">附件二：  </w:t>
      </w:r>
      <w:r>
        <w:rPr>
          <w:rFonts w:hint="eastAsia" w:ascii="宋体" w:hAnsi="宋体"/>
          <w:b/>
          <w:color w:val="auto"/>
          <w:sz w:val="24"/>
          <w:highlight w:val="none"/>
          <w:lang w:val="en-US" w:eastAsia="zh-CN"/>
        </w:rPr>
        <w:t xml:space="preserve">                  </w:t>
      </w:r>
    </w:p>
    <w:p w14:paraId="67E31010">
      <w:pPr>
        <w:autoSpaceDE w:val="0"/>
        <w:autoSpaceDN w:val="0"/>
        <w:adjustRightInd w:val="0"/>
        <w:spacing w:line="400" w:lineRule="exact"/>
        <w:ind w:firstLine="3373" w:firstLineChars="1400"/>
        <w:jc w:val="both"/>
        <w:outlineLvl w:val="0"/>
        <w:rPr>
          <w:rFonts w:ascii="宋体" w:hAnsi="宋体"/>
          <w:b/>
          <w:color w:val="auto"/>
          <w:szCs w:val="21"/>
          <w:highlight w:val="none"/>
        </w:rPr>
      </w:pPr>
      <w:r>
        <w:rPr>
          <w:rFonts w:hint="eastAsia" w:ascii="宋体" w:hAnsi="宋体"/>
          <w:b/>
          <w:color w:val="auto"/>
          <w:sz w:val="24"/>
          <w:highlight w:val="none"/>
        </w:rPr>
        <w:t>（二）分项报价表</w:t>
      </w:r>
    </w:p>
    <w:p w14:paraId="2563E2CA">
      <w:pPr>
        <w:pStyle w:val="15"/>
        <w:spacing w:line="360" w:lineRule="auto"/>
        <w:ind w:firstLine="0"/>
        <w:rPr>
          <w:rFonts w:hint="eastAsia"/>
          <w:color w:val="auto"/>
          <w:szCs w:val="21"/>
          <w:highlight w:val="none"/>
        </w:rPr>
      </w:pPr>
      <w:bookmarkStart w:id="95" w:name="_Toc443468296"/>
      <w:bookmarkEnd w:id="95"/>
    </w:p>
    <w:p w14:paraId="0BB96093">
      <w:pPr>
        <w:pStyle w:val="15"/>
        <w:spacing w:line="360" w:lineRule="auto"/>
        <w:ind w:firstLine="0"/>
        <w:rPr>
          <w:color w:val="auto"/>
          <w:szCs w:val="21"/>
          <w:highlight w:val="none"/>
        </w:rPr>
      </w:pPr>
      <w:r>
        <w:rPr>
          <w:rFonts w:hint="eastAsia"/>
          <w:color w:val="auto"/>
          <w:szCs w:val="21"/>
          <w:highlight w:val="none"/>
        </w:rPr>
        <w:t>项目名称：</w:t>
      </w:r>
      <w:r>
        <w:rPr>
          <w:color w:val="auto"/>
          <w:szCs w:val="21"/>
          <w:highlight w:val="none"/>
        </w:rPr>
        <w:t xml:space="preserve"> </w:t>
      </w:r>
    </w:p>
    <w:p w14:paraId="4230EC22">
      <w:pPr>
        <w:pStyle w:val="15"/>
        <w:spacing w:line="360" w:lineRule="auto"/>
        <w:ind w:firstLine="0"/>
        <w:rPr>
          <w:color w:val="auto"/>
          <w:sz w:val="21"/>
          <w:szCs w:val="21"/>
          <w:highlight w:val="none"/>
        </w:rPr>
      </w:pPr>
      <w:r>
        <w:rPr>
          <w:rFonts w:hint="eastAsia"/>
          <w:color w:val="auto"/>
          <w:szCs w:val="21"/>
          <w:highlight w:val="none"/>
        </w:rPr>
        <w:t>招标编号：</w:t>
      </w:r>
      <w:r>
        <w:rPr>
          <w:color w:val="auto"/>
          <w:sz w:val="21"/>
          <w:szCs w:val="21"/>
          <w:highlight w:val="none"/>
        </w:rPr>
        <w:t xml:space="preserve">                                    </w:t>
      </w:r>
      <w:r>
        <w:rPr>
          <w:rFonts w:hint="eastAsia"/>
          <w:color w:val="auto"/>
          <w:sz w:val="21"/>
          <w:szCs w:val="21"/>
          <w:highlight w:val="none"/>
        </w:rPr>
        <w:t>金额单位：人民币（元）</w:t>
      </w:r>
    </w:p>
    <w:tbl>
      <w:tblPr>
        <w:tblStyle w:val="37"/>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057"/>
        <w:gridCol w:w="1643"/>
        <w:gridCol w:w="720"/>
        <w:gridCol w:w="1080"/>
        <w:gridCol w:w="1094"/>
        <w:gridCol w:w="992"/>
        <w:gridCol w:w="2268"/>
      </w:tblGrid>
      <w:tr w14:paraId="203B8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740474C">
            <w:pPr>
              <w:spacing w:line="400" w:lineRule="exact"/>
              <w:jc w:val="center"/>
              <w:rPr>
                <w:rFonts w:hint="eastAsia" w:ascii="宋体" w:hAnsi="宋体"/>
                <w:szCs w:val="21"/>
                <w:highlight w:val="none"/>
              </w:rPr>
            </w:pPr>
            <w:r>
              <w:rPr>
                <w:rFonts w:hint="eastAsia" w:ascii="宋体" w:hAnsi="宋体"/>
                <w:szCs w:val="21"/>
                <w:highlight w:val="none"/>
              </w:rPr>
              <w:t>子包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12502DE">
            <w:pPr>
              <w:spacing w:line="400" w:lineRule="exact"/>
              <w:jc w:val="center"/>
              <w:rPr>
                <w:rFonts w:hint="eastAsia" w:ascii="宋体" w:hAnsi="宋体"/>
                <w:szCs w:val="21"/>
                <w:highlight w:val="none"/>
              </w:rPr>
            </w:pPr>
            <w:r>
              <w:rPr>
                <w:rFonts w:hint="eastAsia" w:ascii="宋体" w:hAnsi="宋体"/>
                <w:szCs w:val="21"/>
                <w:highlight w:val="none"/>
              </w:rPr>
              <w:t>分项序号</w:t>
            </w:r>
          </w:p>
        </w:tc>
        <w:tc>
          <w:tcPr>
            <w:tcW w:w="1643" w:type="dxa"/>
            <w:tcBorders>
              <w:top w:val="single" w:color="auto" w:sz="4" w:space="0"/>
              <w:left w:val="single" w:color="auto" w:sz="4" w:space="0"/>
              <w:bottom w:val="single" w:color="auto" w:sz="4" w:space="0"/>
              <w:right w:val="single" w:color="auto" w:sz="4" w:space="0"/>
            </w:tcBorders>
            <w:noWrap w:val="0"/>
            <w:vAlign w:val="center"/>
          </w:tcPr>
          <w:p w14:paraId="6800BE22">
            <w:pPr>
              <w:spacing w:line="400" w:lineRule="exact"/>
              <w:jc w:val="center"/>
              <w:rPr>
                <w:rFonts w:hint="eastAsia" w:ascii="宋体" w:hAnsi="宋体"/>
                <w:szCs w:val="21"/>
                <w:highlight w:val="none"/>
              </w:rPr>
            </w:pPr>
            <w:r>
              <w:rPr>
                <w:rFonts w:hint="eastAsia" w:ascii="宋体" w:hAnsi="宋体"/>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8A6779F">
            <w:pPr>
              <w:spacing w:line="400" w:lineRule="exact"/>
              <w:jc w:val="center"/>
              <w:rPr>
                <w:rFonts w:hint="eastAsia" w:ascii="宋体" w:hAnsi="宋体"/>
                <w:szCs w:val="21"/>
                <w:highlight w:val="none"/>
              </w:rPr>
            </w:pPr>
            <w:r>
              <w:rPr>
                <w:rFonts w:hint="eastAsia" w:ascii="宋体" w:hAnsi="宋体"/>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B8294C">
            <w:pPr>
              <w:spacing w:line="400" w:lineRule="exact"/>
              <w:jc w:val="center"/>
              <w:rPr>
                <w:rFonts w:hint="eastAsia" w:ascii="宋体" w:hAnsi="宋体"/>
                <w:szCs w:val="21"/>
                <w:highlight w:val="none"/>
              </w:rPr>
            </w:pPr>
            <w:r>
              <w:rPr>
                <w:rFonts w:hint="eastAsia" w:ascii="宋体" w:hAnsi="宋体"/>
                <w:szCs w:val="21"/>
                <w:highlight w:val="none"/>
              </w:rPr>
              <w:t>产地品牌</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1B44BB54">
            <w:pPr>
              <w:spacing w:line="400" w:lineRule="exact"/>
              <w:jc w:val="center"/>
              <w:rPr>
                <w:rFonts w:hint="eastAsia" w:ascii="宋体" w:hAnsi="宋体"/>
                <w:szCs w:val="21"/>
                <w:highlight w:val="none"/>
              </w:rPr>
            </w:pPr>
            <w:r>
              <w:rPr>
                <w:rFonts w:hint="eastAsia" w:ascii="宋体" w:hAnsi="宋体"/>
                <w:szCs w:val="21"/>
                <w:highlight w:val="none"/>
              </w:rPr>
              <w:t>规格、型号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77243FE">
            <w:pPr>
              <w:spacing w:line="400" w:lineRule="exact"/>
              <w:jc w:val="center"/>
              <w:rPr>
                <w:rFonts w:hint="eastAsia" w:ascii="宋体" w:hAnsi="宋体"/>
                <w:szCs w:val="21"/>
                <w:highlight w:val="none"/>
              </w:rPr>
            </w:pPr>
            <w:r>
              <w:rPr>
                <w:rFonts w:hint="eastAsia" w:ascii="宋体" w:hAnsi="宋体"/>
                <w:szCs w:val="21"/>
                <w:highlight w:val="none"/>
              </w:rPr>
              <w:t>单价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48D442">
            <w:pPr>
              <w:spacing w:line="400" w:lineRule="exact"/>
              <w:jc w:val="center"/>
              <w:rPr>
                <w:rFonts w:hint="eastAsia" w:ascii="宋体" w:hAnsi="宋体"/>
                <w:szCs w:val="21"/>
                <w:highlight w:val="none"/>
              </w:rPr>
            </w:pPr>
            <w:r>
              <w:rPr>
                <w:rFonts w:hint="eastAsia" w:ascii="宋体" w:hAnsi="宋体"/>
                <w:szCs w:val="21"/>
                <w:highlight w:val="none"/>
              </w:rPr>
              <w:t>分项报价</w:t>
            </w:r>
          </w:p>
        </w:tc>
      </w:tr>
      <w:tr w14:paraId="1581D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vMerge w:val="restart"/>
            <w:tcBorders>
              <w:top w:val="single" w:color="auto" w:sz="4" w:space="0"/>
              <w:left w:val="single" w:color="auto" w:sz="4" w:space="0"/>
              <w:right w:val="single" w:color="auto" w:sz="4" w:space="0"/>
            </w:tcBorders>
            <w:noWrap w:val="0"/>
            <w:vAlign w:val="center"/>
          </w:tcPr>
          <w:p w14:paraId="630571F9">
            <w:pPr>
              <w:spacing w:line="40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31220C0">
            <w:pPr>
              <w:spacing w:line="400" w:lineRule="exact"/>
              <w:jc w:val="center"/>
              <w:rPr>
                <w:rFonts w:hint="eastAsia" w:ascii="宋体" w:hAnsi="宋体"/>
                <w:szCs w:val="21"/>
                <w:highlight w:val="none"/>
              </w:rPr>
            </w:pPr>
            <w:r>
              <w:rPr>
                <w:rFonts w:hint="eastAsia" w:ascii="宋体" w:hAnsi="宋体"/>
                <w:szCs w:val="21"/>
                <w:highlight w:val="none"/>
              </w:rPr>
              <w:t>1</w:t>
            </w:r>
          </w:p>
        </w:tc>
        <w:tc>
          <w:tcPr>
            <w:tcW w:w="1643" w:type="dxa"/>
            <w:tcBorders>
              <w:top w:val="single" w:color="auto" w:sz="4" w:space="0"/>
              <w:left w:val="single" w:color="auto" w:sz="4" w:space="0"/>
              <w:bottom w:val="single" w:color="auto" w:sz="4" w:space="0"/>
              <w:right w:val="single" w:color="auto" w:sz="4" w:space="0"/>
            </w:tcBorders>
            <w:noWrap w:val="0"/>
            <w:vAlign w:val="center"/>
          </w:tcPr>
          <w:p w14:paraId="55557D04">
            <w:pPr>
              <w:spacing w:line="400" w:lineRule="exact"/>
              <w:jc w:val="center"/>
              <w:rPr>
                <w:rFonts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185FF16">
            <w:pPr>
              <w:spacing w:line="400" w:lineRule="exact"/>
              <w:jc w:val="center"/>
              <w:rPr>
                <w:rFonts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9CE775">
            <w:pPr>
              <w:spacing w:line="400" w:lineRule="exact"/>
              <w:jc w:val="center"/>
              <w:rPr>
                <w:rFonts w:ascii="宋体" w:hAnsi="宋体"/>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5B41BE80">
            <w:pPr>
              <w:spacing w:line="400" w:lineRule="exact"/>
              <w:jc w:val="center"/>
              <w:rPr>
                <w:rFonts w:ascii="宋体" w:hAnsi="宋体"/>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54726D1">
            <w:pPr>
              <w:spacing w:line="400" w:lineRule="exact"/>
              <w:jc w:val="center"/>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833B57">
            <w:pPr>
              <w:spacing w:line="400" w:lineRule="exact"/>
              <w:jc w:val="center"/>
              <w:rPr>
                <w:rFonts w:hint="eastAsia" w:ascii="宋体" w:hAnsi="宋体"/>
                <w:szCs w:val="21"/>
                <w:highlight w:val="none"/>
              </w:rPr>
            </w:pPr>
          </w:p>
        </w:tc>
      </w:tr>
      <w:tr w14:paraId="0A720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vMerge w:val="continue"/>
            <w:tcBorders>
              <w:left w:val="single" w:color="auto" w:sz="4" w:space="0"/>
              <w:right w:val="single" w:color="auto" w:sz="4" w:space="0"/>
            </w:tcBorders>
            <w:noWrap w:val="0"/>
            <w:vAlign w:val="top"/>
          </w:tcPr>
          <w:p w14:paraId="1539C62D">
            <w:pPr>
              <w:spacing w:line="400" w:lineRule="exact"/>
              <w:rPr>
                <w:rFonts w:hint="eastAsia" w:ascii="宋体" w:hAnsi="宋体"/>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F87FF40">
            <w:pPr>
              <w:spacing w:line="400" w:lineRule="exact"/>
              <w:jc w:val="center"/>
              <w:rPr>
                <w:rFonts w:hint="eastAsia" w:ascii="宋体" w:hAnsi="宋体"/>
                <w:szCs w:val="21"/>
                <w:highlight w:val="none"/>
              </w:rPr>
            </w:pPr>
            <w:r>
              <w:rPr>
                <w:rFonts w:hint="eastAsia" w:ascii="宋体" w:hAnsi="宋体"/>
                <w:szCs w:val="21"/>
                <w:highlight w:val="none"/>
              </w:rPr>
              <w:t>2</w:t>
            </w:r>
          </w:p>
        </w:tc>
        <w:tc>
          <w:tcPr>
            <w:tcW w:w="1643" w:type="dxa"/>
            <w:tcBorders>
              <w:top w:val="single" w:color="auto" w:sz="4" w:space="0"/>
              <w:left w:val="single" w:color="auto" w:sz="4" w:space="0"/>
              <w:bottom w:val="single" w:color="auto" w:sz="4" w:space="0"/>
              <w:right w:val="single" w:color="auto" w:sz="4" w:space="0"/>
            </w:tcBorders>
            <w:noWrap w:val="0"/>
            <w:vAlign w:val="center"/>
          </w:tcPr>
          <w:p w14:paraId="20E39BFA">
            <w:pPr>
              <w:spacing w:line="400" w:lineRule="exact"/>
              <w:jc w:val="center"/>
              <w:rPr>
                <w:rFonts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9D7D569">
            <w:pPr>
              <w:spacing w:line="400" w:lineRule="exact"/>
              <w:jc w:val="center"/>
              <w:rPr>
                <w:rFonts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67A3B">
            <w:pPr>
              <w:spacing w:line="400" w:lineRule="exact"/>
              <w:jc w:val="center"/>
              <w:rPr>
                <w:rFonts w:ascii="宋体" w:hAnsi="宋体"/>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2ED07763">
            <w:pPr>
              <w:spacing w:line="400" w:lineRule="exact"/>
              <w:jc w:val="center"/>
              <w:rPr>
                <w:rFonts w:ascii="宋体" w:hAnsi="宋体"/>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24D6A32">
            <w:pPr>
              <w:spacing w:line="400" w:lineRule="exact"/>
              <w:jc w:val="center"/>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0477A2B">
            <w:pPr>
              <w:spacing w:line="400" w:lineRule="exact"/>
              <w:jc w:val="center"/>
              <w:rPr>
                <w:rFonts w:hint="eastAsia" w:ascii="宋体" w:hAnsi="宋体"/>
                <w:szCs w:val="21"/>
                <w:highlight w:val="none"/>
              </w:rPr>
            </w:pPr>
          </w:p>
        </w:tc>
      </w:tr>
      <w:tr w14:paraId="6391E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vMerge w:val="continue"/>
            <w:tcBorders>
              <w:left w:val="single" w:color="auto" w:sz="4" w:space="0"/>
              <w:right w:val="single" w:color="auto" w:sz="4" w:space="0"/>
            </w:tcBorders>
            <w:noWrap w:val="0"/>
            <w:vAlign w:val="top"/>
          </w:tcPr>
          <w:p w14:paraId="5A5779D1">
            <w:pPr>
              <w:spacing w:line="400" w:lineRule="exact"/>
              <w:rPr>
                <w:rFonts w:hint="eastAsia" w:ascii="宋体" w:hAnsi="宋体"/>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D4B6190">
            <w:pPr>
              <w:spacing w:line="400" w:lineRule="exact"/>
              <w:jc w:val="center"/>
              <w:rPr>
                <w:rFonts w:hint="eastAsia" w:ascii="宋体" w:hAnsi="宋体"/>
                <w:szCs w:val="21"/>
                <w:highlight w:val="none"/>
              </w:rPr>
            </w:pPr>
            <w:r>
              <w:rPr>
                <w:rFonts w:hint="eastAsia" w:ascii="宋体" w:hAnsi="宋体"/>
                <w:szCs w:val="21"/>
                <w:highlight w:val="none"/>
              </w:rPr>
              <w:t>3</w:t>
            </w:r>
          </w:p>
        </w:tc>
        <w:tc>
          <w:tcPr>
            <w:tcW w:w="1643" w:type="dxa"/>
            <w:tcBorders>
              <w:top w:val="single" w:color="auto" w:sz="4" w:space="0"/>
              <w:left w:val="single" w:color="auto" w:sz="4" w:space="0"/>
              <w:bottom w:val="single" w:color="auto" w:sz="4" w:space="0"/>
              <w:right w:val="single" w:color="auto" w:sz="4" w:space="0"/>
            </w:tcBorders>
            <w:noWrap w:val="0"/>
            <w:vAlign w:val="top"/>
          </w:tcPr>
          <w:p w14:paraId="5F09BBB7">
            <w:pPr>
              <w:spacing w:line="400" w:lineRule="exact"/>
              <w:jc w:val="center"/>
              <w:rPr>
                <w:rFonts w:hint="eastAsia"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0B93734">
            <w:pPr>
              <w:spacing w:line="400" w:lineRule="exact"/>
              <w:jc w:val="center"/>
              <w:rPr>
                <w:rFonts w:hint="eastAsia"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2FD5B1E">
            <w:pPr>
              <w:spacing w:line="400" w:lineRule="exact"/>
              <w:jc w:val="center"/>
              <w:rPr>
                <w:rFonts w:hint="eastAsia" w:ascii="宋体" w:hAnsi="宋体"/>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6D6909F7">
            <w:pPr>
              <w:spacing w:line="400" w:lineRule="exact"/>
              <w:jc w:val="center"/>
              <w:rPr>
                <w:rFonts w:hint="eastAsia" w:ascii="宋体" w:hAnsi="宋体"/>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C3F51AD">
            <w:pPr>
              <w:spacing w:line="400" w:lineRule="exact"/>
              <w:jc w:val="center"/>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F343E8E">
            <w:pPr>
              <w:spacing w:line="400" w:lineRule="exact"/>
              <w:jc w:val="center"/>
              <w:rPr>
                <w:rFonts w:hint="eastAsia" w:ascii="宋体" w:hAnsi="宋体"/>
                <w:szCs w:val="21"/>
                <w:highlight w:val="none"/>
              </w:rPr>
            </w:pPr>
          </w:p>
        </w:tc>
      </w:tr>
      <w:tr w14:paraId="12C8C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vMerge w:val="continue"/>
            <w:tcBorders>
              <w:left w:val="single" w:color="auto" w:sz="4" w:space="0"/>
              <w:right w:val="single" w:color="auto" w:sz="4" w:space="0"/>
            </w:tcBorders>
            <w:noWrap w:val="0"/>
            <w:vAlign w:val="top"/>
          </w:tcPr>
          <w:p w14:paraId="5A5AF6FF">
            <w:pPr>
              <w:spacing w:line="400" w:lineRule="exact"/>
              <w:rPr>
                <w:rFonts w:hint="eastAsia" w:ascii="宋体" w:hAnsi="宋体"/>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3A15876">
            <w:pPr>
              <w:spacing w:line="400" w:lineRule="exact"/>
              <w:jc w:val="center"/>
              <w:rPr>
                <w:rFonts w:hint="eastAsia" w:ascii="宋体" w:hAnsi="宋体"/>
                <w:szCs w:val="21"/>
                <w:highlight w:val="none"/>
              </w:rPr>
            </w:pPr>
            <w:r>
              <w:rPr>
                <w:rFonts w:hint="eastAsia" w:ascii="宋体" w:hAnsi="宋体"/>
                <w:szCs w:val="21"/>
                <w:highlight w:val="none"/>
              </w:rPr>
              <w:t>4</w:t>
            </w:r>
          </w:p>
        </w:tc>
        <w:tc>
          <w:tcPr>
            <w:tcW w:w="1643" w:type="dxa"/>
            <w:tcBorders>
              <w:top w:val="single" w:color="auto" w:sz="4" w:space="0"/>
              <w:left w:val="single" w:color="auto" w:sz="4" w:space="0"/>
              <w:bottom w:val="single" w:color="auto" w:sz="4" w:space="0"/>
              <w:right w:val="single" w:color="auto" w:sz="4" w:space="0"/>
            </w:tcBorders>
            <w:noWrap w:val="0"/>
            <w:vAlign w:val="top"/>
          </w:tcPr>
          <w:p w14:paraId="0FA827D0">
            <w:pPr>
              <w:spacing w:line="400" w:lineRule="exact"/>
              <w:jc w:val="center"/>
              <w:rPr>
                <w:rFonts w:hint="eastAsia"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B6718E9">
            <w:pPr>
              <w:spacing w:line="400" w:lineRule="exact"/>
              <w:jc w:val="center"/>
              <w:rPr>
                <w:rFonts w:hint="eastAsia"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CEC6BD">
            <w:pPr>
              <w:spacing w:line="400" w:lineRule="exact"/>
              <w:jc w:val="center"/>
              <w:rPr>
                <w:rFonts w:hint="eastAsia" w:ascii="宋体" w:hAnsi="宋体"/>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28CD776E">
            <w:pPr>
              <w:spacing w:line="400" w:lineRule="exact"/>
              <w:jc w:val="center"/>
              <w:rPr>
                <w:rFonts w:hint="eastAsia" w:ascii="宋体" w:hAnsi="宋体"/>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B1E18EE">
            <w:pPr>
              <w:spacing w:line="400" w:lineRule="exact"/>
              <w:jc w:val="center"/>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D509007">
            <w:pPr>
              <w:spacing w:line="400" w:lineRule="exact"/>
              <w:jc w:val="center"/>
              <w:rPr>
                <w:rFonts w:hint="eastAsia" w:ascii="宋体" w:hAnsi="宋体"/>
                <w:szCs w:val="21"/>
                <w:highlight w:val="none"/>
              </w:rPr>
            </w:pPr>
          </w:p>
        </w:tc>
      </w:tr>
      <w:tr w14:paraId="11264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vMerge w:val="continue"/>
            <w:tcBorders>
              <w:left w:val="single" w:color="auto" w:sz="4" w:space="0"/>
              <w:right w:val="single" w:color="auto" w:sz="4" w:space="0"/>
            </w:tcBorders>
            <w:noWrap w:val="0"/>
            <w:vAlign w:val="top"/>
          </w:tcPr>
          <w:p w14:paraId="37889F92">
            <w:pPr>
              <w:spacing w:line="400" w:lineRule="exact"/>
              <w:rPr>
                <w:rFonts w:hint="eastAsia" w:ascii="宋体" w:hAnsi="宋体"/>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6A4AF9A">
            <w:pPr>
              <w:spacing w:line="400" w:lineRule="exact"/>
              <w:jc w:val="center"/>
              <w:rPr>
                <w:rFonts w:ascii="宋体" w:hAnsi="宋体"/>
                <w:szCs w:val="21"/>
                <w:highlight w:val="none"/>
              </w:rPr>
            </w:pPr>
            <w:r>
              <w:rPr>
                <w:rFonts w:hint="eastAsia" w:ascii="宋体" w:hAnsi="宋体"/>
                <w:szCs w:val="21"/>
                <w:highlight w:val="none"/>
              </w:rPr>
              <w:t>..</w:t>
            </w:r>
          </w:p>
        </w:tc>
        <w:tc>
          <w:tcPr>
            <w:tcW w:w="1643" w:type="dxa"/>
            <w:tcBorders>
              <w:top w:val="single" w:color="auto" w:sz="4" w:space="0"/>
              <w:left w:val="single" w:color="auto" w:sz="4" w:space="0"/>
              <w:bottom w:val="single" w:color="auto" w:sz="4" w:space="0"/>
              <w:right w:val="single" w:color="auto" w:sz="4" w:space="0"/>
            </w:tcBorders>
            <w:noWrap w:val="0"/>
            <w:vAlign w:val="top"/>
          </w:tcPr>
          <w:p w14:paraId="24CF0885">
            <w:pPr>
              <w:spacing w:line="400" w:lineRule="exact"/>
              <w:jc w:val="center"/>
              <w:rPr>
                <w:rFonts w:hint="eastAsia"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A510B58">
            <w:pPr>
              <w:spacing w:line="400" w:lineRule="exact"/>
              <w:jc w:val="center"/>
              <w:rPr>
                <w:rFonts w:hint="eastAsia"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CBB6DC1">
            <w:pPr>
              <w:spacing w:line="400" w:lineRule="exact"/>
              <w:jc w:val="center"/>
              <w:rPr>
                <w:rFonts w:hint="eastAsia" w:ascii="宋体" w:hAnsi="宋体"/>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18FCD723">
            <w:pPr>
              <w:spacing w:line="400" w:lineRule="exact"/>
              <w:jc w:val="center"/>
              <w:rPr>
                <w:rFonts w:hint="eastAsia" w:ascii="宋体" w:hAnsi="宋体"/>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22BB7EC">
            <w:pPr>
              <w:spacing w:line="400" w:lineRule="exact"/>
              <w:jc w:val="center"/>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41AF2C2">
            <w:pPr>
              <w:spacing w:line="400" w:lineRule="exact"/>
              <w:jc w:val="center"/>
              <w:rPr>
                <w:rFonts w:hint="eastAsia" w:ascii="宋体" w:hAnsi="宋体"/>
                <w:szCs w:val="21"/>
                <w:highlight w:val="none"/>
              </w:rPr>
            </w:pPr>
          </w:p>
        </w:tc>
      </w:tr>
      <w:tr w14:paraId="28498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vMerge w:val="continue"/>
            <w:tcBorders>
              <w:left w:val="single" w:color="auto" w:sz="4" w:space="0"/>
              <w:bottom w:val="single" w:color="auto" w:sz="4" w:space="0"/>
              <w:right w:val="single" w:color="auto" w:sz="4" w:space="0"/>
            </w:tcBorders>
            <w:noWrap w:val="0"/>
            <w:vAlign w:val="top"/>
          </w:tcPr>
          <w:p w14:paraId="7580525E">
            <w:pPr>
              <w:spacing w:line="400" w:lineRule="exact"/>
              <w:rPr>
                <w:rFonts w:hint="eastAsia" w:ascii="宋体" w:hAnsi="宋体"/>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9780945">
            <w:pPr>
              <w:spacing w:line="400" w:lineRule="exact"/>
              <w:jc w:val="center"/>
              <w:rPr>
                <w:rFonts w:ascii="宋体" w:hAnsi="宋体"/>
                <w:szCs w:val="21"/>
                <w:highlight w:val="none"/>
              </w:rPr>
            </w:pPr>
            <w:r>
              <w:rPr>
                <w:rFonts w:hint="eastAsia" w:ascii="宋体" w:hAnsi="宋体"/>
                <w:szCs w:val="21"/>
                <w:highlight w:val="none"/>
              </w:rPr>
              <w:t>...</w:t>
            </w:r>
          </w:p>
        </w:tc>
        <w:tc>
          <w:tcPr>
            <w:tcW w:w="1643" w:type="dxa"/>
            <w:tcBorders>
              <w:top w:val="single" w:color="auto" w:sz="4" w:space="0"/>
              <w:left w:val="single" w:color="auto" w:sz="4" w:space="0"/>
              <w:bottom w:val="single" w:color="auto" w:sz="4" w:space="0"/>
              <w:right w:val="single" w:color="auto" w:sz="4" w:space="0"/>
            </w:tcBorders>
            <w:noWrap w:val="0"/>
            <w:vAlign w:val="top"/>
          </w:tcPr>
          <w:p w14:paraId="45AF7A20">
            <w:pPr>
              <w:spacing w:line="400" w:lineRule="exact"/>
              <w:jc w:val="center"/>
              <w:rPr>
                <w:rFonts w:hint="eastAsia"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F6E6D36">
            <w:pPr>
              <w:spacing w:line="400" w:lineRule="exact"/>
              <w:jc w:val="center"/>
              <w:rPr>
                <w:rFonts w:hint="eastAsia"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2FEF65B">
            <w:pPr>
              <w:spacing w:line="400" w:lineRule="exact"/>
              <w:jc w:val="center"/>
              <w:rPr>
                <w:rFonts w:hint="eastAsia" w:ascii="宋体" w:hAnsi="宋体"/>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043053EA">
            <w:pPr>
              <w:spacing w:line="400" w:lineRule="exact"/>
              <w:jc w:val="center"/>
              <w:rPr>
                <w:rFonts w:hint="eastAsia" w:ascii="宋体" w:hAnsi="宋体"/>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EA2E3F3">
            <w:pPr>
              <w:spacing w:line="400" w:lineRule="exact"/>
              <w:jc w:val="center"/>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30614D5">
            <w:pPr>
              <w:spacing w:line="400" w:lineRule="exact"/>
              <w:jc w:val="center"/>
              <w:rPr>
                <w:rFonts w:hint="eastAsia" w:ascii="宋体" w:hAnsi="宋体"/>
                <w:szCs w:val="21"/>
                <w:highlight w:val="none"/>
              </w:rPr>
            </w:pPr>
          </w:p>
        </w:tc>
      </w:tr>
      <w:tr w14:paraId="4BB20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306" w:type="dxa"/>
            <w:gridSpan w:val="7"/>
            <w:tcBorders>
              <w:top w:val="single" w:color="auto" w:sz="4" w:space="0"/>
              <w:left w:val="single" w:color="auto" w:sz="4" w:space="0"/>
              <w:bottom w:val="single" w:color="auto" w:sz="4" w:space="0"/>
              <w:right w:val="single" w:color="auto" w:sz="4" w:space="0"/>
            </w:tcBorders>
            <w:noWrap w:val="0"/>
            <w:vAlign w:val="top"/>
          </w:tcPr>
          <w:p w14:paraId="72D63B3A">
            <w:pPr>
              <w:spacing w:line="400" w:lineRule="exact"/>
              <w:rPr>
                <w:rFonts w:hint="eastAsia" w:ascii="宋体" w:hAnsi="宋体"/>
                <w:szCs w:val="21"/>
                <w:highlight w:val="none"/>
              </w:rPr>
            </w:pPr>
            <w:r>
              <w:rPr>
                <w:rFonts w:hint="eastAsia" w:ascii="宋体" w:hAnsi="宋体"/>
                <w:szCs w:val="21"/>
                <w:highlight w:val="none"/>
              </w:rPr>
              <w:t>总合计价（大写）：</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6C2E49F7">
            <w:pPr>
              <w:spacing w:line="400" w:lineRule="exact"/>
              <w:rPr>
                <w:rFonts w:hint="eastAsia" w:ascii="宋体" w:hAnsi="宋体"/>
                <w:szCs w:val="21"/>
                <w:highlight w:val="none"/>
              </w:rPr>
            </w:pPr>
            <w:r>
              <w:rPr>
                <w:rFonts w:hint="eastAsia" w:ascii="宋体" w:hAnsi="宋体"/>
                <w:szCs w:val="21"/>
                <w:highlight w:val="none"/>
              </w:rPr>
              <w:t>总合计价（小写）：</w:t>
            </w:r>
          </w:p>
        </w:tc>
      </w:tr>
    </w:tbl>
    <w:p w14:paraId="5A79AD27">
      <w:pPr>
        <w:snapToGrid w:val="0"/>
        <w:spacing w:line="400" w:lineRule="exact"/>
        <w:rPr>
          <w:rFonts w:hint="eastAsia" w:ascii="宋体" w:hAnsi="宋体"/>
          <w:color w:val="auto"/>
          <w:szCs w:val="21"/>
          <w:highlight w:val="none"/>
        </w:rPr>
      </w:pPr>
      <w:r>
        <w:rPr>
          <w:rFonts w:hint="eastAsia" w:ascii="宋体" w:hAnsi="宋体" w:eastAsia="宋体" w:cs="宋体"/>
          <w:color w:val="auto"/>
          <w:sz w:val="22"/>
          <w:szCs w:val="22"/>
          <w:highlight w:val="none"/>
        </w:rPr>
        <w:t xml:space="preserve">          </w:t>
      </w:r>
      <w:r>
        <w:rPr>
          <w:rFonts w:hint="eastAsia" w:ascii="宋体" w:hAnsi="宋体"/>
          <w:color w:val="auto"/>
          <w:szCs w:val="21"/>
          <w:highlight w:val="none"/>
        </w:rPr>
        <w:t>备注：</w:t>
      </w:r>
      <w:r>
        <w:rPr>
          <w:rFonts w:hint="eastAsia" w:ascii="宋体" w:hAnsi="宋体"/>
          <w:color w:val="auto"/>
          <w:szCs w:val="21"/>
          <w:highlight w:val="none"/>
          <w:lang w:val="en-US" w:eastAsia="zh-CN"/>
        </w:rPr>
        <w:t>1、总</w:t>
      </w:r>
      <w:r>
        <w:rPr>
          <w:rFonts w:hint="eastAsia" w:ascii="宋体" w:hAnsi="宋体"/>
          <w:color w:val="auto"/>
          <w:szCs w:val="21"/>
          <w:highlight w:val="none"/>
        </w:rPr>
        <w:t>价必须与</w:t>
      </w:r>
      <w:r>
        <w:rPr>
          <w:rFonts w:hint="eastAsia" w:ascii="宋体" w:hAnsi="宋体"/>
          <w:color w:val="auto"/>
          <w:szCs w:val="21"/>
          <w:highlight w:val="none"/>
          <w:lang w:val="en-US" w:eastAsia="zh-CN"/>
        </w:rPr>
        <w:t>开标</w:t>
      </w:r>
      <w:r>
        <w:rPr>
          <w:rFonts w:hint="eastAsia" w:ascii="宋体" w:hAnsi="宋体"/>
          <w:color w:val="auto"/>
          <w:szCs w:val="21"/>
          <w:highlight w:val="none"/>
        </w:rPr>
        <w:t>一览表中的报价一致。</w:t>
      </w:r>
    </w:p>
    <w:p w14:paraId="47ADF089">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2、在保持报价表实质性内容不变的情况下，供应商可以自行调整表格形式。</w:t>
      </w:r>
    </w:p>
    <w:p w14:paraId="264B55C4">
      <w:pPr>
        <w:snapToGrid w:val="0"/>
        <w:spacing w:line="400" w:lineRule="exact"/>
        <w:rPr>
          <w:rFonts w:hint="eastAsia" w:ascii="宋体" w:hAnsi="宋体"/>
          <w:color w:val="auto"/>
          <w:szCs w:val="21"/>
          <w:highlight w:val="none"/>
        </w:rPr>
      </w:pPr>
    </w:p>
    <w:p w14:paraId="604D544F">
      <w:pPr>
        <w:spacing w:line="420" w:lineRule="exact"/>
        <w:rPr>
          <w:rFonts w:hint="eastAsia" w:ascii="宋体" w:hAnsi="宋体" w:cs="宋体"/>
          <w:color w:val="auto"/>
          <w:sz w:val="24"/>
          <w:highlight w:val="none"/>
        </w:rPr>
      </w:pPr>
    </w:p>
    <w:p w14:paraId="57919432">
      <w:pPr>
        <w:pStyle w:val="35"/>
        <w:rPr>
          <w:rFonts w:hint="eastAsia" w:ascii="宋体" w:hAnsi="宋体" w:cs="宋体"/>
          <w:color w:val="auto"/>
          <w:sz w:val="24"/>
          <w:highlight w:val="none"/>
        </w:rPr>
      </w:pPr>
    </w:p>
    <w:p w14:paraId="5C3BEB2B">
      <w:pPr>
        <w:pStyle w:val="35"/>
        <w:rPr>
          <w:rFonts w:hint="eastAsia" w:ascii="宋体" w:hAnsi="宋体" w:cs="宋体"/>
          <w:color w:val="auto"/>
          <w:sz w:val="24"/>
          <w:highlight w:val="none"/>
        </w:rPr>
      </w:pPr>
    </w:p>
    <w:p w14:paraId="1B47024D">
      <w:pPr>
        <w:snapToGrid w:val="0"/>
        <w:spacing w:before="50" w:after="50"/>
        <w:ind w:leftChars="-95" w:hanging="228" w:hangingChars="95"/>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供应商（盖章）：</w:t>
      </w:r>
    </w:p>
    <w:p w14:paraId="4BB1375F">
      <w:pPr>
        <w:snapToGrid w:val="0"/>
        <w:spacing w:before="50" w:after="50"/>
        <w:ind w:left="29" w:leftChars="-95" w:hanging="228" w:hangingChars="95"/>
        <w:jc w:val="right"/>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法定代表人或授权代表（签字或盖章）：                   </w:t>
      </w:r>
    </w:p>
    <w:p w14:paraId="34A9B2ED">
      <w:pPr>
        <w:snapToGrid w:val="0"/>
        <w:spacing w:before="50" w:after="50"/>
        <w:ind w:left="-3" w:leftChars="-72" w:right="-817" w:rightChars="-389" w:hanging="148" w:hangingChars="62"/>
        <w:jc w:val="left"/>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6D038B0">
      <w:pPr>
        <w:pStyle w:val="35"/>
        <w:rPr>
          <w:rFonts w:hint="eastAsia" w:ascii="宋体" w:hAnsi="宋体" w:cs="宋体"/>
          <w:color w:val="auto"/>
          <w:sz w:val="24"/>
          <w:highlight w:val="none"/>
        </w:rPr>
      </w:pPr>
    </w:p>
    <w:p w14:paraId="47EAB671">
      <w:pPr>
        <w:pStyle w:val="35"/>
        <w:rPr>
          <w:rFonts w:hint="eastAsia" w:ascii="宋体" w:hAnsi="宋体" w:cs="宋体"/>
          <w:color w:val="auto"/>
          <w:sz w:val="24"/>
          <w:highlight w:val="none"/>
        </w:rPr>
      </w:pPr>
    </w:p>
    <w:p w14:paraId="022F8903">
      <w:pPr>
        <w:pStyle w:val="35"/>
        <w:rPr>
          <w:rFonts w:hint="eastAsia" w:ascii="宋体" w:hAnsi="宋体" w:cs="宋体"/>
          <w:color w:val="auto"/>
          <w:sz w:val="24"/>
          <w:highlight w:val="none"/>
        </w:rPr>
      </w:pPr>
    </w:p>
    <w:p w14:paraId="61C26B46">
      <w:pPr>
        <w:pStyle w:val="35"/>
        <w:rPr>
          <w:rFonts w:hint="eastAsia" w:ascii="宋体" w:hAnsi="宋体" w:cs="宋体"/>
          <w:color w:val="auto"/>
          <w:sz w:val="24"/>
          <w:highlight w:val="none"/>
        </w:rPr>
      </w:pPr>
    </w:p>
    <w:p w14:paraId="52B369CE">
      <w:pPr>
        <w:pStyle w:val="28"/>
        <w:rPr>
          <w:rFonts w:hint="eastAsia" w:ascii="宋体" w:hAnsi="宋体" w:cs="宋体"/>
          <w:color w:val="auto"/>
          <w:sz w:val="24"/>
          <w:highlight w:val="none"/>
        </w:rPr>
      </w:pPr>
    </w:p>
    <w:p w14:paraId="377EACB0">
      <w:pPr>
        <w:pStyle w:val="35"/>
        <w:ind w:left="0" w:leftChars="0" w:firstLine="0" w:firstLineChars="0"/>
        <w:rPr>
          <w:rFonts w:hint="eastAsia" w:ascii="宋体" w:hAnsi="宋体" w:cs="宋体"/>
          <w:color w:val="auto"/>
          <w:sz w:val="24"/>
          <w:highlight w:val="none"/>
        </w:rPr>
      </w:pPr>
    </w:p>
    <w:p w14:paraId="40762E68">
      <w:pPr>
        <w:spacing w:line="400" w:lineRule="exact"/>
        <w:rPr>
          <w:rFonts w:hint="eastAsia" w:ascii="宋体" w:hAnsi="宋体" w:cs="宋体"/>
          <w:color w:val="auto"/>
          <w:sz w:val="24"/>
          <w:highlight w:val="none"/>
        </w:rPr>
      </w:pPr>
    </w:p>
    <w:p w14:paraId="7A2D8F3C">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w:t>
      </w:r>
    </w:p>
    <w:p w14:paraId="599C37FA">
      <w:pPr>
        <w:spacing w:line="440" w:lineRule="exact"/>
        <w:ind w:firstLine="482" w:firstLineChars="200"/>
        <w:jc w:val="center"/>
        <w:rPr>
          <w:rFonts w:hint="eastAsia" w:ascii="宋体" w:hAnsi="宋体"/>
          <w:b/>
          <w:color w:val="auto"/>
          <w:sz w:val="24"/>
          <w:highlight w:val="none"/>
        </w:rPr>
      </w:pPr>
      <w:r>
        <w:rPr>
          <w:rFonts w:hint="eastAsia" w:ascii="宋体" w:hAnsi="宋体"/>
          <w:b/>
          <w:color w:val="auto"/>
          <w:sz w:val="24"/>
          <w:highlight w:val="none"/>
        </w:rPr>
        <w:t>供应商认为需要的其他资料（如有需提供）</w:t>
      </w:r>
    </w:p>
    <w:p w14:paraId="2190DF08">
      <w:pPr>
        <w:pStyle w:val="11"/>
        <w:rPr>
          <w:rFonts w:hint="eastAsia" w:ascii="宋体" w:hAnsi="宋体"/>
          <w:b/>
          <w:bCs/>
          <w:color w:val="auto"/>
          <w:sz w:val="24"/>
          <w:szCs w:val="24"/>
          <w:highlight w:val="none"/>
        </w:rPr>
      </w:pPr>
    </w:p>
    <w:p w14:paraId="4B810CCF">
      <w:pPr>
        <w:pStyle w:val="11"/>
        <w:rPr>
          <w:rFonts w:hint="eastAsia" w:ascii="宋体" w:hAnsi="宋体"/>
          <w:b/>
          <w:bCs/>
          <w:color w:val="auto"/>
          <w:sz w:val="24"/>
          <w:szCs w:val="24"/>
          <w:highlight w:val="none"/>
        </w:rPr>
      </w:pPr>
    </w:p>
    <w:p w14:paraId="257A6F2B">
      <w:pPr>
        <w:pStyle w:val="11"/>
        <w:rPr>
          <w:rFonts w:hint="eastAsia" w:ascii="宋体" w:hAnsi="宋体"/>
          <w:b/>
          <w:bCs/>
          <w:color w:val="auto"/>
          <w:sz w:val="24"/>
          <w:szCs w:val="24"/>
          <w:highlight w:val="none"/>
        </w:rPr>
      </w:pPr>
    </w:p>
    <w:p w14:paraId="793CAFEB">
      <w:pPr>
        <w:pStyle w:val="11"/>
        <w:rPr>
          <w:rFonts w:hint="eastAsia" w:ascii="宋体" w:hAnsi="宋体"/>
          <w:b/>
          <w:bCs/>
          <w:color w:val="auto"/>
          <w:sz w:val="24"/>
          <w:szCs w:val="24"/>
          <w:highlight w:val="none"/>
        </w:rPr>
      </w:pPr>
    </w:p>
    <w:p w14:paraId="6A2B6B2C">
      <w:pPr>
        <w:pStyle w:val="11"/>
        <w:rPr>
          <w:rFonts w:hint="eastAsia" w:ascii="宋体" w:hAnsi="宋体"/>
          <w:b/>
          <w:bCs/>
          <w:color w:val="auto"/>
          <w:sz w:val="24"/>
          <w:szCs w:val="24"/>
          <w:highlight w:val="none"/>
        </w:rPr>
      </w:pPr>
    </w:p>
    <w:p w14:paraId="55C44A88">
      <w:pPr>
        <w:pStyle w:val="11"/>
        <w:rPr>
          <w:rFonts w:hint="eastAsia" w:ascii="宋体" w:hAnsi="宋体"/>
          <w:b/>
          <w:bCs/>
          <w:color w:val="auto"/>
          <w:sz w:val="24"/>
          <w:szCs w:val="24"/>
          <w:highlight w:val="none"/>
        </w:rPr>
      </w:pPr>
    </w:p>
    <w:p w14:paraId="2D6DC7EF">
      <w:pPr>
        <w:pStyle w:val="11"/>
        <w:rPr>
          <w:rFonts w:hint="eastAsia" w:ascii="宋体" w:hAnsi="宋体"/>
          <w:b/>
          <w:bCs/>
          <w:color w:val="auto"/>
          <w:sz w:val="24"/>
          <w:szCs w:val="24"/>
          <w:highlight w:val="none"/>
        </w:rPr>
      </w:pPr>
    </w:p>
    <w:p w14:paraId="57BB6D95">
      <w:pPr>
        <w:pStyle w:val="11"/>
        <w:rPr>
          <w:rFonts w:hint="eastAsia" w:ascii="宋体" w:hAnsi="宋体"/>
          <w:b/>
          <w:bCs/>
          <w:color w:val="auto"/>
          <w:sz w:val="24"/>
          <w:szCs w:val="24"/>
          <w:highlight w:val="none"/>
        </w:rPr>
      </w:pPr>
    </w:p>
    <w:p w14:paraId="50A9EAB6">
      <w:pPr>
        <w:pStyle w:val="11"/>
        <w:rPr>
          <w:rFonts w:hint="eastAsia" w:ascii="宋体" w:hAnsi="宋体"/>
          <w:b/>
          <w:bCs/>
          <w:color w:val="auto"/>
          <w:sz w:val="24"/>
          <w:szCs w:val="24"/>
          <w:highlight w:val="none"/>
        </w:rPr>
      </w:pPr>
    </w:p>
    <w:p w14:paraId="1F15182B">
      <w:pPr>
        <w:pStyle w:val="11"/>
        <w:rPr>
          <w:rFonts w:hint="eastAsia" w:ascii="宋体" w:hAnsi="宋体"/>
          <w:b/>
          <w:bCs/>
          <w:color w:val="auto"/>
          <w:sz w:val="24"/>
          <w:szCs w:val="24"/>
          <w:highlight w:val="none"/>
        </w:rPr>
      </w:pPr>
    </w:p>
    <w:p w14:paraId="3B8B99AF">
      <w:pPr>
        <w:pStyle w:val="11"/>
        <w:rPr>
          <w:rFonts w:hint="eastAsia" w:ascii="宋体" w:hAnsi="宋体"/>
          <w:b/>
          <w:bCs/>
          <w:color w:val="auto"/>
          <w:sz w:val="24"/>
          <w:szCs w:val="24"/>
          <w:highlight w:val="none"/>
        </w:rPr>
      </w:pPr>
    </w:p>
    <w:p w14:paraId="070E9286">
      <w:pPr>
        <w:pStyle w:val="11"/>
        <w:rPr>
          <w:rFonts w:hint="eastAsia" w:ascii="宋体" w:hAnsi="宋体"/>
          <w:b/>
          <w:bCs/>
          <w:color w:val="auto"/>
          <w:sz w:val="24"/>
          <w:szCs w:val="24"/>
          <w:highlight w:val="none"/>
        </w:rPr>
      </w:pPr>
    </w:p>
    <w:p w14:paraId="7D5C6EBF">
      <w:pPr>
        <w:pStyle w:val="11"/>
        <w:rPr>
          <w:rFonts w:hint="eastAsia" w:ascii="宋体" w:hAnsi="宋体"/>
          <w:b/>
          <w:bCs/>
          <w:color w:val="auto"/>
          <w:sz w:val="24"/>
          <w:szCs w:val="24"/>
          <w:highlight w:val="none"/>
        </w:rPr>
      </w:pPr>
    </w:p>
    <w:p w14:paraId="29FA8CA6">
      <w:pPr>
        <w:pStyle w:val="11"/>
        <w:rPr>
          <w:rFonts w:hint="eastAsia" w:ascii="宋体" w:hAnsi="宋体"/>
          <w:b/>
          <w:bCs/>
          <w:color w:val="auto"/>
          <w:sz w:val="24"/>
          <w:szCs w:val="24"/>
          <w:highlight w:val="none"/>
        </w:rPr>
      </w:pPr>
    </w:p>
    <w:p w14:paraId="6DFCE7F9">
      <w:pPr>
        <w:pStyle w:val="11"/>
        <w:rPr>
          <w:rFonts w:hint="eastAsia" w:ascii="宋体" w:hAnsi="宋体"/>
          <w:b/>
          <w:bCs/>
          <w:color w:val="auto"/>
          <w:sz w:val="24"/>
          <w:szCs w:val="24"/>
          <w:highlight w:val="none"/>
        </w:rPr>
      </w:pPr>
    </w:p>
    <w:p w14:paraId="6B3EA336">
      <w:pPr>
        <w:pStyle w:val="11"/>
        <w:rPr>
          <w:rFonts w:hint="eastAsia" w:ascii="宋体" w:hAnsi="宋体"/>
          <w:b/>
          <w:bCs/>
          <w:color w:val="auto"/>
          <w:sz w:val="24"/>
          <w:szCs w:val="24"/>
          <w:highlight w:val="none"/>
        </w:rPr>
      </w:pPr>
    </w:p>
    <w:p w14:paraId="2D07FC6D">
      <w:pPr>
        <w:pStyle w:val="11"/>
        <w:rPr>
          <w:rFonts w:hint="eastAsia" w:ascii="宋体" w:hAnsi="宋体"/>
          <w:b/>
          <w:bCs/>
          <w:color w:val="auto"/>
          <w:sz w:val="24"/>
          <w:szCs w:val="24"/>
          <w:highlight w:val="none"/>
        </w:rPr>
      </w:pPr>
    </w:p>
    <w:p w14:paraId="50D44CF5">
      <w:pPr>
        <w:pStyle w:val="11"/>
        <w:rPr>
          <w:rFonts w:hint="eastAsia" w:ascii="宋体" w:hAnsi="宋体"/>
          <w:b/>
          <w:bCs/>
          <w:color w:val="auto"/>
          <w:sz w:val="24"/>
          <w:szCs w:val="24"/>
          <w:highlight w:val="none"/>
        </w:rPr>
      </w:pPr>
    </w:p>
    <w:p w14:paraId="2E2F7814">
      <w:pPr>
        <w:pStyle w:val="11"/>
        <w:rPr>
          <w:rFonts w:hint="eastAsia" w:ascii="宋体" w:hAnsi="宋体"/>
          <w:b/>
          <w:bCs/>
          <w:color w:val="auto"/>
          <w:sz w:val="24"/>
          <w:szCs w:val="24"/>
          <w:highlight w:val="none"/>
        </w:rPr>
      </w:pPr>
    </w:p>
    <w:p w14:paraId="65D9E5FC">
      <w:pPr>
        <w:pStyle w:val="11"/>
        <w:rPr>
          <w:rFonts w:hint="eastAsia" w:ascii="宋体" w:hAnsi="宋体"/>
          <w:b/>
          <w:bCs/>
          <w:color w:val="auto"/>
          <w:sz w:val="24"/>
          <w:szCs w:val="24"/>
          <w:highlight w:val="none"/>
        </w:rPr>
      </w:pPr>
    </w:p>
    <w:p w14:paraId="30170DBD">
      <w:pPr>
        <w:pStyle w:val="11"/>
        <w:rPr>
          <w:rFonts w:hint="eastAsia" w:ascii="宋体" w:hAnsi="宋体"/>
          <w:b/>
          <w:bCs/>
          <w:color w:val="auto"/>
          <w:sz w:val="24"/>
          <w:szCs w:val="24"/>
          <w:highlight w:val="none"/>
        </w:rPr>
      </w:pPr>
    </w:p>
    <w:p w14:paraId="5404A184">
      <w:pPr>
        <w:pStyle w:val="11"/>
        <w:rPr>
          <w:rFonts w:hint="eastAsia" w:ascii="宋体" w:hAnsi="宋体"/>
          <w:b/>
          <w:bCs/>
          <w:color w:val="auto"/>
          <w:sz w:val="24"/>
          <w:szCs w:val="24"/>
          <w:highlight w:val="none"/>
        </w:rPr>
      </w:pPr>
    </w:p>
    <w:p w14:paraId="551B0AD5">
      <w:pPr>
        <w:pStyle w:val="11"/>
        <w:rPr>
          <w:rFonts w:hint="eastAsia" w:ascii="宋体" w:hAnsi="宋体"/>
          <w:b/>
          <w:bCs/>
          <w:color w:val="auto"/>
          <w:sz w:val="24"/>
          <w:szCs w:val="24"/>
          <w:highlight w:val="none"/>
        </w:rPr>
      </w:pPr>
    </w:p>
    <w:p w14:paraId="2CEA725B">
      <w:pPr>
        <w:pStyle w:val="11"/>
        <w:rPr>
          <w:rFonts w:hint="eastAsia" w:ascii="宋体" w:hAnsi="宋体"/>
          <w:b/>
          <w:bCs/>
          <w:color w:val="auto"/>
          <w:sz w:val="24"/>
          <w:szCs w:val="24"/>
          <w:highlight w:val="none"/>
        </w:rPr>
      </w:pPr>
    </w:p>
    <w:p w14:paraId="6C0660B3">
      <w:pPr>
        <w:pStyle w:val="11"/>
        <w:rPr>
          <w:rFonts w:hint="eastAsia" w:ascii="宋体" w:hAnsi="宋体"/>
          <w:b/>
          <w:bCs/>
          <w:color w:val="auto"/>
          <w:sz w:val="24"/>
          <w:szCs w:val="24"/>
          <w:highlight w:val="none"/>
        </w:rPr>
      </w:pPr>
    </w:p>
    <w:p w14:paraId="0B36DCFE">
      <w:pPr>
        <w:pStyle w:val="11"/>
        <w:rPr>
          <w:rFonts w:hint="eastAsia" w:ascii="宋体" w:hAnsi="宋体"/>
          <w:b/>
          <w:bCs/>
          <w:color w:val="auto"/>
          <w:sz w:val="24"/>
          <w:szCs w:val="24"/>
          <w:highlight w:val="none"/>
        </w:rPr>
      </w:pPr>
    </w:p>
    <w:p w14:paraId="5B75F7B3">
      <w:pPr>
        <w:pStyle w:val="11"/>
        <w:rPr>
          <w:rFonts w:hint="eastAsia" w:ascii="宋体" w:hAnsi="宋体"/>
          <w:b/>
          <w:bCs/>
          <w:color w:val="auto"/>
          <w:sz w:val="24"/>
          <w:szCs w:val="24"/>
          <w:highlight w:val="none"/>
        </w:rPr>
      </w:pPr>
    </w:p>
    <w:p w14:paraId="0BA01E22">
      <w:pPr>
        <w:pStyle w:val="11"/>
        <w:rPr>
          <w:rFonts w:hint="eastAsia" w:ascii="宋体" w:hAnsi="宋体"/>
          <w:b/>
          <w:bCs/>
          <w:color w:val="auto"/>
          <w:sz w:val="24"/>
          <w:szCs w:val="24"/>
          <w:highlight w:val="none"/>
        </w:rPr>
      </w:pPr>
    </w:p>
    <w:p w14:paraId="6D8CDEE4">
      <w:pPr>
        <w:pStyle w:val="11"/>
        <w:rPr>
          <w:rFonts w:hint="eastAsia" w:ascii="宋体" w:hAnsi="宋体"/>
          <w:b/>
          <w:bCs/>
          <w:color w:val="auto"/>
          <w:sz w:val="24"/>
          <w:szCs w:val="24"/>
          <w:highlight w:val="none"/>
        </w:rPr>
      </w:pPr>
    </w:p>
    <w:p w14:paraId="667941A4">
      <w:pPr>
        <w:pStyle w:val="11"/>
        <w:rPr>
          <w:rFonts w:hint="eastAsia" w:ascii="宋体" w:hAnsi="宋体"/>
          <w:b/>
          <w:bCs/>
          <w:color w:val="auto"/>
          <w:sz w:val="24"/>
          <w:szCs w:val="24"/>
          <w:highlight w:val="none"/>
        </w:rPr>
      </w:pPr>
    </w:p>
    <w:p w14:paraId="0C5C4808">
      <w:pPr>
        <w:pStyle w:val="11"/>
        <w:rPr>
          <w:rFonts w:hint="eastAsia" w:ascii="宋体" w:hAnsi="宋体"/>
          <w:b/>
          <w:bCs/>
          <w:color w:val="auto"/>
          <w:sz w:val="24"/>
          <w:szCs w:val="24"/>
          <w:highlight w:val="none"/>
        </w:rPr>
      </w:pPr>
    </w:p>
    <w:p w14:paraId="740FF3E0">
      <w:pPr>
        <w:pStyle w:val="11"/>
        <w:rPr>
          <w:rFonts w:hint="eastAsia" w:ascii="宋体" w:hAnsi="宋体"/>
          <w:b/>
          <w:bCs/>
          <w:color w:val="auto"/>
          <w:sz w:val="24"/>
          <w:szCs w:val="24"/>
          <w:highlight w:val="none"/>
        </w:rPr>
      </w:pPr>
    </w:p>
    <w:p w14:paraId="34F14FA7">
      <w:pPr>
        <w:rPr>
          <w:rFonts w:hint="eastAsia" w:ascii="宋体" w:hAnsi="宋体"/>
          <w:b/>
          <w:bCs/>
          <w:color w:val="auto"/>
          <w:sz w:val="24"/>
          <w:szCs w:val="24"/>
          <w:highlight w:val="none"/>
        </w:rPr>
      </w:pPr>
    </w:p>
    <w:p w14:paraId="301BB815">
      <w:pPr>
        <w:pStyle w:val="11"/>
        <w:rPr>
          <w:rFonts w:hint="eastAsia" w:ascii="宋体" w:hAnsi="宋体"/>
          <w:b/>
          <w:bCs/>
          <w:color w:val="auto"/>
          <w:sz w:val="24"/>
          <w:szCs w:val="24"/>
          <w:highlight w:val="none"/>
        </w:rPr>
      </w:pPr>
    </w:p>
    <w:p w14:paraId="18E0BCDF">
      <w:pPr>
        <w:rPr>
          <w:rFonts w:hint="eastAsia" w:ascii="宋体" w:hAnsi="宋体"/>
          <w:b/>
          <w:bCs/>
          <w:color w:val="auto"/>
          <w:sz w:val="24"/>
          <w:szCs w:val="24"/>
          <w:highlight w:val="none"/>
        </w:rPr>
      </w:pPr>
    </w:p>
    <w:p w14:paraId="6BFBA3AE">
      <w:pPr>
        <w:pStyle w:val="11"/>
        <w:rPr>
          <w:rFonts w:hint="eastAsia" w:ascii="宋体" w:hAnsi="宋体"/>
          <w:b/>
          <w:bCs/>
          <w:color w:val="auto"/>
          <w:sz w:val="24"/>
          <w:szCs w:val="24"/>
          <w:highlight w:val="none"/>
        </w:rPr>
      </w:pPr>
    </w:p>
    <w:p w14:paraId="654C8576">
      <w:pPr>
        <w:rPr>
          <w:rFonts w:hint="eastAsia"/>
          <w:highlight w:val="none"/>
        </w:rPr>
      </w:pPr>
    </w:p>
    <w:p w14:paraId="219B18D5">
      <w:pPr>
        <w:rPr>
          <w:rFonts w:hint="eastAsia" w:ascii="宋体" w:hAnsi="宋体"/>
          <w:b/>
          <w:bCs/>
          <w:color w:val="auto"/>
          <w:sz w:val="24"/>
          <w:szCs w:val="24"/>
          <w:highlight w:val="none"/>
        </w:rPr>
      </w:pPr>
    </w:p>
    <w:p w14:paraId="51212338">
      <w:pPr>
        <w:pStyle w:val="11"/>
        <w:rPr>
          <w:rFonts w:hint="eastAsia" w:ascii="宋体" w:hAnsi="宋体"/>
          <w:b/>
          <w:bCs/>
          <w:color w:val="auto"/>
          <w:sz w:val="24"/>
          <w:szCs w:val="24"/>
          <w:highlight w:val="none"/>
        </w:rPr>
      </w:pPr>
    </w:p>
    <w:p w14:paraId="73FD0629">
      <w:pPr>
        <w:rPr>
          <w:rFonts w:hint="eastAsia"/>
          <w:highlight w:val="none"/>
        </w:rPr>
      </w:pPr>
    </w:p>
    <w:p w14:paraId="3C91DF7F">
      <w:pPr>
        <w:pStyle w:val="11"/>
        <w:rPr>
          <w:rFonts w:hint="eastAsia" w:ascii="宋体" w:hAnsi="宋体"/>
          <w:b/>
          <w:bCs/>
          <w:color w:val="auto"/>
          <w:sz w:val="24"/>
          <w:szCs w:val="24"/>
          <w:highlight w:val="none"/>
        </w:rPr>
      </w:pPr>
    </w:p>
    <w:p w14:paraId="30EEECAF">
      <w:pPr>
        <w:pStyle w:val="11"/>
        <w:rPr>
          <w:rFonts w:hint="eastAsia" w:ascii="宋体" w:hAnsi="宋体"/>
          <w:b/>
          <w:bCs/>
          <w:color w:val="auto"/>
          <w:sz w:val="24"/>
          <w:szCs w:val="24"/>
          <w:highlight w:val="none"/>
        </w:rPr>
      </w:pPr>
    </w:p>
    <w:p w14:paraId="71CE5F42">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二、技术商务文件</w:t>
      </w:r>
    </w:p>
    <w:p w14:paraId="28C39D48">
      <w:pPr>
        <w:spacing w:line="360" w:lineRule="auto"/>
        <w:rPr>
          <w:rFonts w:hint="eastAsia" w:ascii="宋体" w:hAnsi="宋体"/>
          <w:b/>
          <w:color w:val="auto"/>
          <w:sz w:val="32"/>
          <w:szCs w:val="32"/>
          <w:highlight w:val="none"/>
        </w:rPr>
      </w:pPr>
    </w:p>
    <w:p w14:paraId="414ABB73">
      <w:pPr>
        <w:spacing w:line="360" w:lineRule="auto"/>
        <w:rPr>
          <w:rFonts w:hint="eastAsia" w:ascii="宋体" w:hAnsi="宋体"/>
          <w:b/>
          <w:color w:val="auto"/>
          <w:sz w:val="32"/>
          <w:szCs w:val="32"/>
          <w:highlight w:val="none"/>
        </w:rPr>
      </w:pPr>
    </w:p>
    <w:p w14:paraId="71654F23">
      <w:pPr>
        <w:spacing w:line="360" w:lineRule="auto"/>
        <w:rPr>
          <w:rFonts w:hint="eastAsia" w:ascii="宋体" w:hAnsi="宋体"/>
          <w:b/>
          <w:color w:val="auto"/>
          <w:sz w:val="32"/>
          <w:szCs w:val="32"/>
          <w:highlight w:val="none"/>
        </w:rPr>
      </w:pPr>
    </w:p>
    <w:p w14:paraId="2DBF679D">
      <w:pPr>
        <w:spacing w:line="360" w:lineRule="auto"/>
        <w:rPr>
          <w:rFonts w:hint="eastAsia" w:ascii="宋体" w:hAnsi="宋体"/>
          <w:b/>
          <w:color w:val="auto"/>
          <w:sz w:val="32"/>
          <w:szCs w:val="32"/>
          <w:highlight w:val="none"/>
        </w:rPr>
      </w:pPr>
    </w:p>
    <w:p w14:paraId="389B54AC">
      <w:pPr>
        <w:spacing w:line="360" w:lineRule="auto"/>
        <w:rPr>
          <w:rFonts w:hint="eastAsia" w:ascii="宋体" w:hAnsi="宋体"/>
          <w:b/>
          <w:color w:val="auto"/>
          <w:sz w:val="32"/>
          <w:szCs w:val="32"/>
          <w:highlight w:val="none"/>
        </w:rPr>
      </w:pPr>
    </w:p>
    <w:p w14:paraId="71D55BA0">
      <w:pPr>
        <w:spacing w:line="360" w:lineRule="auto"/>
        <w:rPr>
          <w:rFonts w:hint="eastAsia" w:ascii="宋体" w:hAnsi="宋体"/>
          <w:b/>
          <w:color w:val="auto"/>
          <w:sz w:val="32"/>
          <w:szCs w:val="32"/>
          <w:highlight w:val="none"/>
        </w:rPr>
      </w:pPr>
    </w:p>
    <w:p w14:paraId="04CB5676">
      <w:pPr>
        <w:spacing w:line="360" w:lineRule="auto"/>
        <w:rPr>
          <w:rFonts w:hint="eastAsia" w:ascii="宋体" w:hAnsi="宋体"/>
          <w:b/>
          <w:color w:val="auto"/>
          <w:sz w:val="32"/>
          <w:szCs w:val="32"/>
          <w:highlight w:val="none"/>
        </w:rPr>
      </w:pPr>
    </w:p>
    <w:p w14:paraId="517ABE56">
      <w:pPr>
        <w:spacing w:line="360" w:lineRule="auto"/>
        <w:rPr>
          <w:rFonts w:hint="eastAsia" w:ascii="宋体" w:hAnsi="宋体"/>
          <w:b/>
          <w:color w:val="auto"/>
          <w:sz w:val="32"/>
          <w:szCs w:val="32"/>
          <w:highlight w:val="none"/>
        </w:rPr>
      </w:pPr>
    </w:p>
    <w:p w14:paraId="7229EAC4">
      <w:pPr>
        <w:spacing w:line="360" w:lineRule="auto"/>
        <w:rPr>
          <w:rFonts w:hint="eastAsia" w:ascii="宋体" w:hAnsi="宋体"/>
          <w:b/>
          <w:color w:val="auto"/>
          <w:sz w:val="32"/>
          <w:szCs w:val="32"/>
          <w:highlight w:val="none"/>
        </w:rPr>
      </w:pPr>
    </w:p>
    <w:p w14:paraId="7EF7AB67">
      <w:pPr>
        <w:spacing w:line="360" w:lineRule="auto"/>
        <w:rPr>
          <w:rFonts w:hint="eastAsia" w:ascii="宋体" w:hAnsi="宋体"/>
          <w:b/>
          <w:color w:val="auto"/>
          <w:sz w:val="32"/>
          <w:szCs w:val="32"/>
          <w:highlight w:val="none"/>
        </w:rPr>
      </w:pPr>
    </w:p>
    <w:p w14:paraId="1F2EC2F4">
      <w:pPr>
        <w:spacing w:line="360" w:lineRule="auto"/>
        <w:rPr>
          <w:rFonts w:hint="eastAsia" w:ascii="宋体" w:hAnsi="宋体"/>
          <w:b/>
          <w:color w:val="auto"/>
          <w:sz w:val="32"/>
          <w:szCs w:val="32"/>
          <w:highlight w:val="none"/>
        </w:rPr>
      </w:pPr>
    </w:p>
    <w:p w14:paraId="47B65779">
      <w:pPr>
        <w:spacing w:line="360" w:lineRule="auto"/>
        <w:rPr>
          <w:rFonts w:hint="eastAsia" w:ascii="宋体" w:hAnsi="宋体"/>
          <w:b/>
          <w:color w:val="auto"/>
          <w:sz w:val="32"/>
          <w:szCs w:val="32"/>
          <w:highlight w:val="none"/>
        </w:rPr>
      </w:pPr>
    </w:p>
    <w:p w14:paraId="5291071F">
      <w:pPr>
        <w:spacing w:line="360" w:lineRule="auto"/>
        <w:rPr>
          <w:rFonts w:hint="eastAsia" w:ascii="宋体" w:hAnsi="宋体"/>
          <w:b/>
          <w:color w:val="auto"/>
          <w:sz w:val="32"/>
          <w:szCs w:val="32"/>
          <w:highlight w:val="none"/>
        </w:rPr>
      </w:pPr>
    </w:p>
    <w:p w14:paraId="74AB487C">
      <w:pPr>
        <w:spacing w:line="360" w:lineRule="auto"/>
        <w:rPr>
          <w:rFonts w:hint="eastAsia" w:ascii="宋体" w:hAnsi="宋体"/>
          <w:b/>
          <w:color w:val="auto"/>
          <w:sz w:val="32"/>
          <w:szCs w:val="32"/>
          <w:highlight w:val="none"/>
        </w:rPr>
      </w:pPr>
    </w:p>
    <w:p w14:paraId="412A47E4">
      <w:pPr>
        <w:spacing w:line="360" w:lineRule="auto"/>
        <w:rPr>
          <w:rFonts w:hint="eastAsia" w:ascii="宋体" w:hAnsi="宋体"/>
          <w:b/>
          <w:color w:val="auto"/>
          <w:sz w:val="32"/>
          <w:szCs w:val="32"/>
          <w:highlight w:val="none"/>
        </w:rPr>
      </w:pPr>
    </w:p>
    <w:p w14:paraId="0E4185CB">
      <w:pPr>
        <w:spacing w:line="360" w:lineRule="auto"/>
        <w:rPr>
          <w:rFonts w:hint="eastAsia" w:ascii="宋体" w:hAnsi="宋体"/>
          <w:b/>
          <w:color w:val="auto"/>
          <w:sz w:val="32"/>
          <w:szCs w:val="32"/>
          <w:highlight w:val="none"/>
        </w:rPr>
      </w:pPr>
    </w:p>
    <w:p w14:paraId="2D8A5D05">
      <w:pPr>
        <w:pStyle w:val="36"/>
        <w:ind w:firstLine="643"/>
        <w:rPr>
          <w:rFonts w:hint="eastAsia" w:ascii="宋体" w:hAnsi="宋体"/>
          <w:b/>
          <w:color w:val="auto"/>
          <w:sz w:val="32"/>
          <w:szCs w:val="32"/>
          <w:highlight w:val="none"/>
        </w:rPr>
      </w:pPr>
    </w:p>
    <w:p w14:paraId="31EC3135">
      <w:pPr>
        <w:spacing w:line="360" w:lineRule="auto"/>
        <w:rPr>
          <w:rFonts w:hint="eastAsia" w:ascii="宋体" w:hAnsi="宋体"/>
          <w:b/>
          <w:color w:val="auto"/>
          <w:sz w:val="32"/>
          <w:szCs w:val="32"/>
          <w:highlight w:val="none"/>
        </w:rPr>
      </w:pPr>
    </w:p>
    <w:p w14:paraId="3C589863">
      <w:pPr>
        <w:pStyle w:val="11"/>
        <w:rPr>
          <w:rFonts w:hint="eastAsia" w:ascii="宋体" w:hAnsi="宋体"/>
          <w:b/>
          <w:color w:val="auto"/>
          <w:sz w:val="32"/>
          <w:szCs w:val="32"/>
          <w:highlight w:val="none"/>
        </w:rPr>
      </w:pPr>
    </w:p>
    <w:p w14:paraId="218BD030">
      <w:pPr>
        <w:rPr>
          <w:rFonts w:hint="eastAsia"/>
          <w:highlight w:val="none"/>
        </w:rPr>
      </w:pPr>
    </w:p>
    <w:p w14:paraId="0A65E2B5">
      <w:pPr>
        <w:rPr>
          <w:rFonts w:hint="eastAsia"/>
          <w:highlight w:val="none"/>
        </w:rPr>
      </w:pPr>
    </w:p>
    <w:p w14:paraId="04C10BCA">
      <w:pPr>
        <w:spacing w:line="360" w:lineRule="auto"/>
        <w:rPr>
          <w:rFonts w:hint="eastAsia" w:ascii="宋体" w:hAnsi="宋体"/>
          <w:b/>
          <w:color w:val="auto"/>
          <w:sz w:val="32"/>
          <w:szCs w:val="32"/>
          <w:highlight w:val="none"/>
        </w:rPr>
      </w:pPr>
    </w:p>
    <w:p w14:paraId="7138DE3B">
      <w:pPr>
        <w:spacing w:line="360" w:lineRule="auto"/>
        <w:rPr>
          <w:rFonts w:hint="eastAsia" w:ascii="宋体" w:hAnsi="宋体"/>
          <w:b/>
          <w:color w:val="auto"/>
          <w:sz w:val="32"/>
          <w:szCs w:val="32"/>
          <w:highlight w:val="none"/>
        </w:rPr>
      </w:pPr>
    </w:p>
    <w:p w14:paraId="6842AEBC">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14:paraId="4BFC412E">
      <w:pPr>
        <w:spacing w:line="360" w:lineRule="auto"/>
        <w:rPr>
          <w:rFonts w:ascii="宋体" w:hAnsi="宋体"/>
          <w:b/>
          <w:color w:val="auto"/>
          <w:sz w:val="32"/>
          <w:szCs w:val="32"/>
          <w:highlight w:val="none"/>
        </w:rPr>
      </w:pPr>
    </w:p>
    <w:p w14:paraId="44E0F9E9">
      <w:pPr>
        <w:pStyle w:val="36"/>
        <w:rPr>
          <w:color w:val="auto"/>
          <w:highlight w:val="none"/>
        </w:rPr>
      </w:pPr>
    </w:p>
    <w:p w14:paraId="31D97C06">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象山县贤庠镇敬老院认知症照护专区改造项目</w:t>
      </w:r>
    </w:p>
    <w:p w14:paraId="21821EE0">
      <w:pPr>
        <w:pStyle w:val="36"/>
        <w:ind w:firstLine="643"/>
        <w:jc w:val="center"/>
        <w:rPr>
          <w:rFonts w:hint="eastAsia" w:ascii="宋体" w:hAnsi="宋体" w:cs="宋体"/>
          <w:b/>
          <w:color w:val="auto"/>
          <w:sz w:val="32"/>
          <w:highlight w:val="none"/>
        </w:rPr>
      </w:pPr>
    </w:p>
    <w:p w14:paraId="3E80D982">
      <w:pPr>
        <w:spacing w:line="360" w:lineRule="auto"/>
        <w:ind w:firstLine="2160" w:firstLineChars="600"/>
        <w:rPr>
          <w:rFonts w:hint="default" w:ascii="宋体" w:hAnsi="宋体" w:eastAsia="宋体"/>
          <w:color w:val="auto"/>
          <w:sz w:val="36"/>
          <w:szCs w:val="36"/>
          <w:highlight w:val="none"/>
          <w:lang w:val="en-US" w:eastAsia="zh-CN"/>
        </w:rPr>
      </w:pPr>
      <w:r>
        <w:rPr>
          <w:rFonts w:hint="eastAsia" w:ascii="宋体" w:hAnsi="宋体"/>
          <w:color w:val="auto"/>
          <w:sz w:val="36"/>
          <w:szCs w:val="36"/>
          <w:highlight w:val="none"/>
        </w:rPr>
        <w:t>采购编号：</w:t>
      </w:r>
      <w:r>
        <w:rPr>
          <w:rFonts w:hint="eastAsia" w:ascii="宋体" w:hAnsi="宋体"/>
          <w:color w:val="auto"/>
          <w:sz w:val="36"/>
          <w:szCs w:val="36"/>
          <w:highlight w:val="none"/>
          <w:u w:val="single"/>
          <w:lang w:val="en-US" w:eastAsia="zh-CN"/>
        </w:rPr>
        <w:t xml:space="preserve">  </w:t>
      </w:r>
      <w:r>
        <w:rPr>
          <w:rFonts w:hint="eastAsia" w:ascii="宋体" w:hAnsi="宋体"/>
          <w:color w:val="auto"/>
          <w:sz w:val="36"/>
          <w:szCs w:val="36"/>
          <w:highlight w:val="none"/>
          <w:u w:val="single"/>
          <w:lang w:eastAsia="zh-CN"/>
        </w:rPr>
        <w:t>ZJQY-2025-011CG</w:t>
      </w:r>
      <w:r>
        <w:rPr>
          <w:rFonts w:hint="eastAsia" w:ascii="宋体" w:hAnsi="宋体"/>
          <w:color w:val="auto"/>
          <w:sz w:val="36"/>
          <w:szCs w:val="36"/>
          <w:highlight w:val="none"/>
          <w:u w:val="single"/>
        </w:rPr>
        <w:t xml:space="preserve"> </w:t>
      </w:r>
      <w:r>
        <w:rPr>
          <w:rFonts w:hint="eastAsia" w:ascii="宋体" w:hAnsi="宋体"/>
          <w:color w:val="auto"/>
          <w:sz w:val="36"/>
          <w:szCs w:val="36"/>
          <w:highlight w:val="none"/>
          <w:u w:val="single"/>
          <w:lang w:val="en-US" w:eastAsia="zh-CN"/>
        </w:rPr>
        <w:t xml:space="preserve">  </w:t>
      </w:r>
    </w:p>
    <w:p w14:paraId="23968EB6">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子</w:t>
      </w:r>
      <w:r>
        <w:rPr>
          <w:rFonts w:ascii="宋体" w:hAnsi="宋体"/>
          <w:color w:val="auto"/>
          <w:sz w:val="36"/>
          <w:szCs w:val="36"/>
          <w:highlight w:val="none"/>
        </w:rPr>
        <w:t xml:space="preserve">    </w:t>
      </w:r>
      <w:r>
        <w:rPr>
          <w:rFonts w:hint="eastAsia" w:ascii="宋体" w:hAnsi="宋体"/>
          <w:color w:val="auto"/>
          <w:sz w:val="36"/>
          <w:szCs w:val="36"/>
          <w:highlight w:val="none"/>
        </w:rPr>
        <w:t>包：</w:t>
      </w:r>
      <w:r>
        <w:rPr>
          <w:rFonts w:hint="eastAsia" w:ascii="宋体" w:hAnsi="宋体"/>
          <w:color w:val="auto"/>
          <w:sz w:val="36"/>
          <w:szCs w:val="36"/>
          <w:highlight w:val="none"/>
          <w:u w:val="single"/>
        </w:rPr>
        <w:t>（如有多个子包）</w:t>
      </w:r>
    </w:p>
    <w:p w14:paraId="5C574E19">
      <w:pPr>
        <w:rPr>
          <w:rFonts w:ascii="宋体" w:hAnsi="宋体"/>
          <w:color w:val="auto"/>
          <w:sz w:val="28"/>
          <w:szCs w:val="28"/>
          <w:highlight w:val="none"/>
        </w:rPr>
      </w:pPr>
    </w:p>
    <w:p w14:paraId="70D02E6E">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（技术商务文件）</w:t>
      </w:r>
    </w:p>
    <w:p w14:paraId="777CE4B1">
      <w:pPr>
        <w:jc w:val="center"/>
        <w:rPr>
          <w:rFonts w:ascii="宋体" w:hAnsi="宋体"/>
          <w:color w:val="auto"/>
          <w:sz w:val="28"/>
          <w:szCs w:val="28"/>
          <w:highlight w:val="none"/>
        </w:rPr>
      </w:pPr>
    </w:p>
    <w:p w14:paraId="1DBF28A9">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响应文件</w:t>
      </w:r>
    </w:p>
    <w:p w14:paraId="6DE78C90">
      <w:pPr>
        <w:spacing w:line="360" w:lineRule="auto"/>
        <w:jc w:val="center"/>
        <w:rPr>
          <w:rFonts w:ascii="宋体" w:hAnsi="宋体"/>
          <w:color w:val="auto"/>
          <w:sz w:val="36"/>
          <w:szCs w:val="36"/>
          <w:highlight w:val="none"/>
        </w:rPr>
      </w:pPr>
    </w:p>
    <w:p w14:paraId="2065CE2B">
      <w:pPr>
        <w:spacing w:line="360" w:lineRule="auto"/>
        <w:jc w:val="center"/>
        <w:rPr>
          <w:rFonts w:ascii="宋体" w:hAnsi="宋体"/>
          <w:color w:val="auto"/>
          <w:sz w:val="36"/>
          <w:szCs w:val="36"/>
          <w:highlight w:val="none"/>
        </w:rPr>
      </w:pPr>
    </w:p>
    <w:p w14:paraId="7E0CFDFF">
      <w:pPr>
        <w:pStyle w:val="3"/>
        <w:rPr>
          <w:color w:val="auto"/>
          <w:highlight w:val="none"/>
        </w:rPr>
      </w:pPr>
    </w:p>
    <w:p w14:paraId="2CBED468">
      <w:pPr>
        <w:pStyle w:val="11"/>
        <w:rPr>
          <w:color w:val="auto"/>
          <w:highlight w:val="none"/>
        </w:rPr>
      </w:pPr>
    </w:p>
    <w:p w14:paraId="6D8E4F69">
      <w:pPr>
        <w:spacing w:line="360" w:lineRule="auto"/>
        <w:jc w:val="center"/>
        <w:rPr>
          <w:rFonts w:ascii="宋体" w:hAnsi="宋体"/>
          <w:color w:val="auto"/>
          <w:sz w:val="36"/>
          <w:szCs w:val="36"/>
          <w:highlight w:val="none"/>
        </w:rPr>
      </w:pPr>
    </w:p>
    <w:p w14:paraId="16E6BE02">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60AEBE48">
      <w:pPr>
        <w:pStyle w:val="21"/>
        <w:ind w:left="101" w:leftChars="48" w:firstLine="2570" w:firstLineChars="800"/>
        <w:jc w:val="left"/>
        <w:rPr>
          <w:rFonts w:hAnsi="宋体"/>
          <w:color w:val="auto"/>
          <w:szCs w:val="28"/>
          <w:highlight w:val="none"/>
          <w:u w:val="single"/>
        </w:rPr>
      </w:pPr>
    </w:p>
    <w:p w14:paraId="35AB931E">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14:paraId="10577C42">
      <w:pPr>
        <w:pStyle w:val="3"/>
        <w:rPr>
          <w:rFonts w:hint="eastAsia"/>
          <w:color w:val="auto"/>
          <w:highlight w:val="none"/>
        </w:rPr>
      </w:pPr>
    </w:p>
    <w:p w14:paraId="5AB4A9B4">
      <w:pPr>
        <w:rPr>
          <w:rFonts w:hint="eastAsia"/>
          <w:highlight w:val="none"/>
        </w:rPr>
      </w:pPr>
    </w:p>
    <w:p w14:paraId="0C57B8B0">
      <w:pPr>
        <w:pStyle w:val="11"/>
        <w:rPr>
          <w:rFonts w:hint="eastAsia"/>
          <w:color w:val="auto"/>
          <w:highlight w:val="none"/>
        </w:rPr>
      </w:pPr>
    </w:p>
    <w:p w14:paraId="79E8FB1F">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A.资格审查部分</w:t>
      </w:r>
    </w:p>
    <w:p w14:paraId="20547C8C">
      <w:pPr>
        <w:snapToGrid w:val="0"/>
        <w:spacing w:line="360" w:lineRule="auto"/>
        <w:jc w:val="center"/>
        <w:outlineLvl w:val="2"/>
        <w:rPr>
          <w:rFonts w:hint="eastAsia" w:ascii="宋体" w:hAnsi="宋体" w:cs="宋体"/>
          <w:b/>
          <w:color w:val="auto"/>
          <w:sz w:val="24"/>
          <w:highlight w:val="none"/>
        </w:rPr>
      </w:pPr>
      <w:r>
        <w:rPr>
          <w:rFonts w:hint="eastAsia" w:ascii="宋体" w:hAnsi="宋体" w:cs="宋体"/>
          <w:b/>
          <w:color w:val="auto"/>
          <w:sz w:val="24"/>
          <w:highlight w:val="none"/>
        </w:rPr>
        <w:t>1、资格声明函</w:t>
      </w:r>
    </w:p>
    <w:p w14:paraId="18DC337F">
      <w:pPr>
        <w:spacing w:line="440" w:lineRule="exact"/>
        <w:ind w:left="540" w:firstLine="30"/>
        <w:jc w:val="center"/>
        <w:rPr>
          <w:rFonts w:ascii="宋体" w:hAnsi="宋体"/>
          <w:b/>
          <w:color w:val="auto"/>
          <w:sz w:val="24"/>
          <w:highlight w:val="none"/>
        </w:rPr>
      </w:pPr>
    </w:p>
    <w:p w14:paraId="78F9FA14">
      <w:pPr>
        <w:spacing w:line="440" w:lineRule="exact"/>
        <w:rPr>
          <w:rFonts w:ascii="宋体" w:hAnsi="宋体"/>
          <w:b/>
          <w:color w:val="auto"/>
          <w:sz w:val="24"/>
          <w:highlight w:val="none"/>
        </w:rPr>
      </w:pPr>
      <w:r>
        <w:rPr>
          <w:rFonts w:hint="eastAsia" w:ascii="宋体" w:hAnsi="宋体"/>
          <w:color w:val="auto"/>
          <w:sz w:val="24"/>
          <w:highlight w:val="none"/>
        </w:rPr>
        <w:t>致：采购人</w:t>
      </w:r>
    </w:p>
    <w:p w14:paraId="240D84E1">
      <w:pPr>
        <w:spacing w:line="4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我单位承诺：</w:t>
      </w:r>
    </w:p>
    <w:p w14:paraId="1A7E9EEF">
      <w:pPr>
        <w:spacing w:line="4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我单位满足《中华人民共和国政府采购法》第二十二条 供应商参加政府采购活动应当具备的下列条件：</w:t>
      </w:r>
    </w:p>
    <w:p w14:paraId="4F9DEAFA">
      <w:pPr>
        <w:spacing w:line="4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（一）具有独立承担民事责任的能力；</w:t>
      </w:r>
    </w:p>
    <w:p w14:paraId="4E0C340D">
      <w:pPr>
        <w:spacing w:line="4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（二）具有良好的商业信誉和健全的财务会计制度；</w:t>
      </w:r>
    </w:p>
    <w:p w14:paraId="2FECA9DB">
      <w:pPr>
        <w:spacing w:line="4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（三）具有履行合同所必需的设备和专业技术能力；</w:t>
      </w:r>
    </w:p>
    <w:p w14:paraId="3AA29501">
      <w:pPr>
        <w:spacing w:line="4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（四）有依法缴纳税收和社会保障资金的良好记录；</w:t>
      </w:r>
    </w:p>
    <w:p w14:paraId="6A8C236A">
      <w:pPr>
        <w:spacing w:line="4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（五）参加政府采购活动前三年内，在经营活动中没有重大违法记录；</w:t>
      </w:r>
    </w:p>
    <w:p w14:paraId="153D2249">
      <w:pPr>
        <w:spacing w:line="4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（六）法律、行政法规规定的其他条件。</w:t>
      </w:r>
    </w:p>
    <w:p w14:paraId="0DEAE12F">
      <w:pPr>
        <w:spacing w:line="440" w:lineRule="exact"/>
        <w:ind w:firstLine="480" w:firstLineChars="200"/>
        <w:rPr>
          <w:rFonts w:hint="eastAsia" w:ascii="宋体" w:hAnsi="宋体" w:eastAsia="宋体" w:cs="Times New Roman"/>
          <w:bCs/>
          <w:color w:val="auto"/>
          <w:sz w:val="24"/>
          <w:highlight w:val="none"/>
        </w:rPr>
      </w:pPr>
    </w:p>
    <w:p w14:paraId="7A8D67AB">
      <w:pPr>
        <w:spacing w:line="4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特此承诺。</w:t>
      </w:r>
    </w:p>
    <w:p w14:paraId="0F85397C">
      <w:pPr>
        <w:pStyle w:val="31"/>
        <w:spacing w:before="0" w:beforeAutospacing="0" w:after="0" w:afterAutospacing="0" w:line="440" w:lineRule="exact"/>
        <w:ind w:right="159" w:firstLine="660"/>
        <w:jc w:val="both"/>
        <w:rPr>
          <w:bCs/>
          <w:color w:val="auto"/>
          <w:sz w:val="24"/>
          <w:szCs w:val="24"/>
          <w:highlight w:val="none"/>
        </w:rPr>
      </w:pPr>
    </w:p>
    <w:p w14:paraId="7093DFEE">
      <w:pPr>
        <w:pStyle w:val="31"/>
        <w:spacing w:before="0" w:beforeAutospacing="0" w:after="0" w:afterAutospacing="0" w:line="440" w:lineRule="exact"/>
        <w:ind w:right="159" w:firstLine="660"/>
        <w:jc w:val="both"/>
        <w:rPr>
          <w:bCs/>
          <w:color w:val="auto"/>
          <w:sz w:val="24"/>
          <w:szCs w:val="24"/>
          <w:highlight w:val="none"/>
        </w:rPr>
      </w:pPr>
    </w:p>
    <w:p w14:paraId="144300DA">
      <w:pPr>
        <w:spacing w:line="440" w:lineRule="exact"/>
        <w:rPr>
          <w:rFonts w:ascii="宋体" w:hAnsi="宋体"/>
          <w:color w:val="auto"/>
          <w:kern w:val="0"/>
          <w:sz w:val="24"/>
          <w:highlight w:val="none"/>
        </w:rPr>
      </w:pPr>
    </w:p>
    <w:p w14:paraId="127033FA">
      <w:pPr>
        <w:spacing w:line="440" w:lineRule="exact"/>
        <w:rPr>
          <w:rFonts w:ascii="宋体" w:hAnsi="宋体"/>
          <w:color w:val="auto"/>
          <w:kern w:val="0"/>
          <w:sz w:val="24"/>
          <w:highlight w:val="none"/>
        </w:rPr>
      </w:pPr>
    </w:p>
    <w:p w14:paraId="5F5C2624">
      <w:pPr>
        <w:spacing w:line="440" w:lineRule="exact"/>
        <w:jc w:val="left"/>
        <w:rPr>
          <w:rFonts w:ascii="宋体" w:hAnsi="宋体"/>
          <w:color w:val="auto"/>
          <w:sz w:val="24"/>
          <w:highlight w:val="none"/>
        </w:rPr>
      </w:pPr>
      <w:r>
        <w:rPr>
          <w:rFonts w:hint="eastAsia" w:ascii="宋体" w:hAnsi="宋体"/>
          <w:color w:val="auto"/>
          <w:sz w:val="24"/>
          <w:highlight w:val="none"/>
        </w:rPr>
        <w:t>供应商（盖章）：</w:t>
      </w:r>
      <w:r>
        <w:rPr>
          <w:rFonts w:ascii="宋体" w:hAnsi="宋体"/>
          <w:color w:val="auto"/>
          <w:sz w:val="24"/>
          <w:highlight w:val="none"/>
        </w:rPr>
        <w:t xml:space="preserve">          </w:t>
      </w:r>
    </w:p>
    <w:p w14:paraId="6F01CC8C">
      <w:pPr>
        <w:spacing w:line="440" w:lineRule="exact"/>
        <w:rPr>
          <w:rStyle w:val="99"/>
          <w:rFonts w:hint="eastAsia" w:hAnsi="宋体"/>
          <w:color w:val="auto"/>
          <w:highlight w:val="none"/>
        </w:rPr>
      </w:pP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p>
    <w:p w14:paraId="1902A4EA">
      <w:pPr>
        <w:spacing w:line="440" w:lineRule="exact"/>
        <w:rPr>
          <w:rFonts w:ascii="宋体" w:hAnsi="宋体"/>
          <w:color w:val="auto"/>
          <w:kern w:val="0"/>
          <w:sz w:val="24"/>
          <w:highlight w:val="none"/>
        </w:rPr>
      </w:pPr>
    </w:p>
    <w:p w14:paraId="430DB8FC">
      <w:pPr>
        <w:spacing w:line="440" w:lineRule="exact"/>
        <w:rPr>
          <w:rStyle w:val="99"/>
          <w:rFonts w:hint="eastAsia" w:hAnsi="宋体"/>
          <w:color w:val="auto"/>
          <w:highlight w:val="none"/>
        </w:rPr>
      </w:pPr>
    </w:p>
    <w:p w14:paraId="58B2C118">
      <w:pPr>
        <w:spacing w:line="360" w:lineRule="auto"/>
        <w:rPr>
          <w:rStyle w:val="99"/>
          <w:rFonts w:hint="eastAsia" w:hAnsi="宋体"/>
          <w:color w:val="auto"/>
          <w:highlight w:val="none"/>
        </w:rPr>
      </w:pPr>
    </w:p>
    <w:p w14:paraId="1397DF11">
      <w:pPr>
        <w:numPr>
          <w:ilvl w:val="0"/>
          <w:numId w:val="14"/>
        </w:numPr>
        <w:spacing w:line="440" w:lineRule="exact"/>
        <w:rPr>
          <w:rFonts w:hint="eastAsia" w:ascii="宋体" w:hAnsi="宋体"/>
          <w:b/>
          <w:color w:val="auto"/>
          <w:sz w:val="24"/>
          <w:highlight w:val="none"/>
        </w:rPr>
      </w:pPr>
      <w:r>
        <w:rPr>
          <w:rStyle w:val="99"/>
          <w:rFonts w:hAnsi="宋体"/>
          <w:color w:val="auto"/>
          <w:highlight w:val="none"/>
        </w:rPr>
        <w:br w:type="page"/>
      </w:r>
      <w:r>
        <w:rPr>
          <w:rFonts w:hint="eastAsia" w:ascii="宋体" w:hAnsi="宋体"/>
          <w:b/>
          <w:color w:val="auto"/>
          <w:sz w:val="24"/>
          <w:highlight w:val="none"/>
        </w:rPr>
        <w:t>营业执照副本（或事业法人登记证副本或其他登记证明材料）复印件加盖供应商公章（供应商如果有名称变更的，应提供由行政主管部门出具的变更证明文件复印件加盖供应商公章）；</w:t>
      </w:r>
    </w:p>
    <w:p w14:paraId="49B9D8C9">
      <w:pPr>
        <w:pStyle w:val="36"/>
        <w:ind w:firstLine="0" w:firstLineChars="0"/>
        <w:rPr>
          <w:rFonts w:hint="eastAsia" w:ascii="宋体" w:hAnsi="宋体"/>
          <w:b/>
          <w:color w:val="auto"/>
          <w:sz w:val="24"/>
          <w:highlight w:val="none"/>
        </w:rPr>
      </w:pPr>
    </w:p>
    <w:p w14:paraId="7143F8F0">
      <w:pPr>
        <w:rPr>
          <w:rFonts w:hint="eastAsia" w:ascii="宋体" w:hAnsi="宋体"/>
          <w:b/>
          <w:color w:val="auto"/>
          <w:sz w:val="24"/>
          <w:highlight w:val="none"/>
        </w:rPr>
      </w:pPr>
    </w:p>
    <w:p w14:paraId="0EE05587">
      <w:pPr>
        <w:rPr>
          <w:rFonts w:hint="eastAsia" w:ascii="宋体" w:hAnsi="宋体"/>
          <w:b/>
          <w:color w:val="auto"/>
          <w:sz w:val="24"/>
          <w:highlight w:val="none"/>
        </w:rPr>
      </w:pPr>
    </w:p>
    <w:p w14:paraId="1ABD07A6">
      <w:pPr>
        <w:rPr>
          <w:rFonts w:hint="eastAsia" w:ascii="宋体" w:hAnsi="宋体"/>
          <w:b/>
          <w:color w:val="auto"/>
          <w:sz w:val="24"/>
          <w:highlight w:val="none"/>
        </w:rPr>
      </w:pPr>
    </w:p>
    <w:p w14:paraId="7CF45394">
      <w:pPr>
        <w:rPr>
          <w:rFonts w:hint="eastAsia" w:ascii="宋体" w:hAnsi="宋体"/>
          <w:b/>
          <w:color w:val="auto"/>
          <w:sz w:val="24"/>
          <w:highlight w:val="none"/>
        </w:rPr>
      </w:pPr>
    </w:p>
    <w:p w14:paraId="6205FC67">
      <w:pPr>
        <w:rPr>
          <w:rFonts w:hint="eastAsia" w:ascii="宋体" w:hAnsi="宋体"/>
          <w:b/>
          <w:color w:val="auto"/>
          <w:sz w:val="24"/>
          <w:highlight w:val="none"/>
        </w:rPr>
      </w:pPr>
    </w:p>
    <w:p w14:paraId="0BF3213C">
      <w:pPr>
        <w:rPr>
          <w:rFonts w:hint="eastAsia" w:ascii="宋体" w:hAnsi="宋体"/>
          <w:b/>
          <w:color w:val="auto"/>
          <w:sz w:val="24"/>
          <w:highlight w:val="none"/>
        </w:rPr>
      </w:pPr>
    </w:p>
    <w:p w14:paraId="2FEC4F31">
      <w:pPr>
        <w:rPr>
          <w:rFonts w:hint="eastAsia" w:ascii="宋体" w:hAnsi="宋体"/>
          <w:b/>
          <w:color w:val="auto"/>
          <w:sz w:val="24"/>
          <w:highlight w:val="none"/>
        </w:rPr>
      </w:pPr>
    </w:p>
    <w:p w14:paraId="74692FCC">
      <w:pPr>
        <w:rPr>
          <w:rFonts w:hint="eastAsia" w:ascii="宋体" w:hAnsi="宋体"/>
          <w:b/>
          <w:color w:val="auto"/>
          <w:sz w:val="24"/>
          <w:highlight w:val="none"/>
        </w:rPr>
      </w:pPr>
    </w:p>
    <w:p w14:paraId="758ADD18">
      <w:pPr>
        <w:spacing w:line="440" w:lineRule="exact"/>
        <w:rPr>
          <w:rFonts w:hint="eastAsia" w:ascii="宋体" w:hAnsi="宋体"/>
          <w:b/>
          <w:color w:val="auto"/>
          <w:sz w:val="24"/>
          <w:highlight w:val="none"/>
        </w:rPr>
      </w:pPr>
    </w:p>
    <w:p w14:paraId="211618AA">
      <w:pPr>
        <w:spacing w:line="440" w:lineRule="exact"/>
        <w:ind w:firstLine="482" w:firstLineChars="200"/>
        <w:jc w:val="center"/>
        <w:rPr>
          <w:rFonts w:hint="eastAsia" w:ascii="宋体" w:hAnsi="宋体" w:cs="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w:t>
      </w:r>
      <w:r>
        <w:rPr>
          <w:rFonts w:hint="eastAsia" w:ascii="宋体" w:hAnsi="宋体" w:cs="宋体"/>
          <w:b/>
          <w:color w:val="auto"/>
          <w:sz w:val="24"/>
          <w:highlight w:val="none"/>
        </w:rPr>
        <w:t>供应商认为需要的其他资料（如有需提供）</w:t>
      </w:r>
    </w:p>
    <w:p w14:paraId="0D570817">
      <w:pPr>
        <w:pStyle w:val="11"/>
        <w:rPr>
          <w:rFonts w:hint="eastAsia" w:ascii="宋体" w:hAnsi="宋体" w:cs="宋体"/>
          <w:b/>
          <w:bCs/>
          <w:color w:val="auto"/>
          <w:sz w:val="24"/>
          <w:szCs w:val="24"/>
          <w:highlight w:val="none"/>
        </w:rPr>
        <w:sectPr>
          <w:headerReference r:id="rId4" w:type="default"/>
          <w:footerReference r:id="rId5" w:type="default"/>
          <w:pgSz w:w="11905" w:h="16838"/>
          <w:pgMar w:top="1474" w:right="1797" w:bottom="1247" w:left="1797" w:header="850" w:footer="850" w:gutter="0"/>
          <w:pgBorders>
            <w:top w:val="none" w:sz="0" w:space="0"/>
            <w:left w:val="none" w:sz="0" w:space="0"/>
            <w:bottom w:val="none" w:sz="0" w:space="0"/>
            <w:right w:val="none" w:sz="0" w:space="0"/>
          </w:pgBorders>
          <w:pgNumType w:fmt="decimal"/>
          <w:cols w:space="720" w:num="1"/>
          <w:docGrid w:linePitch="285" w:charSpace="0"/>
        </w:sectPr>
      </w:pPr>
    </w:p>
    <w:p w14:paraId="59F45C6B">
      <w:pPr>
        <w:pStyle w:val="15"/>
        <w:ind w:left="0" w:leftChars="0" w:firstLine="0" w:firstLineChars="0"/>
        <w:rPr>
          <w:rFonts w:hint="eastAsia" w:ascii="宋体" w:hAnsi="宋体" w:cs="宋体"/>
          <w:color w:val="auto"/>
          <w:sz w:val="24"/>
          <w:highlight w:val="none"/>
        </w:rPr>
      </w:pPr>
    </w:p>
    <w:p w14:paraId="1C31E4C7">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中小企业声明函</w:t>
      </w:r>
    </w:p>
    <w:p w14:paraId="3EE6C147">
      <w:pPr>
        <w:pStyle w:val="35"/>
        <w:rPr>
          <w:rFonts w:hint="eastAsia" w:ascii="宋体" w:hAnsi="宋体" w:cs="宋体"/>
          <w:color w:val="auto"/>
          <w:sz w:val="24"/>
          <w:highlight w:val="none"/>
        </w:rPr>
      </w:pPr>
    </w:p>
    <w:p w14:paraId="78C93C8A">
      <w:pPr>
        <w:spacing w:line="400" w:lineRule="exact"/>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中小企业声明函</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货物</w:t>
      </w:r>
      <w:r>
        <w:rPr>
          <w:rFonts w:hint="eastAsia" w:ascii="宋体" w:hAnsi="宋体" w:cs="宋体"/>
          <w:b/>
          <w:color w:val="auto"/>
          <w:sz w:val="24"/>
          <w:highlight w:val="none"/>
          <w:lang w:eastAsia="zh-CN"/>
        </w:rPr>
        <w:t>）</w:t>
      </w:r>
    </w:p>
    <w:p w14:paraId="1E4BC9C3">
      <w:pPr>
        <w:spacing w:line="440" w:lineRule="exact"/>
        <w:rPr>
          <w:rFonts w:hint="eastAsia" w:ascii="宋体" w:hAnsi="宋体" w:cs="宋体"/>
          <w:b/>
          <w:color w:val="auto"/>
          <w:sz w:val="24"/>
          <w:highlight w:val="none"/>
        </w:rPr>
      </w:pPr>
    </w:p>
    <w:p w14:paraId="7F32E186">
      <w:pPr>
        <w:pStyle w:val="14"/>
        <w:spacing w:after="0" w:line="500" w:lineRule="exact"/>
        <w:ind w:firstLine="440" w:firstLineChars="200"/>
        <w:jc w:val="left"/>
        <w:rPr>
          <w:rFonts w:ascii="宋体" w:hAnsi="宋体" w:cs="宋体"/>
          <w:color w:val="auto"/>
          <w:w w:val="95"/>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 号）的规定，本公司（联合体）参加</w:t>
      </w:r>
      <w:r>
        <w:rPr>
          <w:rFonts w:hint="eastAsia" w:ascii="宋体" w:hAnsi="宋体" w:cs="宋体"/>
          <w:i/>
          <w:iCs/>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i/>
          <w:iCs/>
          <w:color w:val="auto"/>
          <w:sz w:val="22"/>
          <w:szCs w:val="22"/>
          <w:highlight w:val="none"/>
          <w:u w:val="single"/>
        </w:rPr>
        <w:t>（项目名称）</w:t>
      </w:r>
      <w:r>
        <w:rPr>
          <w:rFonts w:hint="eastAsia" w:ascii="宋体" w:hAnsi="宋体" w:cs="宋体"/>
          <w:color w:val="auto"/>
          <w:sz w:val="22"/>
          <w:szCs w:val="22"/>
          <w:highlight w:val="none"/>
        </w:rPr>
        <w:t>采购活动，提供的货物全部由符合政策要求的中小企业制造。相关企业（含联合体中的中小企业、签订分包意向协议的中小企业）的具体情况如下：</w:t>
      </w:r>
    </w:p>
    <w:p w14:paraId="3A901AF8">
      <w:pPr>
        <w:pStyle w:val="14"/>
        <w:numPr>
          <w:ilvl w:val="0"/>
          <w:numId w:val="15"/>
        </w:numPr>
        <w:spacing w:after="0" w:line="500" w:lineRule="exact"/>
        <w:ind w:firstLine="440" w:firstLineChars="200"/>
        <w:jc w:val="left"/>
        <w:rPr>
          <w:rFonts w:hint="eastAsia" w:ascii="宋体" w:hAnsi="宋体" w:cs="宋体"/>
          <w:color w:val="auto"/>
          <w:w w:val="95"/>
          <w:sz w:val="22"/>
          <w:szCs w:val="22"/>
          <w:highlight w:val="none"/>
        </w:rPr>
      </w:pP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 xml:space="preserve"> ，属于</w:t>
      </w:r>
      <w:r>
        <w:rPr>
          <w:rFonts w:hint="eastAsia" w:ascii="宋体" w:hAnsi="宋体" w:cs="宋体"/>
          <w:color w:val="auto"/>
          <w:sz w:val="22"/>
          <w:szCs w:val="22"/>
          <w:highlight w:val="none"/>
          <w:u w:val="single"/>
          <w:lang w:eastAsia="zh-CN"/>
        </w:rPr>
        <w:t>工业</w:t>
      </w:r>
      <w:r>
        <w:rPr>
          <w:rFonts w:hint="eastAsia" w:ascii="宋体" w:hAnsi="宋体" w:cs="宋体"/>
          <w:color w:val="auto"/>
          <w:sz w:val="22"/>
          <w:szCs w:val="22"/>
          <w:highlight w:val="none"/>
        </w:rPr>
        <w:t>行业；制造商为</w:t>
      </w:r>
      <w:r>
        <w:rPr>
          <w:rFonts w:hint="eastAsia" w:ascii="宋体" w:hAnsi="宋体" w:cs="宋体"/>
          <w:color w:val="auto"/>
          <w:sz w:val="22"/>
          <w:szCs w:val="22"/>
          <w:highlight w:val="none"/>
          <w:u w:val="single"/>
        </w:rPr>
        <w:t>（企业名称）</w:t>
      </w:r>
      <w:r>
        <w:rPr>
          <w:rFonts w:hint="eastAsia" w:ascii="宋体" w:hAnsi="宋体" w:cs="宋体"/>
          <w:color w:val="auto"/>
          <w:w w:val="95"/>
          <w:sz w:val="22"/>
          <w:szCs w:val="22"/>
          <w:highlight w:val="none"/>
        </w:rPr>
        <w:t>，</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w w:val="95"/>
          <w:sz w:val="22"/>
          <w:szCs w:val="22"/>
          <w:highlight w:val="none"/>
        </w:rPr>
        <w:t>；</w:t>
      </w:r>
    </w:p>
    <w:p w14:paraId="656A8FCE">
      <w:pPr>
        <w:pStyle w:val="14"/>
        <w:numPr>
          <w:ilvl w:val="0"/>
          <w:numId w:val="15"/>
        </w:numPr>
        <w:spacing w:after="0" w:line="500" w:lineRule="exact"/>
        <w:ind w:firstLine="440" w:firstLineChars="200"/>
        <w:jc w:val="left"/>
        <w:rPr>
          <w:rFonts w:hint="eastAsia" w:ascii="宋体" w:hAnsi="宋体" w:cs="宋体"/>
          <w:color w:val="auto"/>
          <w:w w:val="95"/>
          <w:sz w:val="22"/>
          <w:szCs w:val="22"/>
          <w:highlight w:val="none"/>
        </w:rPr>
      </w:pP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 xml:space="preserve"> ，属于</w:t>
      </w:r>
      <w:r>
        <w:rPr>
          <w:rFonts w:hint="eastAsia" w:ascii="宋体" w:hAnsi="宋体" w:cs="宋体"/>
          <w:color w:val="auto"/>
          <w:sz w:val="22"/>
          <w:szCs w:val="22"/>
          <w:highlight w:val="none"/>
          <w:u w:val="single"/>
          <w:lang w:eastAsia="zh-CN"/>
        </w:rPr>
        <w:t>工业</w:t>
      </w:r>
      <w:r>
        <w:rPr>
          <w:rFonts w:hint="eastAsia" w:ascii="宋体" w:hAnsi="宋体" w:cs="宋体"/>
          <w:color w:val="auto"/>
          <w:sz w:val="22"/>
          <w:szCs w:val="22"/>
          <w:highlight w:val="none"/>
        </w:rPr>
        <w:t>行业；制造商为</w:t>
      </w:r>
      <w:r>
        <w:rPr>
          <w:rFonts w:hint="eastAsia" w:ascii="宋体" w:hAnsi="宋体" w:cs="宋体"/>
          <w:color w:val="auto"/>
          <w:sz w:val="22"/>
          <w:szCs w:val="22"/>
          <w:highlight w:val="none"/>
          <w:u w:val="single"/>
        </w:rPr>
        <w:t>（企业名称）</w:t>
      </w:r>
      <w:r>
        <w:rPr>
          <w:rFonts w:hint="eastAsia" w:ascii="宋体" w:hAnsi="宋体" w:cs="宋体"/>
          <w:color w:val="auto"/>
          <w:w w:val="95"/>
          <w:sz w:val="22"/>
          <w:szCs w:val="22"/>
          <w:highlight w:val="none"/>
        </w:rPr>
        <w:t>，</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w w:val="95"/>
          <w:sz w:val="22"/>
          <w:szCs w:val="22"/>
          <w:highlight w:val="none"/>
        </w:rPr>
        <w:t>；</w:t>
      </w:r>
    </w:p>
    <w:p w14:paraId="761E9089">
      <w:pPr>
        <w:numPr>
          <w:ilvl w:val="0"/>
          <w:numId w:val="0"/>
        </w:numPr>
        <w:ind w:firstLine="440" w:firstLineChars="200"/>
        <w:rPr>
          <w:rFonts w:hint="default" w:eastAsia="宋体"/>
          <w:color w:val="auto"/>
          <w:sz w:val="22"/>
          <w:szCs w:val="22"/>
          <w:highlight w:val="none"/>
          <w:lang w:val="en-US" w:eastAsia="zh-CN"/>
        </w:rPr>
      </w:pPr>
      <w:r>
        <w:rPr>
          <w:rFonts w:hint="eastAsia"/>
          <w:color w:val="auto"/>
          <w:sz w:val="22"/>
          <w:szCs w:val="22"/>
          <w:highlight w:val="none"/>
          <w:lang w:val="en-US" w:eastAsia="zh-CN"/>
        </w:rPr>
        <w:t>......</w:t>
      </w:r>
    </w:p>
    <w:p w14:paraId="16C3E67A">
      <w:pPr>
        <w:pStyle w:val="14"/>
        <w:spacing w:after="0" w:line="5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14DD4F15">
      <w:pPr>
        <w:pStyle w:val="14"/>
        <w:spacing w:after="0" w:line="5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7AADCAE9">
      <w:pPr>
        <w:spacing w:line="440" w:lineRule="exact"/>
        <w:ind w:firstLine="420" w:firstLineChars="200"/>
        <w:rPr>
          <w:rFonts w:hint="eastAsia" w:ascii="宋体" w:hAnsi="宋体" w:cs="宋体"/>
          <w:color w:val="auto"/>
          <w:sz w:val="21"/>
          <w:szCs w:val="21"/>
          <w:highlight w:val="none"/>
        </w:rPr>
      </w:pPr>
    </w:p>
    <w:p w14:paraId="456114CD">
      <w:pPr>
        <w:spacing w:line="440" w:lineRule="exact"/>
        <w:ind w:firstLine="480" w:firstLineChars="200"/>
        <w:rPr>
          <w:rFonts w:hint="eastAsia" w:ascii="宋体" w:hAnsi="宋体" w:cs="宋体"/>
          <w:color w:val="auto"/>
          <w:sz w:val="24"/>
          <w:highlight w:val="none"/>
        </w:rPr>
      </w:pPr>
    </w:p>
    <w:p w14:paraId="7C212120">
      <w:pPr>
        <w:spacing w:line="440" w:lineRule="exact"/>
        <w:ind w:firstLine="480" w:firstLineChars="200"/>
        <w:rPr>
          <w:rFonts w:hint="eastAsia" w:ascii="宋体" w:hAnsi="宋体" w:cs="宋体"/>
          <w:color w:val="auto"/>
          <w:sz w:val="24"/>
          <w:highlight w:val="none"/>
        </w:rPr>
      </w:pPr>
    </w:p>
    <w:p w14:paraId="74EB090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供应商（盖章）：</w:t>
      </w:r>
    </w:p>
    <w:p w14:paraId="03F01AF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w:t>
      </w:r>
    </w:p>
    <w:p w14:paraId="5D4A2792">
      <w:pPr>
        <w:spacing w:line="420" w:lineRule="exact"/>
        <w:jc w:val="center"/>
        <w:rPr>
          <w:rFonts w:hint="eastAsia" w:ascii="宋体" w:hAnsi="宋体" w:cs="宋体"/>
          <w:b/>
          <w:color w:val="auto"/>
          <w:sz w:val="24"/>
          <w:highlight w:val="none"/>
        </w:rPr>
      </w:pPr>
      <w:r>
        <w:rPr>
          <w:rFonts w:hint="eastAsia" w:ascii="宋体" w:hAnsi="宋体" w:cs="宋体"/>
          <w:color w:val="auto"/>
          <w:szCs w:val="21"/>
          <w:highlight w:val="none"/>
        </w:rPr>
        <w:br w:type="page"/>
      </w:r>
      <w:r>
        <w:rPr>
          <w:rFonts w:hint="eastAsia" w:ascii="宋体" w:hAnsi="宋体"/>
          <w:b/>
          <w:color w:val="auto"/>
          <w:sz w:val="24"/>
          <w:highlight w:val="none"/>
          <w:lang w:val="en-US" w:eastAsia="zh-CN"/>
        </w:rPr>
        <w:t>（2）</w:t>
      </w:r>
      <w:r>
        <w:rPr>
          <w:rFonts w:hint="eastAsia" w:ascii="宋体" w:hAnsi="宋体" w:cs="宋体"/>
          <w:b/>
          <w:color w:val="auto"/>
          <w:sz w:val="24"/>
          <w:highlight w:val="none"/>
        </w:rPr>
        <w:t>残疾人福利性单位声明函（如有需提供）</w:t>
      </w:r>
    </w:p>
    <w:p w14:paraId="16B7698E">
      <w:pPr>
        <w:spacing w:line="58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D53D2C">
      <w:pPr>
        <w:spacing w:line="588"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8FF4926">
      <w:pPr>
        <w:spacing w:line="588" w:lineRule="exact"/>
        <w:ind w:firstLine="480" w:firstLineChars="200"/>
        <w:rPr>
          <w:rFonts w:hint="eastAsia" w:ascii="宋体" w:hAnsi="宋体" w:cs="宋体"/>
          <w:color w:val="auto"/>
          <w:sz w:val="24"/>
          <w:highlight w:val="none"/>
        </w:rPr>
      </w:pPr>
    </w:p>
    <w:p w14:paraId="61D56A70">
      <w:pPr>
        <w:tabs>
          <w:tab w:val="left" w:pos="4860"/>
        </w:tabs>
        <w:spacing w:line="588" w:lineRule="exact"/>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单位名称（盖章）：</w:t>
      </w:r>
    </w:p>
    <w:p w14:paraId="3F54873C">
      <w:pPr>
        <w:tabs>
          <w:tab w:val="left" w:pos="4860"/>
        </w:tabs>
        <w:spacing w:line="588" w:lineRule="exact"/>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0E6F8B3">
      <w:pPr>
        <w:tabs>
          <w:tab w:val="left" w:pos="4860"/>
        </w:tabs>
        <w:spacing w:line="588" w:lineRule="exact"/>
        <w:ind w:right="1560" w:firstLine="480" w:firstLineChars="200"/>
        <w:jc w:val="center"/>
        <w:rPr>
          <w:rFonts w:hint="eastAsia" w:ascii="宋体" w:hAnsi="宋体" w:cs="宋体"/>
          <w:color w:val="auto"/>
          <w:sz w:val="24"/>
          <w:highlight w:val="none"/>
        </w:rPr>
      </w:pPr>
    </w:p>
    <w:p w14:paraId="2B8AB70E">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w:t>
      </w:r>
    </w:p>
    <w:p w14:paraId="33D8D998">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享受政府采购支持政策的残疾人福利性单位应当同时满足以下条件：</w:t>
      </w:r>
    </w:p>
    <w:p w14:paraId="06B171FE">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（一）安置的残疾人占本单位在职职工人数的比例不低于25%（含25%），并且安置的残疾人人数不少于10人（含10人）；</w:t>
      </w:r>
    </w:p>
    <w:p w14:paraId="5D674FF5">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（二）依法与安置的每位残疾人签订了一年以上（含一年）的劳动合同或服务协议；</w:t>
      </w:r>
    </w:p>
    <w:p w14:paraId="5FEA19A0">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（三）为安置的每位残疾人按月足额缴纳了基本养老保险、基本医疗保险、失业保险、工伤保险和生育保险等社会保险费；</w:t>
      </w:r>
    </w:p>
    <w:p w14:paraId="1D56B880">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（四）通过银行等金融机构向安置的每位残疾人，按月支付了不低于单位所在区县适用的经省级人民政府批准的月最低工资标准的工资；</w:t>
      </w:r>
    </w:p>
    <w:p w14:paraId="37DEB0CA">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（五）提供本单位制造的货物、承担的工程或者服务（以下简称产品），或者提供其他残疾人福利性单位制造的货物（不包括使用非残疾人福利性单位注册商标的货物）。</w:t>
      </w:r>
    </w:p>
    <w:p w14:paraId="3CAE7D1E">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8F6D7B">
      <w:pPr>
        <w:spacing w:line="420" w:lineRule="exact"/>
        <w:rPr>
          <w:rFonts w:hint="eastAsia" w:ascii="宋体" w:hAnsi="宋体" w:cs="宋体"/>
          <w:color w:val="auto"/>
          <w:sz w:val="24"/>
          <w:highlight w:val="none"/>
        </w:rPr>
      </w:pPr>
    </w:p>
    <w:p w14:paraId="7E2592B8">
      <w:pPr>
        <w:pStyle w:val="121"/>
        <w:rPr>
          <w:rFonts w:hint="eastAsia"/>
          <w:highlight w:val="none"/>
        </w:rPr>
      </w:pPr>
    </w:p>
    <w:p w14:paraId="73938C1C">
      <w:pPr>
        <w:rPr>
          <w:rFonts w:hint="eastAsia"/>
          <w:highlight w:val="none"/>
        </w:rPr>
        <w:sectPr>
          <w:headerReference r:id="rId6" w:type="default"/>
          <w:footerReference r:id="rId7" w:type="default"/>
          <w:pgSz w:w="11905" w:h="16838"/>
          <w:pgMar w:top="1474" w:right="1440" w:bottom="1474" w:left="1440" w:header="850" w:footer="850" w:gutter="0"/>
          <w:pgBorders>
            <w:top w:val="none" w:sz="0" w:space="0"/>
            <w:left w:val="none" w:sz="0" w:space="0"/>
            <w:bottom w:val="none" w:sz="0" w:space="0"/>
            <w:right w:val="none" w:sz="0" w:space="0"/>
          </w:pgBorders>
          <w:pgNumType w:fmt="decimal"/>
          <w:cols w:space="720" w:num="1"/>
          <w:rtlGutter w:val="0"/>
          <w:docGrid w:linePitch="285" w:charSpace="0"/>
        </w:sectPr>
      </w:pPr>
    </w:p>
    <w:tbl>
      <w:tblPr>
        <w:tblStyle w:val="37"/>
        <w:tblpPr w:leftFromText="180" w:rightFromText="180" w:vertAnchor="page" w:horzAnchor="margin" w:tblpXSpec="center" w:tblpY="886"/>
        <w:tblW w:w="0" w:type="auto"/>
        <w:tblInd w:w="0" w:type="dxa"/>
        <w:tblLayout w:type="fixed"/>
        <w:tblCellMar>
          <w:top w:w="0" w:type="dxa"/>
          <w:left w:w="108" w:type="dxa"/>
          <w:bottom w:w="0" w:type="dxa"/>
          <w:right w:w="108" w:type="dxa"/>
        </w:tblCellMar>
      </w:tblPr>
      <w:tblGrid>
        <w:gridCol w:w="2283"/>
        <w:gridCol w:w="1498"/>
        <w:gridCol w:w="1763"/>
        <w:gridCol w:w="1660"/>
        <w:gridCol w:w="1240"/>
        <w:gridCol w:w="1480"/>
        <w:gridCol w:w="1520"/>
        <w:gridCol w:w="1285"/>
        <w:gridCol w:w="1275"/>
        <w:gridCol w:w="1221"/>
      </w:tblGrid>
      <w:tr w14:paraId="7489151D">
        <w:tblPrEx>
          <w:tblCellMar>
            <w:top w:w="0" w:type="dxa"/>
            <w:left w:w="108" w:type="dxa"/>
            <w:bottom w:w="0" w:type="dxa"/>
            <w:right w:w="108" w:type="dxa"/>
          </w:tblCellMar>
        </w:tblPrEx>
        <w:trPr>
          <w:trHeight w:val="420" w:hRule="atLeast"/>
        </w:trPr>
        <w:tc>
          <w:tcPr>
            <w:tcW w:w="15225" w:type="dxa"/>
            <w:gridSpan w:val="10"/>
            <w:tcBorders>
              <w:top w:val="nil"/>
              <w:left w:val="nil"/>
              <w:bottom w:val="nil"/>
              <w:right w:val="nil"/>
            </w:tcBorders>
            <w:noWrap w:val="0"/>
            <w:vAlign w:val="bottom"/>
          </w:tcPr>
          <w:p w14:paraId="6E8FB079">
            <w:pPr>
              <w:spacing w:line="440" w:lineRule="exact"/>
              <w:ind w:firstLine="482" w:firstLineChars="200"/>
              <w:rPr>
                <w:rFonts w:hint="eastAsia"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中小微行业划型标准规定（根据工信部联企业〔2011〕300号制定）</w:t>
            </w:r>
          </w:p>
        </w:tc>
      </w:tr>
      <w:tr w14:paraId="5E0149DE">
        <w:tblPrEx>
          <w:tblCellMar>
            <w:top w:w="0" w:type="dxa"/>
            <w:left w:w="108" w:type="dxa"/>
            <w:bottom w:w="0" w:type="dxa"/>
            <w:right w:w="108" w:type="dxa"/>
          </w:tblCellMar>
        </w:tblPrEx>
        <w:trPr>
          <w:trHeight w:val="320" w:hRule="atLeast"/>
        </w:trPr>
        <w:tc>
          <w:tcPr>
            <w:tcW w:w="2283" w:type="dxa"/>
            <w:vMerge w:val="restart"/>
            <w:tcBorders>
              <w:top w:val="single" w:color="auto" w:sz="8" w:space="0"/>
              <w:left w:val="single" w:color="auto" w:sz="8" w:space="0"/>
              <w:bottom w:val="single" w:color="000000" w:sz="4" w:space="0"/>
              <w:right w:val="single" w:color="auto" w:sz="8" w:space="0"/>
            </w:tcBorders>
            <w:noWrap w:val="0"/>
            <w:vAlign w:val="center"/>
          </w:tcPr>
          <w:p w14:paraId="3BD6ECF9">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3B2B35D9">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14:paraId="6FE40EE6">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0C64EF97">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3B7AF926">
        <w:tblPrEx>
          <w:tblCellMar>
            <w:top w:w="0" w:type="dxa"/>
            <w:left w:w="108" w:type="dxa"/>
            <w:bottom w:w="0" w:type="dxa"/>
            <w:right w:w="108" w:type="dxa"/>
          </w:tblCellMar>
        </w:tblPrEx>
        <w:trPr>
          <w:trHeight w:val="520" w:hRule="atLeast"/>
        </w:trPr>
        <w:tc>
          <w:tcPr>
            <w:tcW w:w="2283" w:type="dxa"/>
            <w:vMerge w:val="continue"/>
            <w:tcBorders>
              <w:top w:val="single" w:color="auto" w:sz="8" w:space="0"/>
              <w:left w:val="single" w:color="auto" w:sz="8" w:space="0"/>
              <w:bottom w:val="single" w:color="000000" w:sz="4" w:space="0"/>
              <w:right w:val="single" w:color="auto" w:sz="8" w:space="0"/>
            </w:tcBorders>
            <w:noWrap w:val="0"/>
            <w:vAlign w:val="center"/>
          </w:tcPr>
          <w:p w14:paraId="5E889E77">
            <w:pPr>
              <w:widowControl/>
              <w:jc w:val="left"/>
              <w:rPr>
                <w:rFonts w:hint="eastAsia" w:ascii="宋体" w:hAnsi="宋体" w:cs="宋体"/>
                <w:b/>
                <w:bCs/>
                <w:color w:val="auto"/>
                <w:kern w:val="0"/>
                <w:sz w:val="24"/>
                <w:highlight w:val="none"/>
              </w:rPr>
            </w:pPr>
          </w:p>
        </w:tc>
        <w:tc>
          <w:tcPr>
            <w:tcW w:w="1498" w:type="dxa"/>
            <w:tcBorders>
              <w:top w:val="nil"/>
              <w:left w:val="nil"/>
              <w:bottom w:val="single" w:color="auto" w:sz="4" w:space="0"/>
              <w:right w:val="single" w:color="auto" w:sz="4" w:space="0"/>
            </w:tcBorders>
            <w:noWrap w:val="0"/>
            <w:vAlign w:val="bottom"/>
          </w:tcPr>
          <w:p w14:paraId="23219A1B">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763" w:type="dxa"/>
            <w:tcBorders>
              <w:top w:val="nil"/>
              <w:left w:val="nil"/>
              <w:bottom w:val="single" w:color="auto" w:sz="4" w:space="0"/>
              <w:right w:val="single" w:color="auto" w:sz="4" w:space="0"/>
            </w:tcBorders>
            <w:noWrap w:val="0"/>
            <w:vAlign w:val="bottom"/>
          </w:tcPr>
          <w:p w14:paraId="2A3CBBD6">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营业收入Y</w:t>
            </w:r>
          </w:p>
          <w:p w14:paraId="1514A3F3">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660" w:type="dxa"/>
            <w:tcBorders>
              <w:top w:val="nil"/>
              <w:left w:val="nil"/>
              <w:bottom w:val="single" w:color="auto" w:sz="4" w:space="0"/>
              <w:right w:val="single" w:color="auto" w:sz="8" w:space="0"/>
            </w:tcBorders>
            <w:noWrap w:val="0"/>
            <w:vAlign w:val="bottom"/>
          </w:tcPr>
          <w:p w14:paraId="27FF53C2">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资产总额Z</w:t>
            </w:r>
          </w:p>
          <w:p w14:paraId="02B4D73E">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240" w:type="dxa"/>
            <w:tcBorders>
              <w:top w:val="nil"/>
              <w:left w:val="nil"/>
              <w:bottom w:val="single" w:color="auto" w:sz="4" w:space="0"/>
              <w:right w:val="single" w:color="auto" w:sz="4" w:space="0"/>
            </w:tcBorders>
            <w:noWrap w:val="0"/>
            <w:vAlign w:val="bottom"/>
          </w:tcPr>
          <w:p w14:paraId="53D75501">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480" w:type="dxa"/>
            <w:tcBorders>
              <w:top w:val="nil"/>
              <w:left w:val="nil"/>
              <w:bottom w:val="single" w:color="auto" w:sz="4" w:space="0"/>
              <w:right w:val="single" w:color="auto" w:sz="4" w:space="0"/>
            </w:tcBorders>
            <w:noWrap w:val="0"/>
            <w:vAlign w:val="bottom"/>
          </w:tcPr>
          <w:p w14:paraId="7DABF275">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营业收入Y</w:t>
            </w:r>
          </w:p>
          <w:p w14:paraId="43BA4B2C">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520" w:type="dxa"/>
            <w:tcBorders>
              <w:top w:val="nil"/>
              <w:left w:val="nil"/>
              <w:bottom w:val="single" w:color="auto" w:sz="4" w:space="0"/>
              <w:right w:val="single" w:color="auto" w:sz="8" w:space="0"/>
            </w:tcBorders>
            <w:noWrap w:val="0"/>
            <w:vAlign w:val="bottom"/>
          </w:tcPr>
          <w:p w14:paraId="2AC876C5">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资产总额Z</w:t>
            </w:r>
          </w:p>
          <w:p w14:paraId="14899FCE">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285" w:type="dxa"/>
            <w:tcBorders>
              <w:top w:val="nil"/>
              <w:left w:val="nil"/>
              <w:bottom w:val="single" w:color="auto" w:sz="4" w:space="0"/>
              <w:right w:val="single" w:color="auto" w:sz="4" w:space="0"/>
            </w:tcBorders>
            <w:noWrap w:val="0"/>
            <w:vAlign w:val="bottom"/>
          </w:tcPr>
          <w:p w14:paraId="08692771">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275" w:type="dxa"/>
            <w:tcBorders>
              <w:top w:val="nil"/>
              <w:left w:val="nil"/>
              <w:bottom w:val="single" w:color="auto" w:sz="4" w:space="0"/>
              <w:right w:val="single" w:color="auto" w:sz="4" w:space="0"/>
            </w:tcBorders>
            <w:noWrap w:val="0"/>
            <w:vAlign w:val="bottom"/>
          </w:tcPr>
          <w:p w14:paraId="36527875">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营业收入Y（万元）</w:t>
            </w:r>
          </w:p>
        </w:tc>
        <w:tc>
          <w:tcPr>
            <w:tcW w:w="1221" w:type="dxa"/>
            <w:tcBorders>
              <w:top w:val="nil"/>
              <w:left w:val="nil"/>
              <w:bottom w:val="single" w:color="auto" w:sz="4" w:space="0"/>
              <w:right w:val="single" w:color="auto" w:sz="8" w:space="0"/>
            </w:tcBorders>
            <w:noWrap w:val="0"/>
            <w:vAlign w:val="bottom"/>
          </w:tcPr>
          <w:p w14:paraId="0550AF1F">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资产总额Z（万元）</w:t>
            </w:r>
          </w:p>
        </w:tc>
      </w:tr>
      <w:tr w14:paraId="5A382E4B">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39A93810">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noWrap w:val="0"/>
            <w:vAlign w:val="bottom"/>
          </w:tcPr>
          <w:p w14:paraId="2C4BF6F0">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4CC6C791">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2E66945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4F4508C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80" w:type="dxa"/>
            <w:tcBorders>
              <w:top w:val="nil"/>
              <w:left w:val="nil"/>
              <w:bottom w:val="single" w:color="auto" w:sz="4" w:space="0"/>
              <w:right w:val="single" w:color="auto" w:sz="4" w:space="0"/>
            </w:tcBorders>
            <w:noWrap w:val="0"/>
            <w:vAlign w:val="bottom"/>
          </w:tcPr>
          <w:p w14:paraId="42CA1D9F">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50≤Y＜500</w:t>
            </w:r>
          </w:p>
        </w:tc>
        <w:tc>
          <w:tcPr>
            <w:tcW w:w="1520" w:type="dxa"/>
            <w:tcBorders>
              <w:top w:val="nil"/>
              <w:left w:val="nil"/>
              <w:bottom w:val="single" w:color="auto" w:sz="4" w:space="0"/>
              <w:right w:val="single" w:color="auto" w:sz="8" w:space="0"/>
            </w:tcBorders>
            <w:noWrap w:val="0"/>
            <w:vAlign w:val="bottom"/>
          </w:tcPr>
          <w:p w14:paraId="2F3EA5E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2914D24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479502C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1AB37916">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0B865EFC">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46B6016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2、工业</w:t>
            </w:r>
          </w:p>
        </w:tc>
        <w:tc>
          <w:tcPr>
            <w:tcW w:w="1498" w:type="dxa"/>
            <w:tcBorders>
              <w:top w:val="nil"/>
              <w:left w:val="nil"/>
              <w:bottom w:val="single" w:color="auto" w:sz="4" w:space="0"/>
              <w:right w:val="single" w:color="auto" w:sz="4" w:space="0"/>
            </w:tcBorders>
            <w:noWrap w:val="0"/>
            <w:vAlign w:val="bottom"/>
          </w:tcPr>
          <w:p w14:paraId="7C135985">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020FA5B0">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2000≤Y＜40000</w:t>
            </w:r>
          </w:p>
        </w:tc>
        <w:tc>
          <w:tcPr>
            <w:tcW w:w="1660" w:type="dxa"/>
            <w:tcBorders>
              <w:top w:val="nil"/>
              <w:left w:val="nil"/>
              <w:bottom w:val="single" w:color="auto" w:sz="4" w:space="0"/>
              <w:right w:val="single" w:color="auto" w:sz="8" w:space="0"/>
            </w:tcBorders>
            <w:noWrap w:val="0"/>
            <w:vAlign w:val="bottom"/>
          </w:tcPr>
          <w:p w14:paraId="0CE70BB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2945066F">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20≤X＜300</w:t>
            </w:r>
          </w:p>
        </w:tc>
        <w:tc>
          <w:tcPr>
            <w:tcW w:w="1480" w:type="dxa"/>
            <w:tcBorders>
              <w:top w:val="nil"/>
              <w:left w:val="nil"/>
              <w:bottom w:val="single" w:color="auto" w:sz="4" w:space="0"/>
              <w:right w:val="single" w:color="auto" w:sz="4" w:space="0"/>
            </w:tcBorders>
            <w:noWrap w:val="0"/>
            <w:vAlign w:val="bottom"/>
          </w:tcPr>
          <w:p w14:paraId="26766241">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300≤Y＜2000</w:t>
            </w:r>
          </w:p>
        </w:tc>
        <w:tc>
          <w:tcPr>
            <w:tcW w:w="1520" w:type="dxa"/>
            <w:tcBorders>
              <w:top w:val="nil"/>
              <w:left w:val="nil"/>
              <w:bottom w:val="single" w:color="auto" w:sz="4" w:space="0"/>
              <w:right w:val="single" w:color="auto" w:sz="8" w:space="0"/>
            </w:tcBorders>
            <w:noWrap w:val="0"/>
            <w:vAlign w:val="bottom"/>
          </w:tcPr>
          <w:p w14:paraId="69015436">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5BC50A1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709EFCD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0B9B9AB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2BBCB0BF">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20316661">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3、建筑业</w:t>
            </w:r>
          </w:p>
        </w:tc>
        <w:tc>
          <w:tcPr>
            <w:tcW w:w="1498" w:type="dxa"/>
            <w:tcBorders>
              <w:top w:val="nil"/>
              <w:left w:val="nil"/>
              <w:bottom w:val="single" w:color="auto" w:sz="4" w:space="0"/>
              <w:right w:val="single" w:color="auto" w:sz="4" w:space="0"/>
            </w:tcBorders>
            <w:noWrap w:val="0"/>
            <w:vAlign w:val="bottom"/>
          </w:tcPr>
          <w:p w14:paraId="4FAAAE4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6E56BCD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6000≤Y＜80000</w:t>
            </w:r>
          </w:p>
        </w:tc>
        <w:tc>
          <w:tcPr>
            <w:tcW w:w="1660" w:type="dxa"/>
            <w:tcBorders>
              <w:top w:val="nil"/>
              <w:left w:val="nil"/>
              <w:bottom w:val="single" w:color="auto" w:sz="4" w:space="0"/>
              <w:right w:val="single" w:color="auto" w:sz="8" w:space="0"/>
            </w:tcBorders>
            <w:noWrap w:val="0"/>
            <w:vAlign w:val="bottom"/>
          </w:tcPr>
          <w:p w14:paraId="55ADDEDE">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5000≤Z＜80000</w:t>
            </w:r>
          </w:p>
        </w:tc>
        <w:tc>
          <w:tcPr>
            <w:tcW w:w="1240" w:type="dxa"/>
            <w:tcBorders>
              <w:top w:val="nil"/>
              <w:left w:val="nil"/>
              <w:bottom w:val="single" w:color="auto" w:sz="4" w:space="0"/>
              <w:right w:val="single" w:color="auto" w:sz="4" w:space="0"/>
            </w:tcBorders>
            <w:noWrap w:val="0"/>
            <w:vAlign w:val="bottom"/>
          </w:tcPr>
          <w:p w14:paraId="1731D629">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80" w:type="dxa"/>
            <w:tcBorders>
              <w:top w:val="nil"/>
              <w:left w:val="nil"/>
              <w:bottom w:val="single" w:color="auto" w:sz="4" w:space="0"/>
              <w:right w:val="single" w:color="auto" w:sz="4" w:space="0"/>
            </w:tcBorders>
            <w:noWrap w:val="0"/>
            <w:vAlign w:val="bottom"/>
          </w:tcPr>
          <w:p w14:paraId="0B0F8FF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300≤Y＜6000</w:t>
            </w:r>
          </w:p>
        </w:tc>
        <w:tc>
          <w:tcPr>
            <w:tcW w:w="1520" w:type="dxa"/>
            <w:tcBorders>
              <w:top w:val="nil"/>
              <w:left w:val="nil"/>
              <w:bottom w:val="single" w:color="auto" w:sz="4" w:space="0"/>
              <w:right w:val="single" w:color="auto" w:sz="8" w:space="0"/>
            </w:tcBorders>
            <w:noWrap w:val="0"/>
            <w:vAlign w:val="bottom"/>
          </w:tcPr>
          <w:p w14:paraId="00DFAA4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300≤Z＜5000</w:t>
            </w:r>
          </w:p>
        </w:tc>
        <w:tc>
          <w:tcPr>
            <w:tcW w:w="1285" w:type="dxa"/>
            <w:tcBorders>
              <w:top w:val="nil"/>
              <w:left w:val="nil"/>
              <w:bottom w:val="single" w:color="auto" w:sz="4" w:space="0"/>
              <w:right w:val="single" w:color="auto" w:sz="4" w:space="0"/>
            </w:tcBorders>
            <w:noWrap w:val="0"/>
            <w:vAlign w:val="bottom"/>
          </w:tcPr>
          <w:p w14:paraId="465CA8D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1FCF3C05">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20B8E8BF">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Z＜300</w:t>
            </w:r>
          </w:p>
        </w:tc>
      </w:tr>
      <w:tr w14:paraId="3367D451">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3EFB069D">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4、批发业</w:t>
            </w:r>
          </w:p>
        </w:tc>
        <w:tc>
          <w:tcPr>
            <w:tcW w:w="1498" w:type="dxa"/>
            <w:tcBorders>
              <w:top w:val="nil"/>
              <w:left w:val="nil"/>
              <w:bottom w:val="single" w:color="auto" w:sz="4" w:space="0"/>
              <w:right w:val="single" w:color="auto" w:sz="4" w:space="0"/>
            </w:tcBorders>
            <w:noWrap w:val="0"/>
            <w:vAlign w:val="bottom"/>
          </w:tcPr>
          <w:p w14:paraId="020C524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133AB8CD">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5000≤Y＜40000</w:t>
            </w:r>
          </w:p>
        </w:tc>
        <w:tc>
          <w:tcPr>
            <w:tcW w:w="1660" w:type="dxa"/>
            <w:tcBorders>
              <w:top w:val="nil"/>
              <w:left w:val="nil"/>
              <w:bottom w:val="single" w:color="auto" w:sz="4" w:space="0"/>
              <w:right w:val="single" w:color="auto" w:sz="8" w:space="0"/>
            </w:tcBorders>
            <w:noWrap w:val="0"/>
            <w:vAlign w:val="bottom"/>
          </w:tcPr>
          <w:p w14:paraId="4564A5B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0661AA96">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5≤X＜20</w:t>
            </w:r>
          </w:p>
        </w:tc>
        <w:tc>
          <w:tcPr>
            <w:tcW w:w="1480" w:type="dxa"/>
            <w:tcBorders>
              <w:top w:val="nil"/>
              <w:left w:val="nil"/>
              <w:bottom w:val="single" w:color="auto" w:sz="4" w:space="0"/>
              <w:right w:val="single" w:color="auto" w:sz="4" w:space="0"/>
            </w:tcBorders>
            <w:noWrap w:val="0"/>
            <w:vAlign w:val="bottom"/>
          </w:tcPr>
          <w:p w14:paraId="7D20189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1000≤Y＜5000</w:t>
            </w:r>
          </w:p>
        </w:tc>
        <w:tc>
          <w:tcPr>
            <w:tcW w:w="1520" w:type="dxa"/>
            <w:tcBorders>
              <w:top w:val="nil"/>
              <w:left w:val="nil"/>
              <w:bottom w:val="single" w:color="auto" w:sz="4" w:space="0"/>
              <w:right w:val="single" w:color="auto" w:sz="8" w:space="0"/>
            </w:tcBorders>
            <w:noWrap w:val="0"/>
            <w:vAlign w:val="bottom"/>
          </w:tcPr>
          <w:p w14:paraId="7F52879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11DAF8A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X＜5</w:t>
            </w:r>
          </w:p>
        </w:tc>
        <w:tc>
          <w:tcPr>
            <w:tcW w:w="1275" w:type="dxa"/>
            <w:tcBorders>
              <w:top w:val="nil"/>
              <w:left w:val="nil"/>
              <w:bottom w:val="single" w:color="auto" w:sz="4" w:space="0"/>
              <w:right w:val="single" w:color="auto" w:sz="4" w:space="0"/>
            </w:tcBorders>
            <w:noWrap w:val="0"/>
            <w:vAlign w:val="bottom"/>
          </w:tcPr>
          <w:p w14:paraId="6D02D3A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Y＜1000</w:t>
            </w:r>
          </w:p>
        </w:tc>
        <w:tc>
          <w:tcPr>
            <w:tcW w:w="1221" w:type="dxa"/>
            <w:tcBorders>
              <w:top w:val="nil"/>
              <w:left w:val="nil"/>
              <w:bottom w:val="single" w:color="auto" w:sz="4" w:space="0"/>
              <w:right w:val="single" w:color="auto" w:sz="8" w:space="0"/>
            </w:tcBorders>
            <w:noWrap w:val="0"/>
            <w:vAlign w:val="bottom"/>
          </w:tcPr>
          <w:p w14:paraId="7209C47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5DABF540">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41D3707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5、零售业</w:t>
            </w:r>
          </w:p>
        </w:tc>
        <w:tc>
          <w:tcPr>
            <w:tcW w:w="1498" w:type="dxa"/>
            <w:tcBorders>
              <w:top w:val="nil"/>
              <w:left w:val="nil"/>
              <w:bottom w:val="single" w:color="auto" w:sz="4" w:space="0"/>
              <w:right w:val="single" w:color="auto" w:sz="4" w:space="0"/>
            </w:tcBorders>
            <w:noWrap w:val="0"/>
            <w:vAlign w:val="bottom"/>
          </w:tcPr>
          <w:p w14:paraId="3A329FE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538885E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2050DC8D">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56549B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10≤X＜50</w:t>
            </w:r>
          </w:p>
        </w:tc>
        <w:tc>
          <w:tcPr>
            <w:tcW w:w="1480" w:type="dxa"/>
            <w:tcBorders>
              <w:top w:val="nil"/>
              <w:left w:val="nil"/>
              <w:bottom w:val="single" w:color="auto" w:sz="4" w:space="0"/>
              <w:right w:val="single" w:color="auto" w:sz="4" w:space="0"/>
            </w:tcBorders>
            <w:noWrap w:val="0"/>
            <w:vAlign w:val="bottom"/>
          </w:tcPr>
          <w:p w14:paraId="1B4A4760">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100≤Y＜500</w:t>
            </w:r>
          </w:p>
        </w:tc>
        <w:tc>
          <w:tcPr>
            <w:tcW w:w="1520" w:type="dxa"/>
            <w:tcBorders>
              <w:top w:val="nil"/>
              <w:left w:val="nil"/>
              <w:bottom w:val="single" w:color="auto" w:sz="4" w:space="0"/>
              <w:right w:val="single" w:color="auto" w:sz="8" w:space="0"/>
            </w:tcBorders>
            <w:noWrap w:val="0"/>
            <w:vAlign w:val="bottom"/>
          </w:tcPr>
          <w:p w14:paraId="582F456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0BC45BE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B513D2E">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08CAB39D">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7F747B76">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3FD6899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noWrap w:val="0"/>
            <w:vAlign w:val="bottom"/>
          </w:tcPr>
          <w:p w14:paraId="6480E6C1">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5DE3ED2E">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3000≤Y＜30000</w:t>
            </w:r>
          </w:p>
        </w:tc>
        <w:tc>
          <w:tcPr>
            <w:tcW w:w="1660" w:type="dxa"/>
            <w:tcBorders>
              <w:top w:val="nil"/>
              <w:left w:val="nil"/>
              <w:bottom w:val="single" w:color="auto" w:sz="4" w:space="0"/>
              <w:right w:val="single" w:color="auto" w:sz="8" w:space="0"/>
            </w:tcBorders>
            <w:noWrap w:val="0"/>
            <w:vAlign w:val="bottom"/>
          </w:tcPr>
          <w:p w14:paraId="49F8AE1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4966994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20≤X＜300</w:t>
            </w:r>
          </w:p>
        </w:tc>
        <w:tc>
          <w:tcPr>
            <w:tcW w:w="1480" w:type="dxa"/>
            <w:tcBorders>
              <w:top w:val="nil"/>
              <w:left w:val="nil"/>
              <w:bottom w:val="single" w:color="auto" w:sz="4" w:space="0"/>
              <w:right w:val="single" w:color="auto" w:sz="4" w:space="0"/>
            </w:tcBorders>
            <w:noWrap w:val="0"/>
            <w:vAlign w:val="bottom"/>
          </w:tcPr>
          <w:p w14:paraId="153F172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200≤Y＜3000</w:t>
            </w:r>
          </w:p>
        </w:tc>
        <w:tc>
          <w:tcPr>
            <w:tcW w:w="1520" w:type="dxa"/>
            <w:tcBorders>
              <w:top w:val="nil"/>
              <w:left w:val="nil"/>
              <w:bottom w:val="single" w:color="auto" w:sz="4" w:space="0"/>
              <w:right w:val="single" w:color="auto" w:sz="8" w:space="0"/>
            </w:tcBorders>
            <w:noWrap w:val="0"/>
            <w:vAlign w:val="bottom"/>
          </w:tcPr>
          <w:p w14:paraId="57E640F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5686890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4328729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V＜200</w:t>
            </w:r>
          </w:p>
        </w:tc>
        <w:tc>
          <w:tcPr>
            <w:tcW w:w="1221" w:type="dxa"/>
            <w:tcBorders>
              <w:top w:val="nil"/>
              <w:left w:val="nil"/>
              <w:bottom w:val="single" w:color="auto" w:sz="4" w:space="0"/>
              <w:right w:val="single" w:color="auto" w:sz="8" w:space="0"/>
            </w:tcBorders>
            <w:noWrap w:val="0"/>
            <w:vAlign w:val="bottom"/>
          </w:tcPr>
          <w:p w14:paraId="2CE99D9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740134D6">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78BBB5A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7、仓储业</w:t>
            </w:r>
          </w:p>
        </w:tc>
        <w:tc>
          <w:tcPr>
            <w:tcW w:w="1498" w:type="dxa"/>
            <w:tcBorders>
              <w:top w:val="nil"/>
              <w:left w:val="nil"/>
              <w:bottom w:val="single" w:color="auto" w:sz="4" w:space="0"/>
              <w:right w:val="single" w:color="auto" w:sz="4" w:space="0"/>
            </w:tcBorders>
            <w:noWrap w:val="0"/>
            <w:vAlign w:val="bottom"/>
          </w:tcPr>
          <w:p w14:paraId="6618505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100≤X＜200</w:t>
            </w:r>
          </w:p>
        </w:tc>
        <w:tc>
          <w:tcPr>
            <w:tcW w:w="1763" w:type="dxa"/>
            <w:tcBorders>
              <w:top w:val="nil"/>
              <w:left w:val="nil"/>
              <w:bottom w:val="single" w:color="auto" w:sz="4" w:space="0"/>
              <w:right w:val="single" w:color="auto" w:sz="4" w:space="0"/>
            </w:tcBorders>
            <w:noWrap w:val="0"/>
            <w:vAlign w:val="bottom"/>
          </w:tcPr>
          <w:p w14:paraId="3ACFC12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1000≤Y＜30000</w:t>
            </w:r>
          </w:p>
        </w:tc>
        <w:tc>
          <w:tcPr>
            <w:tcW w:w="1660" w:type="dxa"/>
            <w:tcBorders>
              <w:top w:val="nil"/>
              <w:left w:val="nil"/>
              <w:bottom w:val="single" w:color="auto" w:sz="4" w:space="0"/>
              <w:right w:val="single" w:color="auto" w:sz="8" w:space="0"/>
            </w:tcBorders>
            <w:noWrap w:val="0"/>
            <w:vAlign w:val="bottom"/>
          </w:tcPr>
          <w:p w14:paraId="3A6AB8B1">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38D5FEF0">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20≤X＜100</w:t>
            </w:r>
          </w:p>
        </w:tc>
        <w:tc>
          <w:tcPr>
            <w:tcW w:w="1480" w:type="dxa"/>
            <w:tcBorders>
              <w:top w:val="nil"/>
              <w:left w:val="nil"/>
              <w:bottom w:val="single" w:color="auto" w:sz="4" w:space="0"/>
              <w:right w:val="single" w:color="auto" w:sz="4" w:space="0"/>
            </w:tcBorders>
            <w:noWrap w:val="0"/>
            <w:vAlign w:val="bottom"/>
          </w:tcPr>
          <w:p w14:paraId="089BF96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37CEA730">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5390C42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2A8E53C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602289D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7535ACC6">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5B3D4EC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8、邮政业</w:t>
            </w:r>
          </w:p>
        </w:tc>
        <w:tc>
          <w:tcPr>
            <w:tcW w:w="1498" w:type="dxa"/>
            <w:tcBorders>
              <w:top w:val="nil"/>
              <w:left w:val="nil"/>
              <w:bottom w:val="single" w:color="auto" w:sz="4" w:space="0"/>
              <w:right w:val="single" w:color="auto" w:sz="4" w:space="0"/>
            </w:tcBorders>
            <w:noWrap w:val="0"/>
            <w:vAlign w:val="bottom"/>
          </w:tcPr>
          <w:p w14:paraId="0A5AC240">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38E4AF6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2000≤Y＜30000</w:t>
            </w:r>
          </w:p>
        </w:tc>
        <w:tc>
          <w:tcPr>
            <w:tcW w:w="1660" w:type="dxa"/>
            <w:tcBorders>
              <w:top w:val="nil"/>
              <w:left w:val="nil"/>
              <w:bottom w:val="single" w:color="auto" w:sz="4" w:space="0"/>
              <w:right w:val="single" w:color="auto" w:sz="8" w:space="0"/>
            </w:tcBorders>
            <w:noWrap w:val="0"/>
            <w:vAlign w:val="bottom"/>
          </w:tcPr>
          <w:p w14:paraId="0BAF09E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FE7BD0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20≤X＜300</w:t>
            </w:r>
          </w:p>
        </w:tc>
        <w:tc>
          <w:tcPr>
            <w:tcW w:w="1480" w:type="dxa"/>
            <w:tcBorders>
              <w:top w:val="nil"/>
              <w:left w:val="nil"/>
              <w:bottom w:val="single" w:color="auto" w:sz="4" w:space="0"/>
              <w:right w:val="single" w:color="auto" w:sz="4" w:space="0"/>
            </w:tcBorders>
            <w:noWrap w:val="0"/>
            <w:vAlign w:val="bottom"/>
          </w:tcPr>
          <w:p w14:paraId="49D46F2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14E7B3F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119C4D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706474EF">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41961E4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4318A1FD">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343586DD">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9、住宿业</w:t>
            </w:r>
          </w:p>
        </w:tc>
        <w:tc>
          <w:tcPr>
            <w:tcW w:w="1498" w:type="dxa"/>
            <w:tcBorders>
              <w:top w:val="nil"/>
              <w:left w:val="nil"/>
              <w:bottom w:val="single" w:color="auto" w:sz="4" w:space="0"/>
              <w:right w:val="single" w:color="auto" w:sz="4" w:space="0"/>
            </w:tcBorders>
            <w:noWrap w:val="0"/>
            <w:vAlign w:val="bottom"/>
          </w:tcPr>
          <w:p w14:paraId="06444AF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49DFAA55">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1829166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00CB67E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314130D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72135F2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5EB49A0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0F4C57C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1AF1A2A6">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47D1A69D">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4BF77C29">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10、餐饮业</w:t>
            </w:r>
          </w:p>
        </w:tc>
        <w:tc>
          <w:tcPr>
            <w:tcW w:w="1498" w:type="dxa"/>
            <w:tcBorders>
              <w:top w:val="nil"/>
              <w:left w:val="nil"/>
              <w:bottom w:val="single" w:color="auto" w:sz="4" w:space="0"/>
              <w:right w:val="single" w:color="auto" w:sz="4" w:space="0"/>
            </w:tcBorders>
            <w:noWrap w:val="0"/>
            <w:vAlign w:val="bottom"/>
          </w:tcPr>
          <w:p w14:paraId="4114FF3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56CCE53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03F84F96">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0304A7C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50E1FAA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0093C106">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B038B9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1B3489C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V＜100</w:t>
            </w:r>
          </w:p>
        </w:tc>
        <w:tc>
          <w:tcPr>
            <w:tcW w:w="1221" w:type="dxa"/>
            <w:tcBorders>
              <w:top w:val="nil"/>
              <w:left w:val="nil"/>
              <w:bottom w:val="single" w:color="auto" w:sz="4" w:space="0"/>
              <w:right w:val="single" w:color="auto" w:sz="8" w:space="0"/>
            </w:tcBorders>
            <w:noWrap w:val="0"/>
            <w:vAlign w:val="bottom"/>
          </w:tcPr>
          <w:p w14:paraId="4EDFA05D">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1CA81C49">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180DD8B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11、信息传输业</w:t>
            </w:r>
          </w:p>
        </w:tc>
        <w:tc>
          <w:tcPr>
            <w:tcW w:w="1498" w:type="dxa"/>
            <w:tcBorders>
              <w:top w:val="nil"/>
              <w:left w:val="nil"/>
              <w:bottom w:val="single" w:color="auto" w:sz="4" w:space="0"/>
              <w:right w:val="single" w:color="auto" w:sz="4" w:space="0"/>
            </w:tcBorders>
            <w:noWrap w:val="0"/>
            <w:vAlign w:val="bottom"/>
          </w:tcPr>
          <w:p w14:paraId="56027FF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100≤X＜2000</w:t>
            </w:r>
          </w:p>
        </w:tc>
        <w:tc>
          <w:tcPr>
            <w:tcW w:w="1763" w:type="dxa"/>
            <w:tcBorders>
              <w:top w:val="nil"/>
              <w:left w:val="nil"/>
              <w:bottom w:val="single" w:color="auto" w:sz="4" w:space="0"/>
              <w:right w:val="single" w:color="auto" w:sz="4" w:space="0"/>
            </w:tcBorders>
            <w:noWrap w:val="0"/>
            <w:vAlign w:val="bottom"/>
          </w:tcPr>
          <w:p w14:paraId="1328661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1000≤Y＜100000</w:t>
            </w:r>
          </w:p>
        </w:tc>
        <w:tc>
          <w:tcPr>
            <w:tcW w:w="1660" w:type="dxa"/>
            <w:tcBorders>
              <w:top w:val="nil"/>
              <w:left w:val="nil"/>
              <w:bottom w:val="single" w:color="auto" w:sz="4" w:space="0"/>
              <w:right w:val="single" w:color="auto" w:sz="8" w:space="0"/>
            </w:tcBorders>
            <w:noWrap w:val="0"/>
            <w:vAlign w:val="bottom"/>
          </w:tcPr>
          <w:p w14:paraId="48E7624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4B808CE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54D9B14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788926C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E4D828D">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3867AF1D">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3B8EF23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29D8C713">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64A80A8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2AE3AFAD">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1A1482E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1000≤Y＜10000</w:t>
            </w:r>
          </w:p>
        </w:tc>
        <w:tc>
          <w:tcPr>
            <w:tcW w:w="1660" w:type="dxa"/>
            <w:tcBorders>
              <w:top w:val="nil"/>
              <w:left w:val="nil"/>
              <w:bottom w:val="single" w:color="auto" w:sz="4" w:space="0"/>
              <w:right w:val="single" w:color="auto" w:sz="8" w:space="0"/>
            </w:tcBorders>
            <w:noWrap w:val="0"/>
            <w:vAlign w:val="bottom"/>
          </w:tcPr>
          <w:p w14:paraId="21A0212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AC944FE">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0D738B99">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50≤Y＜1000</w:t>
            </w:r>
          </w:p>
        </w:tc>
        <w:tc>
          <w:tcPr>
            <w:tcW w:w="1520" w:type="dxa"/>
            <w:tcBorders>
              <w:top w:val="nil"/>
              <w:left w:val="nil"/>
              <w:bottom w:val="single" w:color="auto" w:sz="4" w:space="0"/>
              <w:right w:val="single" w:color="auto" w:sz="8" w:space="0"/>
            </w:tcBorders>
            <w:noWrap w:val="0"/>
            <w:vAlign w:val="bottom"/>
          </w:tcPr>
          <w:p w14:paraId="0CFEDD1D">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559E691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BECA86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157C52B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03619C2C">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5D5C22CE">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4385D96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1E259D51">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1000≤Y＜200000</w:t>
            </w:r>
          </w:p>
        </w:tc>
        <w:tc>
          <w:tcPr>
            <w:tcW w:w="1660" w:type="dxa"/>
            <w:tcBorders>
              <w:top w:val="nil"/>
              <w:left w:val="nil"/>
              <w:bottom w:val="single" w:color="auto" w:sz="4" w:space="0"/>
              <w:right w:val="single" w:color="auto" w:sz="8" w:space="0"/>
            </w:tcBorders>
            <w:noWrap w:val="0"/>
            <w:vAlign w:val="bottom"/>
          </w:tcPr>
          <w:p w14:paraId="04053CC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5000≤Z＜10000</w:t>
            </w:r>
          </w:p>
        </w:tc>
        <w:tc>
          <w:tcPr>
            <w:tcW w:w="1240" w:type="dxa"/>
            <w:tcBorders>
              <w:top w:val="nil"/>
              <w:left w:val="nil"/>
              <w:bottom w:val="single" w:color="auto" w:sz="4" w:space="0"/>
              <w:right w:val="single" w:color="auto" w:sz="4" w:space="0"/>
            </w:tcBorders>
            <w:noWrap w:val="0"/>
            <w:vAlign w:val="bottom"/>
          </w:tcPr>
          <w:p w14:paraId="61A5C5C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80" w:type="dxa"/>
            <w:tcBorders>
              <w:top w:val="nil"/>
              <w:left w:val="nil"/>
              <w:bottom w:val="single" w:color="auto" w:sz="4" w:space="0"/>
              <w:right w:val="single" w:color="auto" w:sz="4" w:space="0"/>
            </w:tcBorders>
            <w:noWrap w:val="0"/>
            <w:vAlign w:val="bottom"/>
          </w:tcPr>
          <w:p w14:paraId="42DE5DB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1DAB8D70">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2000≤Z＜5000</w:t>
            </w:r>
          </w:p>
        </w:tc>
        <w:tc>
          <w:tcPr>
            <w:tcW w:w="1285" w:type="dxa"/>
            <w:tcBorders>
              <w:top w:val="nil"/>
              <w:left w:val="nil"/>
              <w:bottom w:val="single" w:color="auto" w:sz="4" w:space="0"/>
              <w:right w:val="single" w:color="auto" w:sz="4" w:space="0"/>
            </w:tcBorders>
            <w:noWrap w:val="0"/>
            <w:vAlign w:val="bottom"/>
          </w:tcPr>
          <w:p w14:paraId="3DE9CB31">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23C692C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688AEDD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Z＜2000</w:t>
            </w:r>
          </w:p>
        </w:tc>
      </w:tr>
      <w:tr w14:paraId="395FF035">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747E15D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14、物业管理</w:t>
            </w:r>
          </w:p>
        </w:tc>
        <w:tc>
          <w:tcPr>
            <w:tcW w:w="1498" w:type="dxa"/>
            <w:tcBorders>
              <w:top w:val="nil"/>
              <w:left w:val="nil"/>
              <w:bottom w:val="single" w:color="auto" w:sz="4" w:space="0"/>
              <w:right w:val="single" w:color="auto" w:sz="4" w:space="0"/>
            </w:tcBorders>
            <w:noWrap w:val="0"/>
            <w:vAlign w:val="bottom"/>
          </w:tcPr>
          <w:p w14:paraId="1CEA8BC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5B2B2015">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1000≤Y＜5000</w:t>
            </w:r>
          </w:p>
        </w:tc>
        <w:tc>
          <w:tcPr>
            <w:tcW w:w="1660" w:type="dxa"/>
            <w:tcBorders>
              <w:top w:val="nil"/>
              <w:left w:val="nil"/>
              <w:bottom w:val="single" w:color="auto" w:sz="4" w:space="0"/>
              <w:right w:val="single" w:color="auto" w:sz="8" w:space="0"/>
            </w:tcBorders>
            <w:noWrap w:val="0"/>
            <w:vAlign w:val="bottom"/>
          </w:tcPr>
          <w:p w14:paraId="7EC2CC9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2424215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100≤X＜300</w:t>
            </w:r>
          </w:p>
        </w:tc>
        <w:tc>
          <w:tcPr>
            <w:tcW w:w="1480" w:type="dxa"/>
            <w:tcBorders>
              <w:top w:val="nil"/>
              <w:left w:val="nil"/>
              <w:bottom w:val="single" w:color="auto" w:sz="4" w:space="0"/>
              <w:right w:val="single" w:color="auto" w:sz="4" w:space="0"/>
            </w:tcBorders>
            <w:noWrap w:val="0"/>
            <w:vAlign w:val="bottom"/>
          </w:tcPr>
          <w:p w14:paraId="1867D55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500≤Y＜1000</w:t>
            </w:r>
          </w:p>
        </w:tc>
        <w:tc>
          <w:tcPr>
            <w:tcW w:w="1520" w:type="dxa"/>
            <w:tcBorders>
              <w:top w:val="nil"/>
              <w:left w:val="nil"/>
              <w:bottom w:val="single" w:color="auto" w:sz="4" w:space="0"/>
              <w:right w:val="single" w:color="auto" w:sz="8" w:space="0"/>
            </w:tcBorders>
            <w:noWrap w:val="0"/>
            <w:vAlign w:val="bottom"/>
          </w:tcPr>
          <w:p w14:paraId="4934BE8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73FEBA29">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X＜100</w:t>
            </w:r>
          </w:p>
        </w:tc>
        <w:tc>
          <w:tcPr>
            <w:tcW w:w="1275" w:type="dxa"/>
            <w:tcBorders>
              <w:top w:val="nil"/>
              <w:left w:val="nil"/>
              <w:bottom w:val="single" w:color="auto" w:sz="4" w:space="0"/>
              <w:right w:val="single" w:color="auto" w:sz="4" w:space="0"/>
            </w:tcBorders>
            <w:noWrap w:val="0"/>
            <w:vAlign w:val="bottom"/>
          </w:tcPr>
          <w:p w14:paraId="31C3DD9B">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Y＜500</w:t>
            </w:r>
          </w:p>
        </w:tc>
        <w:tc>
          <w:tcPr>
            <w:tcW w:w="1221" w:type="dxa"/>
            <w:tcBorders>
              <w:top w:val="nil"/>
              <w:left w:val="nil"/>
              <w:bottom w:val="single" w:color="auto" w:sz="4" w:space="0"/>
              <w:right w:val="single" w:color="auto" w:sz="8" w:space="0"/>
            </w:tcBorders>
            <w:noWrap w:val="0"/>
            <w:vAlign w:val="bottom"/>
          </w:tcPr>
          <w:p w14:paraId="29684542">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511CC721">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4" w:space="0"/>
              <w:right w:val="single" w:color="auto" w:sz="8" w:space="0"/>
            </w:tcBorders>
            <w:noWrap w:val="0"/>
            <w:vAlign w:val="bottom"/>
          </w:tcPr>
          <w:p w14:paraId="72A0FD5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77EF0DE8">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451EFC5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4" w:space="0"/>
              <w:right w:val="single" w:color="auto" w:sz="8" w:space="0"/>
            </w:tcBorders>
            <w:noWrap w:val="0"/>
            <w:vAlign w:val="bottom"/>
          </w:tcPr>
          <w:p w14:paraId="4CD07037">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8000≤Z＜120000</w:t>
            </w:r>
          </w:p>
        </w:tc>
        <w:tc>
          <w:tcPr>
            <w:tcW w:w="1240" w:type="dxa"/>
            <w:tcBorders>
              <w:top w:val="nil"/>
              <w:left w:val="nil"/>
              <w:bottom w:val="single" w:color="auto" w:sz="4" w:space="0"/>
              <w:right w:val="single" w:color="auto" w:sz="4" w:space="0"/>
            </w:tcBorders>
            <w:noWrap w:val="0"/>
            <w:vAlign w:val="bottom"/>
          </w:tcPr>
          <w:p w14:paraId="56805160">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567712C1">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4" w:space="0"/>
              <w:right w:val="single" w:color="auto" w:sz="8" w:space="0"/>
            </w:tcBorders>
            <w:noWrap w:val="0"/>
            <w:vAlign w:val="bottom"/>
          </w:tcPr>
          <w:p w14:paraId="433AF204">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100≤Z＜8000</w:t>
            </w:r>
          </w:p>
        </w:tc>
        <w:tc>
          <w:tcPr>
            <w:tcW w:w="1285" w:type="dxa"/>
            <w:tcBorders>
              <w:top w:val="nil"/>
              <w:left w:val="nil"/>
              <w:bottom w:val="single" w:color="auto" w:sz="4" w:space="0"/>
              <w:right w:val="single" w:color="auto" w:sz="4" w:space="0"/>
            </w:tcBorders>
            <w:noWrap w:val="0"/>
            <w:vAlign w:val="bottom"/>
          </w:tcPr>
          <w:p w14:paraId="2734FCD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33047900">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4" w:space="0"/>
              <w:right w:val="single" w:color="auto" w:sz="8" w:space="0"/>
            </w:tcBorders>
            <w:noWrap w:val="0"/>
            <w:vAlign w:val="bottom"/>
          </w:tcPr>
          <w:p w14:paraId="6ED4A0E0">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Z＜100</w:t>
            </w:r>
          </w:p>
        </w:tc>
      </w:tr>
      <w:tr w14:paraId="1AE95A80">
        <w:tblPrEx>
          <w:tblCellMar>
            <w:top w:w="0" w:type="dxa"/>
            <w:left w:w="108" w:type="dxa"/>
            <w:bottom w:w="0" w:type="dxa"/>
            <w:right w:w="108" w:type="dxa"/>
          </w:tblCellMar>
        </w:tblPrEx>
        <w:trPr>
          <w:trHeight w:val="360" w:hRule="atLeast"/>
        </w:trPr>
        <w:tc>
          <w:tcPr>
            <w:tcW w:w="2283" w:type="dxa"/>
            <w:tcBorders>
              <w:top w:val="nil"/>
              <w:left w:val="single" w:color="auto" w:sz="8" w:space="0"/>
              <w:bottom w:val="single" w:color="auto" w:sz="8" w:space="0"/>
              <w:right w:val="single" w:color="auto" w:sz="8" w:space="0"/>
            </w:tcBorders>
            <w:noWrap w:val="0"/>
            <w:vAlign w:val="bottom"/>
          </w:tcPr>
          <w:p w14:paraId="6F5ED66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16、其他未列明行业</w:t>
            </w:r>
          </w:p>
        </w:tc>
        <w:tc>
          <w:tcPr>
            <w:tcW w:w="1498" w:type="dxa"/>
            <w:tcBorders>
              <w:top w:val="nil"/>
              <w:left w:val="nil"/>
              <w:bottom w:val="single" w:color="auto" w:sz="8" w:space="0"/>
              <w:right w:val="single" w:color="auto" w:sz="4" w:space="0"/>
            </w:tcBorders>
            <w:noWrap w:val="0"/>
            <w:vAlign w:val="bottom"/>
          </w:tcPr>
          <w:p w14:paraId="0914D42F">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8" w:space="0"/>
              <w:right w:val="single" w:color="auto" w:sz="4" w:space="0"/>
            </w:tcBorders>
            <w:noWrap w:val="0"/>
            <w:vAlign w:val="bottom"/>
          </w:tcPr>
          <w:p w14:paraId="65FE9D11">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8" w:space="0"/>
              <w:right w:val="single" w:color="auto" w:sz="8" w:space="0"/>
            </w:tcBorders>
            <w:noWrap w:val="0"/>
            <w:vAlign w:val="bottom"/>
          </w:tcPr>
          <w:p w14:paraId="2106217F">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8" w:space="0"/>
              <w:right w:val="single" w:color="auto" w:sz="4" w:space="0"/>
            </w:tcBorders>
            <w:noWrap w:val="0"/>
            <w:vAlign w:val="bottom"/>
          </w:tcPr>
          <w:p w14:paraId="26E4D0FF">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8" w:space="0"/>
              <w:right w:val="single" w:color="auto" w:sz="4" w:space="0"/>
            </w:tcBorders>
            <w:noWrap w:val="0"/>
            <w:vAlign w:val="bottom"/>
          </w:tcPr>
          <w:p w14:paraId="3468579E">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8" w:space="0"/>
              <w:right w:val="single" w:color="auto" w:sz="8" w:space="0"/>
            </w:tcBorders>
            <w:noWrap w:val="0"/>
            <w:vAlign w:val="bottom"/>
          </w:tcPr>
          <w:p w14:paraId="67059E25">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8" w:space="0"/>
              <w:right w:val="single" w:color="auto" w:sz="4" w:space="0"/>
            </w:tcBorders>
            <w:noWrap w:val="0"/>
            <w:vAlign w:val="bottom"/>
          </w:tcPr>
          <w:p w14:paraId="72AD9AC5">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8" w:space="0"/>
              <w:right w:val="single" w:color="auto" w:sz="4" w:space="0"/>
            </w:tcBorders>
            <w:noWrap w:val="0"/>
            <w:vAlign w:val="bottom"/>
          </w:tcPr>
          <w:p w14:paraId="7853C396">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8" w:space="0"/>
              <w:right w:val="single" w:color="auto" w:sz="8" w:space="0"/>
            </w:tcBorders>
            <w:noWrap w:val="0"/>
            <w:vAlign w:val="bottom"/>
          </w:tcPr>
          <w:p w14:paraId="2562E295">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5F82085D">
        <w:tblPrEx>
          <w:tblCellMar>
            <w:top w:w="0" w:type="dxa"/>
            <w:left w:w="108" w:type="dxa"/>
            <w:bottom w:w="0" w:type="dxa"/>
            <w:right w:w="108" w:type="dxa"/>
          </w:tblCellMar>
        </w:tblPrEx>
        <w:trPr>
          <w:trHeight w:val="285" w:hRule="atLeast"/>
        </w:trPr>
        <w:tc>
          <w:tcPr>
            <w:tcW w:w="15225" w:type="dxa"/>
            <w:gridSpan w:val="10"/>
            <w:tcBorders>
              <w:top w:val="nil"/>
              <w:left w:val="nil"/>
              <w:bottom w:val="nil"/>
              <w:right w:val="nil"/>
            </w:tcBorders>
            <w:noWrap w:val="0"/>
            <w:vAlign w:val="bottom"/>
          </w:tcPr>
          <w:p w14:paraId="5487C1EA">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说明　</w:t>
            </w:r>
          </w:p>
          <w:p w14:paraId="0E3047A3">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1、企业类型的划分以统计部门的统计数据为依据。</w:t>
            </w:r>
          </w:p>
          <w:p w14:paraId="14643B43">
            <w:pPr>
              <w:widowControl/>
              <w:numPr>
                <w:ilvl w:val="0"/>
                <w:numId w:val="16"/>
              </w:numPr>
              <w:jc w:val="left"/>
              <w:rPr>
                <w:rFonts w:hint="eastAsia" w:ascii="宋体" w:hAnsi="宋体" w:cs="宋体"/>
                <w:color w:val="auto"/>
                <w:kern w:val="0"/>
                <w:sz w:val="20"/>
                <w:highlight w:val="none"/>
              </w:rPr>
            </w:pPr>
            <w:r>
              <w:rPr>
                <w:rFonts w:hint="eastAsia" w:ascii="宋体" w:hAnsi="宋体" w:cs="宋体"/>
                <w:color w:val="auto"/>
                <w:kern w:val="0"/>
                <w:sz w:val="20"/>
                <w:highlight w:val="none"/>
              </w:rPr>
              <w:t>个体工商户和本规定以外的行业，参照本规定进行划型。</w:t>
            </w:r>
          </w:p>
          <w:p w14:paraId="178AAD0F">
            <w:pPr>
              <w:widowControl/>
              <w:numPr>
                <w:ilvl w:val="0"/>
                <w:numId w:val="16"/>
              </w:numPr>
              <w:jc w:val="left"/>
              <w:rPr>
                <w:rFonts w:hint="eastAsia" w:ascii="宋体" w:hAnsi="宋体" w:cs="宋体"/>
                <w:color w:val="auto"/>
                <w:kern w:val="0"/>
                <w:sz w:val="20"/>
                <w:highlight w:val="none"/>
              </w:rPr>
            </w:pPr>
            <w:r>
              <w:rPr>
                <w:rFonts w:hint="eastAsia" w:ascii="宋体" w:hAnsi="宋体" w:cs="宋体"/>
                <w:color w:val="auto"/>
                <w:kern w:val="0"/>
                <w:sz w:val="20"/>
                <w:highlight w:val="none"/>
              </w:rPr>
              <w:t>3、本规定的中型企业标准上限即为大型企业标准的下限。</w:t>
            </w:r>
          </w:p>
        </w:tc>
      </w:tr>
    </w:tbl>
    <w:p w14:paraId="66BAF4EF">
      <w:pPr>
        <w:pStyle w:val="136"/>
        <w:snapToGrid w:val="0"/>
        <w:spacing w:line="440" w:lineRule="exact"/>
        <w:jc w:val="center"/>
        <w:rPr>
          <w:rFonts w:hint="eastAsia" w:hAnsi="宋体" w:cs="宋体"/>
          <w:b/>
          <w:color w:val="auto"/>
          <w:sz w:val="28"/>
          <w:szCs w:val="28"/>
          <w:highlight w:val="none"/>
        </w:rPr>
        <w:sectPr>
          <w:pgSz w:w="16838" w:h="11905" w:orient="landscape"/>
          <w:pgMar w:top="1247" w:right="1247" w:bottom="1247" w:left="1247" w:header="850" w:footer="850" w:gutter="0"/>
          <w:pgBorders>
            <w:top w:val="none" w:sz="0" w:space="0"/>
            <w:left w:val="none" w:sz="0" w:space="0"/>
            <w:bottom w:val="none" w:sz="0" w:space="0"/>
            <w:right w:val="none" w:sz="0" w:space="0"/>
          </w:pgBorders>
          <w:pgNumType w:fmt="decimal"/>
          <w:cols w:space="720" w:num="1"/>
          <w:docGrid w:linePitch="285" w:charSpace="0"/>
        </w:sectPr>
      </w:pPr>
    </w:p>
    <w:p w14:paraId="639861F8">
      <w:pPr>
        <w:tabs>
          <w:tab w:val="left" w:pos="630"/>
        </w:tabs>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B、技术商务部分</w:t>
      </w:r>
    </w:p>
    <w:p w14:paraId="4D4943E5">
      <w:pPr>
        <w:tabs>
          <w:tab w:val="left" w:pos="630"/>
        </w:tabs>
        <w:spacing w:line="400" w:lineRule="exact"/>
        <w:rPr>
          <w:rFonts w:hint="eastAsia" w:ascii="宋体" w:hAnsi="宋体" w:cs="宋体"/>
          <w:b/>
          <w:bCs/>
          <w:color w:val="auto"/>
          <w:sz w:val="24"/>
          <w:highlight w:val="none"/>
        </w:rPr>
      </w:pPr>
    </w:p>
    <w:p w14:paraId="41434F58">
      <w:pPr>
        <w:tabs>
          <w:tab w:val="left" w:pos="630"/>
        </w:tabs>
        <w:spacing w:line="400" w:lineRule="exact"/>
        <w:rPr>
          <w:rFonts w:hint="eastAsia" w:ascii="宋体" w:hAnsi="宋体" w:cs="宋体"/>
          <w:color w:val="auto"/>
          <w:sz w:val="24"/>
          <w:highlight w:val="none"/>
        </w:rPr>
      </w:pPr>
      <w:r>
        <w:rPr>
          <w:rFonts w:hint="eastAsia" w:ascii="宋体" w:hAnsi="宋体" w:cs="宋体"/>
          <w:b/>
          <w:bCs/>
          <w:color w:val="auto"/>
          <w:sz w:val="24"/>
          <w:highlight w:val="none"/>
        </w:rPr>
        <w:t>附件一</w:t>
      </w:r>
      <w:r>
        <w:rPr>
          <w:rFonts w:hint="eastAsia" w:ascii="宋体" w:hAnsi="宋体" w:cs="宋体"/>
          <w:color w:val="auto"/>
          <w:sz w:val="24"/>
          <w:highlight w:val="none"/>
        </w:rPr>
        <w:t xml:space="preserve">：                </w:t>
      </w:r>
    </w:p>
    <w:p w14:paraId="2CAA8527">
      <w:pPr>
        <w:tabs>
          <w:tab w:val="left" w:pos="630"/>
        </w:tabs>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投标函</w:t>
      </w:r>
    </w:p>
    <w:p w14:paraId="5E7B07B1">
      <w:pPr>
        <w:tabs>
          <w:tab w:val="left" w:pos="630"/>
        </w:tabs>
        <w:spacing w:line="400" w:lineRule="atLeas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 xml:space="preserve">：     </w:t>
      </w:r>
    </w:p>
    <w:p w14:paraId="0C78BACA">
      <w:pPr>
        <w:spacing w:line="400" w:lineRule="atLeas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（供应商全称）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（授权代表姓名、职务）   </w:t>
      </w:r>
      <w:r>
        <w:rPr>
          <w:rFonts w:hint="eastAsia" w:ascii="宋体" w:hAnsi="宋体" w:cs="宋体"/>
          <w:color w:val="auto"/>
          <w:sz w:val="24"/>
          <w:highlight w:val="none"/>
        </w:rPr>
        <w:t>为本公司（单位）合法代理人，参加贵方组织的</w:t>
      </w:r>
      <w:r>
        <w:rPr>
          <w:rFonts w:hint="eastAsia" w:ascii="宋体" w:hAnsi="宋体" w:cs="宋体"/>
          <w:color w:val="auto"/>
          <w:sz w:val="24"/>
          <w:highlight w:val="none"/>
          <w:u w:val="single"/>
        </w:rPr>
        <w:t xml:space="preserve">    （采购编号、招标项目名称）</w:t>
      </w:r>
      <w:r>
        <w:rPr>
          <w:rFonts w:hint="eastAsia" w:ascii="宋体" w:hAnsi="宋体" w:cs="宋体"/>
          <w:color w:val="auto"/>
          <w:sz w:val="24"/>
          <w:highlight w:val="none"/>
        </w:rPr>
        <w:t>招标投标活动，代表本公司（单位）处理招标投标的一切事宜。在此提供“投标须知”规定的全部响应文件：</w:t>
      </w:r>
    </w:p>
    <w:p w14:paraId="36FA0BA1">
      <w:pPr>
        <w:tabs>
          <w:tab w:val="left" w:pos="945"/>
          <w:tab w:val="left" w:pos="1260"/>
        </w:tabs>
        <w:spacing w:line="4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1、完全满足采购文件中全部实质性要求。</w:t>
      </w:r>
    </w:p>
    <w:p w14:paraId="4247918A">
      <w:pPr>
        <w:tabs>
          <w:tab w:val="left" w:pos="945"/>
          <w:tab w:val="left" w:pos="1260"/>
        </w:tabs>
        <w:spacing w:line="4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2、电子备份文件  份；电子备份文件密封包装，包装封面均加盖供应商公章。</w:t>
      </w:r>
    </w:p>
    <w:p w14:paraId="68334C83">
      <w:pPr>
        <w:spacing w:line="4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3、保证遵守采购文件中的有关规定和收费标准。</w:t>
      </w:r>
    </w:p>
    <w:p w14:paraId="1B5F9F3B">
      <w:pPr>
        <w:tabs>
          <w:tab w:val="left" w:pos="1110"/>
        </w:tabs>
        <w:spacing w:line="400" w:lineRule="atLeast"/>
        <w:ind w:right="-153" w:rightChars="-73" w:firstLine="480" w:firstLineChars="200"/>
        <w:rPr>
          <w:rFonts w:hint="eastAsia" w:ascii="宋体" w:hAnsi="宋体" w:cs="宋体"/>
          <w:color w:val="auto"/>
          <w:sz w:val="24"/>
          <w:highlight w:val="none"/>
        </w:rPr>
      </w:pPr>
      <w:r>
        <w:rPr>
          <w:rFonts w:hint="eastAsia" w:ascii="宋体" w:hAnsi="宋体" w:cs="宋体"/>
          <w:color w:val="auto"/>
          <w:sz w:val="24"/>
          <w:highlight w:val="none"/>
        </w:rPr>
        <w:t>4、保证忠实地执行买卖双方所签署的经济合同，并承担合同规定的责任义务。</w:t>
      </w:r>
    </w:p>
    <w:p w14:paraId="0BAC8644">
      <w:pPr>
        <w:tabs>
          <w:tab w:val="left" w:pos="1110"/>
        </w:tabs>
        <w:spacing w:line="4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5、愿意向贵方提供任何与该项目投标有关的数据、情况和技术资料。</w:t>
      </w:r>
    </w:p>
    <w:p w14:paraId="55419962">
      <w:pPr>
        <w:tabs>
          <w:tab w:val="left" w:pos="1110"/>
        </w:tabs>
        <w:spacing w:line="4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6、我们已详细审核全部采购文件、参考资料及有关附件，我们知道必须放弃提出含糊不清或误解问题的权利。</w:t>
      </w:r>
    </w:p>
    <w:p w14:paraId="5AD1119F">
      <w:pPr>
        <w:tabs>
          <w:tab w:val="left" w:pos="1110"/>
        </w:tabs>
        <w:spacing w:line="4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7、我们完全理解贵方不一定接受最低报价或收到的任何报价。</w:t>
      </w:r>
    </w:p>
    <w:p w14:paraId="692EB72D">
      <w:pPr>
        <w:tabs>
          <w:tab w:val="left" w:pos="1110"/>
        </w:tabs>
        <w:spacing w:line="4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8、如果在评定后规定的有效期内撤回报价或有其他违约行为，我们的投标保金可被贵方没收。</w:t>
      </w:r>
    </w:p>
    <w:p w14:paraId="4FE9A7C7">
      <w:pPr>
        <w:spacing w:line="4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9、本投标自开标之日起 90天内有效。</w:t>
      </w:r>
    </w:p>
    <w:p w14:paraId="77A471FA">
      <w:pPr>
        <w:spacing w:line="4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10、与本投标有关的一切往来通讯请寄：</w:t>
      </w:r>
    </w:p>
    <w:p w14:paraId="12A0BAF9">
      <w:pPr>
        <w:spacing w:line="400" w:lineRule="atLeast"/>
        <w:ind w:left="525"/>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40B7EDB">
      <w:pPr>
        <w:spacing w:line="400" w:lineRule="atLeast"/>
        <w:ind w:left="525"/>
        <w:rPr>
          <w:rFonts w:hint="eastAsia" w:ascii="宋体" w:hAnsi="宋体" w:cs="宋体"/>
          <w:color w:val="auto"/>
          <w:sz w:val="24"/>
          <w:highlight w:val="none"/>
        </w:rPr>
      </w:pP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F700905">
      <w:pPr>
        <w:spacing w:line="400" w:lineRule="atLeast"/>
        <w:ind w:left="525"/>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B2981BE">
      <w:pPr>
        <w:spacing w:line="400" w:lineRule="atLeast"/>
        <w:ind w:left="525"/>
        <w:rPr>
          <w:rFonts w:hint="eastAsia" w:ascii="宋体" w:hAnsi="宋体" w:cs="宋体"/>
          <w:color w:val="auto"/>
          <w:sz w:val="24"/>
          <w:highlight w:val="none"/>
          <w:u w:val="singl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p w14:paraId="7D6D03B1">
      <w:pPr>
        <w:spacing w:line="400" w:lineRule="atLeast"/>
        <w:ind w:left="525"/>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9A78318">
      <w:pPr>
        <w:spacing w:line="400" w:lineRule="exact"/>
        <w:ind w:left="525" w:firstLine="4080" w:firstLineChars="1700"/>
        <w:rPr>
          <w:rFonts w:hint="eastAsia" w:ascii="宋体" w:hAnsi="宋体" w:cs="宋体"/>
          <w:color w:val="auto"/>
          <w:sz w:val="24"/>
          <w:highlight w:val="none"/>
        </w:rPr>
      </w:pPr>
      <w:r>
        <w:rPr>
          <w:rFonts w:hint="eastAsia" w:ascii="宋体" w:hAnsi="宋体" w:cs="宋体"/>
          <w:color w:val="auto"/>
          <w:sz w:val="24"/>
          <w:highlight w:val="none"/>
        </w:rPr>
        <w:t xml:space="preserve">供应商（盖章）：                       </w:t>
      </w:r>
    </w:p>
    <w:p w14:paraId="3A0BFDA2">
      <w:pPr>
        <w:spacing w:line="400" w:lineRule="exact"/>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法定代表人或授权代表（签名或印章）：</w:t>
      </w:r>
    </w:p>
    <w:p w14:paraId="5C1A12DC">
      <w:pPr>
        <w:pStyle w:val="20"/>
        <w:spacing w:before="0" w:beforeLines="0" w:after="0" w:afterLines="0"/>
        <w:jc w:val="center"/>
        <w:outlineLvl w:val="0"/>
        <w:rPr>
          <w:rFonts w:hint="eastAsia" w:hAnsi="宋体" w:cs="宋体"/>
          <w:color w:val="auto"/>
          <w:highlight w:val="none"/>
        </w:rPr>
        <w:sectPr>
          <w:pgSz w:w="11906" w:h="16838"/>
          <w:pgMar w:top="1474" w:right="1797" w:bottom="1247" w:left="1797" w:header="851"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highlight w:val="none"/>
        </w:rPr>
        <w:t xml:space="preserve">                               </w:t>
      </w:r>
      <w:r>
        <w:rPr>
          <w:rFonts w:hint="eastAsia" w:hAnsi="宋体" w:cs="宋体"/>
          <w:color w:val="auto"/>
          <w:highlight w:val="none"/>
          <w:u w:val="single"/>
        </w:rPr>
        <w:t xml:space="preserve">         </w:t>
      </w:r>
      <w:bookmarkStart w:id="96" w:name="_Toc23892"/>
      <w:bookmarkStart w:id="97" w:name="_Toc412"/>
      <w:bookmarkStart w:id="98" w:name="_Toc25986"/>
      <w:bookmarkStart w:id="99" w:name="_Toc21563"/>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bookmarkEnd w:id="96"/>
      <w:bookmarkEnd w:id="97"/>
      <w:bookmarkEnd w:id="98"/>
      <w:bookmarkEnd w:id="99"/>
    </w:p>
    <w:p w14:paraId="02531451">
      <w:pPr>
        <w:tabs>
          <w:tab w:val="left" w:pos="1575"/>
        </w:tabs>
        <w:rPr>
          <w:rFonts w:hint="eastAsia"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附件二：      </w:t>
      </w:r>
    </w:p>
    <w:p w14:paraId="4C2D6C25">
      <w:pPr>
        <w:tabs>
          <w:tab w:val="left" w:pos="1575"/>
        </w:tabs>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法定代表人身份证明或法定代表人授权委托书</w:t>
      </w:r>
    </w:p>
    <w:p w14:paraId="47692DB3">
      <w:pPr>
        <w:spacing w:line="360" w:lineRule="auto"/>
        <w:contextualSpacing/>
        <w:jc w:val="center"/>
        <w:rPr>
          <w:rFonts w:hint="eastAsia" w:ascii="宋体" w:hAnsi="宋体" w:cs="宋体"/>
          <w:b/>
          <w:color w:val="auto"/>
          <w:sz w:val="24"/>
          <w:highlight w:val="none"/>
        </w:rPr>
      </w:pPr>
    </w:p>
    <w:p w14:paraId="4DE81A81">
      <w:pPr>
        <w:spacing w:line="360" w:lineRule="auto"/>
        <w:contextualSpacing/>
        <w:jc w:val="center"/>
        <w:rPr>
          <w:rFonts w:hint="eastAsia" w:ascii="宋体" w:hAnsi="宋体" w:cs="宋体"/>
          <w:b/>
          <w:color w:val="auto"/>
          <w:sz w:val="24"/>
          <w:highlight w:val="none"/>
        </w:rPr>
      </w:pPr>
      <w:r>
        <w:rPr>
          <w:rFonts w:hint="eastAsia" w:ascii="宋体" w:hAnsi="宋体" w:cs="宋体"/>
          <w:b/>
          <w:bCs/>
          <w:color w:val="auto"/>
          <w:sz w:val="24"/>
          <w:highlight w:val="none"/>
        </w:rPr>
        <w:t>法定代表人身份证明</w:t>
      </w:r>
    </w:p>
    <w:p w14:paraId="493DFC7A">
      <w:pPr>
        <w:spacing w:line="360" w:lineRule="auto"/>
        <w:ind w:firstLine="480" w:firstLineChars="200"/>
        <w:contextualSpacing/>
        <w:rPr>
          <w:rFonts w:hint="eastAsia" w:ascii="宋体" w:hAnsi="宋体" w:cs="宋体"/>
          <w:color w:val="auto"/>
          <w:sz w:val="24"/>
          <w:highlight w:val="none"/>
        </w:rPr>
      </w:pPr>
    </w:p>
    <w:p w14:paraId="66D4E4C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222DC3E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DC55EA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739E72A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ED5473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9961AD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周岁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D7BD3A3">
      <w:pPr>
        <w:spacing w:line="360" w:lineRule="auto"/>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012C04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14:paraId="2EC3208A">
      <w:pPr>
        <w:spacing w:line="360" w:lineRule="auto"/>
        <w:ind w:firstLine="960" w:firstLineChars="400"/>
        <w:contextualSpacing/>
        <w:rPr>
          <w:rFonts w:hint="eastAsia" w:ascii="宋体" w:hAnsi="宋体" w:cs="宋体"/>
          <w:color w:val="auto"/>
          <w:sz w:val="24"/>
          <w:highlight w:val="none"/>
        </w:rPr>
      </w:pPr>
      <w:r>
        <w:rPr>
          <w:rFonts w:hint="eastAsia" w:ascii="宋体" w:hAnsi="宋体" w:cs="宋体"/>
          <w:color w:val="auto"/>
          <w:sz w:val="24"/>
          <w:highlight w:val="none"/>
        </w:rPr>
        <w:t>特此证明。</w:t>
      </w:r>
    </w:p>
    <w:p w14:paraId="0742F1BA">
      <w:pPr>
        <w:spacing w:line="360" w:lineRule="auto"/>
        <w:ind w:firstLine="480" w:firstLineChars="200"/>
        <w:contextualSpacing/>
        <w:rPr>
          <w:rFonts w:hint="eastAsia" w:ascii="宋体" w:hAnsi="宋体" w:cs="宋体"/>
          <w:color w:val="auto"/>
          <w:sz w:val="24"/>
          <w:highlight w:val="none"/>
        </w:rPr>
      </w:pPr>
    </w:p>
    <w:p w14:paraId="4B3E754C">
      <w:pPr>
        <w:spacing w:line="360" w:lineRule="auto"/>
        <w:ind w:firstLine="480" w:firstLineChars="200"/>
        <w:contextualSpacing/>
        <w:rPr>
          <w:rFonts w:hint="eastAsia" w:ascii="宋体" w:hAnsi="宋体" w:cs="宋体"/>
          <w:color w:val="auto"/>
          <w:sz w:val="24"/>
          <w:highlight w:val="none"/>
        </w:rPr>
      </w:pPr>
    </w:p>
    <w:p w14:paraId="57664BED">
      <w:pPr>
        <w:spacing w:line="360" w:lineRule="auto"/>
        <w:contextualSpacing/>
        <w:jc w:val="righ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41826999">
      <w:pPr>
        <w:spacing w:line="360" w:lineRule="auto"/>
        <w:ind w:firstLine="5160" w:firstLineChars="2150"/>
        <w:contextualSpacing/>
        <w:rPr>
          <w:rFonts w:hint="eastAsia" w:ascii="宋体" w:hAnsi="宋体" w:cs="宋体"/>
          <w:color w:val="auto"/>
          <w:sz w:val="24"/>
          <w:highlight w:val="none"/>
          <w:u w:val="single"/>
        </w:rPr>
      </w:pPr>
    </w:p>
    <w:p w14:paraId="1A9D91A4">
      <w:pPr>
        <w:spacing w:line="360" w:lineRule="auto"/>
        <w:ind w:firstLine="4200" w:firstLineChars="1750"/>
        <w:contextualSpacing/>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7E0044B">
      <w:pPr>
        <w:spacing w:line="360" w:lineRule="auto"/>
        <w:contextualSpacing/>
        <w:rPr>
          <w:rFonts w:hint="eastAsia" w:ascii="宋体" w:hAnsi="宋体" w:cs="宋体"/>
          <w:color w:val="auto"/>
          <w:sz w:val="24"/>
          <w:highlight w:val="none"/>
        </w:rPr>
      </w:pPr>
    </w:p>
    <w:p w14:paraId="3853613D">
      <w:pPr>
        <w:spacing w:line="360" w:lineRule="auto"/>
        <w:contextualSpacing/>
        <w:rPr>
          <w:rFonts w:hint="eastAsia" w:ascii="宋体" w:hAnsi="宋体" w:cs="宋体"/>
          <w:b/>
          <w:color w:val="auto"/>
          <w:sz w:val="24"/>
          <w:highlight w:val="none"/>
        </w:rPr>
      </w:pPr>
    </w:p>
    <w:p w14:paraId="60E0FDC8">
      <w:pPr>
        <w:spacing w:line="360" w:lineRule="auto"/>
        <w:contextualSpacing/>
        <w:rPr>
          <w:rFonts w:hint="eastAsia" w:ascii="宋体" w:hAnsi="宋体" w:cs="宋体"/>
          <w:b/>
          <w:color w:val="auto"/>
          <w:sz w:val="24"/>
          <w:highlight w:val="none"/>
        </w:rPr>
      </w:pPr>
    </w:p>
    <w:p w14:paraId="697DF6AC">
      <w:pPr>
        <w:spacing w:line="360" w:lineRule="auto"/>
        <w:contextualSpacing/>
        <w:rPr>
          <w:rFonts w:hint="eastAsia" w:ascii="宋体" w:hAnsi="宋体" w:cs="宋体"/>
          <w:b/>
          <w:color w:val="auto"/>
          <w:sz w:val="24"/>
          <w:highlight w:val="none"/>
        </w:rPr>
      </w:pPr>
      <w:r>
        <w:rPr>
          <w:rFonts w:hint="eastAsia" w:ascii="宋体" w:hAnsi="宋体" w:cs="宋体"/>
          <w:b/>
          <w:color w:val="auto"/>
          <w:sz w:val="24"/>
          <w:highlight w:val="none"/>
        </w:rPr>
        <w:t>附：法定代表人身份证复印件（正反面）：</w:t>
      </w:r>
    </w:p>
    <w:p w14:paraId="0A916F03">
      <w:pPr>
        <w:spacing w:line="360" w:lineRule="auto"/>
        <w:contextualSpacing/>
        <w:jc w:val="center"/>
        <w:rPr>
          <w:rFonts w:hint="eastAsia" w:ascii="宋体" w:hAnsi="宋体" w:cs="宋体"/>
          <w:b/>
          <w:bCs/>
          <w:color w:val="auto"/>
          <w:sz w:val="24"/>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法定代表人授权委托书</w:t>
      </w:r>
    </w:p>
    <w:p w14:paraId="20AA3114">
      <w:pPr>
        <w:spacing w:line="360" w:lineRule="auto"/>
        <w:contextualSpacing/>
        <w:jc w:val="center"/>
        <w:rPr>
          <w:rFonts w:hint="eastAsia" w:ascii="宋体" w:hAnsi="宋体" w:cs="宋体"/>
          <w:b/>
          <w:color w:val="auto"/>
          <w:sz w:val="24"/>
          <w:highlight w:val="none"/>
        </w:rPr>
      </w:pPr>
      <w:r>
        <w:rPr>
          <w:rFonts w:hint="eastAsia" w:ascii="宋体" w:hAnsi="宋体" w:cs="宋体"/>
          <w:bCs/>
          <w:color w:val="auto"/>
          <w:sz w:val="24"/>
          <w:highlight w:val="none"/>
        </w:rPr>
        <w:t>（法定代表人来投标的，此表不用）</w:t>
      </w:r>
    </w:p>
    <w:p w14:paraId="3CB1A89C">
      <w:pPr>
        <w:spacing w:line="360" w:lineRule="auto"/>
        <w:contextualSpacing/>
        <w:rPr>
          <w:rFonts w:hint="eastAsia" w:ascii="宋体" w:hAnsi="宋体" w:cs="宋体"/>
          <w:bCs/>
          <w:color w:val="auto"/>
          <w:sz w:val="24"/>
          <w:highlight w:val="none"/>
        </w:rPr>
      </w:pPr>
    </w:p>
    <w:p w14:paraId="2291361C">
      <w:pPr>
        <w:spacing w:line="360" w:lineRule="auto"/>
        <w:contextualSpacing/>
        <w:rPr>
          <w:rFonts w:hint="eastAsia" w:ascii="宋体" w:hAnsi="宋体" w:cs="宋体"/>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73A0B561">
      <w:pPr>
        <w:spacing w:line="360" w:lineRule="auto"/>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项目的投标活动，并代表我方全权办理针对上述项目的投标、开标、评标、签约等具体事务和签署相关文件。</w:t>
      </w:r>
    </w:p>
    <w:p w14:paraId="0F213F2D">
      <w:pPr>
        <w:spacing w:line="360" w:lineRule="auto"/>
        <w:ind w:firstLine="480" w:firstLineChars="200"/>
        <w:contextualSpacing/>
        <w:rPr>
          <w:rFonts w:hint="eastAsia" w:ascii="宋体" w:hAnsi="宋体" w:cs="宋体"/>
          <w:color w:val="auto"/>
          <w:sz w:val="24"/>
          <w:highlight w:val="none"/>
          <w:u w:val="single"/>
        </w:rPr>
      </w:pPr>
      <w:r>
        <w:rPr>
          <w:rFonts w:hint="eastAsia" w:ascii="宋体" w:hAnsi="宋体" w:cs="宋体"/>
          <w:color w:val="auto"/>
          <w:sz w:val="24"/>
          <w:highlight w:val="none"/>
        </w:rPr>
        <w:t>我方对被授权人的签名事项负全部责任。</w:t>
      </w:r>
    </w:p>
    <w:p w14:paraId="6558501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29B9344D">
      <w:pPr>
        <w:spacing w:line="360" w:lineRule="auto"/>
        <w:ind w:firstLine="480"/>
        <w:contextualSpacing/>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14:paraId="34780E3B">
      <w:pPr>
        <w:spacing w:line="360" w:lineRule="auto"/>
        <w:contextualSpacing/>
        <w:rPr>
          <w:rFonts w:hint="eastAsia" w:ascii="宋体" w:hAnsi="宋体" w:cs="宋体"/>
          <w:color w:val="auto"/>
          <w:sz w:val="24"/>
          <w:highlight w:val="none"/>
        </w:rPr>
      </w:pPr>
    </w:p>
    <w:p w14:paraId="6D5F63D2">
      <w:pPr>
        <w:spacing w:line="360" w:lineRule="auto"/>
        <w:contextualSpacing/>
        <w:rPr>
          <w:rFonts w:hint="eastAsia" w:ascii="宋体" w:hAnsi="宋体" w:cs="宋体"/>
          <w:color w:val="auto"/>
          <w:sz w:val="24"/>
          <w:highlight w:val="none"/>
        </w:rPr>
      </w:pPr>
    </w:p>
    <w:p w14:paraId="0F1C1440">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被授权人签字或盖章：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法定代表人签字或盖章：</w:t>
      </w:r>
      <w:r>
        <w:rPr>
          <w:rFonts w:hint="eastAsia" w:ascii="宋体" w:hAnsi="宋体" w:cs="宋体"/>
          <w:color w:val="auto"/>
          <w:sz w:val="24"/>
          <w:highlight w:val="none"/>
          <w:u w:val="single"/>
        </w:rPr>
        <w:t xml:space="preserve">          </w:t>
      </w:r>
    </w:p>
    <w:p w14:paraId="788F7519">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5F72C8F6">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被授权人身份证号码：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8569D3E">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E9E12F3">
      <w:pPr>
        <w:spacing w:line="360" w:lineRule="auto"/>
        <w:contextualSpacing/>
        <w:rPr>
          <w:rFonts w:hint="eastAsia" w:ascii="宋体" w:hAnsi="宋体" w:cs="宋体"/>
          <w:color w:val="auto"/>
          <w:sz w:val="24"/>
          <w:highlight w:val="none"/>
        </w:rPr>
      </w:pPr>
    </w:p>
    <w:p w14:paraId="2E2A793F">
      <w:pPr>
        <w:pStyle w:val="15"/>
        <w:spacing w:line="240" w:lineRule="auto"/>
        <w:ind w:left="823" w:hanging="823" w:hangingChars="34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供应商（盖章）：</w:t>
      </w:r>
    </w:p>
    <w:p w14:paraId="7272D803">
      <w:pPr>
        <w:pStyle w:val="15"/>
        <w:spacing w:line="240" w:lineRule="auto"/>
        <w:ind w:left="823" w:hanging="823" w:hangingChars="34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法定代表人或授权代表（签字或盖章）：</w:t>
      </w:r>
    </w:p>
    <w:p w14:paraId="5FFE4909">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A4EB80E">
      <w:pPr>
        <w:spacing w:line="360" w:lineRule="auto"/>
        <w:contextualSpacing/>
        <w:rPr>
          <w:rFonts w:hint="eastAsia" w:ascii="宋体" w:hAnsi="宋体" w:cs="宋体"/>
          <w:b/>
          <w:color w:val="auto"/>
          <w:sz w:val="24"/>
          <w:highlight w:val="none"/>
        </w:rPr>
      </w:pPr>
      <w:r>
        <w:rPr>
          <w:rFonts w:hint="eastAsia" w:ascii="宋体" w:hAnsi="宋体" w:cs="宋体"/>
          <w:b/>
          <w:color w:val="auto"/>
          <w:sz w:val="24"/>
          <w:highlight w:val="none"/>
        </w:rPr>
        <w:t>附：授权代表身份证复印件（正反面）：</w:t>
      </w:r>
    </w:p>
    <w:p w14:paraId="14B3B513">
      <w:pPr>
        <w:spacing w:line="360" w:lineRule="auto"/>
        <w:contextualSpacing/>
        <w:rPr>
          <w:rFonts w:hint="eastAsia" w:ascii="宋体" w:hAnsi="宋体" w:cs="宋体"/>
          <w:b/>
          <w:color w:val="auto"/>
          <w:sz w:val="24"/>
          <w:highlight w:val="none"/>
        </w:rPr>
      </w:pPr>
    </w:p>
    <w:p w14:paraId="03BF78DD">
      <w:pPr>
        <w:spacing w:line="360" w:lineRule="auto"/>
        <w:contextualSpacing/>
        <w:rPr>
          <w:rFonts w:hint="eastAsia" w:ascii="宋体" w:hAnsi="宋体" w:cs="宋体"/>
          <w:b/>
          <w:color w:val="auto"/>
          <w:sz w:val="24"/>
          <w:highlight w:val="none"/>
        </w:rPr>
      </w:pPr>
    </w:p>
    <w:p w14:paraId="128787DB">
      <w:pPr>
        <w:adjustRightInd w:val="0"/>
        <w:snapToGrid w:val="0"/>
        <w:spacing w:line="240" w:lineRule="atLeast"/>
        <w:rPr>
          <w:rFonts w:hint="eastAsia" w:ascii="宋体" w:hAnsi="宋体" w:cs="宋体"/>
          <w:color w:val="auto"/>
          <w:sz w:val="24"/>
          <w:highlight w:val="none"/>
        </w:rPr>
      </w:pPr>
      <w:r>
        <w:rPr>
          <w:rFonts w:hint="eastAsia" w:ascii="宋体" w:hAnsi="宋体" w:cs="宋体"/>
          <w:b/>
          <w:color w:val="auto"/>
          <w:sz w:val="24"/>
          <w:highlight w:val="none"/>
        </w:rPr>
        <w:br w:type="page"/>
      </w:r>
    </w:p>
    <w:p w14:paraId="373F1C98">
      <w:pPr>
        <w:snapToGrid w:val="0"/>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p>
    <w:p w14:paraId="78C6CF94">
      <w:pPr>
        <w:jc w:val="center"/>
        <w:rPr>
          <w:rFonts w:hint="eastAsia" w:ascii="宋体" w:hAnsi="宋体" w:cs="宋体"/>
          <w:b/>
          <w:bCs/>
          <w:color w:val="auto"/>
          <w:sz w:val="24"/>
          <w:highlight w:val="none"/>
        </w:rPr>
      </w:pPr>
      <w:r>
        <w:rPr>
          <w:rFonts w:hint="eastAsia" w:ascii="宋体" w:hAnsi="宋体" w:cs="宋体"/>
          <w:b/>
          <w:bCs/>
          <w:color w:val="auto"/>
          <w:sz w:val="24"/>
          <w:highlight w:val="none"/>
        </w:rPr>
        <w:t>商务（服务）响应一览表</w:t>
      </w:r>
    </w:p>
    <w:p w14:paraId="12B3DEF7">
      <w:pPr>
        <w:spacing w:line="360" w:lineRule="auto"/>
        <w:ind w:firstLine="240" w:firstLineChars="100"/>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w:t>
      </w:r>
      <w:r>
        <w:rPr>
          <w:rFonts w:hint="eastAsia" w:ascii="宋体" w:hAnsi="宋体" w:cs="宋体"/>
          <w:color w:val="auto"/>
          <w:sz w:val="24"/>
          <w:highlight w:val="none"/>
          <w:u w:val="single"/>
        </w:rPr>
        <w:t xml:space="preserve">                      </w:t>
      </w:r>
    </w:p>
    <w:tbl>
      <w:tblPr>
        <w:tblStyle w:val="37"/>
        <w:tblW w:w="0" w:type="auto"/>
        <w:tblInd w:w="4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0"/>
        <w:gridCol w:w="2418"/>
        <w:gridCol w:w="1260"/>
        <w:gridCol w:w="3432"/>
      </w:tblGrid>
      <w:tr w14:paraId="7EA11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117BA803">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18" w:type="dxa"/>
            <w:tcBorders>
              <w:top w:val="single" w:color="auto" w:sz="4" w:space="0"/>
              <w:left w:val="single" w:color="auto" w:sz="4" w:space="0"/>
              <w:bottom w:val="single" w:color="auto" w:sz="4" w:space="0"/>
              <w:right w:val="single" w:color="auto" w:sz="4" w:space="0"/>
            </w:tcBorders>
            <w:noWrap w:val="0"/>
            <w:vAlign w:val="center"/>
          </w:tcPr>
          <w:p w14:paraId="0CC74F81">
            <w:pPr>
              <w:jc w:val="center"/>
              <w:rPr>
                <w:rFonts w:hint="eastAsia" w:ascii="宋体" w:hAnsi="宋体" w:cs="宋体"/>
                <w:color w:val="auto"/>
                <w:sz w:val="24"/>
                <w:highlight w:val="none"/>
              </w:rPr>
            </w:pPr>
            <w:r>
              <w:rPr>
                <w:rFonts w:hint="eastAsia" w:ascii="宋体" w:hAnsi="宋体" w:cs="宋体"/>
                <w:color w:val="auto"/>
                <w:sz w:val="24"/>
                <w:highlight w:val="none"/>
              </w:rPr>
              <w:t>采购文件要求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63A861">
            <w:pPr>
              <w:jc w:val="center"/>
              <w:rPr>
                <w:rFonts w:hint="eastAsia" w:ascii="宋体" w:hAnsi="宋体" w:cs="宋体"/>
                <w:color w:val="auto"/>
                <w:sz w:val="24"/>
                <w:highlight w:val="none"/>
              </w:rPr>
            </w:pPr>
            <w:r>
              <w:rPr>
                <w:rFonts w:hint="eastAsia" w:ascii="宋体" w:hAnsi="宋体" w:cs="宋体"/>
                <w:color w:val="auto"/>
                <w:sz w:val="24"/>
                <w:highlight w:val="none"/>
              </w:rPr>
              <w:t>是否响应</w:t>
            </w:r>
          </w:p>
        </w:tc>
        <w:tc>
          <w:tcPr>
            <w:tcW w:w="3432" w:type="dxa"/>
            <w:tcBorders>
              <w:top w:val="single" w:color="auto" w:sz="4" w:space="0"/>
              <w:left w:val="single" w:color="auto" w:sz="4" w:space="0"/>
              <w:bottom w:val="single" w:color="auto" w:sz="4" w:space="0"/>
              <w:right w:val="single" w:color="auto" w:sz="4" w:space="0"/>
            </w:tcBorders>
            <w:noWrap w:val="0"/>
            <w:vAlign w:val="center"/>
          </w:tcPr>
          <w:p w14:paraId="5FD942A2">
            <w:pPr>
              <w:jc w:val="center"/>
              <w:rPr>
                <w:rFonts w:hint="eastAsia" w:ascii="宋体" w:hAnsi="宋体" w:cs="宋体"/>
                <w:color w:val="auto"/>
                <w:sz w:val="24"/>
                <w:highlight w:val="none"/>
              </w:rPr>
            </w:pPr>
            <w:r>
              <w:rPr>
                <w:rFonts w:hint="eastAsia" w:ascii="宋体" w:hAnsi="宋体" w:cs="宋体"/>
                <w:color w:val="auto"/>
                <w:sz w:val="24"/>
                <w:highlight w:val="none"/>
              </w:rPr>
              <w:t>供应商的承诺或说明</w:t>
            </w:r>
          </w:p>
        </w:tc>
      </w:tr>
      <w:tr w14:paraId="0223E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6A2FE060">
            <w:pPr>
              <w:jc w:val="center"/>
              <w:rPr>
                <w:rFonts w:hint="eastAsia" w:ascii="宋体" w:hAnsi="宋体" w:cs="宋体"/>
                <w:color w:val="auto"/>
                <w:sz w:val="24"/>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470CEC45">
            <w:pPr>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8F070E">
            <w:pPr>
              <w:jc w:val="center"/>
              <w:rPr>
                <w:rFonts w:hint="eastAsia" w:ascii="宋体" w:hAnsi="宋体" w:cs="宋体"/>
                <w:color w:val="auto"/>
                <w:sz w:val="24"/>
                <w:highlight w:val="none"/>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2DAFCDB5">
            <w:pPr>
              <w:jc w:val="center"/>
              <w:rPr>
                <w:rFonts w:hint="eastAsia" w:ascii="宋体" w:hAnsi="宋体" w:cs="宋体"/>
                <w:color w:val="auto"/>
                <w:sz w:val="24"/>
                <w:highlight w:val="none"/>
              </w:rPr>
            </w:pPr>
          </w:p>
        </w:tc>
      </w:tr>
      <w:tr w14:paraId="4A4F0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3A1A0C21">
            <w:pPr>
              <w:jc w:val="center"/>
              <w:rPr>
                <w:rFonts w:ascii="宋体" w:hAnsi="宋体" w:cs="宋体"/>
                <w:color w:val="auto"/>
                <w:sz w:val="24"/>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2238DC79">
            <w:pPr>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E44493D">
            <w:pPr>
              <w:jc w:val="center"/>
              <w:rPr>
                <w:rFonts w:hint="eastAsia" w:ascii="宋体" w:hAnsi="宋体" w:cs="宋体"/>
                <w:color w:val="auto"/>
                <w:sz w:val="24"/>
                <w:highlight w:val="none"/>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10E3BBF0">
            <w:pPr>
              <w:jc w:val="center"/>
              <w:rPr>
                <w:rFonts w:hint="eastAsia" w:ascii="宋体" w:hAnsi="宋体" w:cs="宋体"/>
                <w:color w:val="auto"/>
                <w:sz w:val="24"/>
                <w:highlight w:val="none"/>
              </w:rPr>
            </w:pPr>
          </w:p>
        </w:tc>
      </w:tr>
      <w:tr w14:paraId="60D0F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250570AE">
            <w:pPr>
              <w:jc w:val="center"/>
              <w:rPr>
                <w:rFonts w:ascii="宋体" w:hAnsi="宋体" w:cs="宋体"/>
                <w:color w:val="auto"/>
                <w:sz w:val="24"/>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17116644">
            <w:pPr>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B670EF">
            <w:pPr>
              <w:jc w:val="center"/>
              <w:rPr>
                <w:rFonts w:hint="eastAsia" w:ascii="宋体" w:hAnsi="宋体" w:cs="宋体"/>
                <w:color w:val="auto"/>
                <w:sz w:val="24"/>
                <w:highlight w:val="none"/>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6E0656F6">
            <w:pPr>
              <w:jc w:val="center"/>
              <w:rPr>
                <w:rFonts w:hint="eastAsia" w:ascii="宋体" w:hAnsi="宋体" w:cs="宋体"/>
                <w:color w:val="auto"/>
                <w:sz w:val="24"/>
                <w:highlight w:val="none"/>
              </w:rPr>
            </w:pPr>
          </w:p>
        </w:tc>
      </w:tr>
      <w:tr w14:paraId="3F8DF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1717AC95">
            <w:pPr>
              <w:jc w:val="center"/>
              <w:rPr>
                <w:rFonts w:ascii="宋体" w:hAnsi="宋体" w:cs="宋体"/>
                <w:color w:val="auto"/>
                <w:sz w:val="24"/>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18AA4CD">
            <w:pPr>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F6AE171">
            <w:pPr>
              <w:jc w:val="center"/>
              <w:rPr>
                <w:rFonts w:hint="eastAsia" w:ascii="宋体" w:hAnsi="宋体" w:cs="宋体"/>
                <w:color w:val="auto"/>
                <w:sz w:val="24"/>
                <w:highlight w:val="none"/>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3FD02F1D">
            <w:pPr>
              <w:jc w:val="center"/>
              <w:rPr>
                <w:rFonts w:hint="eastAsia" w:ascii="宋体" w:hAnsi="宋体" w:cs="宋体"/>
                <w:color w:val="auto"/>
                <w:sz w:val="24"/>
                <w:highlight w:val="none"/>
              </w:rPr>
            </w:pPr>
          </w:p>
        </w:tc>
      </w:tr>
      <w:tr w14:paraId="01D51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0F1DF196">
            <w:pPr>
              <w:jc w:val="center"/>
              <w:rPr>
                <w:rFonts w:hint="eastAsia" w:ascii="宋体" w:hAnsi="宋体" w:cs="宋体"/>
                <w:color w:val="auto"/>
                <w:sz w:val="24"/>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7FC63DE">
            <w:pPr>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68EECF">
            <w:pPr>
              <w:jc w:val="center"/>
              <w:rPr>
                <w:rFonts w:hint="eastAsia" w:ascii="宋体" w:hAnsi="宋体" w:cs="宋体"/>
                <w:color w:val="auto"/>
                <w:sz w:val="24"/>
                <w:highlight w:val="none"/>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7BFBEED1">
            <w:pPr>
              <w:jc w:val="center"/>
              <w:rPr>
                <w:rFonts w:hint="eastAsia" w:ascii="宋体" w:hAnsi="宋体" w:cs="宋体"/>
                <w:color w:val="auto"/>
                <w:sz w:val="24"/>
                <w:highlight w:val="none"/>
              </w:rPr>
            </w:pPr>
          </w:p>
        </w:tc>
      </w:tr>
      <w:tr w14:paraId="7AF06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1703B3B7">
            <w:pPr>
              <w:jc w:val="center"/>
              <w:rPr>
                <w:rFonts w:hint="eastAsia" w:ascii="宋体" w:hAnsi="宋体" w:cs="宋体"/>
                <w:color w:val="auto"/>
                <w:sz w:val="24"/>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3C430CA8">
            <w:pPr>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1019FE0">
            <w:pPr>
              <w:jc w:val="center"/>
              <w:rPr>
                <w:rFonts w:hint="eastAsia" w:ascii="宋体" w:hAnsi="宋体" w:cs="宋体"/>
                <w:color w:val="auto"/>
                <w:sz w:val="24"/>
                <w:highlight w:val="none"/>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736BB013">
            <w:pPr>
              <w:jc w:val="center"/>
              <w:rPr>
                <w:rFonts w:hint="eastAsia" w:ascii="宋体" w:hAnsi="宋体" w:cs="宋体"/>
                <w:color w:val="auto"/>
                <w:sz w:val="24"/>
                <w:highlight w:val="none"/>
              </w:rPr>
            </w:pPr>
          </w:p>
        </w:tc>
      </w:tr>
      <w:tr w14:paraId="0D41F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374DEC9F">
            <w:pPr>
              <w:jc w:val="center"/>
              <w:rPr>
                <w:rFonts w:hint="eastAsia" w:ascii="宋体" w:hAnsi="宋体" w:cs="宋体"/>
                <w:color w:val="auto"/>
                <w:sz w:val="24"/>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19C8A0FC">
            <w:pPr>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3F6FC5">
            <w:pPr>
              <w:jc w:val="center"/>
              <w:rPr>
                <w:rFonts w:hint="eastAsia" w:ascii="宋体" w:hAnsi="宋体" w:cs="宋体"/>
                <w:color w:val="auto"/>
                <w:sz w:val="24"/>
                <w:highlight w:val="none"/>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7625DB75">
            <w:pPr>
              <w:jc w:val="center"/>
              <w:rPr>
                <w:rFonts w:hint="eastAsia" w:ascii="宋体" w:hAnsi="宋体" w:cs="宋体"/>
                <w:color w:val="auto"/>
                <w:sz w:val="24"/>
                <w:highlight w:val="none"/>
              </w:rPr>
            </w:pPr>
          </w:p>
        </w:tc>
      </w:tr>
      <w:tr w14:paraId="722D5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4BF4E1F7">
            <w:pPr>
              <w:jc w:val="center"/>
              <w:rPr>
                <w:rFonts w:hint="eastAsia" w:ascii="宋体" w:hAnsi="宋体" w:cs="宋体"/>
                <w:color w:val="auto"/>
                <w:sz w:val="24"/>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0551704F">
            <w:pPr>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EB92A0F">
            <w:pPr>
              <w:jc w:val="center"/>
              <w:rPr>
                <w:rFonts w:hint="eastAsia" w:ascii="宋体" w:hAnsi="宋体" w:cs="宋体"/>
                <w:color w:val="auto"/>
                <w:sz w:val="24"/>
                <w:highlight w:val="none"/>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4484629C">
            <w:pPr>
              <w:jc w:val="center"/>
              <w:rPr>
                <w:rFonts w:hint="eastAsia" w:ascii="宋体" w:hAnsi="宋体" w:cs="宋体"/>
                <w:color w:val="auto"/>
                <w:sz w:val="24"/>
                <w:highlight w:val="none"/>
              </w:rPr>
            </w:pPr>
          </w:p>
        </w:tc>
      </w:tr>
      <w:tr w14:paraId="3770F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637EA5AC">
            <w:pPr>
              <w:jc w:val="center"/>
              <w:rPr>
                <w:rFonts w:hint="eastAsia" w:ascii="宋体" w:hAnsi="宋体" w:cs="宋体"/>
                <w:color w:val="auto"/>
                <w:sz w:val="24"/>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0D212DEF">
            <w:pPr>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D5441CD">
            <w:pPr>
              <w:jc w:val="center"/>
              <w:rPr>
                <w:rFonts w:hint="eastAsia" w:ascii="宋体" w:hAnsi="宋体" w:cs="宋体"/>
                <w:color w:val="auto"/>
                <w:sz w:val="24"/>
                <w:highlight w:val="none"/>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604D005C">
            <w:pPr>
              <w:jc w:val="center"/>
              <w:rPr>
                <w:rFonts w:hint="eastAsia" w:ascii="宋体" w:hAnsi="宋体" w:cs="宋体"/>
                <w:color w:val="auto"/>
                <w:sz w:val="24"/>
                <w:highlight w:val="none"/>
              </w:rPr>
            </w:pPr>
          </w:p>
        </w:tc>
      </w:tr>
      <w:tr w14:paraId="08D9F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39A3B95C">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418" w:type="dxa"/>
            <w:tcBorders>
              <w:top w:val="single" w:color="auto" w:sz="4" w:space="0"/>
              <w:left w:val="single" w:color="auto" w:sz="4" w:space="0"/>
              <w:bottom w:val="single" w:color="auto" w:sz="4" w:space="0"/>
              <w:right w:val="single" w:color="auto" w:sz="4" w:space="0"/>
            </w:tcBorders>
            <w:noWrap w:val="0"/>
            <w:vAlign w:val="center"/>
          </w:tcPr>
          <w:p w14:paraId="56F92D00">
            <w:pPr>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CAC04B">
            <w:pPr>
              <w:jc w:val="center"/>
              <w:rPr>
                <w:rFonts w:hint="eastAsia" w:ascii="宋体" w:hAnsi="宋体" w:cs="宋体"/>
                <w:color w:val="auto"/>
                <w:sz w:val="24"/>
                <w:highlight w:val="none"/>
              </w:rPr>
            </w:pPr>
          </w:p>
        </w:tc>
        <w:tc>
          <w:tcPr>
            <w:tcW w:w="3432" w:type="dxa"/>
            <w:tcBorders>
              <w:top w:val="single" w:color="auto" w:sz="4" w:space="0"/>
              <w:left w:val="single" w:color="auto" w:sz="4" w:space="0"/>
              <w:bottom w:val="single" w:color="auto" w:sz="4" w:space="0"/>
              <w:right w:val="single" w:color="auto" w:sz="4" w:space="0"/>
            </w:tcBorders>
            <w:noWrap w:val="0"/>
            <w:vAlign w:val="center"/>
          </w:tcPr>
          <w:p w14:paraId="7237966F">
            <w:pPr>
              <w:jc w:val="center"/>
              <w:rPr>
                <w:rFonts w:hint="eastAsia" w:ascii="宋体" w:hAnsi="宋体" w:cs="宋体"/>
                <w:color w:val="auto"/>
                <w:sz w:val="24"/>
                <w:highlight w:val="none"/>
              </w:rPr>
            </w:pPr>
          </w:p>
        </w:tc>
      </w:tr>
    </w:tbl>
    <w:p w14:paraId="768842E2">
      <w:pPr>
        <w:adjustRightInd w:val="0"/>
        <w:snapToGrid w:val="0"/>
        <w:spacing w:line="400" w:lineRule="exact"/>
        <w:ind w:left="15" w:hanging="14" w:hangingChars="7"/>
        <w:rPr>
          <w:rFonts w:hint="eastAsia" w:ascii="宋体" w:hAnsi="宋体" w:cs="宋体"/>
          <w:color w:val="auto"/>
          <w:spacing w:val="20"/>
          <w:szCs w:val="21"/>
          <w:highlight w:val="none"/>
        </w:rPr>
      </w:pPr>
      <w:r>
        <w:rPr>
          <w:rFonts w:hint="eastAsia" w:ascii="宋体" w:hAnsi="宋体" w:cs="宋体"/>
          <w:color w:val="auto"/>
          <w:szCs w:val="21"/>
          <w:highlight w:val="none"/>
        </w:rPr>
        <w:t>注：须与“第四章  商务条款”逐项比较填写，如有偏离的，须在本表中列明，并提供详细的偏离说明。如供应商未在本表中列出偏离说明，即使其在响应文件的其他部分说明与</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要求有所不同或回避不答，亦视为完全符合</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中所要求的最佳值并写入合同。若中标供应商在定标及合同签订前，以上述事项为借口而不履行合同签订手续及执行合同，则视作其放弃中标资格，招标人有权不退还其投标保证金。</w:t>
      </w:r>
    </w:p>
    <w:p w14:paraId="79FB406D">
      <w:pPr>
        <w:adjustRightInd w:val="0"/>
        <w:snapToGrid w:val="0"/>
        <w:spacing w:line="240" w:lineRule="atLeast"/>
        <w:rPr>
          <w:rFonts w:hint="eastAsia" w:ascii="宋体" w:hAnsi="宋体" w:cs="宋体"/>
          <w:color w:val="auto"/>
          <w:sz w:val="24"/>
          <w:highlight w:val="none"/>
        </w:rPr>
      </w:pPr>
    </w:p>
    <w:p w14:paraId="78ABE1D9">
      <w:pPr>
        <w:pStyle w:val="14"/>
        <w:rPr>
          <w:rFonts w:hint="eastAsia" w:ascii="宋体" w:hAnsi="宋体" w:cs="宋体"/>
          <w:color w:val="auto"/>
          <w:sz w:val="24"/>
          <w:highlight w:val="none"/>
        </w:rPr>
      </w:pPr>
    </w:p>
    <w:p w14:paraId="3063E330">
      <w:pPr>
        <w:rPr>
          <w:rFonts w:hint="eastAsia" w:ascii="宋体" w:hAnsi="宋体" w:cs="宋体"/>
          <w:color w:val="auto"/>
          <w:sz w:val="24"/>
          <w:highlight w:val="none"/>
        </w:rPr>
      </w:pPr>
    </w:p>
    <w:p w14:paraId="6B9D599E">
      <w:pPr>
        <w:pStyle w:val="14"/>
        <w:rPr>
          <w:rFonts w:hint="eastAsia" w:ascii="宋体" w:hAnsi="宋体" w:cs="宋体"/>
          <w:color w:val="auto"/>
          <w:sz w:val="24"/>
          <w:highlight w:val="none"/>
        </w:rPr>
      </w:pPr>
    </w:p>
    <w:p w14:paraId="5A22750C">
      <w:pPr>
        <w:rPr>
          <w:rFonts w:hint="eastAsia" w:ascii="宋体" w:hAnsi="宋体" w:cs="宋体"/>
          <w:color w:val="auto"/>
          <w:sz w:val="24"/>
          <w:highlight w:val="none"/>
        </w:rPr>
      </w:pPr>
    </w:p>
    <w:p w14:paraId="227472F4">
      <w:pPr>
        <w:snapToGrid w:val="0"/>
        <w:spacing w:before="50" w:after="50"/>
        <w:ind w:left="29" w:leftChars="-95" w:hanging="228" w:hangingChars="95"/>
        <w:jc w:val="center"/>
        <w:rPr>
          <w:rFonts w:hint="eastAsia" w:ascii="宋体" w:hAnsi="宋体" w:cs="宋体"/>
          <w:color w:val="auto"/>
          <w:sz w:val="24"/>
          <w:highlight w:val="none"/>
        </w:rPr>
      </w:pPr>
      <w:r>
        <w:rPr>
          <w:rFonts w:hint="eastAsia" w:ascii="宋体" w:hAnsi="宋体" w:cs="宋体"/>
          <w:color w:val="auto"/>
          <w:sz w:val="24"/>
          <w:highlight w:val="none"/>
        </w:rPr>
        <w:t xml:space="preserve">                         供应商（盖章）：</w:t>
      </w:r>
    </w:p>
    <w:p w14:paraId="6C96A838">
      <w:pPr>
        <w:snapToGrid w:val="0"/>
        <w:spacing w:before="50" w:after="50"/>
        <w:ind w:left="29" w:leftChars="-95" w:hanging="228" w:hangingChars="95"/>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法定代表人或授权代表（签字或盖章）：                   </w:t>
      </w:r>
    </w:p>
    <w:p w14:paraId="0520B4E8">
      <w:pPr>
        <w:snapToGrid w:val="0"/>
        <w:spacing w:before="50" w:after="50"/>
        <w:ind w:left="-3" w:leftChars="-72" w:right="-817" w:rightChars="-389" w:hanging="148" w:hangingChars="62"/>
        <w:jc w:val="left"/>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4E9D29E">
      <w:pPr>
        <w:pStyle w:val="14"/>
        <w:rPr>
          <w:rFonts w:hint="eastAsia" w:ascii="宋体" w:hAnsi="宋体" w:cs="宋体"/>
          <w:color w:val="auto"/>
          <w:sz w:val="24"/>
          <w:highlight w:val="none"/>
        </w:rPr>
      </w:pPr>
    </w:p>
    <w:p w14:paraId="29474329">
      <w:pPr>
        <w:rPr>
          <w:rFonts w:hint="eastAsia" w:ascii="宋体" w:hAnsi="宋体" w:cs="宋体"/>
          <w:color w:val="auto"/>
          <w:sz w:val="24"/>
          <w:highlight w:val="none"/>
        </w:rPr>
      </w:pPr>
    </w:p>
    <w:p w14:paraId="7A91C4F9">
      <w:pPr>
        <w:pStyle w:val="14"/>
        <w:rPr>
          <w:rFonts w:hint="eastAsia" w:ascii="宋体" w:hAnsi="宋体" w:cs="宋体"/>
          <w:color w:val="auto"/>
          <w:sz w:val="24"/>
          <w:highlight w:val="none"/>
        </w:rPr>
      </w:pPr>
    </w:p>
    <w:p w14:paraId="1DB6EB05">
      <w:pPr>
        <w:rPr>
          <w:rFonts w:hint="eastAsia"/>
          <w:color w:val="auto"/>
          <w:highlight w:val="none"/>
        </w:rPr>
      </w:pPr>
    </w:p>
    <w:p w14:paraId="0AEF19E9">
      <w:pPr>
        <w:pStyle w:val="152"/>
        <w:rPr>
          <w:rFonts w:hint="eastAsia"/>
          <w:color w:val="auto"/>
          <w:highlight w:val="none"/>
        </w:rPr>
      </w:pPr>
    </w:p>
    <w:p w14:paraId="0C15F4E8">
      <w:pPr>
        <w:pStyle w:val="152"/>
        <w:rPr>
          <w:rFonts w:hint="eastAsia"/>
          <w:color w:val="auto"/>
          <w:highlight w:val="none"/>
        </w:rPr>
      </w:pPr>
    </w:p>
    <w:p w14:paraId="0B117B05">
      <w:pPr>
        <w:rPr>
          <w:rFonts w:hint="eastAsia" w:ascii="宋体" w:hAnsi="宋体" w:cs="宋体"/>
          <w:color w:val="auto"/>
          <w:sz w:val="24"/>
          <w:highlight w:val="none"/>
        </w:rPr>
      </w:pPr>
    </w:p>
    <w:p w14:paraId="2A2BB6A2">
      <w:pPr>
        <w:pStyle w:val="11"/>
        <w:rPr>
          <w:rFonts w:hint="eastAsia"/>
          <w:highlight w:val="none"/>
        </w:rPr>
      </w:pPr>
    </w:p>
    <w:p w14:paraId="4A85347E">
      <w:pPr>
        <w:pStyle w:val="14"/>
        <w:rPr>
          <w:rFonts w:hint="eastAsia" w:ascii="宋体" w:hAnsi="宋体" w:cs="宋体"/>
          <w:color w:val="auto"/>
          <w:sz w:val="24"/>
          <w:highlight w:val="none"/>
        </w:rPr>
      </w:pPr>
    </w:p>
    <w:p w14:paraId="657249B2">
      <w:pPr>
        <w:snapToGrid w:val="0"/>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w:t>
      </w:r>
    </w:p>
    <w:p w14:paraId="3C74D52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bookmarkStart w:id="100" w:name="_Toc12712"/>
      <w:r>
        <w:rPr>
          <w:rFonts w:hint="eastAsia" w:ascii="宋体" w:hAnsi="宋体" w:eastAsia="宋体" w:cs="宋体"/>
          <w:b/>
          <w:bCs/>
          <w:color w:val="auto"/>
          <w:sz w:val="24"/>
          <w:highlight w:val="none"/>
        </w:rPr>
        <w:t>技术条款偏离表</w:t>
      </w:r>
      <w:bookmarkEnd w:id="100"/>
    </w:p>
    <w:p w14:paraId="708D91A4">
      <w:pPr>
        <w:spacing w:line="360" w:lineRule="auto"/>
        <w:ind w:firstLine="240" w:firstLineChars="100"/>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w:t>
      </w:r>
      <w:r>
        <w:rPr>
          <w:rFonts w:hint="eastAsia" w:ascii="宋体" w:hAnsi="宋体" w:cs="宋体"/>
          <w:color w:val="auto"/>
          <w:sz w:val="24"/>
          <w:highlight w:val="none"/>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168"/>
        <w:gridCol w:w="3168"/>
        <w:gridCol w:w="1978"/>
      </w:tblGrid>
      <w:tr w14:paraId="1BED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944" w:type="dxa"/>
            <w:tcBorders>
              <w:top w:val="single" w:color="auto" w:sz="4" w:space="0"/>
              <w:left w:val="single" w:color="auto" w:sz="4" w:space="0"/>
              <w:bottom w:val="single" w:color="auto" w:sz="4" w:space="0"/>
            </w:tcBorders>
            <w:noWrap w:val="0"/>
            <w:vAlign w:val="center"/>
          </w:tcPr>
          <w:p w14:paraId="53918F61">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168" w:type="dxa"/>
            <w:tcBorders>
              <w:top w:val="single" w:color="auto" w:sz="4" w:space="0"/>
              <w:bottom w:val="single" w:color="auto" w:sz="4" w:space="0"/>
            </w:tcBorders>
            <w:noWrap w:val="0"/>
            <w:vAlign w:val="center"/>
          </w:tcPr>
          <w:p w14:paraId="1D6BF6B7">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lang w:eastAsia="zh-CN"/>
              </w:rPr>
              <w:t>采购文件</w:t>
            </w:r>
            <w:r>
              <w:rPr>
                <w:rFonts w:hint="eastAsia" w:ascii="宋体" w:hAnsi="宋体" w:cs="宋体"/>
                <w:b/>
                <w:color w:val="auto"/>
                <w:szCs w:val="21"/>
                <w:highlight w:val="none"/>
              </w:rPr>
              <w:t>技术规格、要求</w:t>
            </w:r>
          </w:p>
        </w:tc>
        <w:tc>
          <w:tcPr>
            <w:tcW w:w="3168" w:type="dxa"/>
            <w:tcBorders>
              <w:top w:val="single" w:color="auto" w:sz="4" w:space="0"/>
              <w:bottom w:val="single" w:color="auto" w:sz="4" w:space="0"/>
            </w:tcBorders>
            <w:noWrap w:val="0"/>
            <w:vAlign w:val="center"/>
          </w:tcPr>
          <w:p w14:paraId="05186E90">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投标文件对应规格</w:t>
            </w:r>
          </w:p>
        </w:tc>
        <w:tc>
          <w:tcPr>
            <w:tcW w:w="1978" w:type="dxa"/>
            <w:tcBorders>
              <w:top w:val="single" w:color="auto" w:sz="4" w:space="0"/>
              <w:bottom w:val="single" w:color="auto" w:sz="4" w:space="0"/>
              <w:right w:val="single" w:color="auto" w:sz="4" w:space="0"/>
            </w:tcBorders>
            <w:noWrap w:val="0"/>
            <w:vAlign w:val="center"/>
          </w:tcPr>
          <w:p w14:paraId="3D64A178">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说明</w:t>
            </w:r>
          </w:p>
        </w:tc>
      </w:tr>
      <w:tr w14:paraId="50D1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944" w:type="dxa"/>
            <w:tcBorders>
              <w:top w:val="single" w:color="auto" w:sz="4" w:space="0"/>
              <w:left w:val="single" w:color="auto" w:sz="4" w:space="0"/>
              <w:bottom w:val="single" w:color="auto" w:sz="4" w:space="0"/>
            </w:tcBorders>
            <w:noWrap w:val="0"/>
            <w:vAlign w:val="center"/>
          </w:tcPr>
          <w:p w14:paraId="6B828B91">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37D24770">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2F621BDA">
            <w:pPr>
              <w:spacing w:line="360" w:lineRule="exact"/>
              <w:jc w:val="center"/>
              <w:rPr>
                <w:rFonts w:hint="eastAsia" w:ascii="宋体" w:hAnsi="宋体" w:cs="宋体"/>
                <w:color w:val="auto"/>
                <w:szCs w:val="21"/>
                <w:highlight w:val="none"/>
              </w:rPr>
            </w:pPr>
          </w:p>
        </w:tc>
        <w:tc>
          <w:tcPr>
            <w:tcW w:w="1978" w:type="dxa"/>
            <w:tcBorders>
              <w:top w:val="single" w:color="auto" w:sz="4" w:space="0"/>
              <w:bottom w:val="single" w:color="auto" w:sz="4" w:space="0"/>
              <w:right w:val="single" w:color="auto" w:sz="4" w:space="0"/>
            </w:tcBorders>
            <w:noWrap w:val="0"/>
            <w:vAlign w:val="center"/>
          </w:tcPr>
          <w:p w14:paraId="76C9DBA2">
            <w:pPr>
              <w:spacing w:line="360" w:lineRule="exact"/>
              <w:jc w:val="center"/>
              <w:rPr>
                <w:rFonts w:hint="eastAsia" w:ascii="宋体" w:hAnsi="宋体" w:cs="宋体"/>
                <w:color w:val="auto"/>
                <w:szCs w:val="21"/>
                <w:highlight w:val="none"/>
              </w:rPr>
            </w:pPr>
          </w:p>
        </w:tc>
      </w:tr>
      <w:tr w14:paraId="367B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944" w:type="dxa"/>
            <w:tcBorders>
              <w:top w:val="single" w:color="auto" w:sz="4" w:space="0"/>
              <w:left w:val="single" w:color="auto" w:sz="4" w:space="0"/>
              <w:bottom w:val="single" w:color="auto" w:sz="4" w:space="0"/>
            </w:tcBorders>
            <w:noWrap w:val="0"/>
            <w:vAlign w:val="center"/>
          </w:tcPr>
          <w:p w14:paraId="579E6BC2">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5EFE14C7">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068E16CF">
            <w:pPr>
              <w:spacing w:line="360" w:lineRule="exact"/>
              <w:jc w:val="center"/>
              <w:rPr>
                <w:rFonts w:hint="eastAsia" w:ascii="宋体" w:hAnsi="宋体" w:cs="宋体"/>
                <w:color w:val="auto"/>
                <w:szCs w:val="21"/>
                <w:highlight w:val="none"/>
              </w:rPr>
            </w:pPr>
          </w:p>
        </w:tc>
        <w:tc>
          <w:tcPr>
            <w:tcW w:w="1978" w:type="dxa"/>
            <w:tcBorders>
              <w:top w:val="single" w:color="auto" w:sz="4" w:space="0"/>
              <w:bottom w:val="single" w:color="auto" w:sz="4" w:space="0"/>
              <w:right w:val="single" w:color="auto" w:sz="4" w:space="0"/>
            </w:tcBorders>
            <w:noWrap w:val="0"/>
            <w:vAlign w:val="center"/>
          </w:tcPr>
          <w:p w14:paraId="345F51BE">
            <w:pPr>
              <w:spacing w:line="360" w:lineRule="exact"/>
              <w:jc w:val="center"/>
              <w:rPr>
                <w:rFonts w:hint="eastAsia" w:ascii="宋体" w:hAnsi="宋体" w:cs="宋体"/>
                <w:color w:val="auto"/>
                <w:szCs w:val="21"/>
                <w:highlight w:val="none"/>
              </w:rPr>
            </w:pPr>
          </w:p>
        </w:tc>
      </w:tr>
      <w:tr w14:paraId="5B2A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944" w:type="dxa"/>
            <w:tcBorders>
              <w:top w:val="single" w:color="auto" w:sz="4" w:space="0"/>
              <w:left w:val="single" w:color="auto" w:sz="4" w:space="0"/>
              <w:bottom w:val="single" w:color="auto" w:sz="4" w:space="0"/>
            </w:tcBorders>
            <w:noWrap w:val="0"/>
            <w:vAlign w:val="center"/>
          </w:tcPr>
          <w:p w14:paraId="170CC1B5">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20178B83">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0A897C6B">
            <w:pPr>
              <w:spacing w:line="360" w:lineRule="exact"/>
              <w:jc w:val="center"/>
              <w:rPr>
                <w:rFonts w:hint="eastAsia" w:ascii="宋体" w:hAnsi="宋体" w:cs="宋体"/>
                <w:color w:val="auto"/>
                <w:szCs w:val="21"/>
                <w:highlight w:val="none"/>
              </w:rPr>
            </w:pPr>
          </w:p>
        </w:tc>
        <w:tc>
          <w:tcPr>
            <w:tcW w:w="1978" w:type="dxa"/>
            <w:tcBorders>
              <w:top w:val="single" w:color="auto" w:sz="4" w:space="0"/>
              <w:bottom w:val="single" w:color="auto" w:sz="4" w:space="0"/>
              <w:right w:val="single" w:color="auto" w:sz="4" w:space="0"/>
            </w:tcBorders>
            <w:noWrap w:val="0"/>
            <w:vAlign w:val="center"/>
          </w:tcPr>
          <w:p w14:paraId="33057248">
            <w:pPr>
              <w:spacing w:line="360" w:lineRule="exact"/>
              <w:jc w:val="center"/>
              <w:rPr>
                <w:rFonts w:hint="eastAsia" w:ascii="宋体" w:hAnsi="宋体" w:cs="宋体"/>
                <w:color w:val="auto"/>
                <w:szCs w:val="21"/>
                <w:highlight w:val="none"/>
              </w:rPr>
            </w:pPr>
          </w:p>
        </w:tc>
      </w:tr>
      <w:tr w14:paraId="799E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944" w:type="dxa"/>
            <w:tcBorders>
              <w:top w:val="single" w:color="auto" w:sz="4" w:space="0"/>
              <w:left w:val="single" w:color="auto" w:sz="4" w:space="0"/>
              <w:bottom w:val="single" w:color="auto" w:sz="4" w:space="0"/>
            </w:tcBorders>
            <w:noWrap w:val="0"/>
            <w:vAlign w:val="center"/>
          </w:tcPr>
          <w:p w14:paraId="24EEEC17">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032AABBE">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4C9B7FA0">
            <w:pPr>
              <w:spacing w:line="360" w:lineRule="exact"/>
              <w:jc w:val="center"/>
              <w:rPr>
                <w:rFonts w:hint="eastAsia" w:ascii="宋体" w:hAnsi="宋体" w:cs="宋体"/>
                <w:color w:val="auto"/>
                <w:szCs w:val="21"/>
                <w:highlight w:val="none"/>
              </w:rPr>
            </w:pPr>
          </w:p>
        </w:tc>
        <w:tc>
          <w:tcPr>
            <w:tcW w:w="1978" w:type="dxa"/>
            <w:tcBorders>
              <w:top w:val="single" w:color="auto" w:sz="4" w:space="0"/>
              <w:bottom w:val="single" w:color="auto" w:sz="4" w:space="0"/>
              <w:right w:val="single" w:color="auto" w:sz="4" w:space="0"/>
            </w:tcBorders>
            <w:noWrap w:val="0"/>
            <w:vAlign w:val="center"/>
          </w:tcPr>
          <w:p w14:paraId="1459F0EE">
            <w:pPr>
              <w:spacing w:line="360" w:lineRule="exact"/>
              <w:jc w:val="center"/>
              <w:rPr>
                <w:rFonts w:hint="eastAsia" w:ascii="宋体" w:hAnsi="宋体" w:cs="宋体"/>
                <w:color w:val="auto"/>
                <w:szCs w:val="21"/>
                <w:highlight w:val="none"/>
              </w:rPr>
            </w:pPr>
          </w:p>
        </w:tc>
      </w:tr>
      <w:tr w14:paraId="4738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944" w:type="dxa"/>
            <w:tcBorders>
              <w:top w:val="single" w:color="auto" w:sz="4" w:space="0"/>
              <w:left w:val="single" w:color="auto" w:sz="4" w:space="0"/>
              <w:bottom w:val="single" w:color="auto" w:sz="4" w:space="0"/>
            </w:tcBorders>
            <w:noWrap w:val="0"/>
            <w:vAlign w:val="center"/>
          </w:tcPr>
          <w:p w14:paraId="7A71D036">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75D3B942">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7E72D26D">
            <w:pPr>
              <w:spacing w:line="360" w:lineRule="exact"/>
              <w:jc w:val="center"/>
              <w:rPr>
                <w:rFonts w:hint="eastAsia" w:ascii="宋体" w:hAnsi="宋体" w:cs="宋体"/>
                <w:color w:val="auto"/>
                <w:szCs w:val="21"/>
                <w:highlight w:val="none"/>
              </w:rPr>
            </w:pPr>
          </w:p>
        </w:tc>
        <w:tc>
          <w:tcPr>
            <w:tcW w:w="1978" w:type="dxa"/>
            <w:tcBorders>
              <w:top w:val="single" w:color="auto" w:sz="4" w:space="0"/>
              <w:bottom w:val="single" w:color="auto" w:sz="4" w:space="0"/>
              <w:right w:val="single" w:color="auto" w:sz="4" w:space="0"/>
            </w:tcBorders>
            <w:noWrap w:val="0"/>
            <w:vAlign w:val="center"/>
          </w:tcPr>
          <w:p w14:paraId="7A6A7B46">
            <w:pPr>
              <w:spacing w:line="360" w:lineRule="exact"/>
              <w:jc w:val="center"/>
              <w:rPr>
                <w:rFonts w:hint="eastAsia" w:ascii="宋体" w:hAnsi="宋体" w:cs="宋体"/>
                <w:color w:val="auto"/>
                <w:szCs w:val="21"/>
                <w:highlight w:val="none"/>
              </w:rPr>
            </w:pPr>
          </w:p>
        </w:tc>
      </w:tr>
      <w:tr w14:paraId="14E7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944" w:type="dxa"/>
            <w:tcBorders>
              <w:top w:val="single" w:color="auto" w:sz="4" w:space="0"/>
              <w:left w:val="single" w:color="auto" w:sz="4" w:space="0"/>
              <w:bottom w:val="single" w:color="auto" w:sz="4" w:space="0"/>
            </w:tcBorders>
            <w:noWrap w:val="0"/>
            <w:vAlign w:val="center"/>
          </w:tcPr>
          <w:p w14:paraId="1A351538">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46E56AB0">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24BC4FBE">
            <w:pPr>
              <w:spacing w:line="360" w:lineRule="exact"/>
              <w:jc w:val="center"/>
              <w:rPr>
                <w:rFonts w:hint="eastAsia" w:ascii="宋体" w:hAnsi="宋体" w:cs="宋体"/>
                <w:color w:val="auto"/>
                <w:szCs w:val="21"/>
                <w:highlight w:val="none"/>
              </w:rPr>
            </w:pPr>
          </w:p>
        </w:tc>
        <w:tc>
          <w:tcPr>
            <w:tcW w:w="1978" w:type="dxa"/>
            <w:tcBorders>
              <w:top w:val="single" w:color="auto" w:sz="4" w:space="0"/>
              <w:bottom w:val="single" w:color="auto" w:sz="4" w:space="0"/>
              <w:right w:val="single" w:color="auto" w:sz="4" w:space="0"/>
            </w:tcBorders>
            <w:noWrap w:val="0"/>
            <w:vAlign w:val="center"/>
          </w:tcPr>
          <w:p w14:paraId="34AA7444">
            <w:pPr>
              <w:spacing w:line="360" w:lineRule="exact"/>
              <w:jc w:val="center"/>
              <w:rPr>
                <w:rFonts w:hint="eastAsia" w:ascii="宋体" w:hAnsi="宋体" w:cs="宋体"/>
                <w:color w:val="auto"/>
                <w:szCs w:val="21"/>
                <w:highlight w:val="none"/>
              </w:rPr>
            </w:pPr>
          </w:p>
        </w:tc>
      </w:tr>
      <w:tr w14:paraId="1B2A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944" w:type="dxa"/>
            <w:tcBorders>
              <w:top w:val="single" w:color="auto" w:sz="4" w:space="0"/>
              <w:left w:val="single" w:color="auto" w:sz="4" w:space="0"/>
              <w:bottom w:val="single" w:color="auto" w:sz="4" w:space="0"/>
            </w:tcBorders>
            <w:noWrap w:val="0"/>
            <w:vAlign w:val="center"/>
          </w:tcPr>
          <w:p w14:paraId="5A4A03F4">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6C2196C7">
            <w:pPr>
              <w:spacing w:line="360" w:lineRule="exact"/>
              <w:jc w:val="center"/>
              <w:rPr>
                <w:rFonts w:hint="eastAsia" w:ascii="宋体" w:hAnsi="宋体" w:cs="宋体"/>
                <w:color w:val="auto"/>
                <w:szCs w:val="21"/>
                <w:highlight w:val="none"/>
              </w:rPr>
            </w:pPr>
          </w:p>
        </w:tc>
        <w:tc>
          <w:tcPr>
            <w:tcW w:w="3168" w:type="dxa"/>
            <w:tcBorders>
              <w:top w:val="single" w:color="auto" w:sz="4" w:space="0"/>
              <w:bottom w:val="single" w:color="auto" w:sz="4" w:space="0"/>
            </w:tcBorders>
            <w:noWrap w:val="0"/>
            <w:vAlign w:val="center"/>
          </w:tcPr>
          <w:p w14:paraId="02FD93D8">
            <w:pPr>
              <w:spacing w:line="360" w:lineRule="exact"/>
              <w:jc w:val="center"/>
              <w:rPr>
                <w:rFonts w:hint="eastAsia" w:ascii="宋体" w:hAnsi="宋体" w:cs="宋体"/>
                <w:color w:val="auto"/>
                <w:szCs w:val="21"/>
                <w:highlight w:val="none"/>
              </w:rPr>
            </w:pPr>
          </w:p>
        </w:tc>
        <w:tc>
          <w:tcPr>
            <w:tcW w:w="1978" w:type="dxa"/>
            <w:tcBorders>
              <w:top w:val="single" w:color="auto" w:sz="4" w:space="0"/>
              <w:bottom w:val="single" w:color="auto" w:sz="4" w:space="0"/>
              <w:right w:val="single" w:color="auto" w:sz="4" w:space="0"/>
            </w:tcBorders>
            <w:noWrap w:val="0"/>
            <w:vAlign w:val="center"/>
          </w:tcPr>
          <w:p w14:paraId="3E528649">
            <w:pPr>
              <w:spacing w:line="360" w:lineRule="exact"/>
              <w:jc w:val="center"/>
              <w:rPr>
                <w:rFonts w:hint="eastAsia" w:ascii="宋体" w:hAnsi="宋体" w:cs="宋体"/>
                <w:color w:val="auto"/>
                <w:szCs w:val="21"/>
                <w:highlight w:val="none"/>
              </w:rPr>
            </w:pPr>
          </w:p>
        </w:tc>
      </w:tr>
    </w:tbl>
    <w:p w14:paraId="4B71DDEE">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注：1、投标文件响应须与采购文件第</w:t>
      </w: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 xml:space="preserve">章  </w:t>
      </w:r>
      <w:r>
        <w:rPr>
          <w:rFonts w:hint="eastAsia" w:ascii="宋体" w:hAnsi="宋体"/>
          <w:color w:val="auto"/>
          <w:sz w:val="24"/>
          <w:szCs w:val="24"/>
          <w:highlight w:val="none"/>
          <w:lang w:val="en-US" w:eastAsia="zh-CN"/>
        </w:rPr>
        <w:t>采购清单及规格参数</w:t>
      </w:r>
      <w:r>
        <w:rPr>
          <w:rFonts w:hint="eastAsia" w:ascii="宋体" w:hAnsi="宋体"/>
          <w:color w:val="auto"/>
          <w:sz w:val="24"/>
          <w:szCs w:val="24"/>
          <w:highlight w:val="none"/>
        </w:rPr>
        <w:t>逐项比较填写。</w:t>
      </w:r>
    </w:p>
    <w:p w14:paraId="6FC7C872">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2、偏离说明是指对</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要求存在不同之处的解释说明。偏离系指：正偏离（高于采购需求）、负偏离（低于采购需求）、无偏离（满足采购需求）。</w:t>
      </w:r>
    </w:p>
    <w:p w14:paraId="2A9CB5B2">
      <w:pPr>
        <w:adjustRightInd w:val="0"/>
        <w:snapToGrid w:val="0"/>
        <w:spacing w:line="400" w:lineRule="exact"/>
        <w:rPr>
          <w:rFonts w:ascii="宋体" w:hAnsi="宋体"/>
          <w:color w:val="auto"/>
          <w:spacing w:val="20"/>
          <w:szCs w:val="21"/>
          <w:highlight w:val="none"/>
        </w:rPr>
      </w:pPr>
    </w:p>
    <w:p w14:paraId="6700C563">
      <w:pPr>
        <w:snapToGrid w:val="0"/>
        <w:spacing w:before="50" w:after="50"/>
        <w:ind w:left="29" w:leftChars="-95" w:hanging="228" w:hangingChars="95"/>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供应商（盖章）：</w:t>
      </w:r>
    </w:p>
    <w:p w14:paraId="4A3C4CBF">
      <w:pPr>
        <w:snapToGrid w:val="0"/>
        <w:spacing w:before="50" w:after="50"/>
        <w:ind w:left="29" w:leftChars="-95" w:hanging="228" w:hangingChars="95"/>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法定代表人或授权代表（签字或盖章）：                   </w:t>
      </w:r>
    </w:p>
    <w:p w14:paraId="46FAA466">
      <w:pPr>
        <w:snapToGrid w:val="0"/>
        <w:spacing w:before="50" w:after="50"/>
        <w:ind w:left="-3" w:leftChars="-72" w:right="-817" w:rightChars="-389" w:hanging="148" w:hangingChars="62"/>
        <w:jc w:val="left"/>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7E161D2">
      <w:pPr>
        <w:snapToGrid w:val="0"/>
        <w:spacing w:line="360" w:lineRule="auto"/>
        <w:rPr>
          <w:rFonts w:hint="eastAsia" w:ascii="宋体" w:hAnsi="宋体" w:cs="宋体"/>
          <w:b/>
          <w:color w:val="auto"/>
          <w:sz w:val="24"/>
          <w:highlight w:val="none"/>
        </w:rPr>
      </w:pPr>
    </w:p>
    <w:p w14:paraId="49130C96">
      <w:pPr>
        <w:snapToGrid w:val="0"/>
        <w:spacing w:line="360" w:lineRule="auto"/>
        <w:rPr>
          <w:rFonts w:hint="eastAsia" w:ascii="宋体" w:hAnsi="宋体" w:cs="宋体"/>
          <w:b/>
          <w:color w:val="auto"/>
          <w:sz w:val="24"/>
          <w:highlight w:val="none"/>
        </w:rPr>
      </w:pPr>
    </w:p>
    <w:p w14:paraId="0CEA5BF2">
      <w:pPr>
        <w:pStyle w:val="14"/>
        <w:rPr>
          <w:rFonts w:hint="eastAsia" w:ascii="宋体" w:hAnsi="宋体" w:cs="宋体"/>
          <w:b/>
          <w:color w:val="auto"/>
          <w:sz w:val="24"/>
          <w:highlight w:val="none"/>
        </w:rPr>
      </w:pPr>
    </w:p>
    <w:p w14:paraId="0BA2CC8F">
      <w:pPr>
        <w:pStyle w:val="14"/>
        <w:rPr>
          <w:rFonts w:hint="eastAsia" w:ascii="宋体" w:hAnsi="宋体" w:cs="宋体"/>
          <w:b/>
          <w:color w:val="auto"/>
          <w:sz w:val="24"/>
          <w:highlight w:val="none"/>
        </w:rPr>
      </w:pPr>
    </w:p>
    <w:p w14:paraId="4956BDA0">
      <w:pPr>
        <w:pStyle w:val="14"/>
        <w:rPr>
          <w:rFonts w:hint="eastAsia" w:ascii="宋体" w:hAnsi="宋体" w:cs="宋体"/>
          <w:b/>
          <w:color w:val="auto"/>
          <w:sz w:val="24"/>
          <w:highlight w:val="none"/>
        </w:rPr>
      </w:pPr>
    </w:p>
    <w:p w14:paraId="79B01FE6">
      <w:pPr>
        <w:pStyle w:val="14"/>
        <w:rPr>
          <w:rFonts w:hint="eastAsia" w:ascii="宋体" w:hAnsi="宋体" w:cs="宋体"/>
          <w:b/>
          <w:color w:val="auto"/>
          <w:sz w:val="24"/>
          <w:highlight w:val="none"/>
        </w:rPr>
      </w:pPr>
    </w:p>
    <w:p w14:paraId="3049BB78">
      <w:pPr>
        <w:pStyle w:val="14"/>
        <w:rPr>
          <w:rFonts w:hint="eastAsia" w:ascii="宋体" w:hAnsi="宋体" w:cs="宋体"/>
          <w:b/>
          <w:color w:val="auto"/>
          <w:sz w:val="24"/>
          <w:highlight w:val="none"/>
        </w:rPr>
      </w:pPr>
    </w:p>
    <w:p w14:paraId="2542CA9E">
      <w:pPr>
        <w:pStyle w:val="14"/>
        <w:rPr>
          <w:rFonts w:hint="eastAsia"/>
          <w:highlight w:val="none"/>
        </w:rPr>
      </w:pPr>
    </w:p>
    <w:p w14:paraId="59AAF677">
      <w:pPr>
        <w:snapToGrid w:val="0"/>
        <w:spacing w:line="360" w:lineRule="auto"/>
        <w:rPr>
          <w:rFonts w:hint="eastAsia" w:ascii="宋体" w:hAnsi="宋体" w:cs="宋体"/>
          <w:b/>
          <w:color w:val="auto"/>
          <w:sz w:val="24"/>
          <w:highlight w:val="none"/>
        </w:rPr>
      </w:pPr>
    </w:p>
    <w:p w14:paraId="613D9A66">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w:t>
      </w:r>
    </w:p>
    <w:p w14:paraId="5D1B795D">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供应商一般情况表</w:t>
      </w:r>
    </w:p>
    <w:tbl>
      <w:tblPr>
        <w:tblStyle w:val="3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2A62B3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30BBD40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147" w:type="dxa"/>
            <w:gridSpan w:val="3"/>
            <w:noWrap w:val="0"/>
            <w:vAlign w:val="center"/>
          </w:tcPr>
          <w:p w14:paraId="1D108B5F">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单位名称：</w:t>
            </w:r>
          </w:p>
        </w:tc>
      </w:tr>
      <w:tr w14:paraId="7BE4A2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2220223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147" w:type="dxa"/>
            <w:gridSpan w:val="3"/>
            <w:noWrap w:val="0"/>
            <w:vAlign w:val="center"/>
          </w:tcPr>
          <w:p w14:paraId="6A4A0B9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总部地址：</w:t>
            </w:r>
          </w:p>
        </w:tc>
      </w:tr>
      <w:tr w14:paraId="4A090C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33B0539A">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147" w:type="dxa"/>
            <w:gridSpan w:val="3"/>
            <w:noWrap w:val="0"/>
            <w:vAlign w:val="center"/>
          </w:tcPr>
          <w:p w14:paraId="7A675FC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当地代表处地址：</w:t>
            </w:r>
          </w:p>
        </w:tc>
      </w:tr>
      <w:tr w14:paraId="4E3B5A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3C42A03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305" w:type="dxa"/>
            <w:noWrap w:val="0"/>
            <w:vAlign w:val="center"/>
          </w:tcPr>
          <w:p w14:paraId="2AAFB319">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3842" w:type="dxa"/>
            <w:gridSpan w:val="2"/>
            <w:noWrap w:val="0"/>
            <w:vAlign w:val="center"/>
          </w:tcPr>
          <w:p w14:paraId="42EC20F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 系 人：</w:t>
            </w:r>
          </w:p>
        </w:tc>
      </w:tr>
      <w:tr w14:paraId="0260D5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1F1AB34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305" w:type="dxa"/>
            <w:noWrap w:val="0"/>
            <w:vAlign w:val="center"/>
          </w:tcPr>
          <w:p w14:paraId="08931C6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3842" w:type="dxa"/>
            <w:gridSpan w:val="2"/>
            <w:noWrap w:val="0"/>
            <w:vAlign w:val="center"/>
          </w:tcPr>
          <w:p w14:paraId="68E25BDF">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电子信箱：</w:t>
            </w:r>
          </w:p>
        </w:tc>
      </w:tr>
      <w:tr w14:paraId="13BC73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79BA4212">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4305" w:type="dxa"/>
            <w:noWrap w:val="0"/>
            <w:vAlign w:val="center"/>
          </w:tcPr>
          <w:p w14:paraId="35FAC6A4">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注册地：</w:t>
            </w:r>
          </w:p>
        </w:tc>
        <w:tc>
          <w:tcPr>
            <w:tcW w:w="3842" w:type="dxa"/>
            <w:gridSpan w:val="2"/>
            <w:noWrap w:val="0"/>
            <w:vAlign w:val="center"/>
          </w:tcPr>
          <w:p w14:paraId="6893E28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注册年份：</w:t>
            </w:r>
          </w:p>
        </w:tc>
      </w:tr>
      <w:tr w14:paraId="2AE9DD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6045BA0D">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147" w:type="dxa"/>
            <w:gridSpan w:val="3"/>
            <w:noWrap w:val="0"/>
            <w:vAlign w:val="center"/>
          </w:tcPr>
          <w:p w14:paraId="7A3EA5E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公司的资质等级（请附上有关证书的复印件）</w:t>
            </w:r>
          </w:p>
        </w:tc>
      </w:tr>
      <w:tr w14:paraId="76B214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32DD9EB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8147" w:type="dxa"/>
            <w:gridSpan w:val="3"/>
            <w:noWrap w:val="0"/>
            <w:vAlign w:val="center"/>
          </w:tcPr>
          <w:p w14:paraId="7A3D166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公司（是否通过，何种）质量保证体系认证（如通过请附相关证书复印件，提供认证机构年审监督报告）</w:t>
            </w:r>
          </w:p>
        </w:tc>
      </w:tr>
      <w:tr w14:paraId="5299ED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43DDB8D5">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4314" w:type="dxa"/>
            <w:gridSpan w:val="2"/>
            <w:noWrap w:val="0"/>
            <w:vAlign w:val="center"/>
          </w:tcPr>
          <w:p w14:paraId="116EF6B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从业人员数量</w:t>
            </w:r>
          </w:p>
        </w:tc>
        <w:tc>
          <w:tcPr>
            <w:tcW w:w="3833" w:type="dxa"/>
            <w:noWrap w:val="0"/>
            <w:vAlign w:val="center"/>
          </w:tcPr>
          <w:p w14:paraId="43885A82">
            <w:pPr>
              <w:spacing w:line="400" w:lineRule="exact"/>
              <w:rPr>
                <w:rFonts w:hint="eastAsia" w:ascii="宋体" w:hAnsi="宋体" w:cs="宋体"/>
                <w:color w:val="auto"/>
                <w:szCs w:val="21"/>
                <w:highlight w:val="none"/>
              </w:rPr>
            </w:pPr>
          </w:p>
        </w:tc>
      </w:tr>
      <w:tr w14:paraId="6D11C4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27EE099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4314" w:type="dxa"/>
            <w:gridSpan w:val="2"/>
            <w:noWrap w:val="0"/>
            <w:vAlign w:val="center"/>
          </w:tcPr>
          <w:p w14:paraId="6D3ED12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营业收入</w:t>
            </w:r>
          </w:p>
        </w:tc>
        <w:tc>
          <w:tcPr>
            <w:tcW w:w="3833" w:type="dxa"/>
            <w:noWrap w:val="0"/>
            <w:vAlign w:val="center"/>
          </w:tcPr>
          <w:p w14:paraId="006C16E3">
            <w:pPr>
              <w:spacing w:line="400" w:lineRule="exact"/>
              <w:rPr>
                <w:rFonts w:hint="eastAsia" w:ascii="宋体" w:hAnsi="宋体" w:cs="宋体"/>
                <w:color w:val="auto"/>
                <w:szCs w:val="21"/>
                <w:highlight w:val="none"/>
              </w:rPr>
            </w:pPr>
          </w:p>
        </w:tc>
      </w:tr>
      <w:tr w14:paraId="49566A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14:paraId="2CF4E6B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4314" w:type="dxa"/>
            <w:gridSpan w:val="2"/>
            <w:noWrap w:val="0"/>
            <w:vAlign w:val="center"/>
          </w:tcPr>
          <w:p w14:paraId="2BDC5D8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其他需要说明的情况</w:t>
            </w:r>
          </w:p>
        </w:tc>
        <w:tc>
          <w:tcPr>
            <w:tcW w:w="3833" w:type="dxa"/>
            <w:noWrap w:val="0"/>
            <w:vAlign w:val="center"/>
          </w:tcPr>
          <w:p w14:paraId="1E9ED121">
            <w:pPr>
              <w:spacing w:line="400" w:lineRule="exact"/>
              <w:rPr>
                <w:rFonts w:hint="eastAsia" w:ascii="宋体" w:hAnsi="宋体" w:cs="宋体"/>
                <w:color w:val="auto"/>
                <w:szCs w:val="21"/>
                <w:highlight w:val="none"/>
              </w:rPr>
            </w:pPr>
          </w:p>
        </w:tc>
      </w:tr>
    </w:tbl>
    <w:p w14:paraId="1A8CF7F8">
      <w:pPr>
        <w:spacing w:line="400" w:lineRule="atLeast"/>
        <w:jc w:val="left"/>
        <w:rPr>
          <w:rFonts w:hint="eastAsia" w:ascii="宋体" w:hAnsi="宋体" w:cs="宋体"/>
          <w:color w:val="auto"/>
          <w:szCs w:val="21"/>
          <w:highlight w:val="none"/>
        </w:rPr>
      </w:pPr>
    </w:p>
    <w:p w14:paraId="1B920501">
      <w:pPr>
        <w:spacing w:line="400" w:lineRule="atLeast"/>
        <w:jc w:val="left"/>
        <w:rPr>
          <w:rFonts w:hint="eastAsia" w:ascii="宋体" w:hAnsi="宋体" w:cs="宋体"/>
          <w:color w:val="auto"/>
          <w:szCs w:val="21"/>
          <w:highlight w:val="none"/>
        </w:rPr>
      </w:pPr>
    </w:p>
    <w:p w14:paraId="4C6603CB">
      <w:pPr>
        <w:spacing w:line="400" w:lineRule="atLeast"/>
        <w:jc w:val="left"/>
        <w:rPr>
          <w:rFonts w:hint="eastAsia" w:ascii="宋体" w:hAnsi="宋体" w:cs="宋体"/>
          <w:color w:val="auto"/>
          <w:szCs w:val="21"/>
          <w:highlight w:val="none"/>
        </w:rPr>
      </w:pPr>
      <w:r>
        <w:rPr>
          <w:rFonts w:hint="eastAsia" w:ascii="宋体" w:hAnsi="宋体" w:cs="宋体"/>
          <w:color w:val="auto"/>
          <w:szCs w:val="21"/>
          <w:highlight w:val="none"/>
        </w:rPr>
        <w:t>供应商（盖章）：</w:t>
      </w:r>
    </w:p>
    <w:p w14:paraId="53F93BB3">
      <w:pPr>
        <w:spacing w:line="400" w:lineRule="atLeast"/>
        <w:rPr>
          <w:rFonts w:hint="eastAsia" w:ascii="宋体" w:hAnsi="宋体" w:cs="宋体"/>
          <w:color w:val="auto"/>
          <w:szCs w:val="21"/>
          <w:highlight w:val="none"/>
          <w:u w:val="single"/>
        </w:rPr>
      </w:pPr>
      <w:r>
        <w:rPr>
          <w:rFonts w:hint="eastAsia" w:ascii="宋体" w:hAnsi="宋体" w:cs="宋体"/>
          <w:color w:val="auto"/>
          <w:szCs w:val="21"/>
          <w:highlight w:val="none"/>
        </w:rPr>
        <w:t>日          期：</w:t>
      </w:r>
    </w:p>
    <w:p w14:paraId="5E477C74">
      <w:pPr>
        <w:spacing w:line="440" w:lineRule="exact"/>
        <w:rPr>
          <w:rStyle w:val="99"/>
          <w:rFonts w:hint="eastAsia" w:hAnsi="宋体"/>
          <w:color w:val="auto"/>
          <w:highlight w:val="none"/>
        </w:rPr>
      </w:pPr>
    </w:p>
    <w:p w14:paraId="006308B5">
      <w:pPr>
        <w:spacing w:line="360" w:lineRule="auto"/>
        <w:rPr>
          <w:rStyle w:val="99"/>
          <w:rFonts w:hint="eastAsia" w:hAnsi="宋体"/>
          <w:color w:val="auto"/>
          <w:highlight w:val="none"/>
        </w:rPr>
      </w:pPr>
    </w:p>
    <w:p w14:paraId="0118ADC3">
      <w:pPr>
        <w:pStyle w:val="11"/>
        <w:rPr>
          <w:rFonts w:hint="eastAsia" w:ascii="宋体" w:hAnsi="宋体" w:cs="宋体"/>
          <w:color w:val="auto"/>
          <w:szCs w:val="21"/>
          <w:highlight w:val="none"/>
        </w:rPr>
      </w:pPr>
      <w:r>
        <w:rPr>
          <w:rStyle w:val="99"/>
          <w:rFonts w:hAnsi="宋体"/>
          <w:color w:val="auto"/>
          <w:highlight w:val="none"/>
        </w:rPr>
        <w:br w:type="page"/>
      </w:r>
      <w:r>
        <w:rPr>
          <w:rFonts w:hint="eastAsia" w:ascii="宋体" w:hAnsi="宋体"/>
          <w:color w:val="auto"/>
          <w:sz w:val="24"/>
          <w:highlight w:val="none"/>
        </w:rPr>
        <w:t xml:space="preserve">                  </w:t>
      </w:r>
    </w:p>
    <w:p w14:paraId="40283DDE">
      <w:pPr>
        <w:adjustRightInd w:val="0"/>
        <w:snapToGrid w:val="0"/>
        <w:spacing w:line="424" w:lineRule="exact"/>
        <w:ind w:firstLine="482" w:firstLineChars="200"/>
        <w:jc w:val="lef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六：</w:t>
      </w:r>
    </w:p>
    <w:p w14:paraId="74AF9874">
      <w:pPr>
        <w:pStyle w:val="3"/>
        <w:ind w:firstLine="2650" w:firstLineChars="1100"/>
        <w:jc w:val="both"/>
        <w:rPr>
          <w:rFonts w:hint="eastAsia"/>
          <w:color w:val="auto"/>
          <w:sz w:val="24"/>
          <w:szCs w:val="24"/>
          <w:highlight w:val="none"/>
        </w:rPr>
      </w:pPr>
      <w:bookmarkStart w:id="101" w:name="_Toc18212"/>
      <w:r>
        <w:rPr>
          <w:rFonts w:hint="eastAsia"/>
          <w:color w:val="auto"/>
          <w:sz w:val="24"/>
          <w:szCs w:val="24"/>
          <w:highlight w:val="none"/>
        </w:rPr>
        <w:t>评分标准所需要的其他资料</w:t>
      </w:r>
      <w:bookmarkEnd w:id="101"/>
    </w:p>
    <w:p w14:paraId="697D4DD2">
      <w:pPr>
        <w:pStyle w:val="11"/>
        <w:rPr>
          <w:rFonts w:hint="eastAsia"/>
          <w:color w:val="auto"/>
          <w:sz w:val="24"/>
          <w:szCs w:val="24"/>
          <w:highlight w:val="none"/>
        </w:rPr>
      </w:pPr>
    </w:p>
    <w:p w14:paraId="1D5CA658">
      <w:pPr>
        <w:pStyle w:val="11"/>
        <w:rPr>
          <w:rFonts w:hint="eastAsia"/>
          <w:color w:val="auto"/>
          <w:sz w:val="24"/>
          <w:szCs w:val="24"/>
          <w:highlight w:val="none"/>
        </w:rPr>
      </w:pPr>
    </w:p>
    <w:p w14:paraId="1681A18D">
      <w:pPr>
        <w:pStyle w:val="11"/>
        <w:rPr>
          <w:rFonts w:hint="eastAsia"/>
          <w:color w:val="auto"/>
          <w:sz w:val="24"/>
          <w:szCs w:val="24"/>
          <w:highlight w:val="none"/>
        </w:rPr>
      </w:pPr>
    </w:p>
    <w:p w14:paraId="03378776">
      <w:pPr>
        <w:rPr>
          <w:rFonts w:hint="eastAsia"/>
          <w:color w:val="auto"/>
          <w:highlight w:val="none"/>
        </w:rPr>
      </w:pPr>
    </w:p>
    <w:p w14:paraId="384600EA">
      <w:pPr>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w:t>
      </w:r>
    </w:p>
    <w:p w14:paraId="64EF76D5">
      <w:pPr>
        <w:pStyle w:val="3"/>
        <w:ind w:firstLine="1446" w:firstLineChars="600"/>
        <w:jc w:val="both"/>
        <w:rPr>
          <w:rFonts w:hint="eastAsia"/>
          <w:color w:val="auto"/>
          <w:sz w:val="24"/>
          <w:szCs w:val="24"/>
          <w:highlight w:val="none"/>
        </w:rPr>
      </w:pPr>
      <w:bookmarkStart w:id="102" w:name="_Toc11508"/>
      <w:r>
        <w:rPr>
          <w:rFonts w:hint="eastAsia"/>
          <w:color w:val="auto"/>
          <w:sz w:val="24"/>
          <w:szCs w:val="24"/>
          <w:highlight w:val="none"/>
        </w:rPr>
        <w:t>采购文件要求的或供应商认为需要提供的其他证明</w:t>
      </w:r>
      <w:bookmarkEnd w:id="102"/>
    </w:p>
    <w:p w14:paraId="4BF0B604">
      <w:pPr>
        <w:pStyle w:val="11"/>
        <w:rPr>
          <w:rFonts w:hint="eastAsia"/>
          <w:color w:val="auto"/>
          <w:sz w:val="24"/>
          <w:szCs w:val="24"/>
          <w:highlight w:val="none"/>
        </w:rPr>
      </w:pPr>
    </w:p>
    <w:p w14:paraId="3711FC8B">
      <w:pPr>
        <w:spacing w:line="360" w:lineRule="auto"/>
        <w:rPr>
          <w:color w:val="auto"/>
          <w:highlight w:val="none"/>
        </w:rPr>
      </w:pPr>
      <w:r>
        <w:rPr>
          <w:rFonts w:hint="eastAsia" w:ascii="宋体" w:hAnsi="宋体" w:cs="宋体"/>
          <w:color w:val="auto"/>
          <w:sz w:val="24"/>
          <w:highlight w:val="none"/>
        </w:rPr>
        <w:br w:type="page"/>
      </w:r>
      <w:r>
        <w:rPr>
          <w:rFonts w:hint="eastAsia"/>
          <w:b/>
          <w:color w:val="auto"/>
          <w:sz w:val="32"/>
          <w:highlight w:val="none"/>
        </w:rPr>
        <w:t>三、响应文件外包装封面格式</w:t>
      </w:r>
    </w:p>
    <w:p w14:paraId="4E9D73C1">
      <w:pPr>
        <w:pStyle w:val="4"/>
        <w:jc w:val="center"/>
        <w:rPr>
          <w:rFonts w:hint="eastAsia"/>
          <w:color w:val="auto"/>
          <w:highlight w:val="none"/>
        </w:rPr>
      </w:pPr>
      <w:r>
        <w:rPr>
          <w:rFonts w:hint="eastAsia"/>
          <w:color w:val="auto"/>
          <w:highlight w:val="none"/>
        </w:rPr>
        <w:t>电子备份文件的外包装封面格式</w:t>
      </w:r>
    </w:p>
    <w:p w14:paraId="429CEA4B">
      <w:pPr>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电子备份响应文件</w:t>
      </w:r>
    </w:p>
    <w:p w14:paraId="2B62762B">
      <w:pPr>
        <w:snapToGrid w:val="0"/>
        <w:spacing w:line="360" w:lineRule="auto"/>
        <w:ind w:firstLine="1080" w:firstLineChars="450"/>
        <w:rPr>
          <w:rFonts w:hint="eastAsia" w:ascii="宋体" w:hAnsi="宋体" w:cs="宋体"/>
          <w:bCs/>
          <w:color w:val="auto"/>
          <w:sz w:val="24"/>
          <w:highlight w:val="none"/>
          <w:lang w:bidi="ar"/>
        </w:rPr>
      </w:pPr>
    </w:p>
    <w:p w14:paraId="639B1D35">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14:paraId="7114D000">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 xml:space="preserve">项目编号： </w:t>
      </w:r>
    </w:p>
    <w:p w14:paraId="61B405A0">
      <w:pPr>
        <w:snapToGrid w:val="0"/>
        <w:spacing w:line="360" w:lineRule="auto"/>
        <w:ind w:firstLine="1080" w:firstLineChars="450"/>
        <w:rPr>
          <w:rFonts w:ascii="宋体" w:hAnsi="宋体" w:cs="宋体"/>
          <w:bCs/>
          <w:color w:val="auto"/>
          <w:sz w:val="24"/>
          <w:highlight w:val="none"/>
          <w:lang w:bidi="ar"/>
        </w:rPr>
      </w:pPr>
      <w:r>
        <w:rPr>
          <w:rFonts w:hint="eastAsia" w:ascii="宋体" w:hAnsi="宋体" w:cs="宋体"/>
          <w:bCs/>
          <w:color w:val="auto"/>
          <w:sz w:val="24"/>
          <w:highlight w:val="none"/>
          <w:lang w:bidi="ar"/>
        </w:rPr>
        <w:t>子包号：</w:t>
      </w:r>
    </w:p>
    <w:p w14:paraId="2CC5DDB5">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14:paraId="53B6D60E">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供应商地址：</w:t>
      </w:r>
    </w:p>
    <w:p w14:paraId="22B76614">
      <w:pPr>
        <w:spacing w:line="360" w:lineRule="auto"/>
        <w:rPr>
          <w:rFonts w:hint="eastAsia"/>
          <w:color w:val="auto"/>
          <w:highlight w:val="none"/>
        </w:rPr>
      </w:pPr>
      <w:r>
        <w:rPr>
          <w:rFonts w:hint="eastAsia" w:ascii="宋体" w:hAnsi="宋体" w:cs="宋体"/>
          <w:bCs/>
          <w:color w:val="auto"/>
          <w:sz w:val="24"/>
          <w:highlight w:val="none"/>
          <w:lang w:bidi="ar"/>
        </w:rPr>
        <w:t xml:space="preserve">         在   年  月  日（规定的开启日期和时间）前不准启封</w:t>
      </w:r>
    </w:p>
    <w:sectPr>
      <w:headerReference r:id="rId9" w:type="first"/>
      <w:headerReference r:id="rId8" w:type="default"/>
      <w:footerReference r:id="rId10" w:type="default"/>
      <w:pgSz w:w="11906" w:h="16838"/>
      <w:pgMar w:top="1247" w:right="1283" w:bottom="1247" w:left="1281" w:header="851" w:footer="992" w:gutter="0"/>
      <w:pgBorders>
        <w:top w:val="none" w:sz="0" w:space="0"/>
        <w:left w:val="none" w:sz="0" w:space="0"/>
        <w:bottom w:val="none" w:sz="0" w:space="0"/>
        <w:right w:val="none" w:sz="0" w:space="0"/>
      </w:pgBorders>
      <w:pgNumType w:fmt="decimal" w:chapStyle="1"/>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MS Gothic">
    <w:panose1 w:val="020B0609070205080204"/>
    <w:charset w:val="80"/>
    <w:family w:val="modern"/>
    <w:pitch w:val="default"/>
    <w:sig w:usb0="E00002FF" w:usb1="6AC7FDFB" w:usb2="08000012" w:usb3="00000000" w:csb0="4002009F" w:csb1="DFD70000"/>
  </w:font>
  <w:font w:name="方正隶变简体">
    <w:altName w:val="宋体"/>
    <w:panose1 w:val="02010601030101010101"/>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084E">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9A22F7">
                          <w:pPr>
                            <w:pStyle w:val="24"/>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fill on="f" focussize="0,0"/>
              <v:stroke on="f"/>
              <v:imagedata o:title=""/>
              <o:lock v:ext="edit" aspectratio="f"/>
              <v:textbox inset="0mm,0mm,0mm,0mm" style="mso-fit-shape-to-text:t;">
                <w:txbxContent>
                  <w:p w14:paraId="379A22F7">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5D3DA">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A143F6">
                          <w:pPr>
                            <w:pStyle w:val="24"/>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UaF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ovOHPC0sDPP76ff/4+//rG&#10;5uXVV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BRoV4QEAAMEDAAAOAAAA&#10;AAAAAAEAIAAAAB4BAABkcnMvZTJvRG9jLnhtbFBLBQYAAAAABgAGAFkBAABxBQAAAAA=&#10;">
              <v:fill on="f" focussize="0,0"/>
              <v:stroke on="f"/>
              <v:imagedata o:title=""/>
              <o:lock v:ext="edit" aspectratio="f"/>
              <v:textbox inset="0mm,0mm,0mm,0mm" style="mso-fit-shape-to-text:t;">
                <w:txbxContent>
                  <w:p w14:paraId="08A143F6">
                    <w:pPr>
                      <w:pStyle w:val="2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B3F6">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38D42A">
                          <w:pPr>
                            <w:pStyle w:val="24"/>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ixcoBAACcAwAADgAAAGRycy9lMm9Eb2MueG1srVNNrtMwEN4jcQfL&#10;e+q0I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x/ixcoBAACcAwAADgAAAAAAAAABACAAAAAeAQAAZHJzL2Uyb0Rv&#10;Yy54bWxQSwUGAAAAAAYABgBZAQAAWgUAAAAA&#10;">
              <v:fill on="f" focussize="0,0"/>
              <v:stroke on="f"/>
              <v:imagedata o:title=""/>
              <o:lock v:ext="edit" aspectratio="f"/>
              <v:textbox inset="0mm,0mm,0mm,0mm" style="mso-fit-shape-to-text:t;">
                <w:txbxContent>
                  <w:p w14:paraId="2A38D42A">
                    <w:pPr>
                      <w:pStyle w:val="2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FB63E">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DBFA55">
                          <w:pPr>
                            <w:pStyle w:val="24"/>
                          </w:pPr>
                          <w:r>
                            <w:fldChar w:fldCharType="begin"/>
                          </w:r>
                          <w:r>
                            <w:instrText xml:space="preserve"> PAGE  \* MERGEFORMAT </w:instrText>
                          </w:r>
                          <w:r>
                            <w:fldChar w:fldCharType="separate"/>
                          </w:r>
                          <w:r>
                            <w:t>55</w:t>
                          </w:r>
                          <w: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Hrgrn4QEAAMEDAAAOAAAA&#10;AAAAAAEAIAAAAB4BAABkcnMvZTJvRG9jLnhtbFBLBQYAAAAABgAGAFkBAABxBQAAAAA=&#10;">
              <v:fill on="f" focussize="0,0"/>
              <v:stroke on="f"/>
              <v:imagedata o:title=""/>
              <o:lock v:ext="edit" aspectratio="f"/>
              <v:textbox inset="0mm,0mm,0mm,0mm" style="mso-fit-shape-to-text:t;">
                <w:txbxContent>
                  <w:p w14:paraId="35DBFA55">
                    <w:pPr>
                      <w:pStyle w:val="2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4A0D">
    <w:pPr>
      <w:pStyle w:val="26"/>
      <w:pBdr>
        <w:bottom w:val="none" w:color="auto" w:sz="0" w:space="1"/>
      </w:pBdr>
      <w:tabs>
        <w:tab w:val="right" w:pos="9813"/>
        <w:tab w:val="clear" w:pos="4153"/>
        <w:tab w:val="clear" w:pos="8306"/>
      </w:tabs>
      <w:spacing w:line="0" w:lineRule="atLeast"/>
      <w:ind w:left="-964" w:right="-970"/>
      <w:jc w:val="left"/>
      <w:rPr>
        <w:rFonts w:hint="eastAsia" w:ascii="方正隶变简体" w:hAnsi="宋体" w:eastAsia="方正隶变简体" w:cs="宋体"/>
        <w:w w:val="80"/>
        <w:sz w:val="15"/>
        <w:szCs w:val="15"/>
      </w:rPr>
    </w:pPr>
    <w:r>
      <w:rPr>
        <w:rFonts w:hint="eastAsia" w:ascii="方正隶变简体" w:hAnsi="宋体" w:eastAsia="方正隶变简体" w:cs="宋体"/>
        <w:w w:val="80"/>
        <w:sz w:val="15"/>
        <w:szCs w:val="15"/>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552F5">
    <w:pPr>
      <w:pStyle w:val="26"/>
      <w:pBdr>
        <w:bottom w:val="none" w:color="auto" w:sz="0" w:space="1"/>
      </w:pBdr>
      <w:tabs>
        <w:tab w:val="right" w:pos="9813"/>
        <w:tab w:val="clear" w:pos="4153"/>
        <w:tab w:val="clear" w:pos="8306"/>
      </w:tabs>
      <w:spacing w:line="0" w:lineRule="atLeast"/>
      <w:ind w:left="-964" w:right="-970"/>
      <w:jc w:val="left"/>
      <w:rPr>
        <w:rFonts w:hint="eastAsia" w:ascii="方正隶变简体" w:hAnsi="宋体" w:eastAsia="方正隶变简体" w:cs="宋体"/>
        <w:w w:val="80"/>
        <w:sz w:val="15"/>
        <w:szCs w:val="15"/>
      </w:rPr>
    </w:pPr>
    <w:r>
      <w:rPr>
        <w:rFonts w:hint="eastAsia" w:ascii="方正隶变简体" w:hAnsi="宋体" w:eastAsia="方正隶变简体" w:cs="宋体"/>
        <w:w w:val="80"/>
        <w:sz w:val="15"/>
        <w:szCs w:val="15"/>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DAA0">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E215B">
    <w:pPr>
      <w:pStyle w:val="26"/>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6D83A"/>
    <w:multiLevelType w:val="singleLevel"/>
    <w:tmpl w:val="92E6D83A"/>
    <w:lvl w:ilvl="0" w:tentative="0">
      <w:start w:val="1"/>
      <w:numFmt w:val="decimal"/>
      <w:suff w:val="space"/>
      <w:lvlText w:val="%1."/>
      <w:lvlJc w:val="left"/>
    </w:lvl>
  </w:abstractNum>
  <w:abstractNum w:abstractNumId="1">
    <w:nsid w:val="9D0B10AE"/>
    <w:multiLevelType w:val="singleLevel"/>
    <w:tmpl w:val="9D0B10AE"/>
    <w:lvl w:ilvl="0" w:tentative="0">
      <w:start w:val="2"/>
      <w:numFmt w:val="chineseCounting"/>
      <w:suff w:val="nothing"/>
      <w:lvlText w:val="（%1）"/>
      <w:lvlJc w:val="left"/>
      <w:rPr>
        <w:rFonts w:hint="eastAsia"/>
      </w:rPr>
    </w:lvl>
  </w:abstractNum>
  <w:abstractNum w:abstractNumId="2">
    <w:nsid w:val="A522B8E8"/>
    <w:multiLevelType w:val="singleLevel"/>
    <w:tmpl w:val="A522B8E8"/>
    <w:lvl w:ilvl="0" w:tentative="0">
      <w:start w:val="2"/>
      <w:numFmt w:val="decimal"/>
      <w:suff w:val="nothing"/>
      <w:lvlText w:val="%1、"/>
      <w:lvlJc w:val="left"/>
    </w:lvl>
  </w:abstractNum>
  <w:abstractNum w:abstractNumId="3">
    <w:nsid w:val="BCD8C606"/>
    <w:multiLevelType w:val="singleLevel"/>
    <w:tmpl w:val="BCD8C606"/>
    <w:lvl w:ilvl="0" w:tentative="0">
      <w:start w:val="3"/>
      <w:numFmt w:val="chineseCounting"/>
      <w:suff w:val="nothing"/>
      <w:lvlText w:val="（%1）"/>
      <w:lvlJc w:val="left"/>
      <w:rPr>
        <w:rFonts w:hint="eastAsia"/>
      </w:rPr>
    </w:lvl>
  </w:abstractNum>
  <w:abstractNum w:abstractNumId="4">
    <w:nsid w:val="CB61DE30"/>
    <w:multiLevelType w:val="singleLevel"/>
    <w:tmpl w:val="CB61DE30"/>
    <w:lvl w:ilvl="0" w:tentative="0">
      <w:start w:val="1"/>
      <w:numFmt w:val="decimal"/>
      <w:suff w:val="nothing"/>
      <w:lvlText w:val="（%1）"/>
      <w:lvlJc w:val="left"/>
    </w:lvl>
  </w:abstractNum>
  <w:abstractNum w:abstractNumId="5">
    <w:nsid w:val="DCD7B588"/>
    <w:multiLevelType w:val="singleLevel"/>
    <w:tmpl w:val="DCD7B588"/>
    <w:lvl w:ilvl="0" w:tentative="0">
      <w:start w:val="4"/>
      <w:numFmt w:val="chineseCounting"/>
      <w:suff w:val="nothing"/>
      <w:lvlText w:val="（%1）"/>
      <w:lvlJc w:val="left"/>
      <w:pPr>
        <w:ind w:left="-2"/>
      </w:pPr>
      <w:rPr>
        <w:rFonts w:hint="eastAsia"/>
      </w:rPr>
    </w:lvl>
  </w:abstractNum>
  <w:abstractNum w:abstractNumId="6">
    <w:nsid w:val="E9F323B1"/>
    <w:multiLevelType w:val="singleLevel"/>
    <w:tmpl w:val="E9F323B1"/>
    <w:lvl w:ilvl="0" w:tentative="0">
      <w:start w:val="1"/>
      <w:numFmt w:val="decimal"/>
      <w:suff w:val="space"/>
      <w:lvlText w:val="%1."/>
      <w:lvlJc w:val="left"/>
    </w:lvl>
  </w:abstractNum>
  <w:abstractNum w:abstractNumId="7">
    <w:nsid w:val="00000014"/>
    <w:multiLevelType w:val="singleLevel"/>
    <w:tmpl w:val="00000014"/>
    <w:lvl w:ilvl="0" w:tentative="0">
      <w:start w:val="5"/>
      <w:numFmt w:val="chineseCounting"/>
      <w:suff w:val="nothing"/>
      <w:lvlText w:val="%1、"/>
      <w:lvlJc w:val="left"/>
    </w:lvl>
  </w:abstractNum>
  <w:abstractNum w:abstractNumId="8">
    <w:nsid w:val="23301387"/>
    <w:multiLevelType w:val="singleLevel"/>
    <w:tmpl w:val="23301387"/>
    <w:lvl w:ilvl="0" w:tentative="0">
      <w:start w:val="2"/>
      <w:numFmt w:val="decimal"/>
      <w:suff w:val="nothing"/>
      <w:lvlText w:val="%1、"/>
      <w:lvlJc w:val="left"/>
    </w:lvl>
  </w:abstractNum>
  <w:abstractNum w:abstractNumId="9">
    <w:nsid w:val="27315CFD"/>
    <w:multiLevelType w:val="singleLevel"/>
    <w:tmpl w:val="27315CFD"/>
    <w:lvl w:ilvl="0" w:tentative="0">
      <w:start w:val="2"/>
      <w:numFmt w:val="decimal"/>
      <w:suff w:val="nothing"/>
      <w:lvlText w:val="%1、"/>
      <w:lvlJc w:val="left"/>
    </w:lvl>
  </w:abstractNum>
  <w:abstractNum w:abstractNumId="10">
    <w:nsid w:val="29D120CC"/>
    <w:multiLevelType w:val="singleLevel"/>
    <w:tmpl w:val="29D120CC"/>
    <w:lvl w:ilvl="0" w:tentative="0">
      <w:start w:val="1"/>
      <w:numFmt w:val="decimal"/>
      <w:suff w:val="nothing"/>
      <w:lvlText w:val="（%1）"/>
      <w:lvlJc w:val="left"/>
    </w:lvl>
  </w:abstractNum>
  <w:abstractNum w:abstractNumId="11">
    <w:nsid w:val="468D8999"/>
    <w:multiLevelType w:val="singleLevel"/>
    <w:tmpl w:val="468D8999"/>
    <w:lvl w:ilvl="0" w:tentative="0">
      <w:start w:val="2"/>
      <w:numFmt w:val="chineseCounting"/>
      <w:suff w:val="nothing"/>
      <w:lvlText w:val="%1、"/>
      <w:lvlJc w:val="left"/>
      <w:pPr>
        <w:ind w:left="150"/>
      </w:pPr>
      <w:rPr>
        <w:rFonts w:hint="eastAsia"/>
      </w:rPr>
    </w:lvl>
  </w:abstractNum>
  <w:abstractNum w:abstractNumId="12">
    <w:nsid w:val="52DB1E64"/>
    <w:multiLevelType w:val="singleLevel"/>
    <w:tmpl w:val="52DB1E64"/>
    <w:lvl w:ilvl="0" w:tentative="0">
      <w:start w:val="4"/>
      <w:numFmt w:val="chineseCounting"/>
      <w:suff w:val="nothing"/>
      <w:lvlText w:val="%1、"/>
      <w:lvlJc w:val="left"/>
      <w:rPr>
        <w:rFonts w:hint="eastAsia"/>
      </w:rPr>
    </w:lvl>
  </w:abstractNum>
  <w:abstractNum w:abstractNumId="13">
    <w:nsid w:val="593A3433"/>
    <w:multiLevelType w:val="multilevel"/>
    <w:tmpl w:val="593A3433"/>
    <w:lvl w:ilvl="0" w:tentative="0">
      <w:start w:val="1"/>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pStyle w:val="165"/>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14">
    <w:nsid w:val="66AC7289"/>
    <w:multiLevelType w:val="singleLevel"/>
    <w:tmpl w:val="66AC7289"/>
    <w:lvl w:ilvl="0" w:tentative="0">
      <w:start w:val="1"/>
      <w:numFmt w:val="decimal"/>
      <w:suff w:val="space"/>
      <w:lvlText w:val="%1."/>
      <w:lvlJc w:val="left"/>
    </w:lvl>
  </w:abstractNum>
  <w:abstractNum w:abstractNumId="15">
    <w:nsid w:val="7744469D"/>
    <w:multiLevelType w:val="multilevel"/>
    <w:tmpl w:val="7744469D"/>
    <w:lvl w:ilvl="0" w:tentative="0">
      <w:start w:val="1"/>
      <w:numFmt w:val="chineseCountingThousand"/>
      <w:suff w:val="nothing"/>
      <w:lvlText w:val="第%1章  "/>
      <w:lvlJc w:val="center"/>
      <w:pPr>
        <w:ind w:left="0" w:firstLine="0"/>
      </w:pPr>
      <w:rPr>
        <w:rFonts w:hint="eastAsia" w:ascii="黑体" w:hAnsi="Times New Roman" w:eastAsia="黑体"/>
        <w:b/>
        <w:i w:val="0"/>
        <w:spacing w:val="20"/>
        <w:w w:val="100"/>
        <w:kern w:val="36"/>
        <w:position w:val="0"/>
        <w:sz w:val="36"/>
      </w:rPr>
    </w:lvl>
    <w:lvl w:ilvl="1" w:tentative="0">
      <w:start w:val="1"/>
      <w:numFmt w:val="chineseCountingThousand"/>
      <w:suff w:val="nothing"/>
      <w:lvlText w:val="第%2节  "/>
      <w:lvlJc w:val="center"/>
      <w:pPr>
        <w:ind w:left="0" w:firstLine="0"/>
      </w:pPr>
      <w:rPr>
        <w:rFonts w:hint="eastAsia" w:ascii="宋体" w:hAnsi="Times New Roman" w:eastAsia="宋体"/>
        <w:b/>
        <w:i w:val="0"/>
        <w:spacing w:val="20"/>
        <w:w w:val="100"/>
        <w:position w:val="0"/>
        <w:sz w:val="30"/>
      </w:rPr>
    </w:lvl>
    <w:lvl w:ilvl="2" w:tentative="0">
      <w:start w:val="1"/>
      <w:numFmt w:val="chineseCountingThousand"/>
      <w:suff w:val="nothing"/>
      <w:lvlText w:val="%3、"/>
      <w:lvlJc w:val="left"/>
      <w:pPr>
        <w:ind w:left="0" w:firstLine="425"/>
      </w:pPr>
      <w:rPr>
        <w:rFonts w:hint="eastAsia" w:ascii="宋体" w:hAnsi="Times New Roman" w:eastAsia="宋体"/>
        <w:b/>
        <w:i w:val="0"/>
        <w:spacing w:val="20"/>
        <w:sz w:val="28"/>
      </w:rPr>
    </w:lvl>
    <w:lvl w:ilvl="3" w:tentative="0">
      <w:start w:val="1"/>
      <w:numFmt w:val="decimal"/>
      <w:suff w:val="nothing"/>
      <w:lvlText w:val="%4. "/>
      <w:lvlJc w:val="left"/>
      <w:pPr>
        <w:ind w:left="0" w:firstLine="425"/>
      </w:pPr>
      <w:rPr>
        <w:rFonts w:hint="eastAsia" w:ascii="宋体" w:hAnsi="Times New Roman" w:eastAsia="宋体"/>
        <w:b/>
        <w:i w:val="0"/>
        <w:spacing w:val="20"/>
        <w:sz w:val="24"/>
      </w:r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num w:numId="1">
    <w:abstractNumId w:val="15"/>
  </w:num>
  <w:num w:numId="2">
    <w:abstractNumId w:val="13"/>
  </w:num>
  <w:num w:numId="3">
    <w:abstractNumId w:val="11"/>
  </w:num>
  <w:num w:numId="4">
    <w:abstractNumId w:val="12"/>
  </w:num>
  <w:num w:numId="5">
    <w:abstractNumId w:val="14"/>
  </w:num>
  <w:num w:numId="6">
    <w:abstractNumId w:val="6"/>
  </w:num>
  <w:num w:numId="7">
    <w:abstractNumId w:val="10"/>
    <w:lvlOverride w:ilvl="0">
      <w:startOverride w:val="1"/>
    </w:lvlOverride>
  </w:num>
  <w:num w:numId="8">
    <w:abstractNumId w:val="7"/>
    <w:lvlOverride w:ilvl="0">
      <w:startOverride w:val="5"/>
    </w:lvlOverride>
  </w:num>
  <w:num w:numId="9">
    <w:abstractNumId w:val="1"/>
  </w:num>
  <w:num w:numId="10">
    <w:abstractNumId w:val="9"/>
  </w:num>
  <w:num w:numId="11">
    <w:abstractNumId w:val="5"/>
    <w:lvlOverride w:ilvl="0">
      <w:startOverride w:val="4"/>
    </w:lvlOverride>
  </w:num>
  <w:num w:numId="12">
    <w:abstractNumId w:val="3"/>
  </w:num>
  <w:num w:numId="13">
    <w:abstractNumId w:val="4"/>
  </w:num>
  <w:num w:numId="14">
    <w:abstractNumId w:val="8"/>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1"/>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ZTU4OWY4NjBjMGZmYWVlYjEwNmYwNmE1NzVjZTYifQ=="/>
  </w:docVars>
  <w:rsids>
    <w:rsidRoot w:val="00326DA9"/>
    <w:rsid w:val="000004D9"/>
    <w:rsid w:val="00002C24"/>
    <w:rsid w:val="00006E7B"/>
    <w:rsid w:val="00011AD2"/>
    <w:rsid w:val="00011ECD"/>
    <w:rsid w:val="00013330"/>
    <w:rsid w:val="00013809"/>
    <w:rsid w:val="00013C52"/>
    <w:rsid w:val="00020613"/>
    <w:rsid w:val="00020F99"/>
    <w:rsid w:val="00033E41"/>
    <w:rsid w:val="000404B1"/>
    <w:rsid w:val="00041B4A"/>
    <w:rsid w:val="000426D3"/>
    <w:rsid w:val="00042A6A"/>
    <w:rsid w:val="00047ACC"/>
    <w:rsid w:val="00047EC4"/>
    <w:rsid w:val="00071176"/>
    <w:rsid w:val="00072F00"/>
    <w:rsid w:val="00073170"/>
    <w:rsid w:val="000775DD"/>
    <w:rsid w:val="00082D68"/>
    <w:rsid w:val="00087E21"/>
    <w:rsid w:val="00095E51"/>
    <w:rsid w:val="000A494C"/>
    <w:rsid w:val="000A66CB"/>
    <w:rsid w:val="000B3EF0"/>
    <w:rsid w:val="000B5D3D"/>
    <w:rsid w:val="000C4983"/>
    <w:rsid w:val="000C6463"/>
    <w:rsid w:val="000D0F30"/>
    <w:rsid w:val="000D4C66"/>
    <w:rsid w:val="000E2FED"/>
    <w:rsid w:val="000E796B"/>
    <w:rsid w:val="000F1023"/>
    <w:rsid w:val="000F1827"/>
    <w:rsid w:val="000F764F"/>
    <w:rsid w:val="000F7BAB"/>
    <w:rsid w:val="001068B5"/>
    <w:rsid w:val="00107FF9"/>
    <w:rsid w:val="00115227"/>
    <w:rsid w:val="001164FC"/>
    <w:rsid w:val="001234F9"/>
    <w:rsid w:val="00123FBF"/>
    <w:rsid w:val="0012486E"/>
    <w:rsid w:val="00130DF7"/>
    <w:rsid w:val="001318AC"/>
    <w:rsid w:val="00136B56"/>
    <w:rsid w:val="00137388"/>
    <w:rsid w:val="001374BA"/>
    <w:rsid w:val="00150102"/>
    <w:rsid w:val="0015109E"/>
    <w:rsid w:val="00157ABF"/>
    <w:rsid w:val="00157C0B"/>
    <w:rsid w:val="0018149E"/>
    <w:rsid w:val="0018273D"/>
    <w:rsid w:val="0018794A"/>
    <w:rsid w:val="00195A5C"/>
    <w:rsid w:val="0019788B"/>
    <w:rsid w:val="001A2928"/>
    <w:rsid w:val="001A4035"/>
    <w:rsid w:val="001A435B"/>
    <w:rsid w:val="001A7458"/>
    <w:rsid w:val="001B0138"/>
    <w:rsid w:val="001B6E5C"/>
    <w:rsid w:val="001C16A4"/>
    <w:rsid w:val="001C1B9B"/>
    <w:rsid w:val="001C2945"/>
    <w:rsid w:val="001D03CD"/>
    <w:rsid w:val="001D27D8"/>
    <w:rsid w:val="001E414C"/>
    <w:rsid w:val="001E58E9"/>
    <w:rsid w:val="001F0902"/>
    <w:rsid w:val="001F1198"/>
    <w:rsid w:val="00201F7F"/>
    <w:rsid w:val="00216910"/>
    <w:rsid w:val="00217D36"/>
    <w:rsid w:val="0022028C"/>
    <w:rsid w:val="00221A65"/>
    <w:rsid w:val="00225A3C"/>
    <w:rsid w:val="00225AC2"/>
    <w:rsid w:val="002266BF"/>
    <w:rsid w:val="00226EFF"/>
    <w:rsid w:val="002276B4"/>
    <w:rsid w:val="00231E4D"/>
    <w:rsid w:val="00234789"/>
    <w:rsid w:val="00234B8C"/>
    <w:rsid w:val="0023569D"/>
    <w:rsid w:val="0023686C"/>
    <w:rsid w:val="00237052"/>
    <w:rsid w:val="002374A2"/>
    <w:rsid w:val="00240658"/>
    <w:rsid w:val="00240C7D"/>
    <w:rsid w:val="00244E75"/>
    <w:rsid w:val="00246EB7"/>
    <w:rsid w:val="00253A1D"/>
    <w:rsid w:val="00254735"/>
    <w:rsid w:val="002554EE"/>
    <w:rsid w:val="00256430"/>
    <w:rsid w:val="0026038A"/>
    <w:rsid w:val="002604F0"/>
    <w:rsid w:val="002616DA"/>
    <w:rsid w:val="00266DBC"/>
    <w:rsid w:val="00267120"/>
    <w:rsid w:val="002742E8"/>
    <w:rsid w:val="00280EF1"/>
    <w:rsid w:val="00281DD7"/>
    <w:rsid w:val="00287559"/>
    <w:rsid w:val="002924D7"/>
    <w:rsid w:val="0029353E"/>
    <w:rsid w:val="00293695"/>
    <w:rsid w:val="002A1CFF"/>
    <w:rsid w:val="002A2644"/>
    <w:rsid w:val="002A327B"/>
    <w:rsid w:val="002A52B2"/>
    <w:rsid w:val="002A5C73"/>
    <w:rsid w:val="002A5CEE"/>
    <w:rsid w:val="002D1600"/>
    <w:rsid w:val="002D3E11"/>
    <w:rsid w:val="002D5066"/>
    <w:rsid w:val="002E22DE"/>
    <w:rsid w:val="002F069D"/>
    <w:rsid w:val="002F0BE1"/>
    <w:rsid w:val="002F16A3"/>
    <w:rsid w:val="002F23CB"/>
    <w:rsid w:val="002F255F"/>
    <w:rsid w:val="002F2CE8"/>
    <w:rsid w:val="002F79EE"/>
    <w:rsid w:val="00303DBC"/>
    <w:rsid w:val="003054D8"/>
    <w:rsid w:val="0030751B"/>
    <w:rsid w:val="00307DFC"/>
    <w:rsid w:val="00311391"/>
    <w:rsid w:val="00311CA7"/>
    <w:rsid w:val="00313B62"/>
    <w:rsid w:val="0031750D"/>
    <w:rsid w:val="00323E6C"/>
    <w:rsid w:val="00326DA9"/>
    <w:rsid w:val="00331254"/>
    <w:rsid w:val="00332159"/>
    <w:rsid w:val="00335261"/>
    <w:rsid w:val="003430AC"/>
    <w:rsid w:val="00344D44"/>
    <w:rsid w:val="00346ED3"/>
    <w:rsid w:val="00347D5C"/>
    <w:rsid w:val="00351363"/>
    <w:rsid w:val="00355472"/>
    <w:rsid w:val="00355631"/>
    <w:rsid w:val="003605EF"/>
    <w:rsid w:val="00360D18"/>
    <w:rsid w:val="003629B5"/>
    <w:rsid w:val="00365124"/>
    <w:rsid w:val="0036564D"/>
    <w:rsid w:val="00367E82"/>
    <w:rsid w:val="00371B3F"/>
    <w:rsid w:val="00382F6D"/>
    <w:rsid w:val="00385ECA"/>
    <w:rsid w:val="00393DFF"/>
    <w:rsid w:val="00394870"/>
    <w:rsid w:val="00395796"/>
    <w:rsid w:val="003A7673"/>
    <w:rsid w:val="003B0917"/>
    <w:rsid w:val="003B2391"/>
    <w:rsid w:val="003B5AD0"/>
    <w:rsid w:val="003B665E"/>
    <w:rsid w:val="003B7EE9"/>
    <w:rsid w:val="003C454E"/>
    <w:rsid w:val="003C56CA"/>
    <w:rsid w:val="003D54FA"/>
    <w:rsid w:val="003D6C6D"/>
    <w:rsid w:val="003E3EE6"/>
    <w:rsid w:val="003E5ECD"/>
    <w:rsid w:val="003E7177"/>
    <w:rsid w:val="003F6476"/>
    <w:rsid w:val="003F65BB"/>
    <w:rsid w:val="0040167B"/>
    <w:rsid w:val="00402360"/>
    <w:rsid w:val="00403483"/>
    <w:rsid w:val="00404F6E"/>
    <w:rsid w:val="004054DE"/>
    <w:rsid w:val="00415A44"/>
    <w:rsid w:val="00417701"/>
    <w:rsid w:val="0042547B"/>
    <w:rsid w:val="0042555D"/>
    <w:rsid w:val="004277BC"/>
    <w:rsid w:val="00432B28"/>
    <w:rsid w:val="00432D26"/>
    <w:rsid w:val="00433EB4"/>
    <w:rsid w:val="00435E49"/>
    <w:rsid w:val="0044266D"/>
    <w:rsid w:val="00450AAF"/>
    <w:rsid w:val="00451069"/>
    <w:rsid w:val="00453373"/>
    <w:rsid w:val="00455366"/>
    <w:rsid w:val="00455534"/>
    <w:rsid w:val="00457D73"/>
    <w:rsid w:val="00464A5D"/>
    <w:rsid w:val="00464DF9"/>
    <w:rsid w:val="00472F70"/>
    <w:rsid w:val="00474990"/>
    <w:rsid w:val="004758FE"/>
    <w:rsid w:val="00485BD2"/>
    <w:rsid w:val="004919DB"/>
    <w:rsid w:val="00492B4A"/>
    <w:rsid w:val="00492FB0"/>
    <w:rsid w:val="004A20F0"/>
    <w:rsid w:val="004A2297"/>
    <w:rsid w:val="004A2D22"/>
    <w:rsid w:val="004A397F"/>
    <w:rsid w:val="004B0813"/>
    <w:rsid w:val="004B5EE8"/>
    <w:rsid w:val="004D227C"/>
    <w:rsid w:val="004D5642"/>
    <w:rsid w:val="004D750B"/>
    <w:rsid w:val="004E3245"/>
    <w:rsid w:val="004E6D21"/>
    <w:rsid w:val="004F2B2E"/>
    <w:rsid w:val="004F561A"/>
    <w:rsid w:val="004F6D25"/>
    <w:rsid w:val="00507807"/>
    <w:rsid w:val="00507C8B"/>
    <w:rsid w:val="00512434"/>
    <w:rsid w:val="00514F83"/>
    <w:rsid w:val="00521DFA"/>
    <w:rsid w:val="00523A51"/>
    <w:rsid w:val="005325BB"/>
    <w:rsid w:val="0053528E"/>
    <w:rsid w:val="0054723B"/>
    <w:rsid w:val="0055067A"/>
    <w:rsid w:val="00552FF3"/>
    <w:rsid w:val="00554645"/>
    <w:rsid w:val="0055487D"/>
    <w:rsid w:val="00560DF6"/>
    <w:rsid w:val="00564826"/>
    <w:rsid w:val="00565B69"/>
    <w:rsid w:val="0056717B"/>
    <w:rsid w:val="0057505C"/>
    <w:rsid w:val="0057598A"/>
    <w:rsid w:val="00576779"/>
    <w:rsid w:val="00583E47"/>
    <w:rsid w:val="00584194"/>
    <w:rsid w:val="00585254"/>
    <w:rsid w:val="00585C9D"/>
    <w:rsid w:val="00591E98"/>
    <w:rsid w:val="00596044"/>
    <w:rsid w:val="00596989"/>
    <w:rsid w:val="005A08F5"/>
    <w:rsid w:val="005A37FB"/>
    <w:rsid w:val="005A51C6"/>
    <w:rsid w:val="005A5F6B"/>
    <w:rsid w:val="005A70C0"/>
    <w:rsid w:val="005B2B8E"/>
    <w:rsid w:val="005B35FB"/>
    <w:rsid w:val="005B6C22"/>
    <w:rsid w:val="005C1217"/>
    <w:rsid w:val="005C2AE2"/>
    <w:rsid w:val="005C2F5B"/>
    <w:rsid w:val="005C644F"/>
    <w:rsid w:val="005C7351"/>
    <w:rsid w:val="005D145A"/>
    <w:rsid w:val="005E04FC"/>
    <w:rsid w:val="005E1CC0"/>
    <w:rsid w:val="005E340A"/>
    <w:rsid w:val="005E67FD"/>
    <w:rsid w:val="005E788C"/>
    <w:rsid w:val="005F0411"/>
    <w:rsid w:val="005F1BF0"/>
    <w:rsid w:val="005F3457"/>
    <w:rsid w:val="005F5D36"/>
    <w:rsid w:val="006061A9"/>
    <w:rsid w:val="00611CED"/>
    <w:rsid w:val="00616F27"/>
    <w:rsid w:val="00617137"/>
    <w:rsid w:val="00617C10"/>
    <w:rsid w:val="00622B94"/>
    <w:rsid w:val="00624931"/>
    <w:rsid w:val="00646EF5"/>
    <w:rsid w:val="00647407"/>
    <w:rsid w:val="006536FE"/>
    <w:rsid w:val="00660E97"/>
    <w:rsid w:val="00671F81"/>
    <w:rsid w:val="0067271C"/>
    <w:rsid w:val="006734C5"/>
    <w:rsid w:val="00674641"/>
    <w:rsid w:val="006748A8"/>
    <w:rsid w:val="006764E5"/>
    <w:rsid w:val="00680DC2"/>
    <w:rsid w:val="00682E31"/>
    <w:rsid w:val="006857BA"/>
    <w:rsid w:val="00696ED3"/>
    <w:rsid w:val="00697293"/>
    <w:rsid w:val="006A06DF"/>
    <w:rsid w:val="006A2DCF"/>
    <w:rsid w:val="006A2FB3"/>
    <w:rsid w:val="006A6459"/>
    <w:rsid w:val="006B128D"/>
    <w:rsid w:val="006B2075"/>
    <w:rsid w:val="006B2AF2"/>
    <w:rsid w:val="006B43B2"/>
    <w:rsid w:val="006B44A4"/>
    <w:rsid w:val="006B610C"/>
    <w:rsid w:val="006B6928"/>
    <w:rsid w:val="006B780B"/>
    <w:rsid w:val="006C0948"/>
    <w:rsid w:val="006C0ECA"/>
    <w:rsid w:val="006C6ADF"/>
    <w:rsid w:val="006C7B43"/>
    <w:rsid w:val="006D03A6"/>
    <w:rsid w:val="006D353A"/>
    <w:rsid w:val="006D3D81"/>
    <w:rsid w:val="006D7113"/>
    <w:rsid w:val="006E16AF"/>
    <w:rsid w:val="006E182B"/>
    <w:rsid w:val="006E202D"/>
    <w:rsid w:val="006E20BE"/>
    <w:rsid w:val="006E446C"/>
    <w:rsid w:val="006F27E5"/>
    <w:rsid w:val="006F72FA"/>
    <w:rsid w:val="007057CC"/>
    <w:rsid w:val="0070593D"/>
    <w:rsid w:val="0071268D"/>
    <w:rsid w:val="007127D6"/>
    <w:rsid w:val="007154CE"/>
    <w:rsid w:val="0071620B"/>
    <w:rsid w:val="007206DF"/>
    <w:rsid w:val="007248D4"/>
    <w:rsid w:val="00724CED"/>
    <w:rsid w:val="00726B3A"/>
    <w:rsid w:val="00731127"/>
    <w:rsid w:val="00734F76"/>
    <w:rsid w:val="00735F19"/>
    <w:rsid w:val="00742C44"/>
    <w:rsid w:val="00745DD0"/>
    <w:rsid w:val="00754468"/>
    <w:rsid w:val="00755692"/>
    <w:rsid w:val="007569A0"/>
    <w:rsid w:val="00756CD7"/>
    <w:rsid w:val="00762A37"/>
    <w:rsid w:val="007671C0"/>
    <w:rsid w:val="00767C34"/>
    <w:rsid w:val="007746EC"/>
    <w:rsid w:val="00780957"/>
    <w:rsid w:val="007836C8"/>
    <w:rsid w:val="00785CB2"/>
    <w:rsid w:val="0078677E"/>
    <w:rsid w:val="0079002B"/>
    <w:rsid w:val="00792541"/>
    <w:rsid w:val="007934DD"/>
    <w:rsid w:val="00793E42"/>
    <w:rsid w:val="0079751C"/>
    <w:rsid w:val="007A29A0"/>
    <w:rsid w:val="007A2EE5"/>
    <w:rsid w:val="007A54BD"/>
    <w:rsid w:val="007A7A6A"/>
    <w:rsid w:val="007B28E8"/>
    <w:rsid w:val="007B4481"/>
    <w:rsid w:val="007B5B8E"/>
    <w:rsid w:val="007B6673"/>
    <w:rsid w:val="007B7731"/>
    <w:rsid w:val="007B7EC9"/>
    <w:rsid w:val="007C38DE"/>
    <w:rsid w:val="007D564D"/>
    <w:rsid w:val="007E43B8"/>
    <w:rsid w:val="007E510A"/>
    <w:rsid w:val="007E5801"/>
    <w:rsid w:val="007F0F44"/>
    <w:rsid w:val="007F1327"/>
    <w:rsid w:val="007F3E94"/>
    <w:rsid w:val="007F630A"/>
    <w:rsid w:val="008020AF"/>
    <w:rsid w:val="0080261D"/>
    <w:rsid w:val="00802DBC"/>
    <w:rsid w:val="00806752"/>
    <w:rsid w:val="0081032C"/>
    <w:rsid w:val="008109E5"/>
    <w:rsid w:val="00812BE4"/>
    <w:rsid w:val="00812C2E"/>
    <w:rsid w:val="00813D6D"/>
    <w:rsid w:val="00815736"/>
    <w:rsid w:val="00815EF0"/>
    <w:rsid w:val="0081719A"/>
    <w:rsid w:val="0081738A"/>
    <w:rsid w:val="00820B4E"/>
    <w:rsid w:val="0083126B"/>
    <w:rsid w:val="00831364"/>
    <w:rsid w:val="008339F5"/>
    <w:rsid w:val="00834E33"/>
    <w:rsid w:val="00840000"/>
    <w:rsid w:val="00840F08"/>
    <w:rsid w:val="00843912"/>
    <w:rsid w:val="008502E5"/>
    <w:rsid w:val="00853C1D"/>
    <w:rsid w:val="00855897"/>
    <w:rsid w:val="008567EC"/>
    <w:rsid w:val="0085723B"/>
    <w:rsid w:val="008574EF"/>
    <w:rsid w:val="00861C0D"/>
    <w:rsid w:val="008622E4"/>
    <w:rsid w:val="00863A2D"/>
    <w:rsid w:val="00865DA5"/>
    <w:rsid w:val="00870768"/>
    <w:rsid w:val="008734A5"/>
    <w:rsid w:val="00873B55"/>
    <w:rsid w:val="00874C3E"/>
    <w:rsid w:val="00885685"/>
    <w:rsid w:val="00886CF8"/>
    <w:rsid w:val="00887AB4"/>
    <w:rsid w:val="00890237"/>
    <w:rsid w:val="00893A09"/>
    <w:rsid w:val="00893E41"/>
    <w:rsid w:val="008965AC"/>
    <w:rsid w:val="008973BE"/>
    <w:rsid w:val="008A2C7E"/>
    <w:rsid w:val="008A3257"/>
    <w:rsid w:val="008A3A96"/>
    <w:rsid w:val="008A48F9"/>
    <w:rsid w:val="008B31A8"/>
    <w:rsid w:val="008B35A1"/>
    <w:rsid w:val="008B3E75"/>
    <w:rsid w:val="008B42A8"/>
    <w:rsid w:val="008B7C51"/>
    <w:rsid w:val="008C1FE3"/>
    <w:rsid w:val="008C37D4"/>
    <w:rsid w:val="008C4B67"/>
    <w:rsid w:val="008C5039"/>
    <w:rsid w:val="008C5F23"/>
    <w:rsid w:val="008C6086"/>
    <w:rsid w:val="008D1E27"/>
    <w:rsid w:val="008E014F"/>
    <w:rsid w:val="008E36DB"/>
    <w:rsid w:val="008E410E"/>
    <w:rsid w:val="008E510E"/>
    <w:rsid w:val="008E57B8"/>
    <w:rsid w:val="008F1A34"/>
    <w:rsid w:val="008F207A"/>
    <w:rsid w:val="008F7F5D"/>
    <w:rsid w:val="009024E6"/>
    <w:rsid w:val="00902832"/>
    <w:rsid w:val="00902C81"/>
    <w:rsid w:val="009043CD"/>
    <w:rsid w:val="00905692"/>
    <w:rsid w:val="009071D9"/>
    <w:rsid w:val="00910B18"/>
    <w:rsid w:val="00910F9D"/>
    <w:rsid w:val="00911B3E"/>
    <w:rsid w:val="00912652"/>
    <w:rsid w:val="00912A00"/>
    <w:rsid w:val="0092217A"/>
    <w:rsid w:val="00922C93"/>
    <w:rsid w:val="00927AAA"/>
    <w:rsid w:val="0093022B"/>
    <w:rsid w:val="00930B32"/>
    <w:rsid w:val="00932123"/>
    <w:rsid w:val="009326A2"/>
    <w:rsid w:val="00937BA0"/>
    <w:rsid w:val="00937BAE"/>
    <w:rsid w:val="00943102"/>
    <w:rsid w:val="00944470"/>
    <w:rsid w:val="00950C3B"/>
    <w:rsid w:val="0095211C"/>
    <w:rsid w:val="0095219A"/>
    <w:rsid w:val="00954BA4"/>
    <w:rsid w:val="00955DA8"/>
    <w:rsid w:val="00956ADA"/>
    <w:rsid w:val="00961CD7"/>
    <w:rsid w:val="00964B4D"/>
    <w:rsid w:val="00964F76"/>
    <w:rsid w:val="009661C6"/>
    <w:rsid w:val="009671E7"/>
    <w:rsid w:val="00972A2A"/>
    <w:rsid w:val="00973CE5"/>
    <w:rsid w:val="0098192D"/>
    <w:rsid w:val="00981E9D"/>
    <w:rsid w:val="0098245B"/>
    <w:rsid w:val="00990D33"/>
    <w:rsid w:val="00996838"/>
    <w:rsid w:val="009B6FEB"/>
    <w:rsid w:val="009B784C"/>
    <w:rsid w:val="009C0B9A"/>
    <w:rsid w:val="009C3C9E"/>
    <w:rsid w:val="009D1C2D"/>
    <w:rsid w:val="009E13A6"/>
    <w:rsid w:val="009F12A9"/>
    <w:rsid w:val="009F26B0"/>
    <w:rsid w:val="009F310B"/>
    <w:rsid w:val="009F3521"/>
    <w:rsid w:val="009F4B05"/>
    <w:rsid w:val="009F515F"/>
    <w:rsid w:val="00A011B3"/>
    <w:rsid w:val="00A02D21"/>
    <w:rsid w:val="00A03990"/>
    <w:rsid w:val="00A063D3"/>
    <w:rsid w:val="00A24816"/>
    <w:rsid w:val="00A31CFC"/>
    <w:rsid w:val="00A3275D"/>
    <w:rsid w:val="00A420B8"/>
    <w:rsid w:val="00A4379C"/>
    <w:rsid w:val="00A44CA7"/>
    <w:rsid w:val="00A45A1B"/>
    <w:rsid w:val="00A525EA"/>
    <w:rsid w:val="00A52C5B"/>
    <w:rsid w:val="00A60B62"/>
    <w:rsid w:val="00A70895"/>
    <w:rsid w:val="00A70B3E"/>
    <w:rsid w:val="00A75754"/>
    <w:rsid w:val="00A8227E"/>
    <w:rsid w:val="00A83E11"/>
    <w:rsid w:val="00A910CC"/>
    <w:rsid w:val="00A91ADC"/>
    <w:rsid w:val="00A94B9E"/>
    <w:rsid w:val="00A95813"/>
    <w:rsid w:val="00A95DAB"/>
    <w:rsid w:val="00AA3B00"/>
    <w:rsid w:val="00AB556B"/>
    <w:rsid w:val="00AB6FB3"/>
    <w:rsid w:val="00AC1600"/>
    <w:rsid w:val="00AC1C53"/>
    <w:rsid w:val="00AC1FB4"/>
    <w:rsid w:val="00AC3BD6"/>
    <w:rsid w:val="00AC7DEB"/>
    <w:rsid w:val="00AE2DBF"/>
    <w:rsid w:val="00AE316A"/>
    <w:rsid w:val="00AE53EF"/>
    <w:rsid w:val="00AE647E"/>
    <w:rsid w:val="00AE7011"/>
    <w:rsid w:val="00AF7E4E"/>
    <w:rsid w:val="00B0669F"/>
    <w:rsid w:val="00B100AD"/>
    <w:rsid w:val="00B10DA5"/>
    <w:rsid w:val="00B141B3"/>
    <w:rsid w:val="00B2174A"/>
    <w:rsid w:val="00B249DC"/>
    <w:rsid w:val="00B24E78"/>
    <w:rsid w:val="00B3168D"/>
    <w:rsid w:val="00B32DE6"/>
    <w:rsid w:val="00B3351A"/>
    <w:rsid w:val="00B35115"/>
    <w:rsid w:val="00B36E72"/>
    <w:rsid w:val="00B40720"/>
    <w:rsid w:val="00B419BC"/>
    <w:rsid w:val="00B57AD3"/>
    <w:rsid w:val="00B60155"/>
    <w:rsid w:val="00B60707"/>
    <w:rsid w:val="00B67621"/>
    <w:rsid w:val="00B700D2"/>
    <w:rsid w:val="00B745F5"/>
    <w:rsid w:val="00B74EC3"/>
    <w:rsid w:val="00B75431"/>
    <w:rsid w:val="00B76B9F"/>
    <w:rsid w:val="00B825CF"/>
    <w:rsid w:val="00B82E87"/>
    <w:rsid w:val="00B85F2E"/>
    <w:rsid w:val="00B867C4"/>
    <w:rsid w:val="00BA1426"/>
    <w:rsid w:val="00BA24AA"/>
    <w:rsid w:val="00BA2A0D"/>
    <w:rsid w:val="00BA7A7A"/>
    <w:rsid w:val="00BB1097"/>
    <w:rsid w:val="00BB1565"/>
    <w:rsid w:val="00BC2CEE"/>
    <w:rsid w:val="00BC2EC4"/>
    <w:rsid w:val="00BC5473"/>
    <w:rsid w:val="00BC7AD5"/>
    <w:rsid w:val="00BC7DFA"/>
    <w:rsid w:val="00BD0586"/>
    <w:rsid w:val="00BD52DA"/>
    <w:rsid w:val="00BD7AD7"/>
    <w:rsid w:val="00BE0003"/>
    <w:rsid w:val="00BE0320"/>
    <w:rsid w:val="00BE0784"/>
    <w:rsid w:val="00BE0AC0"/>
    <w:rsid w:val="00BE1EF4"/>
    <w:rsid w:val="00BE2C8A"/>
    <w:rsid w:val="00BE32DE"/>
    <w:rsid w:val="00BE6C85"/>
    <w:rsid w:val="00BE7697"/>
    <w:rsid w:val="00BF172F"/>
    <w:rsid w:val="00BF21FF"/>
    <w:rsid w:val="00BF7E09"/>
    <w:rsid w:val="00C0202B"/>
    <w:rsid w:val="00C028F2"/>
    <w:rsid w:val="00C0300F"/>
    <w:rsid w:val="00C13D2F"/>
    <w:rsid w:val="00C271C2"/>
    <w:rsid w:val="00C27B88"/>
    <w:rsid w:val="00C33D53"/>
    <w:rsid w:val="00C42AAC"/>
    <w:rsid w:val="00C42B59"/>
    <w:rsid w:val="00C434AD"/>
    <w:rsid w:val="00C43EC3"/>
    <w:rsid w:val="00C4507D"/>
    <w:rsid w:val="00C45750"/>
    <w:rsid w:val="00C460C5"/>
    <w:rsid w:val="00C50209"/>
    <w:rsid w:val="00C56860"/>
    <w:rsid w:val="00C56D8D"/>
    <w:rsid w:val="00C57A55"/>
    <w:rsid w:val="00C57F4D"/>
    <w:rsid w:val="00C718DA"/>
    <w:rsid w:val="00C72ECF"/>
    <w:rsid w:val="00C75929"/>
    <w:rsid w:val="00C83D66"/>
    <w:rsid w:val="00C87249"/>
    <w:rsid w:val="00CA0D45"/>
    <w:rsid w:val="00CA3C0F"/>
    <w:rsid w:val="00CB2052"/>
    <w:rsid w:val="00CB6ED7"/>
    <w:rsid w:val="00CC08A6"/>
    <w:rsid w:val="00CC25DD"/>
    <w:rsid w:val="00CC5350"/>
    <w:rsid w:val="00CE5CC1"/>
    <w:rsid w:val="00CF28BA"/>
    <w:rsid w:val="00CF3607"/>
    <w:rsid w:val="00CF3C30"/>
    <w:rsid w:val="00CF7BE1"/>
    <w:rsid w:val="00D0114B"/>
    <w:rsid w:val="00D04596"/>
    <w:rsid w:val="00D07523"/>
    <w:rsid w:val="00D15466"/>
    <w:rsid w:val="00D1673A"/>
    <w:rsid w:val="00D17366"/>
    <w:rsid w:val="00D2262A"/>
    <w:rsid w:val="00D23C10"/>
    <w:rsid w:val="00D31444"/>
    <w:rsid w:val="00D36CEE"/>
    <w:rsid w:val="00D37CC7"/>
    <w:rsid w:val="00D40579"/>
    <w:rsid w:val="00D53920"/>
    <w:rsid w:val="00D56F43"/>
    <w:rsid w:val="00D60FC0"/>
    <w:rsid w:val="00D620B6"/>
    <w:rsid w:val="00D7039F"/>
    <w:rsid w:val="00D7311C"/>
    <w:rsid w:val="00D76100"/>
    <w:rsid w:val="00D877FC"/>
    <w:rsid w:val="00D91E5F"/>
    <w:rsid w:val="00DA1892"/>
    <w:rsid w:val="00DA1CB9"/>
    <w:rsid w:val="00DA47C6"/>
    <w:rsid w:val="00DB06B5"/>
    <w:rsid w:val="00DB262C"/>
    <w:rsid w:val="00DB7430"/>
    <w:rsid w:val="00DC044D"/>
    <w:rsid w:val="00DC0A35"/>
    <w:rsid w:val="00DC46E3"/>
    <w:rsid w:val="00DC6AA5"/>
    <w:rsid w:val="00DD0A26"/>
    <w:rsid w:val="00DD4012"/>
    <w:rsid w:val="00DD4E9B"/>
    <w:rsid w:val="00DD7706"/>
    <w:rsid w:val="00DD7D04"/>
    <w:rsid w:val="00DE22E6"/>
    <w:rsid w:val="00DE298F"/>
    <w:rsid w:val="00DE37FD"/>
    <w:rsid w:val="00DE54E3"/>
    <w:rsid w:val="00DE75C2"/>
    <w:rsid w:val="00DF3249"/>
    <w:rsid w:val="00DF6937"/>
    <w:rsid w:val="00DF6BCF"/>
    <w:rsid w:val="00DF760F"/>
    <w:rsid w:val="00E0501C"/>
    <w:rsid w:val="00E0608C"/>
    <w:rsid w:val="00E06E1F"/>
    <w:rsid w:val="00E177B5"/>
    <w:rsid w:val="00E2002E"/>
    <w:rsid w:val="00E21959"/>
    <w:rsid w:val="00E22FF5"/>
    <w:rsid w:val="00E30EB8"/>
    <w:rsid w:val="00E33580"/>
    <w:rsid w:val="00E33597"/>
    <w:rsid w:val="00E340CB"/>
    <w:rsid w:val="00E35661"/>
    <w:rsid w:val="00E36AE6"/>
    <w:rsid w:val="00E40F9B"/>
    <w:rsid w:val="00E43A5C"/>
    <w:rsid w:val="00E4442D"/>
    <w:rsid w:val="00E507F3"/>
    <w:rsid w:val="00E52350"/>
    <w:rsid w:val="00E576AB"/>
    <w:rsid w:val="00E57B2D"/>
    <w:rsid w:val="00E57B7F"/>
    <w:rsid w:val="00E657C3"/>
    <w:rsid w:val="00E70FF1"/>
    <w:rsid w:val="00E713F4"/>
    <w:rsid w:val="00E736B2"/>
    <w:rsid w:val="00E74B91"/>
    <w:rsid w:val="00E7783C"/>
    <w:rsid w:val="00E85545"/>
    <w:rsid w:val="00E8592F"/>
    <w:rsid w:val="00E8672C"/>
    <w:rsid w:val="00E90378"/>
    <w:rsid w:val="00E90982"/>
    <w:rsid w:val="00E94D22"/>
    <w:rsid w:val="00E97AAF"/>
    <w:rsid w:val="00EA1114"/>
    <w:rsid w:val="00EA5B02"/>
    <w:rsid w:val="00EB07B2"/>
    <w:rsid w:val="00EB0A17"/>
    <w:rsid w:val="00EB249B"/>
    <w:rsid w:val="00EB3A6D"/>
    <w:rsid w:val="00EB7E1A"/>
    <w:rsid w:val="00EC3797"/>
    <w:rsid w:val="00EC3B4E"/>
    <w:rsid w:val="00EC65E6"/>
    <w:rsid w:val="00EC7D87"/>
    <w:rsid w:val="00EE04CC"/>
    <w:rsid w:val="00EE13D9"/>
    <w:rsid w:val="00EE4404"/>
    <w:rsid w:val="00EE4E33"/>
    <w:rsid w:val="00EE5B93"/>
    <w:rsid w:val="00EE5E91"/>
    <w:rsid w:val="00EF1706"/>
    <w:rsid w:val="00EF3E3B"/>
    <w:rsid w:val="00EF4080"/>
    <w:rsid w:val="00EF67EE"/>
    <w:rsid w:val="00EF742F"/>
    <w:rsid w:val="00F00B6D"/>
    <w:rsid w:val="00F02523"/>
    <w:rsid w:val="00F02D20"/>
    <w:rsid w:val="00F03B19"/>
    <w:rsid w:val="00F06F6E"/>
    <w:rsid w:val="00F075A0"/>
    <w:rsid w:val="00F10267"/>
    <w:rsid w:val="00F10BF9"/>
    <w:rsid w:val="00F14085"/>
    <w:rsid w:val="00F17B90"/>
    <w:rsid w:val="00F237DE"/>
    <w:rsid w:val="00F2781D"/>
    <w:rsid w:val="00F30D81"/>
    <w:rsid w:val="00F311C8"/>
    <w:rsid w:val="00F3247B"/>
    <w:rsid w:val="00F34313"/>
    <w:rsid w:val="00F467F0"/>
    <w:rsid w:val="00F46CDE"/>
    <w:rsid w:val="00F511D0"/>
    <w:rsid w:val="00F520D0"/>
    <w:rsid w:val="00F53960"/>
    <w:rsid w:val="00F60018"/>
    <w:rsid w:val="00F67B90"/>
    <w:rsid w:val="00F855F8"/>
    <w:rsid w:val="00F85D70"/>
    <w:rsid w:val="00F86535"/>
    <w:rsid w:val="00F86AD8"/>
    <w:rsid w:val="00F900B9"/>
    <w:rsid w:val="00F921C4"/>
    <w:rsid w:val="00F96A6E"/>
    <w:rsid w:val="00FA0E85"/>
    <w:rsid w:val="00FA326E"/>
    <w:rsid w:val="00FA60C1"/>
    <w:rsid w:val="00FB0C31"/>
    <w:rsid w:val="00FB0F82"/>
    <w:rsid w:val="00FB4853"/>
    <w:rsid w:val="00FB7F90"/>
    <w:rsid w:val="00FD12B4"/>
    <w:rsid w:val="00FD6097"/>
    <w:rsid w:val="00FE3038"/>
    <w:rsid w:val="00FE3790"/>
    <w:rsid w:val="00FF39DA"/>
    <w:rsid w:val="00FF4FE5"/>
    <w:rsid w:val="00FF70CF"/>
    <w:rsid w:val="00FF7137"/>
    <w:rsid w:val="01036B88"/>
    <w:rsid w:val="014B427D"/>
    <w:rsid w:val="01810FB1"/>
    <w:rsid w:val="018139C0"/>
    <w:rsid w:val="0286351F"/>
    <w:rsid w:val="02C210C7"/>
    <w:rsid w:val="02E85790"/>
    <w:rsid w:val="036D2DAF"/>
    <w:rsid w:val="03C131EA"/>
    <w:rsid w:val="04082AD7"/>
    <w:rsid w:val="046B7A1F"/>
    <w:rsid w:val="048D464C"/>
    <w:rsid w:val="04B33623"/>
    <w:rsid w:val="04BC45FB"/>
    <w:rsid w:val="04ED23F9"/>
    <w:rsid w:val="04F15DEA"/>
    <w:rsid w:val="05627EE4"/>
    <w:rsid w:val="05AF3B52"/>
    <w:rsid w:val="06A2768A"/>
    <w:rsid w:val="07A969D7"/>
    <w:rsid w:val="07B93278"/>
    <w:rsid w:val="08027D69"/>
    <w:rsid w:val="087C6AF5"/>
    <w:rsid w:val="089E3882"/>
    <w:rsid w:val="08D939A9"/>
    <w:rsid w:val="09961DCA"/>
    <w:rsid w:val="09AA060B"/>
    <w:rsid w:val="09CE18D2"/>
    <w:rsid w:val="0A2E64B4"/>
    <w:rsid w:val="0A7A5A95"/>
    <w:rsid w:val="0A7D2CB2"/>
    <w:rsid w:val="0A962ECB"/>
    <w:rsid w:val="0B0C2D32"/>
    <w:rsid w:val="0B463E97"/>
    <w:rsid w:val="0BA45BDC"/>
    <w:rsid w:val="0C074A0A"/>
    <w:rsid w:val="0C0C00AF"/>
    <w:rsid w:val="0C5A1675"/>
    <w:rsid w:val="0C764114"/>
    <w:rsid w:val="0D0364DD"/>
    <w:rsid w:val="0DE60DCF"/>
    <w:rsid w:val="0E0658A2"/>
    <w:rsid w:val="0E1D6EA1"/>
    <w:rsid w:val="0E2E6D89"/>
    <w:rsid w:val="0E31223B"/>
    <w:rsid w:val="0EB92F8A"/>
    <w:rsid w:val="0EC85B7F"/>
    <w:rsid w:val="0EFC0177"/>
    <w:rsid w:val="0F734103"/>
    <w:rsid w:val="0F9F5F99"/>
    <w:rsid w:val="0FC05E29"/>
    <w:rsid w:val="0FC5733A"/>
    <w:rsid w:val="0FE83FCA"/>
    <w:rsid w:val="0FF2042D"/>
    <w:rsid w:val="10244892"/>
    <w:rsid w:val="10340465"/>
    <w:rsid w:val="10565C09"/>
    <w:rsid w:val="10FE1F47"/>
    <w:rsid w:val="113E31B7"/>
    <w:rsid w:val="12F176DC"/>
    <w:rsid w:val="131E2FE0"/>
    <w:rsid w:val="133B284C"/>
    <w:rsid w:val="136F79D2"/>
    <w:rsid w:val="13D570CB"/>
    <w:rsid w:val="13F15A23"/>
    <w:rsid w:val="140519C0"/>
    <w:rsid w:val="140747BF"/>
    <w:rsid w:val="14086B6E"/>
    <w:rsid w:val="14484BFB"/>
    <w:rsid w:val="14500C5B"/>
    <w:rsid w:val="14605B09"/>
    <w:rsid w:val="14873BD5"/>
    <w:rsid w:val="14BB4316"/>
    <w:rsid w:val="14E40A47"/>
    <w:rsid w:val="15311FDB"/>
    <w:rsid w:val="153624B8"/>
    <w:rsid w:val="16045773"/>
    <w:rsid w:val="160937DE"/>
    <w:rsid w:val="16553D6F"/>
    <w:rsid w:val="16586FFF"/>
    <w:rsid w:val="16B37092"/>
    <w:rsid w:val="16C92ACB"/>
    <w:rsid w:val="176C5359"/>
    <w:rsid w:val="17841690"/>
    <w:rsid w:val="17A1458B"/>
    <w:rsid w:val="17F53276"/>
    <w:rsid w:val="18046D93"/>
    <w:rsid w:val="18156703"/>
    <w:rsid w:val="181D45D4"/>
    <w:rsid w:val="18240967"/>
    <w:rsid w:val="183515B4"/>
    <w:rsid w:val="18E90CD1"/>
    <w:rsid w:val="190A79DE"/>
    <w:rsid w:val="191C562A"/>
    <w:rsid w:val="19337DB7"/>
    <w:rsid w:val="196D3440"/>
    <w:rsid w:val="19873405"/>
    <w:rsid w:val="19B74EE4"/>
    <w:rsid w:val="1A5605D7"/>
    <w:rsid w:val="1AA14B65"/>
    <w:rsid w:val="1AE10710"/>
    <w:rsid w:val="1AEB6FC6"/>
    <w:rsid w:val="1B143FAE"/>
    <w:rsid w:val="1B235E01"/>
    <w:rsid w:val="1B395FE9"/>
    <w:rsid w:val="1B652CEF"/>
    <w:rsid w:val="1B9951EB"/>
    <w:rsid w:val="1BBE683C"/>
    <w:rsid w:val="1BDA4A28"/>
    <w:rsid w:val="1C464F11"/>
    <w:rsid w:val="1C534165"/>
    <w:rsid w:val="1C7D4096"/>
    <w:rsid w:val="1D9952B0"/>
    <w:rsid w:val="1DDF7303"/>
    <w:rsid w:val="1DEA571F"/>
    <w:rsid w:val="1E4C4DC3"/>
    <w:rsid w:val="1E67476E"/>
    <w:rsid w:val="1EB86A6D"/>
    <w:rsid w:val="1EC213E8"/>
    <w:rsid w:val="1F462128"/>
    <w:rsid w:val="1F5519FD"/>
    <w:rsid w:val="1F9A2257"/>
    <w:rsid w:val="1FB36ABF"/>
    <w:rsid w:val="20350095"/>
    <w:rsid w:val="20B83463"/>
    <w:rsid w:val="20EA61C9"/>
    <w:rsid w:val="211D776A"/>
    <w:rsid w:val="21322314"/>
    <w:rsid w:val="21886763"/>
    <w:rsid w:val="227C6712"/>
    <w:rsid w:val="22B81E62"/>
    <w:rsid w:val="23612186"/>
    <w:rsid w:val="23845853"/>
    <w:rsid w:val="23BA2F2F"/>
    <w:rsid w:val="24605FBD"/>
    <w:rsid w:val="24B05FEC"/>
    <w:rsid w:val="24FD60D7"/>
    <w:rsid w:val="250B0572"/>
    <w:rsid w:val="25774653"/>
    <w:rsid w:val="259C7D70"/>
    <w:rsid w:val="25F30139"/>
    <w:rsid w:val="260E1B65"/>
    <w:rsid w:val="263E6FDF"/>
    <w:rsid w:val="26566694"/>
    <w:rsid w:val="266411C1"/>
    <w:rsid w:val="26D34143"/>
    <w:rsid w:val="27141832"/>
    <w:rsid w:val="27431277"/>
    <w:rsid w:val="27600F22"/>
    <w:rsid w:val="276618A1"/>
    <w:rsid w:val="28065ACB"/>
    <w:rsid w:val="28B33B5C"/>
    <w:rsid w:val="28E15521"/>
    <w:rsid w:val="29086B14"/>
    <w:rsid w:val="2911229A"/>
    <w:rsid w:val="298531E7"/>
    <w:rsid w:val="299A22AA"/>
    <w:rsid w:val="29AE08C1"/>
    <w:rsid w:val="29DD180E"/>
    <w:rsid w:val="29E10CBC"/>
    <w:rsid w:val="2A630A06"/>
    <w:rsid w:val="2B036C4F"/>
    <w:rsid w:val="2B1614E0"/>
    <w:rsid w:val="2B210C54"/>
    <w:rsid w:val="2B4208B2"/>
    <w:rsid w:val="2BAD5557"/>
    <w:rsid w:val="2BC60DD7"/>
    <w:rsid w:val="2BE545FC"/>
    <w:rsid w:val="2BFD76EA"/>
    <w:rsid w:val="2C0A28C2"/>
    <w:rsid w:val="2CA95820"/>
    <w:rsid w:val="2CAD616C"/>
    <w:rsid w:val="2D7E1F0F"/>
    <w:rsid w:val="2DF71817"/>
    <w:rsid w:val="2DFD699A"/>
    <w:rsid w:val="2E253880"/>
    <w:rsid w:val="2E2E4C73"/>
    <w:rsid w:val="2E2E6FF6"/>
    <w:rsid w:val="2E2F2014"/>
    <w:rsid w:val="2E4339B9"/>
    <w:rsid w:val="2E467C2B"/>
    <w:rsid w:val="2E7935CB"/>
    <w:rsid w:val="2E91232B"/>
    <w:rsid w:val="2ECB3A12"/>
    <w:rsid w:val="2EEB7447"/>
    <w:rsid w:val="2F03563A"/>
    <w:rsid w:val="2F1075A0"/>
    <w:rsid w:val="2F6D0E55"/>
    <w:rsid w:val="2F7758F3"/>
    <w:rsid w:val="2FEC3005"/>
    <w:rsid w:val="303D2962"/>
    <w:rsid w:val="30766201"/>
    <w:rsid w:val="30857B09"/>
    <w:rsid w:val="30915A7F"/>
    <w:rsid w:val="30A9798A"/>
    <w:rsid w:val="30AE4883"/>
    <w:rsid w:val="31813D8D"/>
    <w:rsid w:val="31BF709E"/>
    <w:rsid w:val="32193C92"/>
    <w:rsid w:val="322B6E8E"/>
    <w:rsid w:val="32495ADB"/>
    <w:rsid w:val="326B7374"/>
    <w:rsid w:val="32CA4637"/>
    <w:rsid w:val="32F939C9"/>
    <w:rsid w:val="334D328E"/>
    <w:rsid w:val="33A90963"/>
    <w:rsid w:val="33CD2BDD"/>
    <w:rsid w:val="33CD583E"/>
    <w:rsid w:val="33CF1A56"/>
    <w:rsid w:val="33D104B1"/>
    <w:rsid w:val="33D8201D"/>
    <w:rsid w:val="33EF22CB"/>
    <w:rsid w:val="342A33E8"/>
    <w:rsid w:val="34513441"/>
    <w:rsid w:val="348620E5"/>
    <w:rsid w:val="34A64A15"/>
    <w:rsid w:val="34BD606A"/>
    <w:rsid w:val="35501CB3"/>
    <w:rsid w:val="358F2D04"/>
    <w:rsid w:val="35AF78A8"/>
    <w:rsid w:val="35CB5DAC"/>
    <w:rsid w:val="35E65373"/>
    <w:rsid w:val="365D4F5A"/>
    <w:rsid w:val="36890447"/>
    <w:rsid w:val="369F3730"/>
    <w:rsid w:val="36A738F6"/>
    <w:rsid w:val="36AD2052"/>
    <w:rsid w:val="37233092"/>
    <w:rsid w:val="37444CB6"/>
    <w:rsid w:val="37667C65"/>
    <w:rsid w:val="376A3770"/>
    <w:rsid w:val="376E2676"/>
    <w:rsid w:val="37796B31"/>
    <w:rsid w:val="37F4125D"/>
    <w:rsid w:val="37F50718"/>
    <w:rsid w:val="384D344A"/>
    <w:rsid w:val="38B4012F"/>
    <w:rsid w:val="38B5113E"/>
    <w:rsid w:val="38EA302F"/>
    <w:rsid w:val="38F21AA5"/>
    <w:rsid w:val="39141F11"/>
    <w:rsid w:val="392F096A"/>
    <w:rsid w:val="3958349F"/>
    <w:rsid w:val="39810BCC"/>
    <w:rsid w:val="39827011"/>
    <w:rsid w:val="39831224"/>
    <w:rsid w:val="3AB12AEE"/>
    <w:rsid w:val="3B0641AD"/>
    <w:rsid w:val="3B0D493A"/>
    <w:rsid w:val="3B5B11D2"/>
    <w:rsid w:val="3BB83F85"/>
    <w:rsid w:val="3BC91B5E"/>
    <w:rsid w:val="3C352420"/>
    <w:rsid w:val="3C7349C7"/>
    <w:rsid w:val="3C8F5420"/>
    <w:rsid w:val="3CAB2F5F"/>
    <w:rsid w:val="3CAE48FD"/>
    <w:rsid w:val="3CB135C4"/>
    <w:rsid w:val="3D257C7B"/>
    <w:rsid w:val="3D457BA6"/>
    <w:rsid w:val="3D656D7A"/>
    <w:rsid w:val="3D874A06"/>
    <w:rsid w:val="3DAB002B"/>
    <w:rsid w:val="3DB74CFA"/>
    <w:rsid w:val="3DBC21C9"/>
    <w:rsid w:val="3E3655F0"/>
    <w:rsid w:val="3E407CD2"/>
    <w:rsid w:val="3E861976"/>
    <w:rsid w:val="3E952BDE"/>
    <w:rsid w:val="3EB25859"/>
    <w:rsid w:val="3EE15A3B"/>
    <w:rsid w:val="3EEA0B3F"/>
    <w:rsid w:val="3F9A2FBB"/>
    <w:rsid w:val="3FAE5EFC"/>
    <w:rsid w:val="3FCA5DC4"/>
    <w:rsid w:val="3FD65AAF"/>
    <w:rsid w:val="3FDB360B"/>
    <w:rsid w:val="3FE80F28"/>
    <w:rsid w:val="40105630"/>
    <w:rsid w:val="40194E8A"/>
    <w:rsid w:val="402B64D4"/>
    <w:rsid w:val="403340CE"/>
    <w:rsid w:val="404005A7"/>
    <w:rsid w:val="40777EA6"/>
    <w:rsid w:val="409642B4"/>
    <w:rsid w:val="40B36141"/>
    <w:rsid w:val="40C62F10"/>
    <w:rsid w:val="40C90774"/>
    <w:rsid w:val="411C0447"/>
    <w:rsid w:val="412230B8"/>
    <w:rsid w:val="414C0DB0"/>
    <w:rsid w:val="41610531"/>
    <w:rsid w:val="41CC21FF"/>
    <w:rsid w:val="41F94283"/>
    <w:rsid w:val="42045433"/>
    <w:rsid w:val="420F2968"/>
    <w:rsid w:val="421E00AA"/>
    <w:rsid w:val="42312E2D"/>
    <w:rsid w:val="426836E2"/>
    <w:rsid w:val="4274324F"/>
    <w:rsid w:val="42942AA3"/>
    <w:rsid w:val="42CB1B9A"/>
    <w:rsid w:val="42D573C0"/>
    <w:rsid w:val="42F8365F"/>
    <w:rsid w:val="430C6C95"/>
    <w:rsid w:val="431466D8"/>
    <w:rsid w:val="43874076"/>
    <w:rsid w:val="44483887"/>
    <w:rsid w:val="448F42AB"/>
    <w:rsid w:val="448F58D6"/>
    <w:rsid w:val="44A24138"/>
    <w:rsid w:val="44B33E1A"/>
    <w:rsid w:val="44F32E3F"/>
    <w:rsid w:val="453366A1"/>
    <w:rsid w:val="454A4722"/>
    <w:rsid w:val="45D30F6B"/>
    <w:rsid w:val="46012FF7"/>
    <w:rsid w:val="46256F3D"/>
    <w:rsid w:val="464247EF"/>
    <w:rsid w:val="465A557C"/>
    <w:rsid w:val="466E0464"/>
    <w:rsid w:val="46961C36"/>
    <w:rsid w:val="471900C9"/>
    <w:rsid w:val="475A6340"/>
    <w:rsid w:val="476E0432"/>
    <w:rsid w:val="47811F51"/>
    <w:rsid w:val="47D44777"/>
    <w:rsid w:val="47E94EAC"/>
    <w:rsid w:val="47F868F4"/>
    <w:rsid w:val="4807545D"/>
    <w:rsid w:val="48433E40"/>
    <w:rsid w:val="484C35A3"/>
    <w:rsid w:val="48965ED0"/>
    <w:rsid w:val="48B630F1"/>
    <w:rsid w:val="48DC5BBE"/>
    <w:rsid w:val="49320C1B"/>
    <w:rsid w:val="49365B35"/>
    <w:rsid w:val="495851DA"/>
    <w:rsid w:val="496C6951"/>
    <w:rsid w:val="499E3420"/>
    <w:rsid w:val="49BE092A"/>
    <w:rsid w:val="49E01229"/>
    <w:rsid w:val="49FF2FF1"/>
    <w:rsid w:val="4A514331"/>
    <w:rsid w:val="4A740FCB"/>
    <w:rsid w:val="4A760DFA"/>
    <w:rsid w:val="4AB825B5"/>
    <w:rsid w:val="4AC11E90"/>
    <w:rsid w:val="4ADD7812"/>
    <w:rsid w:val="4B264B86"/>
    <w:rsid w:val="4B365735"/>
    <w:rsid w:val="4B523CD6"/>
    <w:rsid w:val="4B894732"/>
    <w:rsid w:val="4C2E5C54"/>
    <w:rsid w:val="4C3E1C45"/>
    <w:rsid w:val="4C753C10"/>
    <w:rsid w:val="4C770BEB"/>
    <w:rsid w:val="4CF305D2"/>
    <w:rsid w:val="4DFB1698"/>
    <w:rsid w:val="4E4C6A67"/>
    <w:rsid w:val="4E7A6CE7"/>
    <w:rsid w:val="4F6B3C13"/>
    <w:rsid w:val="4F764DCA"/>
    <w:rsid w:val="4F8E4AEA"/>
    <w:rsid w:val="4F9003A3"/>
    <w:rsid w:val="4FA14059"/>
    <w:rsid w:val="4FE01357"/>
    <w:rsid w:val="50011414"/>
    <w:rsid w:val="50285660"/>
    <w:rsid w:val="5031120F"/>
    <w:rsid w:val="507B18E2"/>
    <w:rsid w:val="50B020A3"/>
    <w:rsid w:val="50B74955"/>
    <w:rsid w:val="51375E72"/>
    <w:rsid w:val="51B24063"/>
    <w:rsid w:val="523405F6"/>
    <w:rsid w:val="52436491"/>
    <w:rsid w:val="526F2281"/>
    <w:rsid w:val="52E15705"/>
    <w:rsid w:val="53093E80"/>
    <w:rsid w:val="530A4B97"/>
    <w:rsid w:val="53766B4A"/>
    <w:rsid w:val="538C47B1"/>
    <w:rsid w:val="53956FFA"/>
    <w:rsid w:val="53B37702"/>
    <w:rsid w:val="542841BF"/>
    <w:rsid w:val="54605CEA"/>
    <w:rsid w:val="5470063D"/>
    <w:rsid w:val="55182E06"/>
    <w:rsid w:val="552D7E47"/>
    <w:rsid w:val="554D6E38"/>
    <w:rsid w:val="555212FA"/>
    <w:rsid w:val="55825812"/>
    <w:rsid w:val="55D9132D"/>
    <w:rsid w:val="55E30ADF"/>
    <w:rsid w:val="562873A9"/>
    <w:rsid w:val="56B0197B"/>
    <w:rsid w:val="56BB5C40"/>
    <w:rsid w:val="56CE2481"/>
    <w:rsid w:val="56D842B7"/>
    <w:rsid w:val="56E4748D"/>
    <w:rsid w:val="570D2775"/>
    <w:rsid w:val="57434F2C"/>
    <w:rsid w:val="574815A2"/>
    <w:rsid w:val="576B373E"/>
    <w:rsid w:val="58181EEB"/>
    <w:rsid w:val="582B3A70"/>
    <w:rsid w:val="586029B0"/>
    <w:rsid w:val="591627C4"/>
    <w:rsid w:val="598355C8"/>
    <w:rsid w:val="598D2043"/>
    <w:rsid w:val="59A73521"/>
    <w:rsid w:val="5A1F11CE"/>
    <w:rsid w:val="5A1F4066"/>
    <w:rsid w:val="5A2D4C8A"/>
    <w:rsid w:val="5A3E65BB"/>
    <w:rsid w:val="5A4C5C7F"/>
    <w:rsid w:val="5A6B3A2D"/>
    <w:rsid w:val="5A761AA6"/>
    <w:rsid w:val="5AEC34A3"/>
    <w:rsid w:val="5B6E40C0"/>
    <w:rsid w:val="5BB156F6"/>
    <w:rsid w:val="5BCF020F"/>
    <w:rsid w:val="5C087DC8"/>
    <w:rsid w:val="5C1633FB"/>
    <w:rsid w:val="5C347716"/>
    <w:rsid w:val="5C4101D9"/>
    <w:rsid w:val="5C4A11A6"/>
    <w:rsid w:val="5C6F3C12"/>
    <w:rsid w:val="5C6F73FD"/>
    <w:rsid w:val="5CC128C9"/>
    <w:rsid w:val="5D147F48"/>
    <w:rsid w:val="5D593DDE"/>
    <w:rsid w:val="5D7E2D3D"/>
    <w:rsid w:val="5DCA14D3"/>
    <w:rsid w:val="5DD76F82"/>
    <w:rsid w:val="5DE26553"/>
    <w:rsid w:val="5E261139"/>
    <w:rsid w:val="5EC73240"/>
    <w:rsid w:val="5ECB741A"/>
    <w:rsid w:val="5EFC04E3"/>
    <w:rsid w:val="5F040EC4"/>
    <w:rsid w:val="5F103962"/>
    <w:rsid w:val="5F2C2B0D"/>
    <w:rsid w:val="5F881C3B"/>
    <w:rsid w:val="5FDA402C"/>
    <w:rsid w:val="5FDD7B84"/>
    <w:rsid w:val="60293371"/>
    <w:rsid w:val="60921F4C"/>
    <w:rsid w:val="60E60DAB"/>
    <w:rsid w:val="60FC3CB9"/>
    <w:rsid w:val="61B60F38"/>
    <w:rsid w:val="628A2FCB"/>
    <w:rsid w:val="62A82A67"/>
    <w:rsid w:val="633E6CF5"/>
    <w:rsid w:val="6421701E"/>
    <w:rsid w:val="646335A4"/>
    <w:rsid w:val="648A6FB2"/>
    <w:rsid w:val="649D5076"/>
    <w:rsid w:val="64A224F5"/>
    <w:rsid w:val="64DF7868"/>
    <w:rsid w:val="64F751FF"/>
    <w:rsid w:val="65202805"/>
    <w:rsid w:val="65A93D0B"/>
    <w:rsid w:val="65AE7F5E"/>
    <w:rsid w:val="65C96A64"/>
    <w:rsid w:val="65C975D7"/>
    <w:rsid w:val="66524ECB"/>
    <w:rsid w:val="66647BCE"/>
    <w:rsid w:val="667C7204"/>
    <w:rsid w:val="669D25AF"/>
    <w:rsid w:val="66F77168"/>
    <w:rsid w:val="672C7E5E"/>
    <w:rsid w:val="67686D70"/>
    <w:rsid w:val="68036F7C"/>
    <w:rsid w:val="6819282C"/>
    <w:rsid w:val="6863622B"/>
    <w:rsid w:val="68757459"/>
    <w:rsid w:val="68E24AEE"/>
    <w:rsid w:val="68EC12CE"/>
    <w:rsid w:val="68FD3582"/>
    <w:rsid w:val="6902776A"/>
    <w:rsid w:val="690C29AD"/>
    <w:rsid w:val="69166CB5"/>
    <w:rsid w:val="692C510B"/>
    <w:rsid w:val="694A1488"/>
    <w:rsid w:val="69537E95"/>
    <w:rsid w:val="69B3740D"/>
    <w:rsid w:val="6A0A3193"/>
    <w:rsid w:val="6A146F17"/>
    <w:rsid w:val="6A166BF4"/>
    <w:rsid w:val="6A4B7449"/>
    <w:rsid w:val="6A58304C"/>
    <w:rsid w:val="6ADE22F2"/>
    <w:rsid w:val="6AE56868"/>
    <w:rsid w:val="6AFB1B30"/>
    <w:rsid w:val="6B053864"/>
    <w:rsid w:val="6B202B7F"/>
    <w:rsid w:val="6B304350"/>
    <w:rsid w:val="6B825C1F"/>
    <w:rsid w:val="6C232AA8"/>
    <w:rsid w:val="6C770668"/>
    <w:rsid w:val="6C8C50CA"/>
    <w:rsid w:val="6D404CA3"/>
    <w:rsid w:val="6D53598C"/>
    <w:rsid w:val="6E197DED"/>
    <w:rsid w:val="6E2E7E8E"/>
    <w:rsid w:val="6E5130B4"/>
    <w:rsid w:val="6EBF5E81"/>
    <w:rsid w:val="6EDD6CC2"/>
    <w:rsid w:val="6EFA06B8"/>
    <w:rsid w:val="6F4305A3"/>
    <w:rsid w:val="6F651152"/>
    <w:rsid w:val="6FBB318E"/>
    <w:rsid w:val="6FC147EE"/>
    <w:rsid w:val="6FC93A42"/>
    <w:rsid w:val="6FE52ACD"/>
    <w:rsid w:val="6FEFFDE2"/>
    <w:rsid w:val="6FF8786A"/>
    <w:rsid w:val="7170648D"/>
    <w:rsid w:val="717646C8"/>
    <w:rsid w:val="71C54BDE"/>
    <w:rsid w:val="72037B1C"/>
    <w:rsid w:val="721B15F2"/>
    <w:rsid w:val="725A042E"/>
    <w:rsid w:val="72FE573A"/>
    <w:rsid w:val="72FE7757"/>
    <w:rsid w:val="732B5EFC"/>
    <w:rsid w:val="732D0713"/>
    <w:rsid w:val="734E6CD1"/>
    <w:rsid w:val="73793DE9"/>
    <w:rsid w:val="737D4FD6"/>
    <w:rsid w:val="73877A65"/>
    <w:rsid w:val="738C514D"/>
    <w:rsid w:val="73E868F2"/>
    <w:rsid w:val="73F64327"/>
    <w:rsid w:val="744A4973"/>
    <w:rsid w:val="745F5BCB"/>
    <w:rsid w:val="74804A19"/>
    <w:rsid w:val="74B454CD"/>
    <w:rsid w:val="74E422FD"/>
    <w:rsid w:val="754D71F4"/>
    <w:rsid w:val="755F39B9"/>
    <w:rsid w:val="756845CD"/>
    <w:rsid w:val="75834D01"/>
    <w:rsid w:val="75D51270"/>
    <w:rsid w:val="766820B2"/>
    <w:rsid w:val="76D05926"/>
    <w:rsid w:val="76F46B87"/>
    <w:rsid w:val="774E608B"/>
    <w:rsid w:val="77860A99"/>
    <w:rsid w:val="77B80D03"/>
    <w:rsid w:val="77D342D7"/>
    <w:rsid w:val="785917EE"/>
    <w:rsid w:val="786E1099"/>
    <w:rsid w:val="788F27CC"/>
    <w:rsid w:val="78F01948"/>
    <w:rsid w:val="78F82029"/>
    <w:rsid w:val="78FC788A"/>
    <w:rsid w:val="79121871"/>
    <w:rsid w:val="79296B6E"/>
    <w:rsid w:val="79744CD0"/>
    <w:rsid w:val="79AD09D8"/>
    <w:rsid w:val="79DB7D0F"/>
    <w:rsid w:val="79F26145"/>
    <w:rsid w:val="7A543224"/>
    <w:rsid w:val="7A765096"/>
    <w:rsid w:val="7AB015F5"/>
    <w:rsid w:val="7AC05B37"/>
    <w:rsid w:val="7AD239F7"/>
    <w:rsid w:val="7AD971DE"/>
    <w:rsid w:val="7AE84C32"/>
    <w:rsid w:val="7AF414B1"/>
    <w:rsid w:val="7B0179D3"/>
    <w:rsid w:val="7B193C74"/>
    <w:rsid w:val="7B9F6D82"/>
    <w:rsid w:val="7BAB7279"/>
    <w:rsid w:val="7C202EDF"/>
    <w:rsid w:val="7CA34DD2"/>
    <w:rsid w:val="7CFE2881"/>
    <w:rsid w:val="7D35318E"/>
    <w:rsid w:val="7D755EC9"/>
    <w:rsid w:val="7D9E735C"/>
    <w:rsid w:val="7DB7055B"/>
    <w:rsid w:val="7DBA77D2"/>
    <w:rsid w:val="7E1A2770"/>
    <w:rsid w:val="7EB45A70"/>
    <w:rsid w:val="7ECC5324"/>
    <w:rsid w:val="7EEFF563"/>
    <w:rsid w:val="7F640187"/>
    <w:rsid w:val="7FE02025"/>
    <w:rsid w:val="7FF11FA7"/>
    <w:rsid w:val="7FFF2F9F"/>
    <w:rsid w:val="9FFDCD22"/>
    <w:rsid w:val="BCAFFFC7"/>
    <w:rsid w:val="BF5B139D"/>
    <w:rsid w:val="EFFF9E77"/>
    <w:rsid w:val="F77A044D"/>
    <w:rsid w:val="F7BF789D"/>
    <w:rsid w:val="FBCF3D04"/>
    <w:rsid w:val="FCBFB453"/>
    <w:rsid w:val="FECF3A9A"/>
    <w:rsid w:val="FFEFB5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link w:val="55"/>
    <w:qFormat/>
    <w:uiPriority w:val="0"/>
    <w:pPr>
      <w:keepNext/>
      <w:keepLines/>
      <w:spacing w:before="260" w:after="260" w:line="416" w:lineRule="auto"/>
      <w:outlineLvl w:val="2"/>
    </w:pPr>
    <w:rPr>
      <w:b/>
      <w:sz w:val="32"/>
    </w:rPr>
  </w:style>
  <w:style w:type="paragraph" w:styleId="5">
    <w:name w:val="heading 4"/>
    <w:basedOn w:val="1"/>
    <w:next w:val="1"/>
    <w:link w:val="56"/>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7"/>
    <w:qFormat/>
    <w:uiPriority w:val="0"/>
    <w:pPr>
      <w:keepNext/>
      <w:keepLines/>
      <w:numPr>
        <w:ilvl w:val="4"/>
        <w:numId w:val="1"/>
      </w:numPr>
      <w:spacing w:before="280" w:after="290" w:line="374" w:lineRule="auto"/>
      <w:outlineLvl w:val="4"/>
    </w:pPr>
    <w:rPr>
      <w:b/>
      <w:spacing w:val="20"/>
      <w:sz w:val="28"/>
      <w:szCs w:val="20"/>
    </w:rPr>
  </w:style>
  <w:style w:type="paragraph" w:styleId="7">
    <w:name w:val="heading 6"/>
    <w:basedOn w:val="1"/>
    <w:next w:val="1"/>
    <w:link w:val="58"/>
    <w:qFormat/>
    <w:uiPriority w:val="0"/>
    <w:pPr>
      <w:keepNext/>
      <w:keepLines/>
      <w:numPr>
        <w:ilvl w:val="5"/>
        <w:numId w:val="1"/>
      </w:numPr>
      <w:spacing w:before="240" w:after="64" w:line="319" w:lineRule="auto"/>
      <w:outlineLvl w:val="5"/>
    </w:pPr>
    <w:rPr>
      <w:rFonts w:ascii="Arial" w:hAnsi="Arial" w:eastAsia="黑体"/>
      <w:b/>
      <w:spacing w:val="20"/>
      <w:sz w:val="24"/>
      <w:szCs w:val="20"/>
    </w:rPr>
  </w:style>
  <w:style w:type="paragraph" w:styleId="8">
    <w:name w:val="heading 7"/>
    <w:basedOn w:val="1"/>
    <w:next w:val="1"/>
    <w:link w:val="59"/>
    <w:autoRedefine/>
    <w:qFormat/>
    <w:uiPriority w:val="0"/>
    <w:pPr>
      <w:keepNext/>
      <w:keepLines/>
      <w:numPr>
        <w:ilvl w:val="6"/>
        <w:numId w:val="1"/>
      </w:numPr>
      <w:spacing w:before="240" w:after="64" w:line="319" w:lineRule="auto"/>
      <w:outlineLvl w:val="6"/>
    </w:pPr>
    <w:rPr>
      <w:b/>
      <w:spacing w:val="20"/>
      <w:sz w:val="24"/>
      <w:szCs w:val="20"/>
    </w:rPr>
  </w:style>
  <w:style w:type="paragraph" w:styleId="9">
    <w:name w:val="heading 8"/>
    <w:basedOn w:val="1"/>
    <w:next w:val="1"/>
    <w:link w:val="60"/>
    <w:autoRedefine/>
    <w:qFormat/>
    <w:uiPriority w:val="0"/>
    <w:pPr>
      <w:keepNext/>
      <w:keepLines/>
      <w:numPr>
        <w:ilvl w:val="7"/>
        <w:numId w:val="1"/>
      </w:numPr>
      <w:spacing w:before="240" w:after="64" w:line="319" w:lineRule="auto"/>
      <w:outlineLvl w:val="7"/>
    </w:pPr>
    <w:rPr>
      <w:rFonts w:ascii="Arial" w:hAnsi="Arial" w:eastAsia="黑体"/>
      <w:spacing w:val="20"/>
      <w:sz w:val="24"/>
      <w:szCs w:val="20"/>
    </w:rPr>
  </w:style>
  <w:style w:type="paragraph" w:styleId="10">
    <w:name w:val="heading 9"/>
    <w:basedOn w:val="1"/>
    <w:next w:val="1"/>
    <w:link w:val="61"/>
    <w:autoRedefine/>
    <w:qFormat/>
    <w:uiPriority w:val="0"/>
    <w:pPr>
      <w:keepNext/>
      <w:keepLines/>
      <w:numPr>
        <w:ilvl w:val="8"/>
        <w:numId w:val="1"/>
      </w:numPr>
      <w:spacing w:before="240" w:after="64" w:line="319" w:lineRule="auto"/>
      <w:outlineLvl w:val="8"/>
    </w:pPr>
    <w:rPr>
      <w:rFonts w:ascii="Arial" w:hAnsi="Arial" w:eastAsia="黑体"/>
      <w:spacing w:val="20"/>
      <w:sz w:val="24"/>
      <w:szCs w:val="20"/>
    </w:rPr>
  </w:style>
  <w:style w:type="character" w:default="1" w:styleId="39">
    <w:name w:val="Default Paragraph Font"/>
    <w:autoRedefine/>
    <w:semiHidden/>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
    <w:autoRedefine/>
    <w:qFormat/>
    <w:uiPriority w:val="0"/>
    <w:pPr>
      <w:ind w:firstLine="420"/>
    </w:pPr>
    <w:rPr>
      <w:szCs w:val="20"/>
    </w:rPr>
  </w:style>
  <w:style w:type="paragraph" w:styleId="12">
    <w:name w:val="Document Map"/>
    <w:basedOn w:val="1"/>
    <w:link w:val="62"/>
    <w:autoRedefine/>
    <w:qFormat/>
    <w:uiPriority w:val="0"/>
    <w:rPr>
      <w:rFonts w:ascii="宋体"/>
      <w:sz w:val="18"/>
      <w:szCs w:val="18"/>
    </w:rPr>
  </w:style>
  <w:style w:type="paragraph" w:styleId="13">
    <w:name w:val="annotation text"/>
    <w:basedOn w:val="1"/>
    <w:link w:val="63"/>
    <w:autoRedefine/>
    <w:semiHidden/>
    <w:qFormat/>
    <w:uiPriority w:val="0"/>
    <w:pPr>
      <w:jc w:val="left"/>
    </w:pPr>
  </w:style>
  <w:style w:type="paragraph" w:styleId="14">
    <w:name w:val="Body Text"/>
    <w:basedOn w:val="1"/>
    <w:next w:val="1"/>
    <w:link w:val="64"/>
    <w:autoRedefine/>
    <w:qFormat/>
    <w:uiPriority w:val="0"/>
    <w:pPr>
      <w:spacing w:after="120"/>
    </w:pPr>
  </w:style>
  <w:style w:type="paragraph" w:styleId="15">
    <w:name w:val="Body Text Indent"/>
    <w:basedOn w:val="1"/>
    <w:next w:val="1"/>
    <w:link w:val="65"/>
    <w:autoRedefine/>
    <w:qFormat/>
    <w:uiPriority w:val="0"/>
    <w:pPr>
      <w:spacing w:line="500" w:lineRule="atLeast"/>
      <w:ind w:firstLine="420"/>
    </w:pPr>
    <w:rPr>
      <w:szCs w:val="20"/>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pacing w:after="120"/>
      <w:ind w:left="1440" w:leftChars="700" w:right="1440" w:rightChars="700"/>
    </w:pPr>
  </w:style>
  <w:style w:type="paragraph" w:styleId="18">
    <w:name w:val="index 4"/>
    <w:basedOn w:val="1"/>
    <w:next w:val="1"/>
    <w:unhideWhenUsed/>
    <w:qFormat/>
    <w:uiPriority w:val="99"/>
    <w:pPr>
      <w:ind w:left="600" w:leftChars="600"/>
    </w:pPr>
  </w:style>
  <w:style w:type="paragraph" w:styleId="19">
    <w:name w:val="toc 3"/>
    <w:basedOn w:val="1"/>
    <w:next w:val="1"/>
    <w:autoRedefine/>
    <w:unhideWhenUsed/>
    <w:qFormat/>
    <w:uiPriority w:val="39"/>
    <w:pPr>
      <w:tabs>
        <w:tab w:val="right" w:leader="dot" w:pos="8778"/>
      </w:tabs>
      <w:autoSpaceDE w:val="0"/>
      <w:autoSpaceDN w:val="0"/>
      <w:adjustRightInd w:val="0"/>
      <w:snapToGrid w:val="0"/>
      <w:ind w:left="1004" w:leftChars="400"/>
    </w:pPr>
    <w:rPr>
      <w:bCs/>
      <w:kern w:val="0"/>
      <w:sz w:val="24"/>
      <w:szCs w:val="20"/>
    </w:rPr>
  </w:style>
  <w:style w:type="paragraph" w:styleId="20">
    <w:name w:val="Plain Text"/>
    <w:basedOn w:val="1"/>
    <w:link w:val="66"/>
    <w:autoRedefine/>
    <w:qFormat/>
    <w:uiPriority w:val="0"/>
    <w:pPr>
      <w:spacing w:before="156" w:beforeLines="50" w:after="156" w:afterLines="50" w:line="400" w:lineRule="exact"/>
    </w:pPr>
    <w:rPr>
      <w:rFonts w:ascii="宋体" w:hAnsi="Courier New"/>
      <w:sz w:val="24"/>
    </w:rPr>
  </w:style>
  <w:style w:type="paragraph" w:styleId="21">
    <w:name w:val="Date"/>
    <w:basedOn w:val="1"/>
    <w:next w:val="1"/>
    <w:link w:val="67"/>
    <w:autoRedefine/>
    <w:qFormat/>
    <w:uiPriority w:val="0"/>
    <w:pPr>
      <w:ind w:left="100" w:leftChars="2500"/>
    </w:pPr>
    <w:rPr>
      <w:rFonts w:ascii="仿宋_GB2312" w:hAnsi="Arial" w:eastAsia="仿宋_GB2312"/>
      <w:b/>
      <w:sz w:val="32"/>
    </w:rPr>
  </w:style>
  <w:style w:type="paragraph" w:styleId="22">
    <w:name w:val="Body Text Indent 2"/>
    <w:basedOn w:val="1"/>
    <w:link w:val="68"/>
    <w:autoRedefine/>
    <w:qFormat/>
    <w:uiPriority w:val="0"/>
    <w:pPr>
      <w:snapToGrid w:val="0"/>
      <w:ind w:firstLine="542" w:firstLineChars="225"/>
    </w:pPr>
    <w:rPr>
      <w:rFonts w:ascii="Tahoma" w:hAnsi="Tahoma"/>
    </w:rPr>
  </w:style>
  <w:style w:type="paragraph" w:styleId="23">
    <w:name w:val="Balloon Text"/>
    <w:basedOn w:val="1"/>
    <w:link w:val="69"/>
    <w:autoRedefine/>
    <w:semiHidden/>
    <w:qFormat/>
    <w:uiPriority w:val="0"/>
    <w:rPr>
      <w:sz w:val="18"/>
      <w:szCs w:val="18"/>
    </w:rPr>
  </w:style>
  <w:style w:type="paragraph" w:styleId="24">
    <w:name w:val="footer"/>
    <w:basedOn w:val="1"/>
    <w:link w:val="70"/>
    <w:autoRedefine/>
    <w:qFormat/>
    <w:uiPriority w:val="99"/>
    <w:pPr>
      <w:tabs>
        <w:tab w:val="center" w:pos="4153"/>
        <w:tab w:val="right" w:pos="8306"/>
      </w:tabs>
      <w:snapToGrid w:val="0"/>
      <w:jc w:val="left"/>
    </w:pPr>
    <w:rPr>
      <w:sz w:val="18"/>
      <w:szCs w:val="18"/>
    </w:rPr>
  </w:style>
  <w:style w:type="paragraph" w:styleId="25">
    <w:name w:val="envelope return"/>
    <w:basedOn w:val="1"/>
    <w:autoRedefine/>
    <w:qFormat/>
    <w:uiPriority w:val="0"/>
    <w:pPr>
      <w:snapToGrid w:val="0"/>
    </w:pPr>
    <w:rPr>
      <w:rFonts w:ascii="Arial" w:hAnsi="Arial"/>
    </w:rPr>
  </w:style>
  <w:style w:type="paragraph" w:styleId="26">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unhideWhenUsed/>
    <w:qFormat/>
    <w:uiPriority w:val="0"/>
    <w:pPr>
      <w:autoSpaceDE w:val="0"/>
      <w:autoSpaceDN w:val="0"/>
      <w:adjustRightInd w:val="0"/>
      <w:snapToGrid w:val="0"/>
      <w:spacing w:line="440" w:lineRule="atLeast"/>
    </w:pPr>
    <w:rPr>
      <w:rFonts w:ascii="宋体"/>
      <w:kern w:val="0"/>
      <w:sz w:val="28"/>
      <w:szCs w:val="20"/>
    </w:rPr>
  </w:style>
  <w:style w:type="paragraph" w:styleId="28">
    <w:name w:val="toc 6"/>
    <w:basedOn w:val="1"/>
    <w:next w:val="1"/>
    <w:autoRedefine/>
    <w:qFormat/>
    <w:uiPriority w:val="0"/>
    <w:pPr>
      <w:ind w:left="1050"/>
      <w:jc w:val="left"/>
    </w:pPr>
    <w:rPr>
      <w:sz w:val="18"/>
      <w:szCs w:val="18"/>
    </w:rPr>
  </w:style>
  <w:style w:type="paragraph" w:styleId="29">
    <w:name w:val="Body Text Indent 3"/>
    <w:basedOn w:val="1"/>
    <w:link w:val="72"/>
    <w:autoRedefine/>
    <w:unhideWhenUsed/>
    <w:qFormat/>
    <w:uiPriority w:val="0"/>
    <w:pPr>
      <w:autoSpaceDE w:val="0"/>
      <w:autoSpaceDN w:val="0"/>
      <w:adjustRightInd w:val="0"/>
      <w:snapToGrid w:val="0"/>
      <w:ind w:firstLine="576"/>
    </w:pPr>
    <w:rPr>
      <w:kern w:val="0"/>
      <w:sz w:val="28"/>
      <w:szCs w:val="20"/>
    </w:rPr>
  </w:style>
  <w:style w:type="paragraph" w:styleId="30">
    <w:name w:val="toc 2"/>
    <w:basedOn w:val="1"/>
    <w:next w:val="1"/>
    <w:autoRedefine/>
    <w:unhideWhenUsed/>
    <w:qFormat/>
    <w:uiPriority w:val="39"/>
    <w:pPr>
      <w:tabs>
        <w:tab w:val="right" w:leader="dot" w:pos="8778"/>
      </w:tabs>
      <w:autoSpaceDE w:val="0"/>
      <w:autoSpaceDN w:val="0"/>
      <w:adjustRightInd w:val="0"/>
      <w:ind w:left="502" w:leftChars="200"/>
    </w:pPr>
    <w:rPr>
      <w:b/>
      <w:bCs/>
      <w:kern w:val="0"/>
      <w:sz w:val="24"/>
      <w:szCs w:val="30"/>
    </w:rPr>
  </w:style>
  <w:style w:type="paragraph" w:styleId="31">
    <w:name w:val="Normal (Web)"/>
    <w:basedOn w:val="1"/>
    <w:autoRedefine/>
    <w:qFormat/>
    <w:uiPriority w:val="0"/>
    <w:pPr>
      <w:widowControl/>
      <w:spacing w:before="100" w:beforeAutospacing="1" w:after="100" w:afterAutospacing="1" w:line="280" w:lineRule="atLeast"/>
      <w:jc w:val="left"/>
    </w:pPr>
    <w:rPr>
      <w:rFonts w:ascii="Arial" w:hAnsi="Arial" w:cs="Arial"/>
      <w:kern w:val="0"/>
      <w:sz w:val="18"/>
      <w:szCs w:val="18"/>
    </w:rPr>
  </w:style>
  <w:style w:type="paragraph" w:styleId="32">
    <w:name w:val="index 1"/>
    <w:basedOn w:val="1"/>
    <w:next w:val="1"/>
    <w:autoRedefine/>
    <w:unhideWhenUsed/>
    <w:qFormat/>
    <w:uiPriority w:val="0"/>
    <w:pPr>
      <w:autoSpaceDE w:val="0"/>
      <w:autoSpaceDN w:val="0"/>
      <w:adjustRightInd w:val="0"/>
    </w:pPr>
    <w:rPr>
      <w:kern w:val="0"/>
      <w:sz w:val="24"/>
      <w:szCs w:val="20"/>
    </w:rPr>
  </w:style>
  <w:style w:type="paragraph" w:styleId="33">
    <w:name w:val="Title"/>
    <w:basedOn w:val="1"/>
    <w:next w:val="1"/>
    <w:link w:val="73"/>
    <w:autoRedefine/>
    <w:qFormat/>
    <w:uiPriority w:val="0"/>
    <w:pPr>
      <w:spacing w:before="240" w:after="60"/>
      <w:jc w:val="center"/>
      <w:outlineLvl w:val="0"/>
    </w:pPr>
    <w:rPr>
      <w:rFonts w:ascii="Cambria" w:hAnsi="Cambria"/>
      <w:b/>
      <w:bCs/>
      <w:sz w:val="32"/>
      <w:szCs w:val="32"/>
    </w:rPr>
  </w:style>
  <w:style w:type="paragraph" w:styleId="34">
    <w:name w:val="annotation subject"/>
    <w:basedOn w:val="13"/>
    <w:next w:val="13"/>
    <w:link w:val="74"/>
    <w:autoRedefine/>
    <w:semiHidden/>
    <w:qFormat/>
    <w:uiPriority w:val="99"/>
    <w:rPr>
      <w:b/>
      <w:bCs/>
    </w:rPr>
  </w:style>
  <w:style w:type="paragraph" w:styleId="35">
    <w:name w:val="Body Text First Indent"/>
    <w:basedOn w:val="14"/>
    <w:next w:val="28"/>
    <w:autoRedefine/>
    <w:qFormat/>
    <w:uiPriority w:val="99"/>
    <w:pPr>
      <w:spacing w:line="360" w:lineRule="auto"/>
      <w:ind w:firstLine="200" w:firstLineChars="200"/>
      <w:jc w:val="left"/>
    </w:pPr>
    <w:rPr>
      <w:bCs/>
      <w:sz w:val="24"/>
      <w:szCs w:val="24"/>
    </w:rPr>
  </w:style>
  <w:style w:type="paragraph" w:styleId="36">
    <w:name w:val="Body Text First Indent 2"/>
    <w:basedOn w:val="15"/>
    <w:next w:val="1"/>
    <w:autoRedefine/>
    <w:qFormat/>
    <w:uiPriority w:val="0"/>
    <w:pPr>
      <w:ind w:firstLine="420" w:firstLineChars="200"/>
    </w:p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rPr>
  </w:style>
  <w:style w:type="character" w:styleId="41">
    <w:name w:val="page number"/>
    <w:basedOn w:val="39"/>
    <w:autoRedefine/>
    <w:qFormat/>
    <w:uiPriority w:val="0"/>
  </w:style>
  <w:style w:type="character" w:styleId="42">
    <w:name w:val="FollowedHyperlink"/>
    <w:autoRedefine/>
    <w:qFormat/>
    <w:uiPriority w:val="99"/>
    <w:rPr>
      <w:color w:val="333333"/>
      <w:u w:val="none"/>
    </w:rPr>
  </w:style>
  <w:style w:type="character" w:styleId="43">
    <w:name w:val="Emphasis"/>
    <w:autoRedefine/>
    <w:qFormat/>
    <w:uiPriority w:val="20"/>
    <w:rPr>
      <w:b/>
      <w:color w:val="DA251D"/>
      <w:u w:val="none"/>
    </w:rPr>
  </w:style>
  <w:style w:type="character" w:styleId="44">
    <w:name w:val="HTML Definition"/>
    <w:autoRedefine/>
    <w:qFormat/>
    <w:uiPriority w:val="0"/>
  </w:style>
  <w:style w:type="character" w:styleId="45">
    <w:name w:val="HTML Variable"/>
    <w:autoRedefine/>
    <w:qFormat/>
    <w:uiPriority w:val="0"/>
  </w:style>
  <w:style w:type="character" w:styleId="46">
    <w:name w:val="Hyperlink"/>
    <w:autoRedefine/>
    <w:qFormat/>
    <w:uiPriority w:val="99"/>
    <w:rPr>
      <w:color w:val="333333"/>
      <w:u w:val="none"/>
    </w:rPr>
  </w:style>
  <w:style w:type="character" w:styleId="47">
    <w:name w:val="HTML Code"/>
    <w:autoRedefine/>
    <w:qFormat/>
    <w:uiPriority w:val="0"/>
    <w:rPr>
      <w:rFonts w:ascii="Courier New" w:hAnsi="Courier New"/>
      <w:sz w:val="20"/>
    </w:rPr>
  </w:style>
  <w:style w:type="character" w:styleId="48">
    <w:name w:val="annotation reference"/>
    <w:autoRedefine/>
    <w:semiHidden/>
    <w:qFormat/>
    <w:uiPriority w:val="0"/>
    <w:rPr>
      <w:sz w:val="21"/>
      <w:szCs w:val="21"/>
    </w:rPr>
  </w:style>
  <w:style w:type="character" w:styleId="49">
    <w:name w:val="HTML Cite"/>
    <w:autoRedefine/>
    <w:qFormat/>
    <w:uiPriority w:val="0"/>
  </w:style>
  <w:style w:type="character" w:styleId="50">
    <w:name w:val="HTML Keyboard"/>
    <w:autoRedefine/>
    <w:qFormat/>
    <w:uiPriority w:val="0"/>
    <w:rPr>
      <w:rFonts w:ascii="Courier New" w:hAnsi="Courier New"/>
      <w:sz w:val="20"/>
    </w:rPr>
  </w:style>
  <w:style w:type="character" w:styleId="51">
    <w:name w:val="HTML Sample"/>
    <w:autoRedefine/>
    <w:qFormat/>
    <w:uiPriority w:val="0"/>
    <w:rPr>
      <w:rFonts w:ascii="Courier New" w:hAnsi="Courier New"/>
    </w:rPr>
  </w:style>
  <w:style w:type="paragraph" w:customStyle="1" w:styleId="52">
    <w:name w:val="表格文字"/>
    <w:basedOn w:val="1"/>
    <w:next w:val="14"/>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53">
    <w:name w:val="标题 1 Char"/>
    <w:link w:val="2"/>
    <w:autoRedefine/>
    <w:qFormat/>
    <w:uiPriority w:val="0"/>
    <w:rPr>
      <w:b/>
      <w:bCs/>
      <w:kern w:val="44"/>
      <w:sz w:val="44"/>
      <w:szCs w:val="44"/>
    </w:rPr>
  </w:style>
  <w:style w:type="character" w:customStyle="1" w:styleId="54">
    <w:name w:val="标题 2 Char"/>
    <w:link w:val="3"/>
    <w:autoRedefine/>
    <w:qFormat/>
    <w:uiPriority w:val="0"/>
    <w:rPr>
      <w:rFonts w:ascii="宋体" w:hAnsi="宋体"/>
      <w:b/>
      <w:bCs/>
      <w:sz w:val="36"/>
      <w:szCs w:val="36"/>
    </w:rPr>
  </w:style>
  <w:style w:type="character" w:customStyle="1" w:styleId="55">
    <w:name w:val="标题 3 Char"/>
    <w:link w:val="4"/>
    <w:autoRedefine/>
    <w:qFormat/>
    <w:uiPriority w:val="0"/>
    <w:rPr>
      <w:b/>
      <w:kern w:val="2"/>
      <w:sz w:val="32"/>
      <w:szCs w:val="24"/>
    </w:rPr>
  </w:style>
  <w:style w:type="character" w:customStyle="1" w:styleId="56">
    <w:name w:val="标题 4 Char"/>
    <w:link w:val="5"/>
    <w:autoRedefine/>
    <w:qFormat/>
    <w:uiPriority w:val="0"/>
    <w:rPr>
      <w:rFonts w:ascii="Cambria" w:hAnsi="Cambria" w:eastAsia="宋体" w:cs="Times New Roman"/>
      <w:b/>
      <w:bCs/>
      <w:kern w:val="2"/>
      <w:sz w:val="28"/>
      <w:szCs w:val="28"/>
    </w:rPr>
  </w:style>
  <w:style w:type="character" w:customStyle="1" w:styleId="57">
    <w:name w:val="标题 5 Char"/>
    <w:link w:val="6"/>
    <w:autoRedefine/>
    <w:qFormat/>
    <w:uiPriority w:val="0"/>
    <w:rPr>
      <w:b/>
      <w:spacing w:val="20"/>
      <w:kern w:val="2"/>
      <w:sz w:val="28"/>
    </w:rPr>
  </w:style>
  <w:style w:type="character" w:customStyle="1" w:styleId="58">
    <w:name w:val="标题 6 Char"/>
    <w:link w:val="7"/>
    <w:autoRedefine/>
    <w:qFormat/>
    <w:uiPriority w:val="0"/>
    <w:rPr>
      <w:rFonts w:ascii="Arial" w:hAnsi="Arial" w:eastAsia="黑体"/>
      <w:b/>
      <w:spacing w:val="20"/>
      <w:kern w:val="2"/>
      <w:sz w:val="24"/>
    </w:rPr>
  </w:style>
  <w:style w:type="character" w:customStyle="1" w:styleId="59">
    <w:name w:val="标题 7 Char"/>
    <w:link w:val="8"/>
    <w:autoRedefine/>
    <w:qFormat/>
    <w:uiPriority w:val="0"/>
    <w:rPr>
      <w:b/>
      <w:spacing w:val="20"/>
      <w:kern w:val="2"/>
      <w:sz w:val="24"/>
    </w:rPr>
  </w:style>
  <w:style w:type="character" w:customStyle="1" w:styleId="60">
    <w:name w:val="标题 8 Char"/>
    <w:link w:val="9"/>
    <w:autoRedefine/>
    <w:qFormat/>
    <w:uiPriority w:val="0"/>
    <w:rPr>
      <w:rFonts w:ascii="Arial" w:hAnsi="Arial" w:eastAsia="黑体"/>
      <w:spacing w:val="20"/>
      <w:kern w:val="2"/>
      <w:sz w:val="24"/>
    </w:rPr>
  </w:style>
  <w:style w:type="character" w:customStyle="1" w:styleId="61">
    <w:name w:val="标题 9 Char"/>
    <w:link w:val="10"/>
    <w:autoRedefine/>
    <w:qFormat/>
    <w:uiPriority w:val="0"/>
    <w:rPr>
      <w:rFonts w:ascii="Arial" w:hAnsi="Arial" w:eastAsia="黑体"/>
      <w:spacing w:val="20"/>
      <w:kern w:val="2"/>
      <w:sz w:val="24"/>
    </w:rPr>
  </w:style>
  <w:style w:type="character" w:customStyle="1" w:styleId="62">
    <w:name w:val="文档结构图 Char"/>
    <w:link w:val="12"/>
    <w:autoRedefine/>
    <w:qFormat/>
    <w:uiPriority w:val="0"/>
    <w:rPr>
      <w:rFonts w:ascii="宋体" w:eastAsia="宋体"/>
      <w:kern w:val="2"/>
      <w:sz w:val="18"/>
      <w:szCs w:val="18"/>
      <w:lang w:val="en-US" w:eastAsia="zh-CN" w:bidi="ar-SA"/>
    </w:rPr>
  </w:style>
  <w:style w:type="character" w:customStyle="1" w:styleId="63">
    <w:name w:val="批注文字 Char"/>
    <w:link w:val="13"/>
    <w:autoRedefine/>
    <w:semiHidden/>
    <w:qFormat/>
    <w:uiPriority w:val="0"/>
    <w:rPr>
      <w:kern w:val="2"/>
      <w:sz w:val="21"/>
      <w:szCs w:val="24"/>
    </w:rPr>
  </w:style>
  <w:style w:type="character" w:customStyle="1" w:styleId="64">
    <w:name w:val="正文文本 Char"/>
    <w:link w:val="14"/>
    <w:autoRedefine/>
    <w:qFormat/>
    <w:uiPriority w:val="0"/>
    <w:rPr>
      <w:rFonts w:eastAsia="宋体"/>
      <w:kern w:val="2"/>
      <w:sz w:val="21"/>
      <w:szCs w:val="24"/>
      <w:lang w:val="en-US" w:eastAsia="zh-CN" w:bidi="ar-SA"/>
    </w:rPr>
  </w:style>
  <w:style w:type="character" w:customStyle="1" w:styleId="65">
    <w:name w:val="正文文本缩进 Char"/>
    <w:link w:val="15"/>
    <w:autoRedefine/>
    <w:qFormat/>
    <w:uiPriority w:val="0"/>
    <w:rPr>
      <w:rFonts w:eastAsia="宋体"/>
      <w:kern w:val="2"/>
      <w:sz w:val="21"/>
      <w:lang w:val="en-US" w:eastAsia="zh-CN" w:bidi="ar-SA"/>
    </w:rPr>
  </w:style>
  <w:style w:type="character" w:customStyle="1" w:styleId="66">
    <w:name w:val="纯文本 Char"/>
    <w:link w:val="20"/>
    <w:autoRedefine/>
    <w:qFormat/>
    <w:uiPriority w:val="0"/>
    <w:rPr>
      <w:rFonts w:ascii="宋体" w:hAnsi="Courier New"/>
      <w:kern w:val="2"/>
      <w:sz w:val="24"/>
      <w:szCs w:val="24"/>
    </w:rPr>
  </w:style>
  <w:style w:type="character" w:customStyle="1" w:styleId="67">
    <w:name w:val="日期 Char"/>
    <w:link w:val="21"/>
    <w:autoRedefine/>
    <w:qFormat/>
    <w:uiPriority w:val="0"/>
    <w:rPr>
      <w:rFonts w:ascii="仿宋_GB2312" w:hAnsi="Arial" w:eastAsia="仿宋_GB2312"/>
      <w:b/>
      <w:kern w:val="2"/>
      <w:sz w:val="32"/>
      <w:szCs w:val="24"/>
    </w:rPr>
  </w:style>
  <w:style w:type="character" w:customStyle="1" w:styleId="68">
    <w:name w:val="正文文本缩进 2 Char"/>
    <w:link w:val="22"/>
    <w:autoRedefine/>
    <w:qFormat/>
    <w:uiPriority w:val="0"/>
    <w:rPr>
      <w:rFonts w:ascii="Tahoma" w:hAnsi="Tahoma"/>
      <w:kern w:val="2"/>
      <w:sz w:val="21"/>
      <w:szCs w:val="24"/>
    </w:rPr>
  </w:style>
  <w:style w:type="character" w:customStyle="1" w:styleId="69">
    <w:name w:val="批注框文本 Char"/>
    <w:link w:val="23"/>
    <w:autoRedefine/>
    <w:semiHidden/>
    <w:qFormat/>
    <w:uiPriority w:val="0"/>
    <w:rPr>
      <w:kern w:val="2"/>
      <w:sz w:val="18"/>
      <w:szCs w:val="18"/>
    </w:rPr>
  </w:style>
  <w:style w:type="character" w:customStyle="1" w:styleId="70">
    <w:name w:val="页脚 Char"/>
    <w:link w:val="24"/>
    <w:autoRedefine/>
    <w:qFormat/>
    <w:uiPriority w:val="99"/>
    <w:rPr>
      <w:rFonts w:eastAsia="宋体"/>
      <w:kern w:val="2"/>
      <w:sz w:val="18"/>
      <w:szCs w:val="18"/>
      <w:lang w:val="en-US" w:eastAsia="zh-CN" w:bidi="ar-SA"/>
    </w:rPr>
  </w:style>
  <w:style w:type="character" w:customStyle="1" w:styleId="71">
    <w:name w:val="页眉 Char"/>
    <w:link w:val="26"/>
    <w:autoRedefine/>
    <w:qFormat/>
    <w:uiPriority w:val="99"/>
    <w:rPr>
      <w:rFonts w:eastAsia="宋体"/>
      <w:kern w:val="2"/>
      <w:sz w:val="18"/>
      <w:szCs w:val="18"/>
      <w:lang w:val="en-US" w:eastAsia="zh-CN" w:bidi="ar-SA"/>
    </w:rPr>
  </w:style>
  <w:style w:type="character" w:customStyle="1" w:styleId="72">
    <w:name w:val="正文文本缩进 3 Char"/>
    <w:link w:val="29"/>
    <w:autoRedefine/>
    <w:qFormat/>
    <w:uiPriority w:val="0"/>
    <w:rPr>
      <w:sz w:val="28"/>
    </w:rPr>
  </w:style>
  <w:style w:type="character" w:customStyle="1" w:styleId="73">
    <w:name w:val="标题 Char"/>
    <w:link w:val="33"/>
    <w:autoRedefine/>
    <w:qFormat/>
    <w:uiPriority w:val="0"/>
    <w:rPr>
      <w:rFonts w:ascii="Cambria" w:hAnsi="Cambria"/>
      <w:b/>
      <w:bCs/>
      <w:kern w:val="2"/>
      <w:sz w:val="32"/>
      <w:szCs w:val="32"/>
    </w:rPr>
  </w:style>
  <w:style w:type="character" w:customStyle="1" w:styleId="74">
    <w:name w:val="批注主题 Char"/>
    <w:link w:val="34"/>
    <w:autoRedefine/>
    <w:semiHidden/>
    <w:qFormat/>
    <w:uiPriority w:val="99"/>
    <w:rPr>
      <w:b/>
      <w:bCs/>
      <w:kern w:val="2"/>
      <w:sz w:val="21"/>
      <w:szCs w:val="24"/>
    </w:rPr>
  </w:style>
  <w:style w:type="character" w:customStyle="1" w:styleId="75">
    <w:name w:val="个人撰写风格"/>
    <w:autoRedefine/>
    <w:qFormat/>
    <w:uiPriority w:val="0"/>
    <w:rPr>
      <w:rFonts w:hint="default" w:ascii="Arial" w:hAnsi="Arial" w:eastAsia="宋体" w:cs="Arial"/>
      <w:color w:val="auto"/>
      <w:sz w:val="20"/>
    </w:rPr>
  </w:style>
  <w:style w:type="character" w:customStyle="1" w:styleId="76">
    <w:name w:val=" Char Char5"/>
    <w:autoRedefine/>
    <w:qFormat/>
    <w:uiPriority w:val="0"/>
    <w:rPr>
      <w:b/>
      <w:bCs/>
      <w:kern w:val="44"/>
      <w:sz w:val="44"/>
      <w:szCs w:val="44"/>
    </w:rPr>
  </w:style>
  <w:style w:type="character" w:customStyle="1" w:styleId="77">
    <w:name w:val="gh"/>
    <w:autoRedefine/>
    <w:qFormat/>
    <w:uiPriority w:val="0"/>
  </w:style>
  <w:style w:type="character" w:customStyle="1" w:styleId="78">
    <w:name w:val="font81"/>
    <w:basedOn w:val="39"/>
    <w:autoRedefine/>
    <w:qFormat/>
    <w:uiPriority w:val="0"/>
    <w:rPr>
      <w:rFonts w:ascii="微软雅黑" w:hAnsi="微软雅黑" w:eastAsia="微软雅黑" w:cs="微软雅黑"/>
      <w:color w:val="000000"/>
      <w:sz w:val="22"/>
      <w:szCs w:val="22"/>
      <w:u w:val="none"/>
    </w:rPr>
  </w:style>
  <w:style w:type="character" w:customStyle="1" w:styleId="79">
    <w:name w:val="正文文本 Char1"/>
    <w:autoRedefine/>
    <w:semiHidden/>
    <w:qFormat/>
    <w:locked/>
    <w:uiPriority w:val="0"/>
    <w:rPr>
      <w:rFonts w:ascii="Times New Roman" w:hAnsi="Times New Roman" w:eastAsia="宋体" w:cs="Times New Roman"/>
      <w:szCs w:val="24"/>
    </w:rPr>
  </w:style>
  <w:style w:type="character" w:customStyle="1" w:styleId="80">
    <w:name w:val="textfont1"/>
    <w:autoRedefine/>
    <w:qFormat/>
    <w:uiPriority w:val="0"/>
    <w:rPr>
      <w:sz w:val="22"/>
      <w:szCs w:val="22"/>
    </w:rPr>
  </w:style>
  <w:style w:type="character" w:customStyle="1" w:styleId="81">
    <w:name w:val="15"/>
    <w:autoRedefine/>
    <w:qFormat/>
    <w:uiPriority w:val="0"/>
    <w:rPr>
      <w:rFonts w:hint="default" w:ascii="Times New Roman" w:hAnsi="Times New Roman" w:cs="Times New Roman"/>
      <w:b/>
      <w:bCs/>
    </w:rPr>
  </w:style>
  <w:style w:type="character" w:customStyle="1" w:styleId="82">
    <w:name w:val="Heading 1 Char"/>
    <w:autoRedefine/>
    <w:qFormat/>
    <w:locked/>
    <w:uiPriority w:val="0"/>
    <w:rPr>
      <w:rFonts w:ascii="Times New Roman" w:hAnsi="Times New Roman" w:eastAsia="宋体" w:cs="Times New Roman"/>
      <w:b/>
      <w:bCs/>
      <w:kern w:val="44"/>
      <w:sz w:val="44"/>
      <w:szCs w:val="44"/>
    </w:rPr>
  </w:style>
  <w:style w:type="character" w:customStyle="1" w:styleId="83">
    <w:name w:val="caret"/>
    <w:autoRedefine/>
    <w:qFormat/>
    <w:uiPriority w:val="0"/>
    <w:rPr>
      <w:vanish/>
    </w:rPr>
  </w:style>
  <w:style w:type="character" w:customStyle="1" w:styleId="84">
    <w:name w:val="sj1"/>
    <w:autoRedefine/>
    <w:qFormat/>
    <w:uiPriority w:val="0"/>
  </w:style>
  <w:style w:type="character" w:customStyle="1" w:styleId="85">
    <w:name w:val="ico-passw"/>
    <w:autoRedefine/>
    <w:qFormat/>
    <w:uiPriority w:val="0"/>
  </w:style>
  <w:style w:type="character" w:customStyle="1" w:styleId="86">
    <w:name w:val="ico"/>
    <w:autoRedefine/>
    <w:qFormat/>
    <w:uiPriority w:val="0"/>
  </w:style>
  <w:style w:type="character" w:customStyle="1" w:styleId="87">
    <w:name w:val="cfdate"/>
    <w:autoRedefine/>
    <w:qFormat/>
    <w:uiPriority w:val="0"/>
    <w:rPr>
      <w:color w:val="333333"/>
      <w:sz w:val="18"/>
      <w:szCs w:val="18"/>
    </w:rPr>
  </w:style>
  <w:style w:type="character" w:customStyle="1" w:styleId="88">
    <w:name w:val="displayarti"/>
    <w:autoRedefine/>
    <w:qFormat/>
    <w:uiPriority w:val="0"/>
    <w:rPr>
      <w:color w:val="FFFFFF"/>
      <w:shd w:val="clear" w:color="auto" w:fill="A00000"/>
    </w:rPr>
  </w:style>
  <w:style w:type="character" w:customStyle="1" w:styleId="89">
    <w:name w:val="sj"/>
    <w:autoRedefine/>
    <w:qFormat/>
    <w:uiPriority w:val="0"/>
  </w:style>
  <w:style w:type="character" w:customStyle="1" w:styleId="90">
    <w:name w:val="gh1"/>
    <w:autoRedefine/>
    <w:qFormat/>
    <w:uiPriority w:val="0"/>
  </w:style>
  <w:style w:type="character" w:customStyle="1" w:styleId="91">
    <w:name w:val="redfilefwwh"/>
    <w:autoRedefine/>
    <w:qFormat/>
    <w:uiPriority w:val="0"/>
    <w:rPr>
      <w:color w:val="BA2636"/>
      <w:sz w:val="18"/>
      <w:szCs w:val="18"/>
    </w:rPr>
  </w:style>
  <w:style w:type="character" w:customStyle="1" w:styleId="92">
    <w:name w:val="kf1"/>
    <w:autoRedefine/>
    <w:qFormat/>
    <w:uiPriority w:val="0"/>
  </w:style>
  <w:style w:type="character" w:customStyle="1" w:styleId="93">
    <w:name w:val=" Char Char6"/>
    <w:autoRedefine/>
    <w:qFormat/>
    <w:uiPriority w:val="0"/>
    <w:rPr>
      <w:rFonts w:hint="eastAsia" w:ascii="宋体" w:hAnsi="Courier New" w:eastAsia="宋体" w:cs="Courier New"/>
      <w:kern w:val="2"/>
      <w:sz w:val="21"/>
      <w:szCs w:val="21"/>
    </w:rPr>
  </w:style>
  <w:style w:type="character" w:customStyle="1" w:styleId="94">
    <w:name w:val="time"/>
    <w:autoRedefine/>
    <w:qFormat/>
    <w:uiPriority w:val="0"/>
    <w:rPr>
      <w:color w:val="9F9F9F"/>
    </w:rPr>
  </w:style>
  <w:style w:type="character" w:customStyle="1" w:styleId="95">
    <w:name w:val="ico-name"/>
    <w:autoRedefine/>
    <w:qFormat/>
    <w:uiPriority w:val="0"/>
  </w:style>
  <w:style w:type="character" w:customStyle="1" w:styleId="96">
    <w:name w:val="freetel"/>
    <w:autoRedefine/>
    <w:qFormat/>
    <w:uiPriority w:val="0"/>
    <w:rPr>
      <w:color w:val="DA251D"/>
    </w:rPr>
  </w:style>
  <w:style w:type="character" w:customStyle="1" w:styleId="97">
    <w:name w:val="个人答复风格"/>
    <w:autoRedefine/>
    <w:qFormat/>
    <w:uiPriority w:val="0"/>
    <w:rPr>
      <w:rFonts w:hint="default" w:ascii="Arial" w:hAnsi="Arial" w:eastAsia="宋体" w:cs="Arial"/>
      <w:color w:val="auto"/>
      <w:sz w:val="20"/>
    </w:rPr>
  </w:style>
  <w:style w:type="character" w:customStyle="1" w:styleId="98">
    <w:name w:val="time3"/>
    <w:autoRedefine/>
    <w:qFormat/>
    <w:uiPriority w:val="0"/>
    <w:rPr>
      <w:color w:val="DA251D"/>
    </w:rPr>
  </w:style>
  <w:style w:type="character" w:customStyle="1" w:styleId="99">
    <w:name w:val="标题 1 Char Char"/>
    <w:autoRedefine/>
    <w:qFormat/>
    <w:uiPriority w:val="0"/>
    <w:rPr>
      <w:rFonts w:eastAsia="宋体"/>
      <w:b/>
      <w:spacing w:val="-2"/>
      <w:sz w:val="24"/>
      <w:lang w:val="en-US" w:eastAsia="zh-CN" w:bidi="ar-SA"/>
    </w:rPr>
  </w:style>
  <w:style w:type="character" w:customStyle="1" w:styleId="100">
    <w:name w:val="crt3"/>
    <w:autoRedefine/>
    <w:qFormat/>
    <w:uiPriority w:val="0"/>
  </w:style>
  <w:style w:type="character" w:customStyle="1" w:styleId="101">
    <w:name w:val="font41"/>
    <w:basedOn w:val="39"/>
    <w:autoRedefine/>
    <w:qFormat/>
    <w:uiPriority w:val="0"/>
    <w:rPr>
      <w:rFonts w:hint="eastAsia" w:ascii="幼圆" w:hAnsi="幼圆" w:eastAsia="幼圆" w:cs="幼圆"/>
      <w:color w:val="000000"/>
      <w:sz w:val="22"/>
      <w:szCs w:val="22"/>
      <w:u w:val="none"/>
    </w:rPr>
  </w:style>
  <w:style w:type="character" w:customStyle="1" w:styleId="102">
    <w:name w:val="批注文字 Char1"/>
    <w:autoRedefine/>
    <w:semiHidden/>
    <w:qFormat/>
    <w:uiPriority w:val="99"/>
    <w:rPr>
      <w:rFonts w:hint="default" w:ascii="Times New Roman" w:hAnsi="Times New Roman" w:eastAsia="宋体" w:cs="Times New Roman"/>
      <w:szCs w:val="24"/>
    </w:rPr>
  </w:style>
  <w:style w:type="character" w:customStyle="1" w:styleId="103">
    <w:name w:val="time2"/>
    <w:autoRedefine/>
    <w:qFormat/>
    <w:uiPriority w:val="0"/>
    <w:rPr>
      <w:color w:val="9F9F9F"/>
    </w:rPr>
  </w:style>
  <w:style w:type="character" w:customStyle="1" w:styleId="104">
    <w:name w:val="font11"/>
    <w:basedOn w:val="39"/>
    <w:autoRedefine/>
    <w:qFormat/>
    <w:uiPriority w:val="0"/>
    <w:rPr>
      <w:rFonts w:hint="eastAsia" w:ascii="宋体" w:hAnsi="宋体" w:eastAsia="宋体" w:cs="宋体"/>
      <w:color w:val="000000"/>
      <w:sz w:val="24"/>
      <w:szCs w:val="24"/>
      <w:u w:val="none"/>
    </w:rPr>
  </w:style>
  <w:style w:type="character" w:customStyle="1" w:styleId="105">
    <w:name w:val="qxdate"/>
    <w:autoRedefine/>
    <w:qFormat/>
    <w:uiPriority w:val="0"/>
    <w:rPr>
      <w:color w:val="333333"/>
      <w:sz w:val="18"/>
      <w:szCs w:val="18"/>
    </w:rPr>
  </w:style>
  <w:style w:type="character" w:customStyle="1" w:styleId="106">
    <w:name w:val="kf"/>
    <w:autoRedefine/>
    <w:qFormat/>
    <w:uiPriority w:val="0"/>
  </w:style>
  <w:style w:type="character" w:customStyle="1" w:styleId="107">
    <w:name w:val="无"/>
    <w:autoRedefine/>
    <w:qFormat/>
    <w:uiPriority w:val="99"/>
  </w:style>
  <w:style w:type="character" w:customStyle="1" w:styleId="108">
    <w:name w:val="ul-bg"/>
    <w:autoRedefine/>
    <w:qFormat/>
    <w:uiPriority w:val="0"/>
    <w:rPr>
      <w:vanish/>
    </w:rPr>
  </w:style>
  <w:style w:type="character" w:customStyle="1" w:styleId="109">
    <w:name w:val="font31"/>
    <w:basedOn w:val="39"/>
    <w:autoRedefine/>
    <w:qFormat/>
    <w:uiPriority w:val="0"/>
    <w:rPr>
      <w:rFonts w:hint="eastAsia" w:ascii="宋体" w:hAnsi="宋体" w:eastAsia="宋体" w:cs="宋体"/>
      <w:color w:val="FF0000"/>
      <w:sz w:val="20"/>
      <w:szCs w:val="20"/>
      <w:u w:val="none"/>
    </w:rPr>
  </w:style>
  <w:style w:type="character" w:customStyle="1" w:styleId="110">
    <w:name w:val="redfilenumber"/>
    <w:autoRedefine/>
    <w:qFormat/>
    <w:uiPriority w:val="0"/>
    <w:rPr>
      <w:color w:val="BA2636"/>
      <w:sz w:val="18"/>
      <w:szCs w:val="18"/>
    </w:rPr>
  </w:style>
  <w:style w:type="character" w:customStyle="1" w:styleId="111">
    <w:name w:val="gjfg"/>
    <w:autoRedefine/>
    <w:qFormat/>
    <w:uiPriority w:val="0"/>
  </w:style>
  <w:style w:type="character" w:customStyle="1" w:styleId="112">
    <w:name w:val="time1"/>
    <w:autoRedefine/>
    <w:qFormat/>
    <w:uiPriority w:val="0"/>
    <w:rPr>
      <w:color w:val="DA251D"/>
    </w:rPr>
  </w:style>
  <w:style w:type="character" w:customStyle="1" w:styleId="113">
    <w:name w:val="ul-bg1"/>
    <w:autoRedefine/>
    <w:qFormat/>
    <w:uiPriority w:val="0"/>
  </w:style>
  <w:style w:type="character" w:customStyle="1" w:styleId="114">
    <w:name w:val="font71"/>
    <w:basedOn w:val="39"/>
    <w:autoRedefine/>
    <w:qFormat/>
    <w:uiPriority w:val="0"/>
    <w:rPr>
      <w:rFonts w:hint="eastAsia" w:ascii="幼圆" w:hAnsi="幼圆" w:eastAsia="幼圆" w:cs="幼圆"/>
      <w:b/>
      <w:bCs/>
      <w:color w:val="000000"/>
      <w:sz w:val="28"/>
      <w:szCs w:val="28"/>
      <w:u w:val="none"/>
    </w:rPr>
  </w:style>
  <w:style w:type="character" w:customStyle="1" w:styleId="115">
    <w:name w:val="纯文本 Char2"/>
    <w:autoRedefine/>
    <w:qFormat/>
    <w:uiPriority w:val="0"/>
    <w:rPr>
      <w:rFonts w:ascii="宋体" w:hAnsi="Courier New" w:eastAsia="等线" w:cs="宋体"/>
      <w:kern w:val="2"/>
      <w:sz w:val="24"/>
      <w:szCs w:val="24"/>
    </w:rPr>
  </w:style>
  <w:style w:type="paragraph" w:customStyle="1" w:styleId="116">
    <w:name w:val="表格正文"/>
    <w:basedOn w:val="1"/>
    <w:autoRedefine/>
    <w:qFormat/>
    <w:uiPriority w:val="0"/>
    <w:pPr>
      <w:wordWrap/>
      <w:jc w:val="both"/>
    </w:pPr>
    <w:rPr>
      <w:rFonts w:ascii="Calibri" w:hAnsi="Calibri" w:eastAsia="宋体" w:cs="Times New Roman"/>
      <w:sz w:val="21"/>
    </w:rPr>
  </w:style>
  <w:style w:type="paragraph" w:customStyle="1" w:styleId="117">
    <w:name w:val="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8">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List Paragraph1"/>
    <w:basedOn w:val="1"/>
    <w:autoRedefine/>
    <w:qFormat/>
    <w:uiPriority w:val="0"/>
    <w:pPr>
      <w:ind w:firstLine="420" w:firstLineChars="200"/>
    </w:pPr>
  </w:style>
  <w:style w:type="paragraph" w:customStyle="1" w:styleId="12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4"/>
    </w:rPr>
  </w:style>
  <w:style w:type="paragraph" w:customStyle="1" w:styleId="121">
    <w:name w:val="正文1"/>
    <w:basedOn w:val="1"/>
    <w:next w:val="1"/>
    <w:qFormat/>
    <w:uiPriority w:val="0"/>
    <w:pPr>
      <w:adjustRightInd w:val="0"/>
      <w:spacing w:line="360" w:lineRule="atLeast"/>
      <w:jc w:val="left"/>
    </w:pPr>
    <w:rPr>
      <w:rFonts w:eastAsia="楷体_GB2312"/>
      <w:kern w:val="0"/>
      <w:sz w:val="24"/>
      <w:szCs w:val="20"/>
    </w:rPr>
  </w:style>
  <w:style w:type="paragraph" w:customStyle="1" w:styleId="1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23">
    <w:name w:val="font7"/>
    <w:basedOn w:val="1"/>
    <w:qFormat/>
    <w:uiPriority w:val="0"/>
    <w:pPr>
      <w:widowControl/>
      <w:spacing w:before="100" w:beforeAutospacing="1" w:after="100" w:afterAutospacing="1"/>
      <w:jc w:val="left"/>
    </w:pPr>
    <w:rPr>
      <w:rFonts w:eastAsia="Arial Unicode MS"/>
      <w:b/>
      <w:bCs/>
      <w:kern w:val="0"/>
      <w:sz w:val="24"/>
    </w:rPr>
  </w:style>
  <w:style w:type="paragraph" w:styleId="124">
    <w:name w:val="List Paragraph"/>
    <w:basedOn w:val="1"/>
    <w:qFormat/>
    <w:uiPriority w:val="0"/>
    <w:pPr>
      <w:spacing w:line="360" w:lineRule="auto"/>
      <w:ind w:firstLine="420" w:firstLineChars="200"/>
    </w:pPr>
    <w:rPr>
      <w:szCs w:val="20"/>
    </w:rPr>
  </w:style>
  <w:style w:type="paragraph" w:customStyle="1" w:styleId="125">
    <w:name w:val="font6"/>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26">
    <w:name w:val="正文空2格  1."/>
    <w:basedOn w:val="1"/>
    <w:qFormat/>
    <w:uiPriority w:val="0"/>
    <w:pPr>
      <w:ind w:firstLine="480" w:firstLineChars="200"/>
    </w:pPr>
    <w:rPr>
      <w:rFonts w:cs="宋体"/>
      <w:sz w:val="28"/>
      <w:szCs w:val="20"/>
    </w:rPr>
  </w:style>
  <w:style w:type="paragraph" w:customStyle="1" w:styleId="127">
    <w:name w:val="Normal_20"/>
    <w:basedOn w:val="1"/>
    <w:qFormat/>
    <w:uiPriority w:val="0"/>
    <w:rPr>
      <w:rFonts w:ascii="Calibri" w:hAnsi="Calibri" w:cs="Calibri"/>
      <w:szCs w:val="21"/>
    </w:rPr>
  </w:style>
  <w:style w:type="paragraph" w:customStyle="1" w:styleId="128">
    <w:name w:val="样式 表格正文 + 两端对齐"/>
    <w:basedOn w:val="1"/>
    <w:qFormat/>
    <w:uiPriority w:val="0"/>
    <w:pPr>
      <w:spacing w:line="300" w:lineRule="auto"/>
    </w:pPr>
    <w:rPr>
      <w:sz w:val="24"/>
      <w:szCs w:val="20"/>
    </w:rPr>
  </w:style>
  <w:style w:type="paragraph" w:customStyle="1" w:styleId="129">
    <w:name w:val="段落文字"/>
    <w:basedOn w:val="1"/>
    <w:qFormat/>
    <w:uiPriority w:val="0"/>
    <w:pPr>
      <w:spacing w:line="360" w:lineRule="auto"/>
      <w:ind w:firstLine="200" w:firstLineChars="200"/>
    </w:pPr>
    <w:rPr>
      <w:rFonts w:ascii="Times New Roman" w:hAnsi="Times New Roman" w:eastAsia="宋体"/>
      <w:sz w:val="24"/>
    </w:rPr>
  </w:style>
  <w:style w:type="paragraph" w:customStyle="1" w:styleId="130">
    <w:name w:val="列表段落1"/>
    <w:basedOn w:val="1"/>
    <w:qFormat/>
    <w:uiPriority w:val="34"/>
    <w:pPr>
      <w:ind w:firstLine="420" w:firstLineChars="200"/>
    </w:pPr>
    <w:rPr>
      <w:rFonts w:ascii="Calibri" w:hAnsi="Calibri"/>
      <w:szCs w:val="22"/>
    </w:rPr>
  </w:style>
  <w:style w:type="paragraph" w:customStyle="1" w:styleId="131">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b w:val="0"/>
      <w:bCs w:val="0"/>
      <w:sz w:val="28"/>
      <w:szCs w:val="20"/>
    </w:rPr>
  </w:style>
  <w:style w:type="paragraph" w:customStyle="1" w:styleId="132">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33">
    <w:name w:val=" Char Char Char Char Char Char Char Char"/>
    <w:basedOn w:val="1"/>
    <w:qFormat/>
    <w:uiPriority w:val="0"/>
    <w:rPr>
      <w:szCs w:val="20"/>
    </w:rPr>
  </w:style>
  <w:style w:type="paragraph" w:customStyle="1" w:styleId="134">
    <w:name w:val="Char1"/>
    <w:basedOn w:val="1"/>
    <w:qFormat/>
    <w:uiPriority w:val="0"/>
    <w:pPr>
      <w:widowControl/>
      <w:jc w:val="left"/>
    </w:pPr>
    <w:rPr>
      <w:kern w:val="0"/>
      <w:sz w:val="24"/>
    </w:rPr>
  </w:style>
  <w:style w:type="paragraph" w:customStyle="1" w:styleId="1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6">
    <w:name w:val="Plain Text"/>
    <w:basedOn w:val="1"/>
    <w:qFormat/>
    <w:uiPriority w:val="0"/>
    <w:rPr>
      <w:rFonts w:ascii="宋体" w:hAnsi="Courier New"/>
    </w:rPr>
  </w:style>
  <w:style w:type="paragraph" w:customStyle="1" w:styleId="13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38">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styleId="13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4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2">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xl22"/>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144">
    <w:name w:val="xl42"/>
    <w:basedOn w:val="1"/>
    <w:qFormat/>
    <w:uiPriority w:val="0"/>
    <w:pPr>
      <w:widowControl/>
      <w:pBdr>
        <w:bottom w:val="single" w:color="auto" w:sz="4" w:space="0"/>
        <w:right w:val="single" w:color="auto" w:sz="4" w:space="0"/>
      </w:pBdr>
      <w:spacing w:before="100" w:beforeAutospacing="1" w:after="100" w:afterAutospacing="1"/>
    </w:pPr>
    <w:rPr>
      <w:rFonts w:eastAsia="Arial Unicode MS"/>
      <w:kern w:val="0"/>
      <w:sz w:val="24"/>
    </w:rPr>
  </w:style>
  <w:style w:type="paragraph" w:customStyle="1" w:styleId="145">
    <w:name w:val="列出段落1"/>
    <w:basedOn w:val="1"/>
    <w:qFormat/>
    <w:uiPriority w:val="34"/>
    <w:pPr>
      <w:ind w:firstLine="420" w:firstLineChars="200"/>
    </w:pPr>
  </w:style>
  <w:style w:type="paragraph" w:customStyle="1" w:styleId="146">
    <w:name w:val="Body Text Indent1"/>
    <w:basedOn w:val="1"/>
    <w:qFormat/>
    <w:uiPriority w:val="99"/>
    <w:pPr>
      <w:ind w:left="420" w:leftChars="200"/>
    </w:pPr>
    <w:rPr>
      <w:rFonts w:ascii="Times New Roman" w:hAnsi="Times New Roman"/>
    </w:rPr>
  </w:style>
  <w:style w:type="paragraph" w:customStyle="1" w:styleId="14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4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9">
    <w:name w:val="_Style 2"/>
    <w:basedOn w:val="1"/>
    <w:qFormat/>
    <w:uiPriority w:val="0"/>
    <w:pPr>
      <w:ind w:firstLine="420" w:firstLineChars="200"/>
    </w:pPr>
    <w:rPr>
      <w:rFonts w:ascii="Calibri" w:hAnsi="Calibri"/>
      <w:szCs w:val="22"/>
    </w:rPr>
  </w:style>
  <w:style w:type="paragraph" w:customStyle="1" w:styleId="150">
    <w:name w:val="无间隔1"/>
    <w:qFormat/>
    <w:uiPriority w:val="0"/>
    <w:rPr>
      <w:rFonts w:ascii="Calibri" w:hAnsi="Calibri" w:eastAsia="宋体" w:cs="Times New Roman"/>
      <w:sz w:val="22"/>
      <w:szCs w:val="22"/>
      <w:lang w:val="en-US" w:eastAsia="en-US" w:bidi="ar-SA"/>
    </w:rPr>
  </w:style>
  <w:style w:type="paragraph" w:customStyle="1" w:styleId="151">
    <w:name w:val="章正文"/>
    <w:basedOn w:val="1"/>
    <w:qFormat/>
    <w:locked/>
    <w:uiPriority w:val="0"/>
    <w:pPr>
      <w:spacing w:before="156" w:beforeLines="50" w:after="120" w:line="300" w:lineRule="auto"/>
      <w:ind w:firstLine="480"/>
    </w:pPr>
    <w:rPr>
      <w:rFonts w:ascii="Helvetica" w:hAnsi="Helvetica" w:eastAsia="等线" w:cs="宋体"/>
      <w:kern w:val="0"/>
      <w:sz w:val="28"/>
    </w:rPr>
  </w:style>
  <w:style w:type="paragraph" w:customStyle="1" w:styleId="15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4">
    <w:name w:val="p0"/>
    <w:basedOn w:val="1"/>
    <w:qFormat/>
    <w:uiPriority w:val="0"/>
    <w:pPr>
      <w:widowControl/>
      <w:jc w:val="left"/>
    </w:pPr>
    <w:rPr>
      <w:kern w:val="0"/>
      <w:szCs w:val="21"/>
    </w:rPr>
  </w:style>
  <w:style w:type="paragraph" w:customStyle="1" w:styleId="15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样式1"/>
    <w:basedOn w:val="11"/>
    <w:qFormat/>
    <w:uiPriority w:val="0"/>
    <w:pPr>
      <w:spacing w:line="360" w:lineRule="auto"/>
      <w:ind w:firstLine="200"/>
    </w:pPr>
  </w:style>
  <w:style w:type="paragraph" w:customStyle="1" w:styleId="15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4"/>
    </w:rPr>
  </w:style>
  <w:style w:type="paragraph" w:customStyle="1" w:styleId="159">
    <w:name w:val="font5"/>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60">
    <w:name w:val="Table Text"/>
    <w:basedOn w:val="1"/>
    <w:semiHidden/>
    <w:qFormat/>
    <w:uiPriority w:val="0"/>
    <w:rPr>
      <w:rFonts w:ascii="宋体" w:hAnsi="宋体" w:eastAsia="宋体" w:cs="宋体"/>
      <w:sz w:val="21"/>
      <w:szCs w:val="21"/>
      <w:lang w:val="en-US" w:eastAsia="en-US" w:bidi="ar-SA"/>
    </w:rPr>
  </w:style>
  <w:style w:type="paragraph" w:customStyle="1" w:styleId="161">
    <w:name w:val="正文 A"/>
    <w:next w:val="1"/>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16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4">
    <w:name w:val="font9"/>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65">
    <w:name w:val="标题 5（有编号）（绿盟科技）"/>
    <w:basedOn w:val="1"/>
    <w:next w:val="140"/>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66">
    <w:name w:val="Table Paragraph"/>
    <w:basedOn w:val="1"/>
    <w:unhideWhenUsed/>
    <w:qFormat/>
    <w:uiPriority w:val="1"/>
    <w:pPr>
      <w:spacing w:before="100" w:beforeAutospacing="1" w:after="100" w:afterAutospacing="1" w:line="360" w:lineRule="auto"/>
    </w:pPr>
    <w:rPr>
      <w:sz w:val="24"/>
      <w:szCs w:val="24"/>
    </w:rPr>
  </w:style>
  <w:style w:type="paragraph" w:customStyle="1" w:styleId="167">
    <w:name w:val="Body Text First Indent 21"/>
    <w:basedOn w:val="146"/>
    <w:qFormat/>
    <w:uiPriority w:val="0"/>
    <w:pPr>
      <w:widowControl w:val="0"/>
      <w:spacing w:line="240" w:lineRule="auto"/>
      <w:ind w:left="420" w:leftChars="200" w:firstLine="420"/>
    </w:pPr>
    <w:rPr>
      <w:rFonts w:ascii="Calibri" w:hAnsi="Calibri"/>
      <w:szCs w:val="21"/>
    </w:rPr>
  </w:style>
  <w:style w:type="paragraph" w:customStyle="1" w:styleId="168">
    <w:name w:val="首行缩进"/>
    <w:basedOn w:val="1"/>
    <w:qFormat/>
    <w:uiPriority w:val="0"/>
    <w:pPr>
      <w:spacing w:line="360" w:lineRule="auto"/>
      <w:ind w:firstLine="480" w:firstLineChars="200"/>
    </w:pPr>
    <w:rPr>
      <w:rFonts w:hAnsi="宋体" w:cs="宋体"/>
      <w:sz w:val="24"/>
    </w:rPr>
  </w:style>
  <w:style w:type="paragraph" w:customStyle="1" w:styleId="169">
    <w:name w:val=" Char Char6 Char Char Char Char"/>
    <w:basedOn w:val="1"/>
    <w:next w:val="2"/>
    <w:qFormat/>
    <w:uiPriority w:val="0"/>
    <w:pPr>
      <w:widowControl/>
      <w:snapToGrid w:val="0"/>
      <w:spacing w:before="156" w:beforeLines="50" w:after="156" w:afterLines="50" w:line="520" w:lineRule="atLeast"/>
      <w:ind w:firstLine="200" w:firstLineChars="200"/>
    </w:pPr>
  </w:style>
  <w:style w:type="paragraph" w:customStyle="1" w:styleId="170">
    <w:name w:val="font8"/>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71">
    <w:name w:val="密级编号"/>
    <w:basedOn w:val="1"/>
    <w:qFormat/>
    <w:uiPriority w:val="0"/>
    <w:pPr>
      <w:adjustRightInd w:val="0"/>
      <w:jc w:val="center"/>
    </w:pPr>
    <w:rPr>
      <w:rFonts w:ascii="仿宋_GB2312" w:eastAsia="仿宋_GB2312"/>
      <w:kern w:val="0"/>
      <w:sz w:val="24"/>
      <w:szCs w:val="20"/>
    </w:rPr>
  </w:style>
  <w:style w:type="paragraph" w:customStyle="1" w:styleId="17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3">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table" w:customStyle="1" w:styleId="175">
    <w:name w:val="Table Normal"/>
    <w:unhideWhenUsed/>
    <w:qFormat/>
    <w:uiPriority w:val="0"/>
    <w:tblPr>
      <w:tblCellMar>
        <w:top w:w="0" w:type="dxa"/>
        <w:left w:w="0" w:type="dxa"/>
        <w:bottom w:w="0" w:type="dxa"/>
        <w:right w:w="0" w:type="dxa"/>
      </w:tblCellMar>
    </w:tblPr>
  </w:style>
  <w:style w:type="paragraph" w:customStyle="1" w:styleId="176">
    <w:name w:val="样式 样式 标题 3 + 两端对齐 + 首行缩进:  2 字符"/>
    <w:basedOn w:val="4"/>
    <w:next w:val="14"/>
    <w:autoRedefine/>
    <w:qFormat/>
    <w:uiPriority w:val="0"/>
    <w:pPr>
      <w:spacing w:before="0" w:after="0"/>
      <w:ind w:firstLine="200" w:firstLineChars="200"/>
      <w:jc w:val="left"/>
    </w:pPr>
    <w:rPr>
      <w:sz w:val="28"/>
      <w:szCs w:val="28"/>
    </w:rPr>
  </w:style>
  <w:style w:type="paragraph" w:customStyle="1" w:styleId="177">
    <w:name w:val="Normal Indent1"/>
    <w:basedOn w:val="1"/>
    <w:qFormat/>
    <w:uiPriority w:val="0"/>
    <w:pPr>
      <w:ind w:firstLine="420" w:firstLineChars="200"/>
    </w:pPr>
    <w:rPr>
      <w:szCs w:val="24"/>
    </w:rPr>
  </w:style>
  <w:style w:type="paragraph" w:customStyle="1" w:styleId="178">
    <w:name w:val="正文段"/>
    <w:basedOn w:val="1"/>
    <w:qFormat/>
    <w:uiPriority w:val="0"/>
    <w:pPr>
      <w:widowControl/>
      <w:snapToGrid w:val="0"/>
      <w:spacing w:afterLines="50"/>
      <w:ind w:firstLine="200" w:firstLineChars="200"/>
    </w:pPr>
    <w:rPr>
      <w:kern w:val="0"/>
      <w:sz w:val="24"/>
      <w:szCs w:val="24"/>
    </w:rPr>
  </w:style>
  <w:style w:type="paragraph" w:customStyle="1" w:styleId="179">
    <w:name w:val="BodyText"/>
    <w:basedOn w:val="1"/>
    <w:qFormat/>
    <w:uiPriority w:val="0"/>
    <w:pPr>
      <w:spacing w:after="120"/>
    </w:pPr>
    <w:rPr>
      <w:rFonts w:ascii="Calibri" w:eastAsia="宋体"/>
      <w:szCs w:val="22"/>
    </w:rPr>
  </w:style>
  <w:style w:type="paragraph" w:customStyle="1" w:styleId="180">
    <w:name w:val="p3"/>
    <w:basedOn w:val="1"/>
    <w:qFormat/>
    <w:uiPriority w:val="0"/>
    <w:pPr>
      <w:spacing w:before="0" w:beforeAutospacing="0" w:after="0" w:afterAutospacing="0"/>
      <w:ind w:left="0" w:right="0"/>
      <w:jc w:val="both"/>
    </w:pPr>
    <w:rPr>
      <w:rFonts w:ascii="pingfang sc" w:hAnsi="pingfang sc" w:eastAsia="pingfang sc" w:cs="pingfang sc"/>
      <w:kern w:val="0"/>
      <w:sz w:val="26"/>
      <w:szCs w:val="26"/>
      <w:lang w:val="en-US" w:eastAsia="zh-CN" w:bidi="ar"/>
    </w:rPr>
  </w:style>
  <w:style w:type="paragraph" w:customStyle="1" w:styleId="181">
    <w:name w:val="p2"/>
    <w:basedOn w:val="1"/>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paragraph" w:customStyle="1" w:styleId="182">
    <w:name w:val="p1"/>
    <w:basedOn w:val="1"/>
    <w:qFormat/>
    <w:uiPriority w:val="0"/>
    <w:pPr>
      <w:spacing w:before="0" w:beforeAutospacing="0" w:after="0" w:afterAutospacing="0"/>
      <w:ind w:left="0" w:right="0"/>
      <w:jc w:val="both"/>
    </w:pPr>
    <w:rPr>
      <w:rFonts w:hint="default" w:ascii="Helvetica Neue" w:hAnsi="Helvetica Neue" w:eastAsia="Helvetica Neue" w:cs="Helvetica Neue"/>
      <w:kern w:val="0"/>
      <w:sz w:val="26"/>
      <w:szCs w:val="26"/>
      <w:lang w:val="en-US" w:eastAsia="zh-CN" w:bidi="ar"/>
    </w:rPr>
  </w:style>
  <w:style w:type="character" w:customStyle="1" w:styleId="183">
    <w:name w:val="font21"/>
    <w:basedOn w:val="3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74</Pages>
  <Words>17764</Words>
  <Characters>18886</Characters>
  <Lines>253</Lines>
  <Paragraphs>71</Paragraphs>
  <TotalTime>2</TotalTime>
  <ScaleCrop>false</ScaleCrop>
  <LinksUpToDate>false</LinksUpToDate>
  <CharactersWithSpaces>18982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2021-03-25T19:54:00Z</dcterms:created>
  <dc:creator>abc</dc:creator>
  <cp:lastModifiedBy>寻影乌焱</cp:lastModifiedBy>
  <cp:lastPrinted>2024-08-22T06:14:00Z</cp:lastPrinted>
  <dcterms:modified xsi:type="dcterms:W3CDTF">2025-07-18T04:58:20Z</dcterms:modified>
  <dc:title>数字语言实验室配置清单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4F2F7635E618466DB1987B9CA2F8F6C1_13</vt:lpwstr>
  </property>
  <property fmtid="{D5CDD505-2E9C-101B-9397-08002B2CF9AE}" pid="4" name="KSOTemplateDocerSaveRecord">
    <vt:lpwstr>eyJoZGlkIjoiYjk4MmM5NWM1MDI5ZjllZDEzZjJmYzFhY2ViNzY3YjIiLCJ1c2VySWQiOiI4NDY3MzAwMzkifQ==</vt:lpwstr>
  </property>
</Properties>
</file>