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adjustRightInd w:val="0"/>
        <w:snapToGrid w:val="0"/>
        <w:jc w:val="center"/>
        <w:rPr>
          <w:rFonts w:hint="eastAsia" w:ascii="宋体" w:hAnsi="Arial"/>
          <w:b/>
          <w:lang w:val="en-GB"/>
        </w:rPr>
      </w:pPr>
      <w:bookmarkStart w:id="129" w:name="_GoBack"/>
      <w:bookmarkEnd w:id="129"/>
    </w:p>
    <w:p>
      <w:pPr>
        <w:tabs>
          <w:tab w:val="left" w:pos="4620"/>
        </w:tabs>
        <w:adjustRightInd w:val="0"/>
        <w:snapToGrid w:val="0"/>
        <w:jc w:val="center"/>
        <w:rPr>
          <w:rFonts w:ascii="宋体" w:hAnsi="Arial"/>
          <w:b/>
          <w:sz w:val="44"/>
          <w:lang w:val="en-GB"/>
        </w:rPr>
      </w:pPr>
    </w:p>
    <w:p>
      <w:pPr>
        <w:tabs>
          <w:tab w:val="left" w:pos="4620"/>
        </w:tabs>
        <w:adjustRightInd w:val="0"/>
        <w:snapToGrid w:val="0"/>
        <w:jc w:val="center"/>
        <w:rPr>
          <w:rFonts w:ascii="仿宋_GB2312" w:hAnsi="Arial" w:eastAsia="仿宋_GB2312"/>
          <w:b/>
          <w:sz w:val="30"/>
        </w:rPr>
      </w:pPr>
    </w:p>
    <w:p>
      <w:pPr>
        <w:tabs>
          <w:tab w:val="left" w:pos="4620"/>
        </w:tabs>
        <w:adjustRightInd w:val="0"/>
        <w:snapToGrid w:val="0"/>
        <w:spacing w:line="360" w:lineRule="auto"/>
        <w:jc w:val="center"/>
        <w:rPr>
          <w:rFonts w:hint="eastAsia" w:ascii="楷体_GB2312" w:hAnsi="Arial" w:eastAsia="楷体_GB2312"/>
          <w:b/>
          <w:sz w:val="36"/>
        </w:rPr>
      </w:pPr>
      <w:r>
        <w:rPr>
          <w:rFonts w:hint="eastAsia" w:ascii="楷体_GB2312" w:hAnsi="Arial" w:eastAsia="楷体_GB2312"/>
          <w:b/>
          <w:sz w:val="36"/>
        </w:rPr>
        <w:t>项目:象山县社会治安动态视频监控系统高清智能化维护项目</w:t>
      </w:r>
    </w:p>
    <w:p>
      <w:pPr>
        <w:tabs>
          <w:tab w:val="left" w:pos="4620"/>
        </w:tabs>
        <w:adjustRightInd w:val="0"/>
        <w:snapToGrid w:val="0"/>
        <w:jc w:val="center"/>
        <w:rPr>
          <w:rFonts w:hint="eastAsia" w:ascii="宋体" w:hAnsi="Arial"/>
          <w:b/>
          <w:color w:val="FF0000"/>
          <w:sz w:val="30"/>
        </w:rPr>
      </w:pPr>
      <w:r>
        <w:rPr>
          <w:rFonts w:hint="eastAsia" w:ascii="楷体_GB2312" w:hAnsi="Arial" w:eastAsia="楷体_GB2312"/>
          <w:b/>
          <w:sz w:val="30"/>
        </w:rPr>
        <w:t>招标编号</w:t>
      </w:r>
      <w:r>
        <w:rPr>
          <w:rFonts w:hint="eastAsia" w:ascii="宋体" w:hAnsi="Arial"/>
          <w:b/>
          <w:sz w:val="30"/>
        </w:rPr>
        <w:t>：</w:t>
      </w:r>
      <w:bookmarkStart w:id="0" w:name="OLE_LINK34"/>
      <w:bookmarkStart w:id="1" w:name="OLE_LINK35"/>
      <w:bookmarkStart w:id="2" w:name="OLE_LINK72"/>
      <w:r>
        <w:rPr>
          <w:rFonts w:ascii="宋体" w:hAnsi="Arial"/>
          <w:b/>
          <w:sz w:val="30"/>
        </w:rPr>
        <w:t>2020XSZFCG</w:t>
      </w:r>
      <w:r>
        <w:rPr>
          <w:rFonts w:hint="eastAsia" w:ascii="宋体" w:hAnsi="Arial"/>
          <w:b/>
          <w:sz w:val="30"/>
        </w:rPr>
        <w:t>164</w:t>
      </w:r>
      <w:r>
        <w:rPr>
          <w:rFonts w:ascii="宋体" w:hAnsi="Arial"/>
          <w:b/>
          <w:sz w:val="30"/>
        </w:rPr>
        <w:t>G</w:t>
      </w:r>
      <w:bookmarkEnd w:id="0"/>
      <w:bookmarkEnd w:id="1"/>
      <w:bookmarkEnd w:id="2"/>
      <w:r>
        <w:rPr>
          <w:rFonts w:hint="eastAsia" w:ascii="宋体" w:hAnsi="Arial"/>
          <w:b/>
          <w:color w:val="FF0000"/>
          <w:sz w:val="30"/>
        </w:rPr>
        <w:t xml:space="preserve">  </w:t>
      </w:r>
    </w:p>
    <w:p>
      <w:pPr>
        <w:tabs>
          <w:tab w:val="left" w:pos="4620"/>
        </w:tabs>
        <w:adjustRightInd w:val="0"/>
        <w:snapToGrid w:val="0"/>
        <w:jc w:val="center"/>
        <w:rPr>
          <w:rFonts w:ascii="宋体" w:hAnsi="Arial"/>
          <w:b/>
          <w:sz w:val="52"/>
        </w:rPr>
      </w:pPr>
    </w:p>
    <w:p>
      <w:pPr>
        <w:tabs>
          <w:tab w:val="left" w:pos="4620"/>
        </w:tabs>
        <w:adjustRightInd w:val="0"/>
        <w:snapToGrid w:val="0"/>
        <w:jc w:val="center"/>
        <w:rPr>
          <w:rFonts w:hint="eastAsia" w:ascii="楷体_GB2312" w:hAnsi="Arial" w:eastAsia="楷体_GB2312"/>
          <w:b/>
          <w:sz w:val="84"/>
        </w:rPr>
      </w:pPr>
      <w:r>
        <w:rPr>
          <w:rFonts w:hint="eastAsia" w:ascii="楷体_GB2312" w:hAnsi="Arial" w:eastAsia="楷体_GB2312"/>
          <w:b/>
          <w:sz w:val="84"/>
        </w:rPr>
        <w:t>招</w:t>
      </w:r>
    </w:p>
    <w:p>
      <w:pPr>
        <w:tabs>
          <w:tab w:val="left" w:pos="4620"/>
        </w:tabs>
        <w:adjustRightInd w:val="0"/>
        <w:snapToGrid w:val="0"/>
        <w:jc w:val="center"/>
        <w:rPr>
          <w:rFonts w:hint="eastAsia" w:ascii="楷体_GB2312" w:hAnsi="Arial" w:eastAsia="楷体_GB2312"/>
          <w:b/>
          <w:sz w:val="84"/>
        </w:rPr>
      </w:pPr>
      <w:r>
        <w:rPr>
          <w:rFonts w:hint="eastAsia" w:ascii="楷体_GB2312" w:hAnsi="Arial" w:eastAsia="楷体_GB2312"/>
          <w:b/>
          <w:sz w:val="84"/>
        </w:rPr>
        <w:t>标</w:t>
      </w:r>
    </w:p>
    <w:p>
      <w:pPr>
        <w:tabs>
          <w:tab w:val="left" w:pos="4620"/>
        </w:tabs>
        <w:adjustRightInd w:val="0"/>
        <w:snapToGrid w:val="0"/>
        <w:jc w:val="center"/>
        <w:rPr>
          <w:rFonts w:hint="eastAsia" w:ascii="楷体_GB2312" w:hAnsi="Arial" w:eastAsia="楷体_GB2312"/>
          <w:b/>
          <w:sz w:val="84"/>
        </w:rPr>
      </w:pPr>
      <w:r>
        <w:rPr>
          <w:rFonts w:hint="eastAsia" w:ascii="楷体_GB2312" w:hAnsi="Arial" w:eastAsia="楷体_GB2312"/>
          <w:b/>
          <w:sz w:val="84"/>
        </w:rPr>
        <w:t>文</w:t>
      </w:r>
    </w:p>
    <w:p>
      <w:pPr>
        <w:tabs>
          <w:tab w:val="left" w:pos="4620"/>
        </w:tabs>
        <w:adjustRightInd w:val="0"/>
        <w:snapToGrid w:val="0"/>
        <w:jc w:val="center"/>
        <w:rPr>
          <w:rFonts w:ascii="方正姚体" w:hAnsi="Arial" w:eastAsia="方正姚体"/>
          <w:b/>
          <w:sz w:val="52"/>
        </w:rPr>
      </w:pPr>
      <w:r>
        <w:rPr>
          <w:rFonts w:hint="eastAsia" w:ascii="楷体_GB2312" w:hAnsi="Arial" w:eastAsia="楷体_GB2312"/>
          <w:b/>
          <w:sz w:val="84"/>
        </w:rPr>
        <w:t>件</w:t>
      </w: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宋体" w:hAnsi="Arial"/>
          <w:b/>
          <w:sz w:val="32"/>
        </w:rPr>
      </w:pPr>
    </w:p>
    <w:p>
      <w:pPr>
        <w:tabs>
          <w:tab w:val="left" w:pos="4620"/>
        </w:tabs>
        <w:adjustRightInd w:val="0"/>
        <w:snapToGrid w:val="0"/>
        <w:jc w:val="center"/>
        <w:rPr>
          <w:rFonts w:hint="eastAsia" w:ascii="楷体_GB2312" w:hAnsi="Arial" w:eastAsia="楷体_GB2312"/>
          <w:b/>
          <w:sz w:val="30"/>
        </w:rPr>
      </w:pPr>
      <w:r>
        <w:rPr>
          <w:rFonts w:hint="eastAsia" w:ascii="楷体_GB2312" w:hAnsi="Arial" w:eastAsia="楷体_GB2312"/>
          <w:b/>
          <w:sz w:val="30"/>
        </w:rPr>
        <w:t>象山县政府采购中心</w:t>
      </w:r>
    </w:p>
    <w:p>
      <w:pPr>
        <w:tabs>
          <w:tab w:val="left" w:pos="4620"/>
        </w:tabs>
        <w:adjustRightInd w:val="0"/>
        <w:snapToGrid w:val="0"/>
        <w:jc w:val="center"/>
        <w:rPr>
          <w:rFonts w:hint="eastAsia" w:ascii="宋体" w:hAnsi="Arial"/>
          <w:b/>
          <w:sz w:val="32"/>
        </w:rPr>
      </w:pPr>
    </w:p>
    <w:p>
      <w:pPr>
        <w:pStyle w:val="11"/>
        <w:adjustRightInd w:val="0"/>
        <w:snapToGrid w:val="0"/>
        <w:ind w:left="99" w:leftChars="47"/>
        <w:jc w:val="center"/>
        <w:rPr>
          <w:rFonts w:hint="eastAsia" w:ascii="楷体_GB2312" w:eastAsia="楷体_GB2312"/>
          <w:color w:val="000000"/>
        </w:rPr>
      </w:pPr>
      <w:r>
        <w:rPr>
          <w:rFonts w:hint="eastAsia" w:ascii="楷体_GB2312" w:eastAsia="楷体_GB2312"/>
          <w:color w:val="000000"/>
        </w:rPr>
        <w:t>二O二0年七月</w:t>
      </w:r>
    </w:p>
    <w:p>
      <w:pPr>
        <w:tabs>
          <w:tab w:val="left" w:pos="105"/>
          <w:tab w:val="left" w:pos="735"/>
          <w:tab w:val="left" w:pos="945"/>
          <w:tab w:val="left" w:pos="3360"/>
        </w:tabs>
        <w:adjustRightInd w:val="0"/>
        <w:snapToGrid w:val="0"/>
        <w:jc w:val="center"/>
        <w:rPr>
          <w:rFonts w:hint="eastAsia"/>
          <w:sz w:val="44"/>
          <w:u w:val="single"/>
        </w:rPr>
      </w:pPr>
    </w:p>
    <w:p>
      <w:pPr>
        <w:tabs>
          <w:tab w:val="left" w:pos="105"/>
          <w:tab w:val="left" w:pos="735"/>
          <w:tab w:val="left" w:pos="945"/>
          <w:tab w:val="left" w:pos="3360"/>
        </w:tabs>
        <w:adjustRightInd w:val="0"/>
        <w:snapToGrid w:val="0"/>
        <w:jc w:val="center"/>
        <w:rPr>
          <w:rFonts w:hint="eastAsia"/>
          <w:b/>
        </w:rPr>
      </w:pPr>
    </w:p>
    <w:p>
      <w:pPr>
        <w:tabs>
          <w:tab w:val="left" w:pos="105"/>
          <w:tab w:val="left" w:pos="735"/>
          <w:tab w:val="left" w:pos="945"/>
          <w:tab w:val="left" w:pos="3360"/>
        </w:tabs>
        <w:adjustRightInd w:val="0"/>
        <w:snapToGrid w:val="0"/>
        <w:jc w:val="center"/>
        <w:rPr>
          <w:rFonts w:hint="eastAsia"/>
          <w:b/>
        </w:rPr>
      </w:pPr>
    </w:p>
    <w:p>
      <w:pPr>
        <w:tabs>
          <w:tab w:val="left" w:pos="105"/>
          <w:tab w:val="left" w:pos="735"/>
          <w:tab w:val="left" w:pos="945"/>
          <w:tab w:val="left" w:pos="3360"/>
        </w:tabs>
        <w:adjustRightInd w:val="0"/>
        <w:snapToGrid w:val="0"/>
        <w:jc w:val="center"/>
        <w:rPr>
          <w:rFonts w:hint="eastAsia" w:eastAsia="楷体_GB2312"/>
          <w:b/>
          <w:sz w:val="28"/>
        </w:rPr>
      </w:pPr>
    </w:p>
    <w:p>
      <w:pPr>
        <w:pStyle w:val="3"/>
        <w:adjustRightInd w:val="0"/>
        <w:snapToGrid w:val="0"/>
        <w:spacing w:line="500" w:lineRule="exact"/>
        <w:jc w:val="center"/>
        <w:rPr>
          <w:rFonts w:ascii="Arial" w:hAnsi="Arial" w:eastAsia="楷体_GB2312" w:cs="Arial"/>
          <w:bCs w:val="0"/>
          <w:sz w:val="44"/>
        </w:rPr>
      </w:pPr>
      <w:r>
        <w:rPr>
          <w:rFonts w:hint="eastAsia" w:ascii="Times New Roman" w:hAnsi="Arial" w:eastAsia="楷体_GB2312" w:cs="Arial"/>
          <w:bCs w:val="0"/>
          <w:color w:val="000000"/>
          <w:sz w:val="44"/>
          <w:szCs w:val="24"/>
        </w:rPr>
        <w:t>招</w:t>
      </w:r>
      <w:r>
        <w:rPr>
          <w:rFonts w:ascii="Times New Roman" w:hAnsi="Arial" w:eastAsia="楷体_GB2312" w:cs="Arial"/>
          <w:bCs w:val="0"/>
          <w:color w:val="000000"/>
          <w:sz w:val="44"/>
          <w:szCs w:val="24"/>
        </w:rPr>
        <w:t xml:space="preserve"> </w:t>
      </w:r>
      <w:r>
        <w:rPr>
          <w:rFonts w:hint="eastAsia" w:ascii="Times New Roman" w:hAnsi="Arial" w:eastAsia="楷体_GB2312" w:cs="Arial"/>
          <w:bCs w:val="0"/>
          <w:color w:val="000000"/>
          <w:sz w:val="44"/>
          <w:szCs w:val="24"/>
        </w:rPr>
        <w:t>标</w:t>
      </w:r>
      <w:r>
        <w:rPr>
          <w:rFonts w:ascii="Times New Roman" w:hAnsi="Arial" w:eastAsia="楷体_GB2312" w:cs="Arial"/>
          <w:bCs w:val="0"/>
          <w:color w:val="000000"/>
          <w:sz w:val="44"/>
          <w:szCs w:val="24"/>
        </w:rPr>
        <w:t xml:space="preserve"> </w:t>
      </w:r>
      <w:r>
        <w:rPr>
          <w:rFonts w:hint="eastAsia" w:ascii="Times New Roman" w:hAnsi="Arial" w:eastAsia="楷体_GB2312" w:cs="Arial"/>
          <w:bCs w:val="0"/>
          <w:color w:val="000000"/>
          <w:sz w:val="44"/>
          <w:szCs w:val="24"/>
        </w:rPr>
        <w:t>公 告</w:t>
      </w:r>
    </w:p>
    <w:p>
      <w:pPr>
        <w:snapToGrid w:val="0"/>
        <w:spacing w:line="360" w:lineRule="auto"/>
        <w:ind w:firstLine="480" w:firstLineChars="200"/>
        <w:rPr>
          <w:rFonts w:ascii="宋体" w:hAnsi="宋体"/>
          <w:szCs w:val="21"/>
        </w:rPr>
      </w:pPr>
      <w:r>
        <w:rPr>
          <w:rFonts w:ascii="楷体_GB2312" w:eastAsia="楷体_GB2312" w:cs="Arial"/>
          <w:bCs/>
          <w:sz w:val="24"/>
        </w:rPr>
        <w:t>根据《中华人民共和国政府采购法》、</w:t>
      </w:r>
      <w:r>
        <w:rPr>
          <w:rFonts w:hint="eastAsia" w:ascii="楷体_GB2312" w:eastAsia="楷体_GB2312" w:cs="Arial"/>
          <w:bCs/>
          <w:sz w:val="24"/>
        </w:rPr>
        <w:t>财政部《政府采购货物和服务招标投标管理办法》等有关</w:t>
      </w:r>
      <w:r>
        <w:rPr>
          <w:rFonts w:ascii="楷体_GB2312" w:eastAsia="楷体_GB2312" w:cs="Arial"/>
          <w:bCs/>
          <w:sz w:val="24"/>
        </w:rPr>
        <w:t>规定，受</w:t>
      </w:r>
      <w:r>
        <w:rPr>
          <w:rFonts w:hint="eastAsia" w:ascii="楷体_GB2312" w:eastAsia="楷体_GB2312" w:cs="Arial"/>
          <w:bCs/>
          <w:sz w:val="24"/>
        </w:rPr>
        <w:t>采购人</w:t>
      </w:r>
      <w:r>
        <w:rPr>
          <w:rFonts w:ascii="楷体_GB2312" w:eastAsia="楷体_GB2312" w:cs="Arial"/>
          <w:bCs/>
          <w:sz w:val="24"/>
        </w:rPr>
        <w:t>的委托，</w:t>
      </w:r>
      <w:r>
        <w:rPr>
          <w:rFonts w:hint="eastAsia" w:ascii="楷体_GB2312" w:hAnsi="Arial" w:eastAsia="楷体_GB2312" w:cs="Arial"/>
          <w:bCs/>
          <w:color w:val="000000"/>
          <w:sz w:val="24"/>
        </w:rPr>
        <w:t>象山县政府采购中心现</w:t>
      </w:r>
      <w:r>
        <w:rPr>
          <w:rFonts w:ascii="楷体_GB2312" w:eastAsia="楷体_GB2312" w:cs="Arial"/>
          <w:bCs/>
          <w:color w:val="000000"/>
          <w:sz w:val="24"/>
        </w:rPr>
        <w:t>就</w:t>
      </w:r>
      <w:bookmarkStart w:id="3" w:name="OLE_LINK232"/>
      <w:bookmarkStart w:id="4" w:name="OLE_LINK233"/>
      <w:r>
        <w:rPr>
          <w:rFonts w:hint="eastAsia" w:ascii="楷体_GB2312" w:eastAsia="楷体_GB2312"/>
          <w:sz w:val="24"/>
        </w:rPr>
        <w:t>象山县社会治安动态视频监控系统高清智能化维护项目</w:t>
      </w:r>
      <w:bookmarkEnd w:id="3"/>
      <w:bookmarkEnd w:id="4"/>
      <w:r>
        <w:rPr>
          <w:rFonts w:ascii="楷体_GB2312" w:eastAsia="楷体_GB2312" w:cs="Arial"/>
          <w:bCs/>
          <w:sz w:val="24"/>
        </w:rPr>
        <w:t>进行</w:t>
      </w:r>
      <w:r>
        <w:rPr>
          <w:rFonts w:hint="eastAsia" w:ascii="楷体_GB2312" w:eastAsia="楷体_GB2312" w:cs="Arial"/>
          <w:bCs/>
          <w:sz w:val="24"/>
        </w:rPr>
        <w:t>公开</w:t>
      </w:r>
      <w:r>
        <w:rPr>
          <w:rFonts w:ascii="楷体_GB2312" w:eastAsia="楷体_GB2312" w:cs="Arial"/>
          <w:bCs/>
          <w:sz w:val="24"/>
        </w:rPr>
        <w:t>招标，欢迎国内有</w:t>
      </w:r>
      <w:r>
        <w:rPr>
          <w:rFonts w:hint="eastAsia" w:ascii="楷体_GB2312" w:eastAsia="楷体_GB2312" w:cs="Arial"/>
          <w:bCs/>
          <w:sz w:val="24"/>
        </w:rPr>
        <w:t>完全具备招标项目履约</w:t>
      </w:r>
      <w:r>
        <w:rPr>
          <w:rFonts w:ascii="楷体_GB2312" w:eastAsia="楷体_GB2312" w:cs="Arial"/>
          <w:bCs/>
          <w:sz w:val="24"/>
        </w:rPr>
        <w:t>能力的</w:t>
      </w:r>
      <w:r>
        <w:rPr>
          <w:rFonts w:hint="eastAsia" w:ascii="楷体_GB2312" w:eastAsia="楷体_GB2312" w:cs="Arial"/>
          <w:bCs/>
          <w:sz w:val="24"/>
        </w:rPr>
        <w:t>供应商</w:t>
      </w:r>
      <w:r>
        <w:rPr>
          <w:rFonts w:ascii="楷体_GB2312" w:eastAsia="楷体_GB2312" w:cs="Arial"/>
          <w:bCs/>
          <w:sz w:val="24"/>
        </w:rPr>
        <w:t>前来参加投标。</w:t>
      </w:r>
    </w:p>
    <w:p>
      <w:pPr>
        <w:tabs>
          <w:tab w:val="left" w:pos="363"/>
        </w:tabs>
        <w:adjustRightInd w:val="0"/>
        <w:snapToGrid w:val="0"/>
        <w:spacing w:line="360" w:lineRule="auto"/>
        <w:ind w:left="363" w:leftChars="173" w:firstLine="120" w:firstLineChars="50"/>
        <w:rPr>
          <w:rFonts w:hint="eastAsia" w:ascii="楷体_GB2312" w:eastAsia="楷体_GB2312" w:cs="Arial"/>
          <w:bCs/>
          <w:sz w:val="24"/>
        </w:rPr>
      </w:pPr>
      <w:r>
        <w:rPr>
          <w:rFonts w:ascii="楷体_GB2312" w:eastAsia="楷体_GB2312" w:cs="Arial"/>
          <w:bCs/>
          <w:sz w:val="24"/>
        </w:rPr>
        <w:t>1、招标编号：</w:t>
      </w:r>
      <w:bookmarkStart w:id="5" w:name="OLE_LINK37"/>
      <w:bookmarkStart w:id="6" w:name="OLE_LINK5"/>
      <w:bookmarkStart w:id="7" w:name="OLE_LINK6"/>
      <w:r>
        <w:rPr>
          <w:rFonts w:ascii="楷体_GB2312" w:eastAsia="楷体_GB2312" w:cs="Arial"/>
          <w:bCs/>
          <w:sz w:val="24"/>
        </w:rPr>
        <w:t>2020XSZFCG</w:t>
      </w:r>
      <w:r>
        <w:rPr>
          <w:rFonts w:hint="eastAsia" w:ascii="楷体_GB2312" w:eastAsia="楷体_GB2312" w:cs="Arial"/>
          <w:bCs/>
          <w:sz w:val="24"/>
        </w:rPr>
        <w:t>164</w:t>
      </w:r>
      <w:r>
        <w:rPr>
          <w:rFonts w:ascii="楷体_GB2312" w:eastAsia="楷体_GB2312" w:cs="Arial"/>
          <w:bCs/>
          <w:sz w:val="24"/>
        </w:rPr>
        <w:t>G</w:t>
      </w:r>
      <w:bookmarkEnd w:id="5"/>
      <w:bookmarkEnd w:id="6"/>
      <w:bookmarkEnd w:id="7"/>
    </w:p>
    <w:p>
      <w:pPr>
        <w:tabs>
          <w:tab w:val="left" w:pos="363"/>
        </w:tabs>
        <w:adjustRightInd w:val="0"/>
        <w:snapToGrid w:val="0"/>
        <w:spacing w:line="360" w:lineRule="auto"/>
        <w:ind w:left="363" w:leftChars="173" w:firstLine="120" w:firstLineChars="50"/>
        <w:rPr>
          <w:rFonts w:ascii="楷体_GB2312" w:hAnsi="宋体" w:eastAsia="楷体_GB2312" w:cs="Arial"/>
          <w:sz w:val="24"/>
        </w:rPr>
      </w:pPr>
      <w:r>
        <w:rPr>
          <w:rFonts w:hint="eastAsia" w:ascii="楷体_GB2312" w:eastAsia="楷体_GB2312" w:cs="Arial"/>
          <w:bCs/>
          <w:sz w:val="24"/>
        </w:rPr>
        <w:t>2、招标方式：公开招标</w:t>
      </w:r>
    </w:p>
    <w:p>
      <w:pPr>
        <w:tabs>
          <w:tab w:val="left" w:pos="180"/>
        </w:tabs>
        <w:adjustRightInd w:val="0"/>
        <w:snapToGrid w:val="0"/>
        <w:spacing w:line="360" w:lineRule="auto"/>
        <w:ind w:firstLine="480" w:firstLineChars="200"/>
        <w:rPr>
          <w:rFonts w:hint="eastAsia" w:ascii="楷体_GB2312" w:hAnsi="宋体" w:eastAsia="楷体_GB2312"/>
          <w:sz w:val="24"/>
        </w:rPr>
      </w:pPr>
      <w:r>
        <w:rPr>
          <w:rFonts w:hint="eastAsia" w:ascii="楷体_GB2312" w:eastAsia="楷体_GB2312" w:cs="Arial"/>
          <w:bCs/>
          <w:sz w:val="24"/>
        </w:rPr>
        <w:t>3</w:t>
      </w:r>
      <w:r>
        <w:rPr>
          <w:rFonts w:ascii="楷体_GB2312" w:eastAsia="楷体_GB2312" w:cs="Arial"/>
          <w:bCs/>
          <w:sz w:val="24"/>
        </w:rPr>
        <w:t>、项目内容：</w:t>
      </w:r>
      <w:bookmarkStart w:id="8" w:name="OLE_LINK33"/>
      <w:bookmarkStart w:id="9" w:name="OLE_LINK235"/>
      <w:bookmarkStart w:id="10" w:name="OLE_LINK236"/>
      <w:bookmarkStart w:id="11" w:name="OLE_LINK11"/>
      <w:bookmarkStart w:id="12" w:name="OLE_LINK10"/>
      <w:r>
        <w:rPr>
          <w:rFonts w:hint="eastAsia" w:ascii="楷体_GB2312" w:eastAsia="楷体_GB2312"/>
          <w:sz w:val="24"/>
        </w:rPr>
        <w:t>象山县社会治安动态视频监控系统高清智能化维护项目</w:t>
      </w:r>
      <w:bookmarkEnd w:id="8"/>
      <w:bookmarkEnd w:id="9"/>
      <w:bookmarkEnd w:id="10"/>
    </w:p>
    <w:bookmarkEnd w:id="11"/>
    <w:bookmarkEnd w:id="12"/>
    <w:p>
      <w:pPr>
        <w:tabs>
          <w:tab w:val="left" w:pos="180"/>
        </w:tabs>
        <w:adjustRightInd w:val="0"/>
        <w:snapToGrid w:val="0"/>
        <w:spacing w:line="360" w:lineRule="auto"/>
        <w:ind w:firstLine="480" w:firstLineChars="200"/>
        <w:rPr>
          <w:rFonts w:hint="eastAsia" w:ascii="楷体_GB2312" w:hAnsi="宋体" w:eastAsia="楷体_GB2312"/>
          <w:sz w:val="24"/>
        </w:rPr>
      </w:pPr>
      <w:r>
        <w:rPr>
          <w:rFonts w:hint="eastAsia" w:ascii="楷体_GB2312" w:hAnsi="宋体" w:eastAsia="楷体_GB2312"/>
          <w:sz w:val="24"/>
        </w:rPr>
        <w:t>4、</w:t>
      </w:r>
      <w:bookmarkStart w:id="13" w:name="OLE_LINK255"/>
      <w:bookmarkStart w:id="14" w:name="OLE_LINK256"/>
      <w:bookmarkStart w:id="15" w:name="OLE_LINK45"/>
      <w:bookmarkStart w:id="16" w:name="OLE_LINK44"/>
      <w:r>
        <w:rPr>
          <w:rFonts w:hint="eastAsia" w:ascii="楷体_GB2312" w:hAnsi="宋体" w:eastAsia="楷体_GB2312"/>
          <w:sz w:val="24"/>
        </w:rPr>
        <w:t xml:space="preserve">投标人参加本次政府采购活动应当具备条件: </w:t>
      </w:r>
      <w:bookmarkEnd w:id="13"/>
      <w:bookmarkEnd w:id="14"/>
      <w:bookmarkStart w:id="17" w:name="OLE_LINK86"/>
      <w:bookmarkStart w:id="18" w:name="OLE_LINK85"/>
      <w:r>
        <w:rPr>
          <w:rFonts w:hint="eastAsia" w:ascii="楷体_GB2312" w:hAnsi="宋体" w:eastAsia="楷体_GB2312"/>
          <w:sz w:val="24"/>
        </w:rPr>
        <w:t>（1）</w:t>
      </w:r>
      <w:bookmarkStart w:id="19" w:name="OLE_LINK83"/>
      <w:bookmarkStart w:id="20" w:name="OLE_LINK84"/>
      <w:r>
        <w:rPr>
          <w:rFonts w:hint="eastAsia" w:ascii="楷体_GB2312" w:hAnsi="宋体" w:eastAsia="楷体_GB2312"/>
          <w:sz w:val="24"/>
        </w:rPr>
        <w:t>符合《政府采购法》第22条的规定,且未被列入</w:t>
      </w:r>
      <w:bookmarkStart w:id="21" w:name="OLE_LINK73"/>
      <w:bookmarkStart w:id="22" w:name="OLE_LINK74"/>
      <w:r>
        <w:rPr>
          <w:rFonts w:hint="eastAsia" w:ascii="楷体_GB2312" w:hAnsi="宋体" w:eastAsia="楷体_GB2312"/>
          <w:sz w:val="24"/>
        </w:rPr>
        <w:t>“信用中国”网站(www.creditchina.gov.cn)</w:t>
      </w:r>
      <w:bookmarkEnd w:id="21"/>
      <w:bookmarkEnd w:id="22"/>
      <w:r>
        <w:rPr>
          <w:rFonts w:hint="eastAsia" w:ascii="楷体_GB2312" w:hAnsi="宋体" w:eastAsia="楷体_GB2312"/>
          <w:sz w:val="24"/>
        </w:rPr>
        <w:t>“记录失信被执行人或重大税收违法案件当事人名单或政府采购严重违法失信行为”记录名单，不处于</w:t>
      </w:r>
      <w:bookmarkStart w:id="23" w:name="OLE_LINK78"/>
      <w:bookmarkStart w:id="24" w:name="OLE_LINK77"/>
      <w:r>
        <w:rPr>
          <w:rFonts w:hint="eastAsia" w:ascii="楷体_GB2312" w:hAnsi="宋体" w:eastAsia="楷体_GB2312"/>
          <w:sz w:val="24"/>
        </w:rPr>
        <w:t>中国政府采购网(www.ccgp.gov.cn)</w:t>
      </w:r>
      <w:bookmarkEnd w:id="23"/>
      <w:bookmarkEnd w:id="24"/>
      <w:r>
        <w:rPr>
          <w:rFonts w:hint="eastAsia" w:ascii="楷体_GB2312" w:hAnsi="宋体" w:eastAsia="楷体_GB2312"/>
          <w:sz w:val="24"/>
        </w:rPr>
        <w:t>“政府采购严重违法失信行为信息记录”中的禁止参加政府采购活动期限的供应商；</w:t>
      </w:r>
      <w:bookmarkEnd w:id="19"/>
      <w:bookmarkEnd w:id="20"/>
      <w:bookmarkStart w:id="25" w:name="OLE_LINK241"/>
      <w:bookmarkStart w:id="26" w:name="OLE_LINK242"/>
      <w:r>
        <w:rPr>
          <w:rFonts w:hint="eastAsia" w:ascii="楷体_GB2312" w:hAnsi="宋体" w:eastAsia="楷体_GB2312"/>
          <w:sz w:val="24"/>
        </w:rPr>
        <w:t>（2）</w:t>
      </w:r>
      <w:bookmarkStart w:id="27" w:name="OLE_LINK103"/>
      <w:bookmarkStart w:id="28" w:name="OLE_LINK105"/>
      <w:bookmarkStart w:id="29" w:name="OLE_LINK104"/>
      <w:r>
        <w:rPr>
          <w:rFonts w:ascii="楷体_GB2312" w:hAnsi="宋体" w:eastAsia="楷体_GB2312"/>
          <w:sz w:val="24"/>
        </w:rPr>
        <w:t>银行、保险、石油石化、电力、通信运营等行业，允许分公司投标（需提供总公司的授权书）</w:t>
      </w:r>
      <w:bookmarkEnd w:id="27"/>
      <w:bookmarkEnd w:id="28"/>
      <w:bookmarkEnd w:id="29"/>
      <w:r>
        <w:rPr>
          <w:rFonts w:hint="eastAsia" w:ascii="楷体_GB2312" w:hAnsi="宋体" w:eastAsia="楷体_GB2312"/>
          <w:sz w:val="24"/>
        </w:rPr>
        <w:t>；</w:t>
      </w:r>
      <w:bookmarkEnd w:id="25"/>
      <w:bookmarkEnd w:id="26"/>
      <w:r>
        <w:rPr>
          <w:rFonts w:hint="eastAsia" w:ascii="楷体_GB2312" w:hAnsi="宋体" w:eastAsia="楷体_GB2312"/>
          <w:sz w:val="24"/>
        </w:rPr>
        <w:t>（3）其它特定条件：</w:t>
      </w:r>
      <w:bookmarkStart w:id="30" w:name="OLE_LINK40"/>
      <w:bookmarkStart w:id="31" w:name="OLE_LINK51"/>
      <w:bookmarkStart w:id="32" w:name="OLE_LINK39"/>
      <w:bookmarkStart w:id="33" w:name="OLE_LINK81"/>
      <w:bookmarkStart w:id="34" w:name="OLE_LINK82"/>
      <w:r>
        <w:rPr>
          <w:rFonts w:hint="eastAsia" w:ascii="楷体_GB2312" w:hAnsi="宋体" w:eastAsia="楷体_GB2312"/>
          <w:sz w:val="24"/>
        </w:rPr>
        <w:t>不接受联合体投标</w:t>
      </w:r>
      <w:r>
        <w:rPr>
          <w:rFonts w:hint="eastAsia" w:ascii="楷体_GB2312" w:eastAsia="楷体_GB2312" w:cs="Arial"/>
          <w:bCs/>
          <w:sz w:val="24"/>
        </w:rPr>
        <w:t>。</w:t>
      </w:r>
      <w:r>
        <w:rPr>
          <w:rFonts w:hint="eastAsia" w:ascii="楷体_GB2312" w:hAnsi="宋体" w:eastAsia="楷体_GB2312"/>
          <w:sz w:val="24"/>
        </w:rPr>
        <w:t>符合以上条件均可参加投标。</w:t>
      </w:r>
      <w:bookmarkEnd w:id="15"/>
      <w:bookmarkEnd w:id="16"/>
      <w:bookmarkEnd w:id="17"/>
      <w:bookmarkEnd w:id="18"/>
      <w:bookmarkEnd w:id="30"/>
      <w:bookmarkEnd w:id="31"/>
      <w:bookmarkEnd w:id="32"/>
    </w:p>
    <w:bookmarkEnd w:id="33"/>
    <w:bookmarkEnd w:id="34"/>
    <w:p>
      <w:pPr>
        <w:snapToGrid w:val="0"/>
        <w:spacing w:line="360" w:lineRule="auto"/>
        <w:ind w:firstLine="480" w:firstLineChars="200"/>
        <w:rPr>
          <w:rFonts w:hint="eastAsia" w:ascii="楷体_GB2312" w:hAnsi="宋体" w:eastAsia="楷体_GB2312"/>
          <w:sz w:val="24"/>
        </w:rPr>
      </w:pPr>
      <w:r>
        <w:rPr>
          <w:rFonts w:hint="eastAsia" w:ascii="楷体_GB2312" w:eastAsia="楷体_GB2312" w:cs="Arial"/>
          <w:bCs/>
          <w:sz w:val="24"/>
        </w:rPr>
        <w:t>5</w:t>
      </w:r>
      <w:r>
        <w:rPr>
          <w:rFonts w:ascii="楷体_GB2312" w:eastAsia="楷体_GB2312" w:cs="Arial"/>
          <w:bCs/>
          <w:sz w:val="24"/>
        </w:rPr>
        <w:t>、</w:t>
      </w:r>
      <w:bookmarkStart w:id="35" w:name="OLE_LINK7"/>
      <w:bookmarkStart w:id="36" w:name="OLE_LINK27"/>
      <w:bookmarkStart w:id="37" w:name="OLE_LINK19"/>
      <w:r>
        <w:rPr>
          <w:rFonts w:hint="eastAsia" w:ascii="楷体_GB2312" w:eastAsia="楷体_GB2312"/>
          <w:sz w:val="24"/>
        </w:rPr>
        <w:t>投标书递交至：</w:t>
      </w:r>
      <w:bookmarkStart w:id="38" w:name="OLE_LINK4"/>
      <w:bookmarkStart w:id="39" w:name="OLE_LINK3"/>
      <w:r>
        <w:rPr>
          <w:rFonts w:hint="eastAsia" w:ascii="楷体_GB2312" w:hAnsi="宋体" w:eastAsia="楷体_GB2312"/>
          <w:sz w:val="24"/>
        </w:rPr>
        <w:t>象山县行政服务中心四楼404室（象山县丹西街道象山港路300号）</w:t>
      </w:r>
      <w:bookmarkEnd w:id="38"/>
      <w:bookmarkEnd w:id="39"/>
      <w:r>
        <w:rPr>
          <w:rFonts w:hint="eastAsia" w:ascii="楷体_GB2312" w:hAnsi="宋体" w:eastAsia="楷体_GB2312"/>
          <w:sz w:val="24"/>
        </w:rPr>
        <w:t>。</w:t>
      </w:r>
      <w:bookmarkStart w:id="40" w:name="OLE_LINK43"/>
      <w:bookmarkStart w:id="41" w:name="OLE_LINK42"/>
    </w:p>
    <w:p>
      <w:pPr>
        <w:snapToGrid w:val="0"/>
        <w:spacing w:line="360" w:lineRule="auto"/>
        <w:ind w:firstLine="480" w:firstLineChars="200"/>
        <w:rPr>
          <w:rFonts w:ascii="楷体_GB2312" w:hAnsi="宋体" w:eastAsia="楷体_GB2312"/>
          <w:sz w:val="24"/>
        </w:rPr>
      </w:pPr>
      <w:r>
        <w:rPr>
          <w:rFonts w:hint="eastAsia" w:ascii="楷体_GB2312" w:hAnsi="宋体" w:eastAsia="楷体_GB2312"/>
          <w:sz w:val="24"/>
        </w:rPr>
        <w:t>(1)</w:t>
      </w:r>
      <w:r>
        <w:rPr>
          <w:sz w:val="24"/>
        </w:rPr>
        <w:t xml:space="preserve"> </w:t>
      </w:r>
      <w:r>
        <w:rPr>
          <w:rFonts w:hint="eastAsia" w:ascii="楷体_GB2312" w:hAnsi="宋体" w:eastAsia="楷体_GB2312"/>
          <w:sz w:val="24"/>
        </w:rPr>
        <w:t>现场递交投标文件：投标单位应授权“甬行码”/“健康码”为绿码的工作人员前来投标。</w:t>
      </w:r>
    </w:p>
    <w:p>
      <w:pPr>
        <w:snapToGrid w:val="0"/>
        <w:spacing w:line="360" w:lineRule="auto"/>
        <w:ind w:firstLine="480" w:firstLineChars="200"/>
        <w:rPr>
          <w:rFonts w:hint="eastAsia" w:ascii="楷体_GB2312" w:hAnsi="宋体" w:eastAsia="楷体_GB2312"/>
          <w:sz w:val="24"/>
        </w:rPr>
      </w:pPr>
      <w:r>
        <w:rPr>
          <w:rFonts w:hint="eastAsia" w:ascii="楷体_GB2312" w:hAnsi="宋体" w:eastAsia="楷体_GB2312"/>
          <w:sz w:val="24"/>
        </w:rPr>
        <w:t>(2) 邮寄投标文件：邮寄至上述地址，接收人：徐老师，联系电话：0574-65618091，13989342281。招标方考虑供应商邮寄在途时间，适当延长采购公告期限。投标人应充分考虑邮寄所需的时间，在邮寄发出后及时告知接收人并保持联系，至少在投标截止时间前1小时，与接收人确认邮件送达情况，确保投标文件能按时送达。若超出投标截止时间送达的投标文件将被拒绝接收，因投标文件未及时送达引起的相关责任由投标人自行承担。技术商务标和价格标应分别密封封装，另附一份法定代表人授权书复印件统一打包后邮寄。</w:t>
      </w:r>
    </w:p>
    <w:bookmarkEnd w:id="35"/>
    <w:bookmarkEnd w:id="36"/>
    <w:bookmarkEnd w:id="37"/>
    <w:bookmarkEnd w:id="40"/>
    <w:bookmarkEnd w:id="41"/>
    <w:p>
      <w:pPr>
        <w:tabs>
          <w:tab w:val="left" w:pos="363"/>
        </w:tabs>
        <w:adjustRightInd w:val="0"/>
        <w:snapToGrid w:val="0"/>
        <w:spacing w:line="360" w:lineRule="auto"/>
        <w:ind w:left="363" w:leftChars="173" w:firstLine="120" w:firstLineChars="50"/>
        <w:rPr>
          <w:rFonts w:hint="eastAsia" w:ascii="楷体_GB2312" w:eastAsia="楷体_GB2312"/>
          <w:sz w:val="24"/>
        </w:rPr>
      </w:pPr>
      <w:r>
        <w:rPr>
          <w:rFonts w:hint="eastAsia" w:ascii="楷体_GB2312" w:eastAsia="楷体_GB2312"/>
          <w:sz w:val="24"/>
        </w:rPr>
        <w:t>6、获取招标文件方式：</w:t>
      </w:r>
      <w:bookmarkStart w:id="42" w:name="OLE_LINK46"/>
      <w:bookmarkStart w:id="43" w:name="OLE_LINK31"/>
      <w:bookmarkStart w:id="44" w:name="OLE_LINK32"/>
      <w:r>
        <w:rPr>
          <w:rFonts w:hint="eastAsia" w:ascii="楷体_GB2312" w:eastAsia="楷体_GB2312"/>
          <w:sz w:val="24"/>
        </w:rPr>
        <w:t>网上下载，</w:t>
      </w:r>
      <w:r>
        <w:rPr>
          <w:rFonts w:hint="eastAsia" w:ascii="楷体_GB2312" w:eastAsia="楷体_GB2312" w:cs="Arial"/>
          <w:bCs/>
          <w:sz w:val="24"/>
        </w:rPr>
        <w:t>下载网址：</w:t>
      </w:r>
      <w:r>
        <w:rPr>
          <w:rFonts w:ascii="楷体_GB2312" w:eastAsia="楷体_GB2312" w:cs="Arial"/>
          <w:bCs/>
          <w:color w:val="000000"/>
          <w:sz w:val="24"/>
          <w:u w:val="single"/>
        </w:rPr>
        <w:fldChar w:fldCharType="begin"/>
      </w:r>
      <w:r>
        <w:rPr>
          <w:rFonts w:ascii="楷体_GB2312" w:eastAsia="楷体_GB2312" w:cs="Arial"/>
          <w:bCs/>
          <w:color w:val="000000"/>
          <w:sz w:val="24"/>
          <w:u w:val="single"/>
        </w:rPr>
        <w:instrText xml:space="preserve"> HYPERLINK "</w:instrText>
      </w:r>
      <w:r>
        <w:rPr>
          <w:rFonts w:hint="eastAsia" w:ascii="楷体_GB2312" w:eastAsia="楷体_GB2312" w:cs="Arial"/>
          <w:bCs/>
          <w:color w:val="000000"/>
          <w:sz w:val="24"/>
          <w:u w:val="single"/>
        </w:rPr>
        <w:instrText xml:space="preserve">http://www.nbzfcg.cn/</w:instrText>
      </w:r>
      <w:r>
        <w:rPr>
          <w:rFonts w:ascii="楷体_GB2312" w:eastAsia="楷体_GB2312" w:cs="Arial"/>
          <w:bCs/>
          <w:color w:val="000000"/>
          <w:sz w:val="24"/>
          <w:u w:val="single"/>
        </w:rPr>
        <w:instrText xml:space="preserve">" </w:instrText>
      </w:r>
      <w:r>
        <w:rPr>
          <w:rFonts w:ascii="楷体_GB2312" w:eastAsia="楷体_GB2312" w:cs="Arial"/>
          <w:bCs/>
          <w:color w:val="000000"/>
          <w:sz w:val="24"/>
          <w:u w:val="single"/>
        </w:rPr>
        <w:fldChar w:fldCharType="separate"/>
      </w:r>
      <w:r>
        <w:rPr>
          <w:rStyle w:val="24"/>
          <w:rFonts w:hint="eastAsia" w:ascii="楷体_GB2312" w:eastAsia="楷体_GB2312" w:cs="Arial"/>
          <w:bCs/>
          <w:color w:val="000000"/>
          <w:sz w:val="24"/>
        </w:rPr>
        <w:t>http://www.nbzfcg.cn/</w:t>
      </w:r>
      <w:r>
        <w:rPr>
          <w:rFonts w:ascii="楷体_GB2312" w:eastAsia="楷体_GB2312" w:cs="Arial"/>
          <w:bCs/>
          <w:color w:val="000000"/>
          <w:sz w:val="24"/>
          <w:u w:val="single"/>
        </w:rPr>
        <w:fldChar w:fldCharType="end"/>
      </w:r>
      <w:r>
        <w:rPr>
          <w:rFonts w:hint="eastAsia" w:ascii="楷体_GB2312" w:eastAsia="楷体_GB2312"/>
          <w:sz w:val="24"/>
        </w:rPr>
        <w:t xml:space="preserve"> 或</w:t>
      </w:r>
      <w:bookmarkStart w:id="45" w:name="OLE_LINK20"/>
      <w:bookmarkStart w:id="46" w:name="OLE_LINK22"/>
      <w:bookmarkStart w:id="47" w:name="OLE_LINK29"/>
      <w:bookmarkStart w:id="48" w:name="OLE_LINK30"/>
      <w:bookmarkStart w:id="49" w:name="OLE_LINK23"/>
      <w:bookmarkStart w:id="50" w:name="OLE_LINK21"/>
    </w:p>
    <w:p>
      <w:pPr>
        <w:tabs>
          <w:tab w:val="left" w:pos="363"/>
        </w:tabs>
        <w:adjustRightInd w:val="0"/>
        <w:snapToGrid w:val="0"/>
        <w:spacing w:line="360" w:lineRule="auto"/>
        <w:rPr>
          <w:rFonts w:hint="eastAsia" w:ascii="楷体_GB2312" w:eastAsia="楷体_GB2312"/>
          <w:sz w:val="24"/>
        </w:rPr>
      </w:pPr>
      <w:r>
        <w:rPr>
          <w:rFonts w:ascii="楷体_GB2312" w:eastAsia="楷体_GB2312" w:cs="Arial"/>
          <w:bCs/>
          <w:sz w:val="24"/>
          <w:u w:val="single"/>
        </w:rPr>
        <w:fldChar w:fldCharType="begin"/>
      </w:r>
      <w:r>
        <w:rPr>
          <w:rFonts w:ascii="楷体_GB2312" w:eastAsia="楷体_GB2312" w:cs="Arial"/>
          <w:bCs/>
          <w:sz w:val="24"/>
          <w:u w:val="single"/>
        </w:rPr>
        <w:instrText xml:space="preserve"> HYPERLINK "http://zfcg.czt.zj.gov.cn/" </w:instrText>
      </w:r>
      <w:r>
        <w:rPr>
          <w:rFonts w:ascii="楷体_GB2312" w:eastAsia="楷体_GB2312" w:cs="Arial"/>
          <w:bCs/>
          <w:sz w:val="24"/>
          <w:u w:val="single"/>
        </w:rPr>
        <w:fldChar w:fldCharType="separate"/>
      </w:r>
      <w:r>
        <w:rPr>
          <w:rStyle w:val="24"/>
          <w:rFonts w:hint="eastAsia" w:ascii="楷体_GB2312" w:eastAsia="楷体_GB2312" w:cs="Arial"/>
          <w:bCs/>
          <w:color w:val="auto"/>
          <w:sz w:val="24"/>
        </w:rPr>
        <w:t>http://zfcg.czt.zj.gov.cn</w:t>
      </w:r>
      <w:r>
        <w:rPr>
          <w:rFonts w:ascii="楷体_GB2312" w:eastAsia="楷体_GB2312" w:cs="Arial"/>
          <w:bCs/>
          <w:sz w:val="24"/>
          <w:u w:val="single"/>
        </w:rPr>
        <w:fldChar w:fldCharType="end"/>
      </w:r>
      <w:bookmarkEnd w:id="42"/>
      <w:bookmarkEnd w:id="43"/>
      <w:bookmarkEnd w:id="44"/>
      <w:bookmarkEnd w:id="45"/>
      <w:bookmarkEnd w:id="46"/>
      <w:bookmarkEnd w:id="47"/>
      <w:bookmarkEnd w:id="48"/>
      <w:bookmarkEnd w:id="49"/>
      <w:bookmarkEnd w:id="50"/>
    </w:p>
    <w:p>
      <w:pPr>
        <w:tabs>
          <w:tab w:val="left" w:pos="363"/>
        </w:tabs>
        <w:adjustRightInd w:val="0"/>
        <w:snapToGrid w:val="0"/>
        <w:spacing w:line="360" w:lineRule="auto"/>
        <w:ind w:left="363" w:leftChars="173" w:firstLine="120" w:firstLineChars="50"/>
        <w:rPr>
          <w:rFonts w:hint="eastAsia" w:ascii="楷体_GB2312" w:hAnsi="宋体" w:eastAsia="楷体_GB2312" w:cs="Arial"/>
          <w:sz w:val="24"/>
        </w:rPr>
      </w:pPr>
      <w:r>
        <w:rPr>
          <w:rFonts w:hint="eastAsia" w:ascii="楷体_GB2312" w:eastAsia="楷体_GB2312" w:cs="Arial"/>
          <w:bCs/>
          <w:sz w:val="24"/>
        </w:rPr>
        <w:t>7</w:t>
      </w:r>
      <w:r>
        <w:rPr>
          <w:rFonts w:ascii="楷体_GB2312" w:eastAsia="楷体_GB2312" w:cs="Arial"/>
          <w:bCs/>
          <w:sz w:val="24"/>
        </w:rPr>
        <w:t>、招标文件</w:t>
      </w:r>
      <w:r>
        <w:rPr>
          <w:rFonts w:hint="eastAsia" w:ascii="楷体_GB2312" w:eastAsia="楷体_GB2312" w:cs="Arial"/>
          <w:bCs/>
          <w:sz w:val="24"/>
        </w:rPr>
        <w:t>公告期限</w:t>
      </w:r>
      <w:r>
        <w:rPr>
          <w:rFonts w:ascii="楷体_GB2312" w:eastAsia="楷体_GB2312" w:cs="Arial"/>
          <w:bCs/>
          <w:sz w:val="24"/>
        </w:rPr>
        <w:t>：</w:t>
      </w:r>
      <w:bookmarkStart w:id="51" w:name="OLE_LINK26"/>
      <w:bookmarkStart w:id="52" w:name="OLE_LINK24"/>
      <w:bookmarkStart w:id="53" w:name="OLE_LINK25"/>
      <w:r>
        <w:rPr>
          <w:rFonts w:ascii="楷体_GB2312" w:eastAsia="楷体_GB2312" w:cs="Arial"/>
          <w:bCs/>
          <w:sz w:val="24"/>
        </w:rPr>
        <w:t>20</w:t>
      </w:r>
      <w:r>
        <w:rPr>
          <w:rFonts w:hint="eastAsia" w:ascii="楷体_GB2312" w:eastAsia="楷体_GB2312" w:cs="Arial"/>
          <w:bCs/>
          <w:sz w:val="24"/>
        </w:rPr>
        <w:t>20</w:t>
      </w:r>
      <w:r>
        <w:rPr>
          <w:rFonts w:ascii="楷体_GB2312" w:eastAsia="楷体_GB2312" w:cs="Arial"/>
          <w:bCs/>
          <w:sz w:val="24"/>
        </w:rPr>
        <w:t>年</w:t>
      </w:r>
      <w:r>
        <w:rPr>
          <w:rFonts w:hint="eastAsia" w:ascii="楷体_GB2312" w:eastAsia="楷体_GB2312" w:cs="Arial"/>
          <w:bCs/>
          <w:sz w:val="24"/>
        </w:rPr>
        <w:t xml:space="preserve"> 7</w:t>
      </w:r>
      <w:r>
        <w:rPr>
          <w:rFonts w:ascii="楷体_GB2312" w:eastAsia="楷体_GB2312" w:cs="Arial"/>
          <w:bCs/>
          <w:sz w:val="24"/>
        </w:rPr>
        <w:t>月</w:t>
      </w:r>
      <w:r>
        <w:rPr>
          <w:rFonts w:hint="eastAsia" w:ascii="楷体_GB2312" w:eastAsia="楷体_GB2312" w:cs="Arial"/>
          <w:bCs/>
          <w:sz w:val="24"/>
        </w:rPr>
        <w:t>1</w:t>
      </w:r>
      <w:r>
        <w:rPr>
          <w:rFonts w:ascii="楷体_GB2312" w:eastAsia="楷体_GB2312" w:cs="Arial"/>
          <w:bCs/>
          <w:sz w:val="24"/>
        </w:rPr>
        <w:t>日至20</w:t>
      </w:r>
      <w:r>
        <w:rPr>
          <w:rFonts w:hint="eastAsia" w:ascii="楷体_GB2312" w:eastAsia="楷体_GB2312" w:cs="Arial"/>
          <w:bCs/>
          <w:sz w:val="24"/>
        </w:rPr>
        <w:t>20</w:t>
      </w:r>
      <w:r>
        <w:rPr>
          <w:rFonts w:ascii="楷体_GB2312" w:eastAsia="楷体_GB2312" w:cs="Arial"/>
          <w:bCs/>
          <w:sz w:val="24"/>
        </w:rPr>
        <w:t>年</w:t>
      </w:r>
      <w:r>
        <w:rPr>
          <w:rFonts w:hint="eastAsia" w:ascii="楷体_GB2312" w:eastAsia="楷体_GB2312" w:cs="Arial"/>
          <w:bCs/>
          <w:sz w:val="24"/>
        </w:rPr>
        <w:t>7</w:t>
      </w:r>
      <w:r>
        <w:rPr>
          <w:rFonts w:ascii="楷体_GB2312" w:eastAsia="楷体_GB2312" w:cs="Arial"/>
          <w:bCs/>
          <w:sz w:val="24"/>
        </w:rPr>
        <w:t>月</w:t>
      </w:r>
      <w:r>
        <w:rPr>
          <w:rFonts w:hint="eastAsia" w:ascii="楷体_GB2312" w:eastAsia="楷体_GB2312" w:cs="Arial"/>
          <w:bCs/>
          <w:sz w:val="24"/>
        </w:rPr>
        <w:t>8</w:t>
      </w:r>
      <w:r>
        <w:rPr>
          <w:rFonts w:ascii="楷体_GB2312" w:eastAsia="楷体_GB2312" w:cs="Arial"/>
          <w:bCs/>
          <w:sz w:val="24"/>
        </w:rPr>
        <w:t>日</w:t>
      </w:r>
      <w:bookmarkEnd w:id="51"/>
      <w:bookmarkEnd w:id="52"/>
      <w:bookmarkEnd w:id="53"/>
      <w:r>
        <w:rPr>
          <w:rFonts w:hint="eastAsia" w:ascii="楷体_GB2312" w:eastAsia="楷体_GB2312" w:cs="Arial"/>
          <w:bCs/>
          <w:sz w:val="24"/>
        </w:rPr>
        <w:t>。</w:t>
      </w:r>
    </w:p>
    <w:p>
      <w:pPr>
        <w:tabs>
          <w:tab w:val="left" w:pos="363"/>
        </w:tabs>
        <w:adjustRightInd w:val="0"/>
        <w:snapToGrid w:val="0"/>
        <w:spacing w:line="360" w:lineRule="auto"/>
        <w:ind w:left="363" w:leftChars="173" w:firstLine="120" w:firstLineChars="50"/>
        <w:rPr>
          <w:rFonts w:hint="eastAsia" w:ascii="楷体_GB2312" w:eastAsia="楷体_GB2312" w:cs="Arial"/>
          <w:bCs/>
          <w:sz w:val="24"/>
        </w:rPr>
      </w:pPr>
      <w:r>
        <w:rPr>
          <w:rFonts w:hint="eastAsia" w:ascii="楷体_GB2312" w:eastAsia="楷体_GB2312" w:cs="Arial"/>
          <w:bCs/>
          <w:sz w:val="24"/>
        </w:rPr>
        <w:t>8</w:t>
      </w:r>
      <w:r>
        <w:rPr>
          <w:rFonts w:ascii="楷体_GB2312" w:eastAsia="楷体_GB2312" w:cs="Arial"/>
          <w:bCs/>
          <w:sz w:val="24"/>
        </w:rPr>
        <w:t>、投标截止时间：</w:t>
      </w:r>
      <w:bookmarkStart w:id="54" w:name="OLE_LINK28"/>
      <w:bookmarkStart w:id="55" w:name="OLE_LINK36"/>
      <w:r>
        <w:rPr>
          <w:rFonts w:ascii="楷体_GB2312" w:eastAsia="楷体_GB2312" w:cs="Arial"/>
          <w:bCs/>
          <w:sz w:val="24"/>
        </w:rPr>
        <w:t>20</w:t>
      </w:r>
      <w:r>
        <w:rPr>
          <w:rFonts w:hint="eastAsia" w:ascii="楷体_GB2312" w:eastAsia="楷体_GB2312" w:cs="Arial"/>
          <w:bCs/>
          <w:sz w:val="24"/>
        </w:rPr>
        <w:t>20</w:t>
      </w:r>
      <w:r>
        <w:rPr>
          <w:rFonts w:ascii="楷体_GB2312" w:eastAsia="楷体_GB2312" w:cs="Arial"/>
          <w:bCs/>
          <w:sz w:val="24"/>
        </w:rPr>
        <w:t>年</w:t>
      </w:r>
      <w:r>
        <w:rPr>
          <w:rFonts w:hint="eastAsia" w:ascii="楷体_GB2312" w:eastAsia="楷体_GB2312" w:cs="Arial"/>
          <w:bCs/>
          <w:sz w:val="24"/>
        </w:rPr>
        <w:t>7</w:t>
      </w:r>
      <w:r>
        <w:rPr>
          <w:rFonts w:ascii="楷体_GB2312" w:eastAsia="楷体_GB2312" w:cs="Arial"/>
          <w:bCs/>
          <w:sz w:val="24"/>
        </w:rPr>
        <w:t>月</w:t>
      </w:r>
      <w:r>
        <w:rPr>
          <w:rFonts w:hint="eastAsia" w:ascii="楷体_GB2312" w:eastAsia="楷体_GB2312" w:cs="Arial"/>
          <w:bCs/>
          <w:sz w:val="24"/>
        </w:rPr>
        <w:t xml:space="preserve">22 </w:t>
      </w:r>
      <w:r>
        <w:rPr>
          <w:rFonts w:ascii="楷体_GB2312" w:eastAsia="楷体_GB2312" w:cs="Arial"/>
          <w:bCs/>
          <w:sz w:val="24"/>
        </w:rPr>
        <w:t>日</w:t>
      </w:r>
      <w:r>
        <w:rPr>
          <w:rFonts w:hint="eastAsia" w:ascii="楷体_GB2312" w:eastAsia="楷体_GB2312" w:cs="Arial"/>
          <w:bCs/>
          <w:sz w:val="24"/>
        </w:rPr>
        <w:t>14时20分整</w:t>
      </w:r>
      <w:bookmarkEnd w:id="54"/>
      <w:bookmarkEnd w:id="55"/>
      <w:r>
        <w:rPr>
          <w:rFonts w:hint="eastAsia" w:ascii="楷体_GB2312" w:eastAsia="楷体_GB2312" w:cs="Arial"/>
          <w:bCs/>
          <w:sz w:val="24"/>
        </w:rPr>
        <w:t>（北京时间）</w:t>
      </w:r>
      <w:r>
        <w:rPr>
          <w:rFonts w:ascii="楷体_GB2312" w:eastAsia="楷体_GB2312" w:cs="Arial"/>
          <w:bCs/>
          <w:sz w:val="24"/>
        </w:rPr>
        <w:t>。逾期递</w:t>
      </w:r>
    </w:p>
    <w:p>
      <w:pPr>
        <w:tabs>
          <w:tab w:val="left" w:pos="363"/>
        </w:tabs>
        <w:adjustRightInd w:val="0"/>
        <w:snapToGrid w:val="0"/>
        <w:spacing w:line="360" w:lineRule="auto"/>
        <w:rPr>
          <w:rFonts w:ascii="楷体_GB2312" w:hAnsi="宋体" w:eastAsia="楷体_GB2312" w:cs="Arial"/>
          <w:sz w:val="24"/>
        </w:rPr>
      </w:pPr>
      <w:r>
        <w:rPr>
          <w:rFonts w:ascii="楷体_GB2312" w:eastAsia="楷体_GB2312" w:cs="Arial"/>
          <w:bCs/>
          <w:sz w:val="24"/>
        </w:rPr>
        <w:t>交投标文件恕不接受。</w:t>
      </w:r>
    </w:p>
    <w:p>
      <w:pPr>
        <w:adjustRightInd w:val="0"/>
        <w:snapToGrid w:val="0"/>
        <w:spacing w:line="360" w:lineRule="auto"/>
        <w:ind w:firstLine="480" w:firstLineChars="200"/>
        <w:rPr>
          <w:rFonts w:ascii="楷体_GB2312" w:hAnsi="宋体" w:eastAsia="楷体_GB2312" w:cs="Arial"/>
          <w:sz w:val="24"/>
        </w:rPr>
      </w:pPr>
      <w:r>
        <w:rPr>
          <w:rFonts w:hint="eastAsia" w:ascii="楷体_GB2312" w:eastAsia="楷体_GB2312" w:cs="Arial"/>
          <w:bCs/>
          <w:sz w:val="24"/>
        </w:rPr>
        <w:t>9</w:t>
      </w:r>
      <w:r>
        <w:rPr>
          <w:rFonts w:ascii="楷体_GB2312" w:eastAsia="楷体_GB2312" w:cs="Arial"/>
          <w:bCs/>
          <w:sz w:val="24"/>
        </w:rPr>
        <w:t>、开标时间：20</w:t>
      </w:r>
      <w:r>
        <w:rPr>
          <w:rFonts w:hint="eastAsia" w:ascii="楷体_GB2312" w:eastAsia="楷体_GB2312" w:cs="Arial"/>
          <w:bCs/>
          <w:sz w:val="24"/>
        </w:rPr>
        <w:t>20</w:t>
      </w:r>
      <w:r>
        <w:rPr>
          <w:rFonts w:ascii="楷体_GB2312" w:eastAsia="楷体_GB2312" w:cs="Arial"/>
          <w:bCs/>
          <w:sz w:val="24"/>
        </w:rPr>
        <w:t>年</w:t>
      </w:r>
      <w:r>
        <w:rPr>
          <w:rFonts w:hint="eastAsia" w:ascii="楷体_GB2312" w:eastAsia="楷体_GB2312" w:cs="Arial"/>
          <w:bCs/>
          <w:sz w:val="24"/>
        </w:rPr>
        <w:t xml:space="preserve"> 7</w:t>
      </w:r>
      <w:r>
        <w:rPr>
          <w:rFonts w:ascii="楷体_GB2312" w:eastAsia="楷体_GB2312" w:cs="Arial"/>
          <w:bCs/>
          <w:sz w:val="24"/>
        </w:rPr>
        <w:t>月</w:t>
      </w:r>
      <w:r>
        <w:rPr>
          <w:rFonts w:hint="eastAsia" w:ascii="楷体_GB2312" w:eastAsia="楷体_GB2312" w:cs="Arial"/>
          <w:bCs/>
          <w:sz w:val="24"/>
        </w:rPr>
        <w:t xml:space="preserve">22 </w:t>
      </w:r>
      <w:r>
        <w:rPr>
          <w:rFonts w:ascii="楷体_GB2312" w:eastAsia="楷体_GB2312" w:cs="Arial"/>
          <w:bCs/>
          <w:sz w:val="24"/>
        </w:rPr>
        <w:t>日</w:t>
      </w:r>
      <w:r>
        <w:rPr>
          <w:rFonts w:hint="eastAsia" w:ascii="楷体_GB2312" w:eastAsia="楷体_GB2312" w:cs="Arial"/>
          <w:bCs/>
          <w:sz w:val="24"/>
        </w:rPr>
        <w:t>14时20分整</w:t>
      </w:r>
      <w:r>
        <w:rPr>
          <w:rFonts w:ascii="楷体_GB2312" w:eastAsia="楷体_GB2312" w:cs="Arial"/>
          <w:bCs/>
          <w:sz w:val="24"/>
        </w:rPr>
        <w:t>在</w:t>
      </w:r>
      <w:r>
        <w:rPr>
          <w:rFonts w:hint="eastAsia" w:ascii="楷体_GB2312" w:hAnsi="Arial" w:eastAsia="楷体_GB2312" w:cs="Arial"/>
          <w:bCs/>
          <w:sz w:val="24"/>
        </w:rPr>
        <w:t>象山县行政服务中心四楼</w:t>
      </w:r>
      <w:r>
        <w:rPr>
          <w:rFonts w:ascii="楷体_GB2312" w:eastAsia="楷体_GB2312" w:cs="Arial"/>
          <w:bCs/>
          <w:sz w:val="24"/>
        </w:rPr>
        <w:t>开</w:t>
      </w:r>
      <w:r>
        <w:rPr>
          <w:rFonts w:hint="eastAsia" w:ascii="楷体_GB2312" w:eastAsia="楷体_GB2312" w:cs="Arial"/>
          <w:bCs/>
          <w:sz w:val="24"/>
        </w:rPr>
        <w:t>标</w:t>
      </w:r>
      <w:r>
        <w:rPr>
          <w:rFonts w:ascii="楷体_GB2312" w:eastAsia="楷体_GB2312" w:cs="Arial"/>
          <w:bCs/>
          <w:sz w:val="24"/>
        </w:rPr>
        <w:t>厅</w:t>
      </w:r>
      <w:r>
        <w:rPr>
          <w:rFonts w:hint="eastAsia" w:ascii="楷体_GB2312" w:eastAsia="楷体_GB2312" w:cs="Arial"/>
          <w:bCs/>
          <w:sz w:val="24"/>
        </w:rPr>
        <w:t>(二)</w:t>
      </w:r>
      <w:r>
        <w:rPr>
          <w:rFonts w:ascii="楷体_GB2312" w:eastAsia="楷体_GB2312" w:cs="Arial"/>
          <w:bCs/>
          <w:sz w:val="24"/>
        </w:rPr>
        <w:t>公开开标。</w:t>
      </w:r>
    </w:p>
    <w:p>
      <w:pPr>
        <w:tabs>
          <w:tab w:val="left" w:pos="363"/>
        </w:tabs>
        <w:adjustRightInd w:val="0"/>
        <w:snapToGrid w:val="0"/>
        <w:spacing w:line="360" w:lineRule="auto"/>
        <w:ind w:left="363" w:leftChars="173" w:firstLine="120" w:firstLineChars="50"/>
        <w:rPr>
          <w:rFonts w:hint="eastAsia" w:ascii="楷体_GB2312" w:eastAsia="楷体_GB2312" w:cs="Arial"/>
          <w:bCs/>
          <w:sz w:val="24"/>
        </w:rPr>
      </w:pPr>
      <w:r>
        <w:rPr>
          <w:rFonts w:hint="eastAsia" w:ascii="楷体_GB2312" w:eastAsia="楷体_GB2312" w:cs="Arial"/>
          <w:bCs/>
          <w:sz w:val="24"/>
        </w:rPr>
        <w:t>10</w:t>
      </w:r>
      <w:r>
        <w:rPr>
          <w:rFonts w:ascii="楷体_GB2312" w:eastAsia="楷体_GB2312" w:cs="Arial"/>
          <w:bCs/>
          <w:sz w:val="24"/>
        </w:rPr>
        <w:t>、开标地点：</w:t>
      </w:r>
      <w:bookmarkStart w:id="56" w:name="OLE_LINK38"/>
      <w:bookmarkStart w:id="57" w:name="OLE_LINK48"/>
      <w:bookmarkStart w:id="58" w:name="OLE_LINK47"/>
      <w:r>
        <w:rPr>
          <w:rFonts w:hint="eastAsia" w:ascii="楷体_GB2312" w:hAnsi="Arial" w:eastAsia="楷体_GB2312" w:cs="Arial"/>
          <w:bCs/>
          <w:color w:val="000000"/>
          <w:sz w:val="24"/>
        </w:rPr>
        <w:t>象山县行政服务中心四楼</w:t>
      </w:r>
      <w:r>
        <w:rPr>
          <w:rFonts w:ascii="楷体_GB2312" w:eastAsia="楷体_GB2312" w:cs="Arial"/>
          <w:bCs/>
          <w:sz w:val="24"/>
        </w:rPr>
        <w:t>开标厅</w:t>
      </w:r>
      <w:r>
        <w:rPr>
          <w:rFonts w:hint="eastAsia" w:ascii="楷体_GB2312" w:eastAsia="楷体_GB2312" w:cs="Arial"/>
          <w:bCs/>
          <w:sz w:val="24"/>
        </w:rPr>
        <w:t>（二）</w:t>
      </w:r>
      <w:r>
        <w:rPr>
          <w:rFonts w:ascii="楷体_GB2312" w:eastAsia="楷体_GB2312" w:cs="Arial"/>
          <w:bCs/>
          <w:sz w:val="24"/>
        </w:rPr>
        <w:t>（</w:t>
      </w:r>
      <w:r>
        <w:rPr>
          <w:rFonts w:hint="eastAsia" w:ascii="楷体_GB2312" w:eastAsia="楷体_GB2312" w:cs="Arial"/>
          <w:bCs/>
          <w:sz w:val="24"/>
        </w:rPr>
        <w:t>象山港路300</w:t>
      </w:r>
      <w:r>
        <w:rPr>
          <w:rFonts w:ascii="楷体_GB2312" w:eastAsia="楷体_GB2312" w:cs="Arial"/>
          <w:bCs/>
          <w:sz w:val="24"/>
        </w:rPr>
        <w:t>号）</w:t>
      </w:r>
      <w:bookmarkEnd w:id="56"/>
      <w:bookmarkEnd w:id="57"/>
      <w:bookmarkEnd w:id="58"/>
      <w:r>
        <w:rPr>
          <w:rFonts w:ascii="楷体_GB2312" w:eastAsia="楷体_GB2312" w:cs="Arial"/>
          <w:bCs/>
          <w:sz w:val="24"/>
        </w:rPr>
        <w:t>。</w:t>
      </w:r>
    </w:p>
    <w:p>
      <w:pPr>
        <w:tabs>
          <w:tab w:val="left" w:pos="363"/>
        </w:tabs>
        <w:adjustRightInd w:val="0"/>
        <w:snapToGrid w:val="0"/>
        <w:spacing w:line="360" w:lineRule="auto"/>
        <w:ind w:left="126" w:leftChars="60" w:firstLine="360" w:firstLineChars="150"/>
        <w:jc w:val="left"/>
        <w:rPr>
          <w:rFonts w:hint="eastAsia" w:ascii="楷体_GB2312" w:eastAsia="楷体_GB2312" w:cs="Arial"/>
          <w:b/>
          <w:bCs/>
          <w:color w:val="FF0000"/>
          <w:sz w:val="24"/>
        </w:rPr>
      </w:pPr>
      <w:r>
        <w:rPr>
          <w:rFonts w:hint="eastAsia" w:ascii="楷体_GB2312" w:eastAsia="楷体_GB2312" w:cs="Arial"/>
          <w:bCs/>
          <w:color w:val="FF0000"/>
          <w:sz w:val="24"/>
        </w:rPr>
        <w:t>11、</w:t>
      </w:r>
      <w:r>
        <w:rPr>
          <w:rFonts w:hint="eastAsia" w:ascii="楷体_GB2312" w:eastAsia="楷体_GB2312" w:cs="Arial"/>
          <w:b/>
          <w:bCs/>
          <w:color w:val="FF0000"/>
          <w:sz w:val="24"/>
        </w:rPr>
        <w:t>温馨提示：投标之前参加投标的供应商需在政采云平台(www.zcygov.cn)完成供应商注册，否则无法发放中标通知书。</w:t>
      </w:r>
    </w:p>
    <w:p>
      <w:pPr>
        <w:tabs>
          <w:tab w:val="left" w:pos="-540"/>
        </w:tabs>
        <w:adjustRightInd w:val="0"/>
        <w:snapToGrid w:val="0"/>
        <w:spacing w:line="400" w:lineRule="exact"/>
        <w:ind w:firstLine="480" w:firstLineChars="200"/>
        <w:rPr>
          <w:rFonts w:hint="eastAsia" w:ascii="楷体_GB2312" w:eastAsia="楷体_GB2312" w:cs="Arial"/>
          <w:bCs/>
          <w:sz w:val="24"/>
        </w:rPr>
      </w:pPr>
      <w:r>
        <w:rPr>
          <w:rFonts w:hint="eastAsia" w:ascii="楷体_GB2312" w:eastAsia="楷体_GB2312" w:cs="Arial"/>
          <w:bCs/>
          <w:sz w:val="24"/>
        </w:rPr>
        <w:t>12、落实的政策：</w:t>
      </w:r>
      <w:bookmarkStart w:id="59" w:name="OLE_LINK16"/>
      <w:bookmarkStart w:id="60" w:name="OLE_LINK13"/>
      <w:bookmarkStart w:id="61" w:name="OLE_LINK12"/>
      <w:bookmarkStart w:id="62" w:name="OLE_LINK41"/>
      <w:bookmarkStart w:id="63" w:name="OLE_LINK49"/>
      <w:r>
        <w:rPr>
          <w:rFonts w:hint="eastAsia" w:ascii="楷体_GB2312" w:eastAsia="楷体_GB2312" w:cs="Arial"/>
          <w:bCs/>
          <w:sz w:val="24"/>
        </w:rPr>
        <w:t>《政府采购促进中小企业发展暂行办法》（财库[2011]181号）、《财政部司法部关于政府采购支持监狱企业发展有关问题的通知》（财库〔2014〕68号）、《关于促进残疾人就业政府采购政策的通知》（财库[2017]141号）、《关于环境标志产品政府采购实施的意见》（财库〔</w:t>
      </w:r>
      <w:r>
        <w:rPr>
          <w:rFonts w:ascii="楷体_GB2312" w:eastAsia="楷体_GB2312" w:cs="Arial"/>
          <w:bCs/>
          <w:sz w:val="24"/>
        </w:rPr>
        <w:t>2006</w:t>
      </w:r>
      <w:r>
        <w:rPr>
          <w:rFonts w:hint="eastAsia" w:ascii="楷体_GB2312" w:eastAsia="楷体_GB2312" w:cs="Arial"/>
          <w:bCs/>
          <w:sz w:val="24"/>
        </w:rPr>
        <w:t>〕</w:t>
      </w:r>
      <w:r>
        <w:rPr>
          <w:rFonts w:ascii="楷体_GB2312" w:eastAsia="楷体_GB2312" w:cs="Arial"/>
          <w:bCs/>
          <w:sz w:val="24"/>
        </w:rPr>
        <w:t>90</w:t>
      </w:r>
      <w:r>
        <w:rPr>
          <w:rFonts w:hint="eastAsia" w:ascii="楷体_GB2312" w:eastAsia="楷体_GB2312" w:cs="Arial"/>
          <w:bCs/>
          <w:sz w:val="24"/>
        </w:rPr>
        <w:t>号）、《节能产品政府采购实施意见》的通知（财库〔</w:t>
      </w:r>
      <w:r>
        <w:rPr>
          <w:rFonts w:ascii="楷体_GB2312" w:eastAsia="楷体_GB2312" w:cs="Arial"/>
          <w:bCs/>
          <w:sz w:val="24"/>
        </w:rPr>
        <w:t>2004</w:t>
      </w:r>
      <w:r>
        <w:rPr>
          <w:rFonts w:hint="eastAsia" w:ascii="楷体_GB2312" w:eastAsia="楷体_GB2312" w:cs="Arial"/>
          <w:bCs/>
          <w:sz w:val="24"/>
        </w:rPr>
        <w:t>〕</w:t>
      </w:r>
      <w:r>
        <w:rPr>
          <w:rFonts w:ascii="楷体_GB2312" w:eastAsia="楷体_GB2312" w:cs="Arial"/>
          <w:bCs/>
          <w:sz w:val="24"/>
        </w:rPr>
        <w:t>185</w:t>
      </w:r>
      <w:r>
        <w:rPr>
          <w:rFonts w:hint="eastAsia" w:ascii="楷体_GB2312" w:eastAsia="楷体_GB2312" w:cs="Arial"/>
          <w:bCs/>
          <w:sz w:val="24"/>
        </w:rPr>
        <w:t>号）、《关于调整优化节能产品、环境标志产品政府采购执行机制的通知》（财库〔</w:t>
      </w:r>
      <w:r>
        <w:rPr>
          <w:rFonts w:ascii="楷体_GB2312" w:eastAsia="楷体_GB2312" w:cs="Arial"/>
          <w:bCs/>
          <w:sz w:val="24"/>
        </w:rPr>
        <w:t>2019</w:t>
      </w:r>
      <w:r>
        <w:rPr>
          <w:rFonts w:hint="eastAsia" w:ascii="楷体_GB2312" w:eastAsia="楷体_GB2312" w:cs="Arial"/>
          <w:bCs/>
          <w:sz w:val="24"/>
        </w:rPr>
        <w:t>〕</w:t>
      </w:r>
      <w:r>
        <w:rPr>
          <w:rFonts w:ascii="楷体_GB2312" w:eastAsia="楷体_GB2312" w:cs="Arial"/>
          <w:bCs/>
          <w:sz w:val="24"/>
        </w:rPr>
        <w:t>9</w:t>
      </w:r>
      <w:r>
        <w:rPr>
          <w:rFonts w:hint="eastAsia" w:ascii="楷体_GB2312" w:eastAsia="楷体_GB2312" w:cs="Arial"/>
          <w:bCs/>
          <w:sz w:val="24"/>
        </w:rPr>
        <w:t>号文）、财库〔</w:t>
      </w:r>
      <w:r>
        <w:rPr>
          <w:rFonts w:ascii="楷体_GB2312" w:eastAsia="楷体_GB2312" w:cs="Arial"/>
          <w:bCs/>
          <w:sz w:val="24"/>
        </w:rPr>
        <w:t>2019</w:t>
      </w:r>
      <w:r>
        <w:rPr>
          <w:rFonts w:hint="eastAsia" w:ascii="楷体_GB2312" w:eastAsia="楷体_GB2312" w:cs="Arial"/>
          <w:bCs/>
          <w:sz w:val="24"/>
        </w:rPr>
        <w:t>〕</w:t>
      </w:r>
      <w:r>
        <w:rPr>
          <w:rFonts w:ascii="楷体_GB2312" w:eastAsia="楷体_GB2312" w:cs="Arial"/>
          <w:bCs/>
          <w:sz w:val="24"/>
        </w:rPr>
        <w:t>18</w:t>
      </w:r>
      <w:r>
        <w:rPr>
          <w:rFonts w:hint="eastAsia" w:ascii="楷体_GB2312" w:eastAsia="楷体_GB2312" w:cs="Arial"/>
          <w:bCs/>
          <w:sz w:val="24"/>
        </w:rPr>
        <w:t>号和财库〔</w:t>
      </w:r>
      <w:r>
        <w:rPr>
          <w:rFonts w:ascii="楷体_GB2312" w:eastAsia="楷体_GB2312" w:cs="Arial"/>
          <w:bCs/>
          <w:sz w:val="24"/>
        </w:rPr>
        <w:t>2019</w:t>
      </w:r>
      <w:r>
        <w:rPr>
          <w:rFonts w:hint="eastAsia" w:ascii="楷体_GB2312" w:eastAsia="楷体_GB2312" w:cs="Arial"/>
          <w:bCs/>
          <w:sz w:val="24"/>
        </w:rPr>
        <w:t>〕</w:t>
      </w:r>
      <w:r>
        <w:rPr>
          <w:rFonts w:ascii="楷体_GB2312" w:eastAsia="楷体_GB2312" w:cs="Arial"/>
          <w:bCs/>
          <w:sz w:val="24"/>
        </w:rPr>
        <w:t>19</w:t>
      </w:r>
      <w:r>
        <w:rPr>
          <w:rFonts w:hint="eastAsia" w:ascii="楷体_GB2312" w:eastAsia="楷体_GB2312" w:cs="Arial"/>
          <w:bCs/>
          <w:sz w:val="24"/>
        </w:rPr>
        <w:t>号。</w:t>
      </w:r>
      <w:bookmarkEnd w:id="59"/>
      <w:bookmarkEnd w:id="60"/>
      <w:bookmarkEnd w:id="61"/>
    </w:p>
    <w:bookmarkEnd w:id="62"/>
    <w:bookmarkEnd w:id="63"/>
    <w:p>
      <w:pPr>
        <w:spacing w:line="360" w:lineRule="auto"/>
        <w:ind w:firstLine="480" w:firstLineChars="200"/>
        <w:rPr>
          <w:rFonts w:ascii="楷体_GB2312" w:eastAsia="楷体_GB2312" w:cs="Arial"/>
          <w:bCs/>
          <w:sz w:val="24"/>
        </w:rPr>
      </w:pPr>
      <w:r>
        <w:rPr>
          <w:rFonts w:hint="eastAsia" w:ascii="楷体_GB2312" w:eastAsia="楷体_GB2312" w:cs="Arial"/>
          <w:bCs/>
          <w:sz w:val="24"/>
        </w:rPr>
        <w:t>13、业务咨询</w:t>
      </w:r>
    </w:p>
    <w:p>
      <w:pPr>
        <w:spacing w:line="360" w:lineRule="auto"/>
        <w:rPr>
          <w:rFonts w:hint="eastAsia" w:ascii="楷体_GB2312" w:eastAsia="楷体_GB2312" w:cs="Arial"/>
          <w:bCs/>
          <w:sz w:val="24"/>
        </w:rPr>
      </w:pPr>
      <w:r>
        <w:rPr>
          <w:rFonts w:hint="eastAsia" w:ascii="楷体_GB2312" w:eastAsia="楷体_GB2312" w:cs="Arial"/>
          <w:bCs/>
          <w:sz w:val="24"/>
        </w:rPr>
        <w:t xml:space="preserve">采购人：象山县公安局        </w:t>
      </w:r>
    </w:p>
    <w:p>
      <w:pPr>
        <w:spacing w:line="360" w:lineRule="auto"/>
        <w:rPr>
          <w:rFonts w:hint="eastAsia" w:ascii="楷体_GB2312" w:eastAsia="楷体_GB2312" w:cs="Arial"/>
          <w:bCs/>
          <w:sz w:val="24"/>
        </w:rPr>
      </w:pPr>
      <w:r>
        <w:rPr>
          <w:rFonts w:hint="eastAsia" w:ascii="楷体_GB2312" w:eastAsia="楷体_GB2312" w:cs="Arial"/>
          <w:bCs/>
          <w:sz w:val="24"/>
        </w:rPr>
        <w:t>地址： 浙江省</w:t>
      </w:r>
      <w:r>
        <w:rPr>
          <w:rFonts w:ascii="楷体_GB2312" w:eastAsia="楷体_GB2312" w:cs="Arial"/>
          <w:bCs/>
          <w:sz w:val="24"/>
        </w:rPr>
        <w:t>象山县象山县靖南大街409号 </w:t>
      </w:r>
      <w:r>
        <w:rPr>
          <w:rFonts w:hint="eastAsia" w:ascii="楷体_GB2312" w:eastAsia="楷体_GB2312" w:cs="Arial"/>
          <w:bCs/>
          <w:sz w:val="24"/>
        </w:rPr>
        <w:t xml:space="preserve">       </w:t>
      </w:r>
    </w:p>
    <w:p>
      <w:pPr>
        <w:spacing w:line="360" w:lineRule="auto"/>
        <w:rPr>
          <w:rFonts w:hint="eastAsia" w:ascii="楷体_GB2312" w:eastAsia="楷体_GB2312" w:cs="Arial"/>
          <w:bCs/>
          <w:sz w:val="24"/>
        </w:rPr>
      </w:pPr>
      <w:r>
        <w:rPr>
          <w:rFonts w:hint="eastAsia" w:ascii="楷体_GB2312" w:eastAsia="楷体_GB2312" w:cs="Arial"/>
          <w:bCs/>
          <w:sz w:val="24"/>
        </w:rPr>
        <w:t>联系人：叶科长</w:t>
      </w:r>
    </w:p>
    <w:p>
      <w:pPr>
        <w:spacing w:line="360" w:lineRule="auto"/>
        <w:rPr>
          <w:rFonts w:hint="eastAsia" w:ascii="楷体_GB2312" w:eastAsia="楷体_GB2312" w:cs="Arial"/>
          <w:bCs/>
          <w:sz w:val="24"/>
        </w:rPr>
      </w:pPr>
      <w:r>
        <w:rPr>
          <w:rFonts w:hint="eastAsia" w:ascii="楷体_GB2312" w:eastAsia="楷体_GB2312" w:cs="Arial"/>
          <w:bCs/>
          <w:sz w:val="24"/>
        </w:rPr>
        <w:t>联系电话：0574-65856103</w:t>
      </w:r>
    </w:p>
    <w:p>
      <w:pPr>
        <w:spacing w:line="360" w:lineRule="auto"/>
        <w:rPr>
          <w:rFonts w:hint="eastAsia" w:ascii="楷体_GB2312" w:eastAsia="楷体_GB2312" w:cs="Arial"/>
          <w:bCs/>
          <w:sz w:val="24"/>
        </w:rPr>
      </w:pPr>
    </w:p>
    <w:p>
      <w:pPr>
        <w:spacing w:line="360" w:lineRule="auto"/>
        <w:rPr>
          <w:rFonts w:hint="eastAsia" w:ascii="楷体_GB2312" w:eastAsia="楷体_GB2312" w:cs="Arial"/>
          <w:bCs/>
          <w:sz w:val="24"/>
        </w:rPr>
      </w:pPr>
      <w:r>
        <w:rPr>
          <w:rFonts w:hint="eastAsia" w:ascii="楷体_GB2312" w:eastAsia="楷体_GB2312" w:cs="Arial"/>
          <w:bCs/>
          <w:sz w:val="24"/>
        </w:rPr>
        <w:t>集中采购机构：象山县政府采购中心</w:t>
      </w:r>
    </w:p>
    <w:p>
      <w:pPr>
        <w:spacing w:line="360" w:lineRule="auto"/>
        <w:rPr>
          <w:rFonts w:hint="eastAsia" w:ascii="楷体_GB2312" w:eastAsia="楷体_GB2312" w:cs="Arial"/>
          <w:bCs/>
          <w:sz w:val="24"/>
        </w:rPr>
      </w:pPr>
      <w:r>
        <w:rPr>
          <w:rFonts w:hint="eastAsia" w:ascii="楷体_GB2312" w:eastAsia="楷体_GB2312" w:cs="Arial"/>
          <w:bCs/>
          <w:sz w:val="24"/>
        </w:rPr>
        <w:t>地址：浙江省象山县丹西街道象山港路300号4楼401室</w:t>
      </w:r>
    </w:p>
    <w:p>
      <w:pPr>
        <w:spacing w:line="360" w:lineRule="auto"/>
        <w:rPr>
          <w:rFonts w:hint="eastAsia" w:ascii="楷体_GB2312" w:eastAsia="楷体_GB2312" w:cs="Arial"/>
          <w:bCs/>
          <w:sz w:val="24"/>
        </w:rPr>
      </w:pPr>
      <w:r>
        <w:rPr>
          <w:rFonts w:hint="eastAsia" w:ascii="楷体_GB2312" w:eastAsia="楷体_GB2312" w:cs="Arial"/>
          <w:bCs/>
          <w:sz w:val="24"/>
        </w:rPr>
        <w:t xml:space="preserve">项目经办联系人：潘老师 </w:t>
      </w:r>
    </w:p>
    <w:p>
      <w:pPr>
        <w:spacing w:line="360" w:lineRule="auto"/>
        <w:rPr>
          <w:rFonts w:hint="eastAsia" w:ascii="楷体_GB2312" w:eastAsia="楷体_GB2312" w:cs="Arial"/>
          <w:bCs/>
          <w:sz w:val="24"/>
        </w:rPr>
      </w:pPr>
      <w:r>
        <w:rPr>
          <w:rFonts w:hint="eastAsia" w:ascii="楷体_GB2312" w:eastAsia="楷体_GB2312" w:cs="Arial"/>
          <w:bCs/>
          <w:sz w:val="24"/>
        </w:rPr>
        <w:t>联系电话：0574-65733033</w:t>
      </w:r>
    </w:p>
    <w:p>
      <w:pPr>
        <w:spacing w:line="360" w:lineRule="auto"/>
        <w:rPr>
          <w:rFonts w:hint="eastAsia" w:ascii="楷体_GB2312" w:eastAsia="楷体_GB2312" w:cs="Arial"/>
          <w:bCs/>
          <w:sz w:val="24"/>
        </w:rPr>
      </w:pPr>
      <w:r>
        <w:rPr>
          <w:rFonts w:hint="eastAsia" w:ascii="楷体_GB2312" w:eastAsia="楷体_GB2312" w:cs="Arial"/>
          <w:bCs/>
          <w:sz w:val="24"/>
        </w:rPr>
        <w:t>传真：0574-65733060</w:t>
      </w:r>
    </w:p>
    <w:p>
      <w:pPr>
        <w:spacing w:line="360" w:lineRule="auto"/>
        <w:rPr>
          <w:rFonts w:hint="eastAsia" w:ascii="楷体_GB2312" w:eastAsia="楷体_GB2312" w:cs="Arial"/>
          <w:bCs/>
          <w:sz w:val="24"/>
        </w:rPr>
      </w:pPr>
    </w:p>
    <w:p>
      <w:pPr>
        <w:spacing w:line="360" w:lineRule="auto"/>
        <w:rPr>
          <w:rFonts w:hint="eastAsia" w:ascii="楷体_GB2312" w:eastAsia="楷体_GB2312" w:cs="Arial"/>
          <w:bCs/>
          <w:sz w:val="24"/>
        </w:rPr>
      </w:pPr>
      <w:r>
        <w:rPr>
          <w:rFonts w:hint="eastAsia" w:ascii="楷体_GB2312" w:eastAsia="楷体_GB2312" w:cs="Arial"/>
          <w:bCs/>
          <w:sz w:val="24"/>
        </w:rPr>
        <w:t>政府采购监督管理部门及投诉受理部门：象山县财政局</w:t>
      </w:r>
    </w:p>
    <w:p>
      <w:pPr>
        <w:spacing w:line="360" w:lineRule="auto"/>
        <w:rPr>
          <w:rFonts w:hint="eastAsia" w:ascii="楷体_GB2312" w:eastAsia="楷体_GB2312" w:cs="Arial"/>
          <w:bCs/>
          <w:sz w:val="24"/>
        </w:rPr>
      </w:pPr>
      <w:r>
        <w:rPr>
          <w:rFonts w:hint="eastAsia" w:ascii="楷体_GB2312" w:eastAsia="楷体_GB2312" w:cs="Arial"/>
          <w:bCs/>
          <w:sz w:val="24"/>
        </w:rPr>
        <w:t>地址：象山县丹西街道丹峰西路163号</w:t>
      </w:r>
    </w:p>
    <w:p>
      <w:pPr>
        <w:spacing w:line="360" w:lineRule="auto"/>
        <w:rPr>
          <w:rFonts w:hint="eastAsia" w:ascii="楷体_GB2312" w:eastAsia="楷体_GB2312" w:cs="Arial"/>
          <w:bCs/>
          <w:sz w:val="24"/>
        </w:rPr>
      </w:pPr>
      <w:r>
        <w:rPr>
          <w:rFonts w:hint="eastAsia" w:ascii="楷体_GB2312" w:eastAsia="楷体_GB2312" w:cs="Arial"/>
          <w:bCs/>
          <w:sz w:val="24"/>
        </w:rPr>
        <w:t>联系人：林老师</w:t>
      </w:r>
    </w:p>
    <w:p>
      <w:pPr>
        <w:spacing w:line="360" w:lineRule="auto"/>
        <w:rPr>
          <w:rFonts w:hint="eastAsia" w:ascii="楷体_GB2312" w:eastAsia="楷体_GB2312" w:cs="Arial"/>
          <w:bCs/>
          <w:sz w:val="24"/>
        </w:rPr>
      </w:pPr>
      <w:r>
        <w:rPr>
          <w:rFonts w:hint="eastAsia" w:ascii="楷体_GB2312" w:eastAsia="楷体_GB2312" w:cs="Arial"/>
          <w:bCs/>
          <w:sz w:val="24"/>
        </w:rPr>
        <w:t xml:space="preserve">联系电话：0574-65753557 </w:t>
      </w:r>
    </w:p>
    <w:p>
      <w:pPr>
        <w:tabs>
          <w:tab w:val="left" w:pos="105"/>
          <w:tab w:val="left" w:pos="735"/>
          <w:tab w:val="left" w:pos="945"/>
          <w:tab w:val="left" w:pos="3360"/>
        </w:tabs>
        <w:adjustRightInd w:val="0"/>
        <w:snapToGrid w:val="0"/>
        <w:jc w:val="center"/>
        <w:rPr>
          <w:rFonts w:hint="eastAsia" w:eastAsia="楷体_GB2312"/>
          <w:b/>
          <w:sz w:val="28"/>
        </w:rPr>
      </w:pPr>
    </w:p>
    <w:p>
      <w:pPr>
        <w:tabs>
          <w:tab w:val="left" w:pos="105"/>
          <w:tab w:val="left" w:pos="735"/>
          <w:tab w:val="left" w:pos="945"/>
          <w:tab w:val="left" w:pos="3360"/>
        </w:tabs>
        <w:adjustRightInd w:val="0"/>
        <w:snapToGrid w:val="0"/>
        <w:jc w:val="center"/>
        <w:rPr>
          <w:rFonts w:hint="eastAsia" w:eastAsia="楷体_GB2312"/>
          <w:b/>
          <w:sz w:val="28"/>
        </w:rPr>
      </w:pPr>
    </w:p>
    <w:p>
      <w:pPr>
        <w:tabs>
          <w:tab w:val="left" w:pos="105"/>
          <w:tab w:val="left" w:pos="735"/>
          <w:tab w:val="left" w:pos="945"/>
          <w:tab w:val="left" w:pos="3360"/>
        </w:tabs>
        <w:adjustRightInd w:val="0"/>
        <w:snapToGrid w:val="0"/>
        <w:jc w:val="center"/>
        <w:rPr>
          <w:rFonts w:hint="eastAsia" w:eastAsia="楷体_GB2312"/>
          <w:b/>
          <w:sz w:val="28"/>
        </w:rPr>
      </w:pPr>
    </w:p>
    <w:p>
      <w:pPr>
        <w:tabs>
          <w:tab w:val="left" w:pos="105"/>
          <w:tab w:val="left" w:pos="735"/>
          <w:tab w:val="left" w:pos="945"/>
          <w:tab w:val="left" w:pos="3360"/>
        </w:tabs>
        <w:adjustRightInd w:val="0"/>
        <w:snapToGrid w:val="0"/>
        <w:jc w:val="center"/>
        <w:rPr>
          <w:rFonts w:hint="eastAsia" w:eastAsia="楷体_GB2312"/>
          <w:b/>
          <w:sz w:val="28"/>
        </w:rPr>
      </w:pPr>
      <w:r>
        <w:rPr>
          <w:rFonts w:hint="eastAsia" w:eastAsia="楷体_GB2312"/>
          <w:b/>
          <w:sz w:val="28"/>
        </w:rPr>
        <w:t>第一部分</w:t>
      </w:r>
      <w:r>
        <w:rPr>
          <w:rFonts w:eastAsia="楷体_GB2312"/>
          <w:b/>
          <w:sz w:val="28"/>
        </w:rPr>
        <w:t xml:space="preserve"> </w:t>
      </w:r>
      <w:r>
        <w:rPr>
          <w:rFonts w:hint="eastAsia" w:eastAsia="楷体_GB2312"/>
          <w:b/>
          <w:sz w:val="28"/>
        </w:rPr>
        <w:t xml:space="preserve">  </w:t>
      </w:r>
      <w:r>
        <w:rPr>
          <w:rFonts w:eastAsia="楷体_GB2312"/>
          <w:b/>
          <w:sz w:val="28"/>
        </w:rPr>
        <w:t xml:space="preserve"> </w:t>
      </w:r>
      <w:bookmarkStart w:id="64" w:name="_Toc83891705"/>
      <w:bookmarkStart w:id="65" w:name="_Toc72574792"/>
      <w:bookmarkStart w:id="66" w:name="_Toc83886591"/>
      <w:r>
        <w:rPr>
          <w:rFonts w:hint="eastAsia" w:eastAsia="楷体_GB2312"/>
          <w:b/>
          <w:sz w:val="28"/>
        </w:rPr>
        <w:t>投标</w:t>
      </w:r>
      <w:bookmarkEnd w:id="64"/>
      <w:bookmarkEnd w:id="65"/>
      <w:bookmarkEnd w:id="66"/>
      <w:r>
        <w:rPr>
          <w:rFonts w:hint="eastAsia" w:eastAsia="楷体_GB2312"/>
          <w:b/>
          <w:sz w:val="28"/>
        </w:rPr>
        <w:t>邀请函</w:t>
      </w:r>
    </w:p>
    <w:p>
      <w:pPr>
        <w:tabs>
          <w:tab w:val="left" w:pos="105"/>
          <w:tab w:val="left" w:pos="735"/>
          <w:tab w:val="left" w:pos="945"/>
          <w:tab w:val="left" w:pos="3360"/>
        </w:tabs>
        <w:adjustRightInd w:val="0"/>
        <w:snapToGrid w:val="0"/>
        <w:jc w:val="center"/>
        <w:rPr>
          <w:b/>
          <w:sz w:val="28"/>
        </w:rPr>
      </w:pPr>
    </w:p>
    <w:tbl>
      <w:tblPr>
        <w:tblStyle w:val="19"/>
        <w:tblW w:w="8932"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7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ascii="楷体_GB2312" w:eastAsia="楷体_GB2312"/>
                <w:sz w:val="24"/>
              </w:rPr>
            </w:pPr>
            <w:r>
              <w:rPr>
                <w:rFonts w:hint="eastAsia" w:ascii="楷体_GB2312" w:eastAsia="楷体_GB2312"/>
                <w:sz w:val="24"/>
              </w:rPr>
              <w:t>序号</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ascii="楷体_GB2312" w:eastAsia="楷体_GB2312"/>
                <w:b/>
                <w:bCs/>
                <w:sz w:val="24"/>
              </w:rPr>
            </w:pPr>
            <w:r>
              <w:rPr>
                <w:rFonts w:hint="eastAsia" w:ascii="楷体_GB2312" w:eastAsia="楷体_GB2312"/>
                <w:b/>
                <w:bCs/>
                <w:sz w:val="24"/>
              </w:rPr>
              <w:t>内</w:t>
            </w:r>
            <w:r>
              <w:rPr>
                <w:rFonts w:ascii="楷体_GB2312" w:eastAsia="楷体_GB2312"/>
                <w:b/>
                <w:bCs/>
                <w:sz w:val="24"/>
              </w:rPr>
              <w:t xml:space="preserve"> </w:t>
            </w:r>
            <w:r>
              <w:rPr>
                <w:rFonts w:hint="eastAsia" w:ascii="楷体_GB2312" w:eastAsia="楷体_GB2312"/>
                <w:b/>
                <w:bCs/>
                <w:sz w:val="24"/>
              </w:rPr>
              <w:t xml:space="preserve">          </w:t>
            </w:r>
            <w:r>
              <w:rPr>
                <w:rFonts w:ascii="楷体_GB2312" w:eastAsia="楷体_GB2312"/>
                <w:b/>
                <w:bCs/>
                <w:sz w:val="24"/>
              </w:rPr>
              <w:t xml:space="preserve"> </w:t>
            </w:r>
            <w:r>
              <w:rPr>
                <w:rFonts w:hint="eastAsia" w:ascii="楷体_GB2312" w:eastAsia="楷体_GB2312"/>
                <w:b/>
                <w:bCs/>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5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1</w:t>
            </w:r>
          </w:p>
        </w:tc>
        <w:tc>
          <w:tcPr>
            <w:tcW w:w="7912" w:type="dxa"/>
            <w:tcBorders>
              <w:top w:val="single" w:color="auto" w:sz="4" w:space="0"/>
              <w:left w:val="single" w:color="auto" w:sz="4" w:space="0"/>
              <w:bottom w:val="single" w:color="auto" w:sz="4" w:space="0"/>
              <w:right w:val="single" w:color="auto" w:sz="4" w:space="0"/>
            </w:tcBorders>
            <w:noWrap w:val="0"/>
            <w:vAlign w:val="top"/>
          </w:tcPr>
          <w:p>
            <w:pPr>
              <w:tabs>
                <w:tab w:val="left" w:pos="105"/>
                <w:tab w:val="left" w:pos="735"/>
                <w:tab w:val="left" w:pos="945"/>
                <w:tab w:val="left" w:pos="3360"/>
              </w:tabs>
              <w:adjustRightInd w:val="0"/>
              <w:snapToGrid w:val="0"/>
              <w:rPr>
                <w:rFonts w:ascii="楷体_GB2312" w:eastAsia="楷体_GB2312"/>
                <w:sz w:val="24"/>
              </w:rPr>
            </w:pPr>
            <w:r>
              <w:rPr>
                <w:rFonts w:hint="eastAsia" w:ascii="楷体_GB2312" w:eastAsia="楷体_GB2312"/>
                <w:sz w:val="24"/>
              </w:rPr>
              <w:t>项目编号：</w:t>
            </w:r>
            <w:r>
              <w:rPr>
                <w:rFonts w:ascii="楷体_GB2312" w:eastAsia="楷体_GB2312"/>
                <w:sz w:val="24"/>
              </w:rPr>
              <w:t>2020XSZFCG</w:t>
            </w:r>
            <w:r>
              <w:rPr>
                <w:rFonts w:hint="eastAsia" w:ascii="楷体_GB2312" w:eastAsia="楷体_GB2312"/>
                <w:sz w:val="24"/>
              </w:rPr>
              <w:t>164</w:t>
            </w:r>
            <w:r>
              <w:rPr>
                <w:rFonts w:ascii="楷体_GB2312" w:eastAsia="楷体_GB2312"/>
                <w:sz w:val="24"/>
              </w:rPr>
              <w:t>G</w:t>
            </w:r>
            <w:r>
              <w:rPr>
                <w:rFonts w:hint="eastAsia" w:ascii="楷体_GB2312" w:eastAsia="楷体_GB2312"/>
                <w:color w:val="FF0000"/>
                <w:sz w:val="24"/>
              </w:rPr>
              <w:t xml:space="preserve"> </w:t>
            </w:r>
          </w:p>
          <w:p>
            <w:pPr>
              <w:tabs>
                <w:tab w:val="left" w:pos="180"/>
              </w:tabs>
              <w:adjustRightInd w:val="0"/>
              <w:snapToGrid w:val="0"/>
              <w:spacing w:line="300" w:lineRule="auto"/>
              <w:rPr>
                <w:rFonts w:hint="eastAsia" w:ascii="楷体_GB2312" w:eastAsia="楷体_GB2312"/>
                <w:sz w:val="24"/>
              </w:rPr>
            </w:pPr>
            <w:r>
              <w:rPr>
                <w:rFonts w:hint="eastAsia" w:ascii="楷体_GB2312" w:eastAsia="楷体_GB2312"/>
                <w:sz w:val="24"/>
              </w:rPr>
              <w:t>项目名称：</w:t>
            </w:r>
            <w:bookmarkStart w:id="67" w:name="OLE_LINK245"/>
            <w:bookmarkStart w:id="68" w:name="OLE_LINK257"/>
            <w:bookmarkStart w:id="69" w:name="OLE_LINK244"/>
            <w:bookmarkStart w:id="70" w:name="OLE_LINK243"/>
            <w:r>
              <w:rPr>
                <w:rFonts w:hint="eastAsia" w:ascii="楷体_GB2312" w:eastAsia="楷体_GB2312"/>
                <w:sz w:val="24"/>
              </w:rPr>
              <w:t>象山县社会治安动态视频监控系统高清智能化维护项目</w:t>
            </w:r>
            <w:bookmarkEnd w:id="67"/>
            <w:bookmarkEnd w:id="68"/>
            <w:bookmarkEnd w:id="69"/>
            <w:bookmarkEnd w:id="70"/>
          </w:p>
          <w:p>
            <w:pPr>
              <w:tabs>
                <w:tab w:val="left" w:pos="363"/>
              </w:tabs>
              <w:adjustRightInd w:val="0"/>
              <w:snapToGrid w:val="0"/>
              <w:spacing w:line="300" w:lineRule="auto"/>
              <w:ind w:left="363" w:hanging="360"/>
              <w:rPr>
                <w:rFonts w:ascii="楷体_GB2312" w:eastAsia="楷体_GB2312"/>
                <w:sz w:val="24"/>
              </w:rPr>
            </w:pPr>
            <w:r>
              <w:rPr>
                <w:rFonts w:hint="eastAsia" w:ascii="楷体_GB2312" w:hAnsi="Arial" w:eastAsia="楷体_GB2312"/>
                <w:bCs/>
                <w:sz w:val="24"/>
              </w:rPr>
              <w:t>采购数量及要求：</w:t>
            </w:r>
            <w:r>
              <w:rPr>
                <w:rFonts w:hint="eastAsia" w:ascii="楷体_GB2312" w:eastAsia="楷体_GB2312" w:cs="Arial"/>
                <w:bCs/>
                <w:sz w:val="24"/>
              </w:rPr>
              <w:t>招标文件第三部分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0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2</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rPr>
                <w:rFonts w:hint="eastAsia" w:ascii="楷体_GB2312" w:eastAsia="楷体_GB2312"/>
                <w:sz w:val="24"/>
              </w:rPr>
            </w:pPr>
            <w:r>
              <w:rPr>
                <w:rFonts w:hint="eastAsia" w:ascii="楷体_GB2312" w:eastAsia="楷体_GB2312"/>
                <w:sz w:val="24"/>
              </w:rPr>
              <w:t>招标人:</w:t>
            </w:r>
            <w:r>
              <w:rPr>
                <w:rFonts w:hint="eastAsia" w:ascii="楷体_GB2312" w:hAnsi="宋体" w:eastAsia="楷体_GB2312"/>
                <w:sz w:val="24"/>
              </w:rPr>
              <w:t xml:space="preserve"> 象山县政府采购中心</w:t>
            </w:r>
          </w:p>
          <w:p>
            <w:pPr>
              <w:tabs>
                <w:tab w:val="left" w:pos="105"/>
                <w:tab w:val="left" w:pos="735"/>
                <w:tab w:val="left" w:pos="945"/>
                <w:tab w:val="left" w:pos="3360"/>
              </w:tabs>
              <w:adjustRightInd w:val="0"/>
              <w:snapToGrid w:val="0"/>
              <w:rPr>
                <w:rFonts w:hint="eastAsia" w:ascii="楷体_GB2312" w:eastAsia="楷体_GB2312"/>
                <w:sz w:val="24"/>
              </w:rPr>
            </w:pPr>
            <w:r>
              <w:rPr>
                <w:rFonts w:hint="eastAsia" w:ascii="楷体_GB2312" w:eastAsia="楷体_GB2312"/>
                <w:sz w:val="24"/>
              </w:rPr>
              <w:t>地  址：</w:t>
            </w:r>
            <w:r>
              <w:rPr>
                <w:rFonts w:ascii="楷体_GB2312" w:eastAsia="楷体_GB2312"/>
                <w:sz w:val="24"/>
              </w:rPr>
              <w:t xml:space="preserve"> 象山县</w:t>
            </w:r>
            <w:r>
              <w:rPr>
                <w:rFonts w:hint="eastAsia" w:ascii="楷体_GB2312" w:eastAsia="楷体_GB2312"/>
                <w:sz w:val="24"/>
              </w:rPr>
              <w:t>丹西街道</w:t>
            </w:r>
            <w:r>
              <w:rPr>
                <w:rFonts w:hint="eastAsia" w:ascii="楷体_GB2312" w:eastAsia="楷体_GB2312" w:cs="Arial"/>
                <w:bCs/>
                <w:sz w:val="24"/>
              </w:rPr>
              <w:t>象山港路300</w:t>
            </w:r>
            <w:r>
              <w:rPr>
                <w:rFonts w:ascii="楷体_GB2312" w:eastAsia="楷体_GB2312" w:cs="Arial"/>
                <w:bCs/>
                <w:sz w:val="24"/>
              </w:rPr>
              <w:t>号</w:t>
            </w:r>
          </w:p>
          <w:p>
            <w:pPr>
              <w:adjustRightInd w:val="0"/>
              <w:snapToGrid w:val="0"/>
              <w:rPr>
                <w:rFonts w:hint="eastAsia" w:ascii="楷体_GB2312" w:eastAsia="楷体_GB2312"/>
                <w:sz w:val="24"/>
              </w:rPr>
            </w:pPr>
            <w:r>
              <w:rPr>
                <w:rFonts w:hint="eastAsia" w:ascii="楷体_GB2312" w:eastAsia="楷体_GB2312"/>
                <w:sz w:val="24"/>
              </w:rPr>
              <w:t>邮  编：315700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3</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rPr>
                <w:rFonts w:hint="eastAsia" w:ascii="楷体_GB2312" w:eastAsia="楷体_GB2312"/>
                <w:sz w:val="24"/>
              </w:rPr>
            </w:pPr>
            <w:r>
              <w:rPr>
                <w:rFonts w:hint="eastAsia" w:ascii="楷体_GB2312" w:eastAsia="楷体_GB2312"/>
                <w:sz w:val="24"/>
              </w:rPr>
              <w:t>招标方式：公开招标</w:t>
            </w:r>
          </w:p>
          <w:p>
            <w:pPr>
              <w:tabs>
                <w:tab w:val="left" w:pos="105"/>
                <w:tab w:val="left" w:pos="735"/>
                <w:tab w:val="left" w:pos="945"/>
                <w:tab w:val="left" w:pos="3360"/>
              </w:tabs>
              <w:adjustRightInd w:val="0"/>
              <w:snapToGrid w:val="0"/>
              <w:rPr>
                <w:rFonts w:ascii="楷体_GB2312" w:eastAsia="楷体_GB2312"/>
                <w:sz w:val="24"/>
              </w:rPr>
            </w:pPr>
            <w:r>
              <w:rPr>
                <w:rFonts w:hint="eastAsia" w:ascii="楷体_GB2312" w:eastAsia="楷体_GB2312"/>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4</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rPr>
                <w:rFonts w:hint="eastAsia" w:ascii="楷体_GB2312" w:eastAsia="楷体_GB2312"/>
                <w:sz w:val="24"/>
              </w:rPr>
            </w:pPr>
            <w:r>
              <w:rPr>
                <w:rFonts w:hint="eastAsia" w:ascii="楷体_GB2312" w:eastAsia="楷体_GB2312"/>
                <w:sz w:val="24"/>
              </w:rPr>
              <w:t>合同签订期限：中标公示结束后30日内</w:t>
            </w:r>
          </w:p>
          <w:p>
            <w:pPr>
              <w:pStyle w:val="55"/>
              <w:spacing w:line="360" w:lineRule="auto"/>
              <w:ind w:firstLine="0" w:firstLineChars="0"/>
              <w:jc w:val="left"/>
              <w:rPr>
                <w:rFonts w:hint="eastAsia" w:ascii="楷体_GB2312" w:eastAsia="楷体_GB2312"/>
                <w:sz w:val="24"/>
              </w:rPr>
            </w:pPr>
            <w:r>
              <w:rPr>
                <w:rFonts w:hint="eastAsia" w:ascii="楷体_GB2312" w:eastAsia="楷体_GB2312"/>
                <w:sz w:val="24"/>
              </w:rPr>
              <w:t>付款方式: 合同签订完毕生效后，根据服务周期，维护费每半年结算一次，运维满半年后的15个工作日内支付，实际支付金额=中标价/5年/2-每月考核罚款的累计。</w:t>
            </w:r>
            <w:bookmarkStart w:id="71" w:name="OLE_LINK14"/>
            <w:bookmarkStart w:id="72" w:name="OLE_LINK15"/>
          </w:p>
          <w:p>
            <w:pPr>
              <w:pStyle w:val="55"/>
              <w:spacing w:line="360" w:lineRule="auto"/>
              <w:ind w:firstLine="0" w:firstLineChars="0"/>
              <w:jc w:val="left"/>
              <w:rPr>
                <w:rFonts w:ascii="楷体_GB2312" w:eastAsia="楷体_GB2312"/>
                <w:sz w:val="24"/>
              </w:rPr>
            </w:pPr>
            <w:r>
              <w:rPr>
                <w:rFonts w:hint="eastAsia" w:ascii="楷体_GB2312" w:eastAsia="楷体_GB2312"/>
                <w:sz w:val="24"/>
              </w:rPr>
              <w:t>维护期：见招标文件第三部分</w:t>
            </w:r>
            <w:bookmarkEnd w:id="71"/>
            <w:bookmarkEnd w:id="72"/>
          </w:p>
          <w:p>
            <w:pPr>
              <w:tabs>
                <w:tab w:val="left" w:pos="105"/>
                <w:tab w:val="left" w:pos="735"/>
                <w:tab w:val="left" w:pos="945"/>
                <w:tab w:val="left" w:pos="3360"/>
              </w:tabs>
              <w:adjustRightInd w:val="0"/>
              <w:snapToGrid w:val="0"/>
              <w:rPr>
                <w:rFonts w:ascii="楷体_GB2312" w:eastAsia="楷体_GB2312"/>
                <w:sz w:val="24"/>
              </w:rPr>
            </w:pPr>
            <w:r>
              <w:rPr>
                <w:rFonts w:hint="eastAsia" w:ascii="楷体_GB2312" w:eastAsia="楷体_GB2312"/>
                <w:sz w:val="24"/>
              </w:rPr>
              <w:t>维护地点：</w:t>
            </w:r>
            <w:bookmarkStart w:id="73" w:name="OLE_LINK254"/>
            <w:bookmarkStart w:id="74" w:name="OLE_LINK253"/>
            <w:bookmarkStart w:id="75" w:name="OLE_LINK252"/>
            <w:r>
              <w:rPr>
                <w:rFonts w:hint="eastAsia" w:ascii="楷体_GB2312" w:eastAsia="楷体_GB2312"/>
                <w:sz w:val="24"/>
              </w:rPr>
              <w:t>见招标文件第三部分</w:t>
            </w:r>
            <w:bookmarkEnd w:id="73"/>
            <w:bookmarkEnd w:id="74"/>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hint="eastAsia" w:ascii="楷体_GB2312" w:eastAsia="楷体_GB2312"/>
                <w:sz w:val="24"/>
              </w:rPr>
            </w:pPr>
            <w:r>
              <w:rPr>
                <w:rFonts w:hint="eastAsia" w:ascii="楷体_GB2312" w:eastAsia="楷体_GB2312"/>
                <w:sz w:val="24"/>
              </w:rPr>
              <w:t>5</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rPr>
                <w:rFonts w:ascii="楷体_GB2312" w:eastAsia="楷体_GB2312"/>
                <w:sz w:val="24"/>
              </w:rPr>
            </w:pPr>
            <w:r>
              <w:rPr>
                <w:rFonts w:hint="eastAsia" w:ascii="楷体_GB2312" w:eastAsia="楷体_GB2312"/>
                <w:sz w:val="24"/>
              </w:rPr>
              <w:t>采购人：象山县公安局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21"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hint="eastAsia" w:ascii="楷体_GB2312" w:eastAsia="楷体_GB2312"/>
                <w:sz w:val="24"/>
              </w:rPr>
            </w:pPr>
            <w:r>
              <w:rPr>
                <w:rFonts w:hint="eastAsia" w:ascii="楷体_GB2312" w:eastAsia="楷体_GB2312"/>
                <w:sz w:val="24"/>
              </w:rPr>
              <w:t>6</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楷体_GB2312" w:eastAsia="楷体_GB2312"/>
                <w:sz w:val="24"/>
              </w:rPr>
            </w:pPr>
            <w:r>
              <w:rPr>
                <w:rFonts w:hint="eastAsia" w:ascii="楷体_GB2312" w:eastAsia="楷体_GB2312"/>
                <w:sz w:val="24"/>
              </w:rPr>
              <w:t>获取招标文件方式：网上下载，下载网址：</w:t>
            </w:r>
            <w:r>
              <w:rPr>
                <w:rFonts w:ascii="楷体_GB2312" w:eastAsia="楷体_GB2312"/>
                <w:sz w:val="24"/>
              </w:rPr>
              <w:fldChar w:fldCharType="begin"/>
            </w:r>
            <w:r>
              <w:rPr>
                <w:rFonts w:ascii="楷体_GB2312" w:eastAsia="楷体_GB2312"/>
                <w:sz w:val="24"/>
              </w:rPr>
              <w:instrText xml:space="preserve"> HYPERLINK "</w:instrText>
            </w:r>
            <w:r>
              <w:rPr>
                <w:rFonts w:hint="eastAsia" w:ascii="楷体_GB2312" w:eastAsia="楷体_GB2312"/>
                <w:sz w:val="24"/>
              </w:rPr>
              <w:instrText xml:space="preserve">http://www.nbzfcg.cn/</w:instrText>
            </w:r>
            <w:r>
              <w:rPr>
                <w:rFonts w:ascii="楷体_GB2312" w:eastAsia="楷体_GB2312"/>
                <w:sz w:val="24"/>
              </w:rPr>
              <w:instrText xml:space="preserve">" </w:instrText>
            </w:r>
            <w:r>
              <w:rPr>
                <w:rFonts w:ascii="楷体_GB2312" w:eastAsia="楷体_GB2312"/>
                <w:sz w:val="24"/>
              </w:rPr>
              <w:fldChar w:fldCharType="separate"/>
            </w:r>
            <w:r>
              <w:rPr>
                <w:rFonts w:hint="eastAsia" w:ascii="楷体_GB2312" w:eastAsia="楷体_GB2312"/>
                <w:sz w:val="24"/>
              </w:rPr>
              <w:t>http://www.nbzfcg.cn/</w:t>
            </w:r>
            <w:r>
              <w:rPr>
                <w:rFonts w:ascii="楷体_GB2312" w:eastAsia="楷体_GB2312"/>
                <w:sz w:val="24"/>
              </w:rPr>
              <w:fldChar w:fldCharType="end"/>
            </w:r>
            <w:r>
              <w:rPr>
                <w:rFonts w:hint="eastAsia" w:ascii="楷体_GB2312" w:eastAsia="楷体_GB2312"/>
                <w:sz w:val="24"/>
              </w:rPr>
              <w:t xml:space="preserve"> 或</w:t>
            </w:r>
            <w:bookmarkStart w:id="76" w:name="OLE_LINK1"/>
            <w:bookmarkStart w:id="77" w:name="OLE_LINK2"/>
            <w:r>
              <w:rPr>
                <w:rFonts w:ascii="楷体_GB2312" w:eastAsia="楷体_GB2312"/>
                <w:sz w:val="24"/>
              </w:rPr>
              <w:fldChar w:fldCharType="begin"/>
            </w:r>
            <w:r>
              <w:rPr>
                <w:rFonts w:ascii="楷体_GB2312" w:eastAsia="楷体_GB2312"/>
                <w:sz w:val="24"/>
              </w:rPr>
              <w:instrText xml:space="preserve"> HYPERLINK "http://zfcg.czt.zj.gov.cn/" </w:instrText>
            </w:r>
            <w:r>
              <w:rPr>
                <w:rFonts w:ascii="楷体_GB2312" w:eastAsia="楷体_GB2312"/>
                <w:sz w:val="24"/>
              </w:rPr>
              <w:fldChar w:fldCharType="separate"/>
            </w:r>
            <w:r>
              <w:rPr>
                <w:rFonts w:ascii="楷体_GB2312" w:eastAsia="楷体_GB2312"/>
                <w:sz w:val="24"/>
              </w:rPr>
              <w:t>http://zfcg.czt.zj.gov.cn</w:t>
            </w:r>
            <w:r>
              <w:rPr>
                <w:rFonts w:ascii="楷体_GB2312" w:eastAsia="楷体_GB2312"/>
                <w:sz w:val="24"/>
              </w:rPr>
              <w:fldChar w:fldCharType="end"/>
            </w:r>
            <w:bookmarkEnd w:id="76"/>
            <w:bookmarkEnd w:id="77"/>
          </w:p>
          <w:p>
            <w:pPr>
              <w:snapToGrid w:val="0"/>
              <w:spacing w:line="360" w:lineRule="auto"/>
              <w:rPr>
                <w:rFonts w:hint="eastAsia"/>
              </w:rPr>
            </w:pPr>
            <w:r>
              <w:rPr>
                <w:rFonts w:hint="eastAsia" w:ascii="楷体_GB2312" w:eastAsia="楷体_GB2312"/>
                <w:sz w:val="24"/>
              </w:rPr>
              <w:t>招标文件获取时间：2020年 7月1 日至2020年 7月8日。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42"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hint="eastAsia" w:ascii="楷体_GB2312" w:eastAsia="楷体_GB2312"/>
                <w:sz w:val="24"/>
              </w:rPr>
            </w:pPr>
            <w:r>
              <w:rPr>
                <w:rFonts w:hint="eastAsia" w:ascii="楷体_GB2312" w:eastAsia="楷体_GB2312"/>
                <w:sz w:val="24"/>
              </w:rPr>
              <w:t>7</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楷体_GB2312" w:hAnsi="宋体" w:eastAsia="楷体_GB2312"/>
                <w:sz w:val="24"/>
              </w:rPr>
            </w:pPr>
            <w:r>
              <w:rPr>
                <w:rFonts w:hint="eastAsia" w:ascii="楷体_GB2312" w:eastAsia="楷体_GB2312"/>
                <w:sz w:val="24"/>
              </w:rPr>
              <w:t>投标书递交至：</w:t>
            </w:r>
            <w:r>
              <w:rPr>
                <w:rFonts w:hint="eastAsia" w:ascii="楷体_GB2312" w:hAnsi="宋体" w:eastAsia="楷体_GB2312"/>
                <w:sz w:val="24"/>
              </w:rPr>
              <w:t>象山县行政服务中心四楼404室（象山县丹西街道象山港路300号）。</w:t>
            </w:r>
          </w:p>
          <w:p>
            <w:pPr>
              <w:snapToGrid w:val="0"/>
              <w:spacing w:line="360" w:lineRule="auto"/>
              <w:rPr>
                <w:rFonts w:ascii="楷体_GB2312" w:hAnsi="宋体" w:eastAsia="楷体_GB2312"/>
                <w:sz w:val="24"/>
              </w:rPr>
            </w:pPr>
            <w:r>
              <w:rPr>
                <w:rFonts w:hint="eastAsia" w:ascii="楷体_GB2312" w:hAnsi="宋体" w:eastAsia="楷体_GB2312"/>
                <w:sz w:val="24"/>
              </w:rPr>
              <w:t>(1)</w:t>
            </w:r>
            <w:r>
              <w:rPr>
                <w:sz w:val="24"/>
              </w:rPr>
              <w:t xml:space="preserve"> </w:t>
            </w:r>
            <w:r>
              <w:rPr>
                <w:rFonts w:hint="eastAsia" w:ascii="楷体_GB2312" w:hAnsi="宋体" w:eastAsia="楷体_GB2312"/>
                <w:sz w:val="24"/>
              </w:rPr>
              <w:t>现场递交投标文件：投标单位应授权“甬行码”/“健康码”为绿码的工作人员前来投标。</w:t>
            </w:r>
          </w:p>
          <w:p>
            <w:pPr>
              <w:snapToGrid w:val="0"/>
              <w:spacing w:line="360" w:lineRule="auto"/>
              <w:rPr>
                <w:rFonts w:hint="eastAsia" w:ascii="楷体_GB2312" w:eastAsia="楷体_GB2312"/>
                <w:sz w:val="24"/>
              </w:rPr>
            </w:pPr>
            <w:r>
              <w:rPr>
                <w:rFonts w:hint="eastAsia" w:ascii="楷体_GB2312" w:hAnsi="宋体" w:eastAsia="楷体_GB2312"/>
                <w:sz w:val="24"/>
              </w:rPr>
              <w:t>(2) 邮寄投标文件：邮寄至上述地址，接收人：徐老师，联系电话：0574-65618091，13989342281。招标方考虑供应商邮寄在途时间，适当延长采购公告期限。投标人应充分考虑邮寄所需的时间，在邮寄发出后及时告知接收人并保持联系，至少在投标截止时间前1小时，与接收人确认邮件送达情况，确保投标文件能按时送达。若超出投标截止时间送达的投标文件将被拒绝接收，因投标文件未及时送达引起的相关责任由投标人自行承担。技术商务标和价格标应分别密封封装，另附一份法定代表人授权书复印件统一打包后邮寄。</w:t>
            </w:r>
          </w:p>
          <w:p>
            <w:pPr>
              <w:tabs>
                <w:tab w:val="left" w:pos="105"/>
                <w:tab w:val="left" w:pos="735"/>
                <w:tab w:val="left" w:pos="945"/>
                <w:tab w:val="left" w:pos="3360"/>
              </w:tabs>
              <w:adjustRightInd w:val="0"/>
              <w:snapToGrid w:val="0"/>
              <w:rPr>
                <w:rFonts w:ascii="楷体_GB2312" w:eastAsia="楷体_GB2312"/>
                <w:sz w:val="24"/>
              </w:rPr>
            </w:pPr>
            <w:r>
              <w:rPr>
                <w:rFonts w:hint="eastAsia" w:ascii="楷体_GB2312" w:eastAsia="楷体_GB2312"/>
                <w:sz w:val="24"/>
              </w:rPr>
              <w:t>联系人：潘老师      联系电话：0574-65733033</w:t>
            </w:r>
          </w:p>
          <w:p>
            <w:pPr>
              <w:tabs>
                <w:tab w:val="left" w:pos="105"/>
                <w:tab w:val="left" w:pos="735"/>
                <w:tab w:val="left" w:pos="945"/>
                <w:tab w:val="left" w:pos="3360"/>
              </w:tabs>
              <w:adjustRightInd w:val="0"/>
              <w:snapToGrid w:val="0"/>
              <w:rPr>
                <w:rFonts w:hint="eastAsia" w:ascii="楷体_GB2312" w:eastAsia="楷体_GB2312" w:cs="Arial"/>
                <w:bCs/>
                <w:sz w:val="24"/>
              </w:rPr>
            </w:pPr>
            <w:r>
              <w:rPr>
                <w:rFonts w:hint="eastAsia" w:ascii="楷体_GB2312" w:eastAsia="楷体_GB2312"/>
                <w:sz w:val="24"/>
              </w:rPr>
              <w:t>投标截止时间：</w:t>
            </w:r>
            <w:r>
              <w:rPr>
                <w:rFonts w:hint="eastAsia" w:ascii="楷体_GB2312" w:eastAsia="楷体_GB2312" w:cs="Arial"/>
                <w:bCs/>
                <w:sz w:val="24"/>
              </w:rPr>
              <w:t>2020年7 月22 日14时20分整</w:t>
            </w:r>
          </w:p>
          <w:p>
            <w:pPr>
              <w:tabs>
                <w:tab w:val="left" w:pos="105"/>
                <w:tab w:val="left" w:pos="735"/>
                <w:tab w:val="left" w:pos="945"/>
                <w:tab w:val="left" w:pos="3360"/>
              </w:tabs>
              <w:adjustRightInd w:val="0"/>
              <w:snapToGrid w:val="0"/>
              <w:rPr>
                <w:rFonts w:hint="eastAsia" w:ascii="楷体_GB2312" w:eastAsia="楷体_GB2312"/>
                <w:sz w:val="24"/>
              </w:rPr>
            </w:pPr>
            <w:r>
              <w:rPr>
                <w:rFonts w:hint="eastAsia" w:ascii="楷体_GB2312" w:eastAsia="楷体_GB2312"/>
                <w:sz w:val="24"/>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8"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hint="eastAsia" w:ascii="楷体_GB2312" w:eastAsia="楷体_GB2312"/>
                <w:sz w:val="24"/>
              </w:rPr>
            </w:pPr>
            <w:r>
              <w:rPr>
                <w:rFonts w:hint="eastAsia" w:ascii="楷体_GB2312" w:eastAsia="楷体_GB2312"/>
                <w:sz w:val="24"/>
              </w:rPr>
              <w:t>8</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spacing w:line="360" w:lineRule="auto"/>
              <w:rPr>
                <w:rFonts w:ascii="楷体_GB2312" w:eastAsia="楷体_GB2312"/>
                <w:b/>
                <w:bCs/>
                <w:sz w:val="24"/>
              </w:rPr>
            </w:pPr>
            <w:r>
              <w:rPr>
                <w:rFonts w:hint="eastAsia" w:ascii="楷体_GB2312" w:eastAsia="楷体_GB2312"/>
                <w:sz w:val="24"/>
              </w:rPr>
              <w:t>开标时间：</w:t>
            </w:r>
            <w:r>
              <w:rPr>
                <w:rFonts w:ascii="楷体_GB2312" w:eastAsia="楷体_GB2312" w:cs="Arial"/>
                <w:bCs/>
                <w:sz w:val="24"/>
              </w:rPr>
              <w:t>20</w:t>
            </w:r>
            <w:r>
              <w:rPr>
                <w:rFonts w:hint="eastAsia" w:ascii="楷体_GB2312" w:eastAsia="楷体_GB2312" w:cs="Arial"/>
                <w:bCs/>
                <w:sz w:val="24"/>
              </w:rPr>
              <w:t>20</w:t>
            </w:r>
            <w:r>
              <w:rPr>
                <w:rFonts w:ascii="楷体_GB2312" w:eastAsia="楷体_GB2312" w:cs="Arial"/>
                <w:bCs/>
                <w:sz w:val="24"/>
              </w:rPr>
              <w:t>年</w:t>
            </w:r>
            <w:r>
              <w:rPr>
                <w:rFonts w:hint="eastAsia" w:ascii="楷体_GB2312" w:eastAsia="楷体_GB2312" w:cs="Arial"/>
                <w:bCs/>
                <w:sz w:val="24"/>
              </w:rPr>
              <w:t>7</w:t>
            </w:r>
            <w:r>
              <w:rPr>
                <w:rFonts w:ascii="楷体_GB2312" w:eastAsia="楷体_GB2312" w:cs="Arial"/>
                <w:bCs/>
                <w:sz w:val="24"/>
              </w:rPr>
              <w:t>月</w:t>
            </w:r>
            <w:r>
              <w:rPr>
                <w:rFonts w:hint="eastAsia" w:ascii="楷体_GB2312" w:eastAsia="楷体_GB2312" w:cs="Arial"/>
                <w:bCs/>
                <w:sz w:val="24"/>
              </w:rPr>
              <w:t xml:space="preserve">22 </w:t>
            </w:r>
            <w:r>
              <w:rPr>
                <w:rFonts w:ascii="楷体_GB2312" w:eastAsia="楷体_GB2312" w:cs="Arial"/>
                <w:bCs/>
                <w:sz w:val="24"/>
              </w:rPr>
              <w:t>日</w:t>
            </w:r>
            <w:r>
              <w:rPr>
                <w:rFonts w:hint="eastAsia" w:ascii="楷体_GB2312" w:eastAsia="楷体_GB2312" w:cs="Arial"/>
                <w:bCs/>
                <w:sz w:val="24"/>
              </w:rPr>
              <w:t>14时20分整</w:t>
            </w:r>
          </w:p>
          <w:p>
            <w:pPr>
              <w:tabs>
                <w:tab w:val="left" w:pos="105"/>
                <w:tab w:val="left" w:pos="735"/>
                <w:tab w:val="left" w:pos="945"/>
                <w:tab w:val="left" w:pos="3360"/>
              </w:tabs>
              <w:adjustRightInd w:val="0"/>
              <w:snapToGrid w:val="0"/>
              <w:spacing w:line="360" w:lineRule="auto"/>
              <w:rPr>
                <w:rFonts w:ascii="楷体_GB2312" w:eastAsia="楷体_GB2312"/>
                <w:sz w:val="24"/>
              </w:rPr>
            </w:pPr>
            <w:r>
              <w:rPr>
                <w:rFonts w:hint="eastAsia" w:ascii="楷体_GB2312" w:eastAsia="楷体_GB2312"/>
                <w:sz w:val="24"/>
              </w:rPr>
              <w:t>开标地点：</w:t>
            </w:r>
            <w:r>
              <w:rPr>
                <w:rFonts w:hint="eastAsia" w:ascii="楷体_GB2312" w:hAnsi="Arial" w:eastAsia="楷体_GB2312" w:cs="Arial"/>
                <w:bCs/>
                <w:color w:val="000000"/>
                <w:sz w:val="24"/>
              </w:rPr>
              <w:t>象山县行政服务中心四楼</w:t>
            </w:r>
            <w:r>
              <w:rPr>
                <w:rFonts w:ascii="楷体_GB2312" w:eastAsia="楷体_GB2312" w:cs="Arial"/>
                <w:bCs/>
                <w:sz w:val="24"/>
              </w:rPr>
              <w:t>开标厅</w:t>
            </w:r>
            <w:r>
              <w:rPr>
                <w:rFonts w:hint="eastAsia" w:ascii="楷体_GB2312" w:eastAsia="楷体_GB2312" w:cs="Arial"/>
                <w:bCs/>
                <w:sz w:val="24"/>
              </w:rPr>
              <w:t>（二）</w:t>
            </w:r>
            <w:r>
              <w:rPr>
                <w:rFonts w:ascii="楷体_GB2312" w:eastAsia="楷体_GB2312" w:cs="Arial"/>
                <w:bCs/>
                <w:sz w:val="24"/>
              </w:rPr>
              <w:t>（</w:t>
            </w:r>
            <w:r>
              <w:rPr>
                <w:rFonts w:hint="eastAsia" w:ascii="楷体_GB2312" w:eastAsia="楷体_GB2312" w:cs="Arial"/>
                <w:bCs/>
                <w:sz w:val="24"/>
              </w:rPr>
              <w:t>象山港路300</w:t>
            </w:r>
            <w:r>
              <w:rPr>
                <w:rFonts w:ascii="楷体_GB2312" w:eastAsia="楷体_GB2312" w:cs="Arial"/>
                <w:bCs/>
                <w:sz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56"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hint="eastAsia" w:ascii="楷体_GB2312" w:eastAsia="楷体_GB2312"/>
                <w:sz w:val="24"/>
              </w:rPr>
            </w:pPr>
            <w:r>
              <w:rPr>
                <w:rFonts w:hint="eastAsia" w:ascii="楷体_GB2312" w:eastAsia="楷体_GB2312"/>
                <w:sz w:val="24"/>
              </w:rPr>
              <w:t>9</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spacing w:line="360" w:lineRule="auto"/>
              <w:rPr>
                <w:rFonts w:ascii="楷体_GB2312" w:eastAsia="楷体_GB2312"/>
                <w:b/>
                <w:bCs/>
                <w:sz w:val="24"/>
              </w:rPr>
            </w:pPr>
            <w:r>
              <w:rPr>
                <w:rFonts w:hint="eastAsia" w:ascii="楷体_GB2312" w:eastAsia="楷体_GB2312"/>
                <w:sz w:val="24"/>
              </w:rPr>
              <w:t>投标书:价格标3份,正本1份，副本2份；技术商务标5份，正本1份 、副本4份；投标有效期</w:t>
            </w:r>
            <w:r>
              <w:rPr>
                <w:rFonts w:hint="eastAsia" w:ascii="楷体_GB2312" w:eastAsia="楷体_GB2312"/>
                <w:b/>
                <w:bCs/>
                <w:sz w:val="24"/>
              </w:rPr>
              <w:t>：</w:t>
            </w:r>
            <w:r>
              <w:rPr>
                <w:rFonts w:hint="eastAsia" w:ascii="楷体_GB2312" w:eastAsia="楷体_GB2312"/>
                <w:sz w:val="24"/>
              </w:rPr>
              <w:t>开标后 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tabs>
                <w:tab w:val="left" w:pos="105"/>
                <w:tab w:val="left" w:pos="735"/>
                <w:tab w:val="left" w:pos="945"/>
                <w:tab w:val="left" w:pos="3360"/>
              </w:tabs>
              <w:adjustRightInd w:val="0"/>
              <w:snapToGrid w:val="0"/>
              <w:jc w:val="center"/>
              <w:rPr>
                <w:rFonts w:hint="eastAsia" w:ascii="楷体_GB2312" w:eastAsia="楷体_GB2312"/>
                <w:sz w:val="24"/>
              </w:rPr>
            </w:pPr>
            <w:r>
              <w:rPr>
                <w:rFonts w:hint="eastAsia" w:ascii="楷体_GB2312" w:eastAsia="楷体_GB2312"/>
                <w:sz w:val="24"/>
              </w:rPr>
              <w:t>10</w:t>
            </w:r>
          </w:p>
        </w:tc>
        <w:tc>
          <w:tcPr>
            <w:tcW w:w="7912"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60" w:lineRule="auto"/>
              <w:ind w:firstLine="3"/>
              <w:rPr>
                <w:rFonts w:hint="eastAsia" w:ascii="楷体_GB2312" w:eastAsia="楷体_GB2312" w:cs="Arial"/>
                <w:bCs/>
                <w:sz w:val="24"/>
              </w:rPr>
            </w:pPr>
            <w:r>
              <w:rPr>
                <w:rFonts w:hint="eastAsia" w:ascii="楷体_GB2312" w:eastAsia="楷体_GB2312"/>
                <w:sz w:val="24"/>
              </w:rPr>
              <w:t>本次采购最高限价（人民币）：755万元</w:t>
            </w:r>
          </w:p>
        </w:tc>
      </w:tr>
    </w:tbl>
    <w:p>
      <w:pPr>
        <w:tabs>
          <w:tab w:val="left" w:pos="105"/>
          <w:tab w:val="left" w:pos="735"/>
          <w:tab w:val="left" w:pos="945"/>
          <w:tab w:val="left" w:pos="3360"/>
        </w:tabs>
        <w:adjustRightInd w:val="0"/>
        <w:snapToGrid w:val="0"/>
        <w:jc w:val="center"/>
        <w:rPr>
          <w:rFonts w:hint="eastAsia" w:eastAsia="楷体_GB2312"/>
          <w:b/>
          <w:sz w:val="28"/>
        </w:rPr>
      </w:pPr>
    </w:p>
    <w:p>
      <w:pPr>
        <w:tabs>
          <w:tab w:val="left" w:pos="105"/>
          <w:tab w:val="left" w:pos="735"/>
          <w:tab w:val="left" w:pos="945"/>
          <w:tab w:val="left" w:pos="3360"/>
        </w:tabs>
        <w:adjustRightInd w:val="0"/>
        <w:snapToGrid w:val="0"/>
        <w:jc w:val="center"/>
        <w:rPr>
          <w:rFonts w:hint="eastAsia" w:eastAsia="楷体_GB2312"/>
          <w:b/>
          <w:sz w:val="28"/>
        </w:rPr>
      </w:pPr>
    </w:p>
    <w:p>
      <w:pPr>
        <w:tabs>
          <w:tab w:val="left" w:pos="105"/>
          <w:tab w:val="left" w:pos="735"/>
          <w:tab w:val="left" w:pos="945"/>
          <w:tab w:val="left" w:pos="3360"/>
        </w:tabs>
        <w:adjustRightInd w:val="0"/>
        <w:snapToGrid w:val="0"/>
        <w:jc w:val="center"/>
        <w:rPr>
          <w:rFonts w:eastAsia="楷体_GB2312"/>
          <w:b/>
          <w:sz w:val="28"/>
        </w:rPr>
      </w:pPr>
      <w:r>
        <w:rPr>
          <w:rFonts w:hint="eastAsia" w:eastAsia="楷体_GB2312"/>
          <w:b/>
          <w:sz w:val="28"/>
        </w:rPr>
        <w:t>第二部分</w:t>
      </w:r>
      <w:r>
        <w:rPr>
          <w:rFonts w:eastAsia="楷体_GB2312"/>
          <w:b/>
          <w:sz w:val="28"/>
        </w:rPr>
        <w:t xml:space="preserve"> </w:t>
      </w:r>
      <w:r>
        <w:rPr>
          <w:rFonts w:hint="eastAsia" w:eastAsia="楷体_GB2312"/>
          <w:b/>
          <w:sz w:val="28"/>
        </w:rPr>
        <w:t xml:space="preserve"> </w:t>
      </w:r>
      <w:r>
        <w:rPr>
          <w:rFonts w:eastAsia="楷体_GB2312"/>
          <w:b/>
          <w:sz w:val="28"/>
        </w:rPr>
        <w:t xml:space="preserve">   </w:t>
      </w:r>
      <w:r>
        <w:rPr>
          <w:rFonts w:hint="eastAsia" w:eastAsia="楷体_GB2312"/>
          <w:b/>
          <w:sz w:val="28"/>
        </w:rPr>
        <w:t>投标方须知</w:t>
      </w:r>
    </w:p>
    <w:p>
      <w:pPr>
        <w:adjustRightInd w:val="0"/>
        <w:snapToGrid w:val="0"/>
        <w:rPr>
          <w:rFonts w:ascii="楷体_GB2312" w:eastAsia="楷体_GB2312"/>
        </w:rPr>
      </w:pPr>
    </w:p>
    <w:p>
      <w:pPr>
        <w:adjustRightInd w:val="0"/>
        <w:snapToGrid w:val="0"/>
        <w:jc w:val="center"/>
        <w:rPr>
          <w:rFonts w:ascii="楷体_GB2312" w:eastAsia="楷体_GB2312"/>
          <w:b/>
        </w:rPr>
      </w:pPr>
      <w:r>
        <w:rPr>
          <w:rFonts w:hint="eastAsia" w:ascii="楷体_GB2312" w:eastAsia="楷体_GB2312"/>
          <w:b/>
        </w:rPr>
        <w:t>A 总则</w:t>
      </w:r>
    </w:p>
    <w:p>
      <w:pPr>
        <w:adjustRightInd w:val="0"/>
        <w:snapToGrid w:val="0"/>
        <w:rPr>
          <w:rFonts w:ascii="楷体_GB2312" w:eastAsia="楷体_GB2312"/>
        </w:rPr>
      </w:pPr>
    </w:p>
    <w:p>
      <w:pPr>
        <w:tabs>
          <w:tab w:val="left" w:pos="180"/>
        </w:tabs>
        <w:adjustRightInd w:val="0"/>
        <w:snapToGrid w:val="0"/>
        <w:spacing w:line="360" w:lineRule="auto"/>
        <w:rPr>
          <w:rFonts w:ascii="楷体_GB2312" w:hAnsi="宋体" w:eastAsia="楷体_GB2312"/>
          <w:sz w:val="24"/>
        </w:rPr>
      </w:pPr>
      <w:r>
        <w:rPr>
          <w:rFonts w:ascii="楷体_GB2312" w:eastAsia="楷体_GB2312"/>
        </w:rPr>
        <w:t xml:space="preserve">    </w:t>
      </w:r>
      <w:r>
        <w:rPr>
          <w:rFonts w:hint="eastAsia" w:ascii="楷体_GB2312" w:eastAsia="楷体_GB2312"/>
          <w:sz w:val="24"/>
        </w:rPr>
        <w:t>1、</w:t>
      </w:r>
      <w:r>
        <w:rPr>
          <w:rFonts w:hint="eastAsia" w:ascii="楷体_GB2312" w:hAnsi="宋体" w:eastAsia="楷体_GB2312"/>
          <w:sz w:val="24"/>
        </w:rPr>
        <w:t>投标人参加本次</w:t>
      </w:r>
      <w:r>
        <w:rPr>
          <w:rFonts w:hint="eastAsia" w:ascii="楷体_GB2312" w:eastAsia="楷体_GB2312"/>
          <w:sz w:val="24"/>
        </w:rPr>
        <w:t>象山县社会治安动态视频监控系统高清智能化维护项目</w:t>
      </w:r>
      <w:r>
        <w:rPr>
          <w:rFonts w:hint="eastAsia" w:ascii="楷体_GB2312" w:hAnsi="宋体" w:eastAsia="楷体_GB2312"/>
          <w:sz w:val="24"/>
        </w:rPr>
        <w:t>采购活动应当具备条件</w:t>
      </w:r>
      <w:r>
        <w:rPr>
          <w:rFonts w:hint="eastAsia" w:ascii="楷体_GB2312" w:eastAsia="楷体_GB2312" w:cs="Arial"/>
          <w:bCs/>
          <w:sz w:val="24"/>
        </w:rPr>
        <w:t xml:space="preserve">: </w:t>
      </w:r>
      <w:r>
        <w:rPr>
          <w:rFonts w:hint="eastAsia" w:ascii="楷体_GB2312" w:hAnsi="宋体" w:eastAsia="楷体_GB2312"/>
          <w:sz w:val="24"/>
        </w:rPr>
        <w:t>（1）符合《政府采购法》第22条的规定,且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限的供应商；（2）</w:t>
      </w:r>
      <w:r>
        <w:rPr>
          <w:rFonts w:ascii="楷体_GB2312" w:hAnsi="宋体" w:eastAsia="楷体_GB2312"/>
          <w:sz w:val="24"/>
        </w:rPr>
        <w:t>银行、保险、石油石化、电力、通信运营等行业，允许分公司投标（需提供总公司的授权书）</w:t>
      </w:r>
      <w:r>
        <w:rPr>
          <w:rFonts w:hint="eastAsia" w:ascii="楷体_GB2312" w:hAnsi="宋体" w:eastAsia="楷体_GB2312"/>
          <w:sz w:val="24"/>
        </w:rPr>
        <w:t>；（3）其它特定条件：</w:t>
      </w:r>
      <w:r>
        <w:rPr>
          <w:rFonts w:hint="eastAsia" w:ascii="楷体_GB2312" w:eastAsia="楷体_GB2312" w:cs="Arial"/>
          <w:bCs/>
          <w:sz w:val="24"/>
        </w:rPr>
        <w:t>不接受联合体投标。</w:t>
      </w:r>
      <w:r>
        <w:rPr>
          <w:rFonts w:hint="eastAsia" w:ascii="楷体_GB2312" w:hAnsi="宋体" w:eastAsia="楷体_GB2312"/>
          <w:sz w:val="24"/>
        </w:rPr>
        <w:t>符合以上条件均可参加投标。</w:t>
      </w:r>
    </w:p>
    <w:p>
      <w:pPr>
        <w:tabs>
          <w:tab w:val="left" w:pos="180"/>
        </w:tabs>
        <w:adjustRightInd w:val="0"/>
        <w:snapToGrid w:val="0"/>
        <w:spacing w:line="360" w:lineRule="auto"/>
        <w:ind w:firstLine="480" w:firstLineChars="200"/>
        <w:rPr>
          <w:rFonts w:ascii="楷体_GB2312" w:eastAsia="楷体_GB2312"/>
          <w:sz w:val="24"/>
        </w:rPr>
      </w:pPr>
      <w:r>
        <w:rPr>
          <w:rFonts w:hint="eastAsia" w:ascii="楷体_GB2312" w:eastAsia="楷体_GB2312"/>
          <w:sz w:val="24"/>
        </w:rPr>
        <w:t>2、投标方应遵守有关的国家法律、法令和条例。</w:t>
      </w:r>
    </w:p>
    <w:p>
      <w:pPr>
        <w:adjustRightInd w:val="0"/>
        <w:snapToGrid w:val="0"/>
        <w:spacing w:line="360" w:lineRule="auto"/>
        <w:ind w:firstLine="420"/>
        <w:rPr>
          <w:rFonts w:ascii="楷体_GB2312" w:eastAsia="楷体_GB2312"/>
          <w:sz w:val="24"/>
        </w:rPr>
      </w:pPr>
      <w:r>
        <w:rPr>
          <w:rFonts w:hint="eastAsia" w:ascii="楷体_GB2312" w:eastAsia="楷体_GB2312"/>
          <w:sz w:val="24"/>
        </w:rPr>
        <w:t>3、如投标方代表不是法定代表人，须持有《法定代表人授权书》。</w:t>
      </w:r>
    </w:p>
    <w:p>
      <w:pPr>
        <w:adjustRightInd w:val="0"/>
        <w:snapToGrid w:val="0"/>
        <w:spacing w:line="360" w:lineRule="auto"/>
        <w:ind w:firstLine="420"/>
        <w:rPr>
          <w:rFonts w:hint="eastAsia" w:ascii="楷体_GB2312" w:eastAsia="楷体_GB2312"/>
          <w:sz w:val="24"/>
        </w:rPr>
      </w:pPr>
      <w:r>
        <w:rPr>
          <w:rFonts w:hint="eastAsia" w:ascii="楷体_GB2312" w:eastAsia="楷体_GB2312"/>
          <w:sz w:val="24"/>
        </w:rPr>
        <w:t>4、无论投标结果如何，投标方自行承担所有与参加投标有关的全部费用。</w:t>
      </w:r>
    </w:p>
    <w:p>
      <w:pPr>
        <w:adjustRightInd w:val="0"/>
        <w:snapToGrid w:val="0"/>
        <w:spacing w:line="360" w:lineRule="auto"/>
        <w:ind w:firstLine="420"/>
        <w:rPr>
          <w:rFonts w:ascii="楷体_GB2312" w:eastAsia="楷体_GB2312"/>
          <w:sz w:val="24"/>
        </w:rPr>
      </w:pPr>
      <w:r>
        <w:rPr>
          <w:rFonts w:hint="eastAsia" w:ascii="楷体_GB2312" w:eastAsia="楷体_GB2312"/>
          <w:sz w:val="24"/>
        </w:rPr>
        <w:t>5、投标人须对招标文件中涉及到的专利负责，并保证不损害招标采购单位利益，由专利、商标等知识产权纠纷引起的法律责任与招标采购单位无涉。</w:t>
      </w:r>
    </w:p>
    <w:p>
      <w:pPr>
        <w:adjustRightInd w:val="0"/>
        <w:snapToGrid w:val="0"/>
        <w:spacing w:line="460" w:lineRule="exact"/>
        <w:ind w:firstLine="420"/>
        <w:jc w:val="center"/>
        <w:rPr>
          <w:rFonts w:hint="eastAsia" w:ascii="楷体_GB2312" w:eastAsia="楷体_GB2312"/>
          <w:b/>
          <w:sz w:val="24"/>
        </w:rPr>
      </w:pPr>
    </w:p>
    <w:p>
      <w:pPr>
        <w:adjustRightInd w:val="0"/>
        <w:snapToGrid w:val="0"/>
        <w:spacing w:line="460" w:lineRule="exact"/>
        <w:ind w:firstLine="420"/>
        <w:jc w:val="center"/>
        <w:rPr>
          <w:rFonts w:ascii="楷体_GB2312" w:eastAsia="楷体_GB2312"/>
          <w:sz w:val="24"/>
        </w:rPr>
      </w:pPr>
      <w:r>
        <w:rPr>
          <w:rFonts w:ascii="楷体_GB2312" w:eastAsia="楷体_GB2312"/>
          <w:b/>
          <w:sz w:val="24"/>
        </w:rPr>
        <w:t xml:space="preserve">B   </w:t>
      </w:r>
      <w:r>
        <w:rPr>
          <w:rFonts w:hint="eastAsia" w:ascii="楷体_GB2312" w:eastAsia="楷体_GB2312"/>
          <w:b/>
          <w:sz w:val="24"/>
        </w:rPr>
        <w:t>招标文件</w:t>
      </w:r>
    </w:p>
    <w:p>
      <w:pPr>
        <w:adjustRightInd w:val="0"/>
        <w:snapToGrid w:val="0"/>
        <w:spacing w:line="460" w:lineRule="exact"/>
        <w:ind w:firstLine="420"/>
        <w:rPr>
          <w:rFonts w:ascii="楷体_GB2312" w:eastAsia="楷体_GB2312"/>
          <w:sz w:val="24"/>
        </w:rPr>
      </w:pPr>
      <w:r>
        <w:rPr>
          <w:rFonts w:hint="eastAsia" w:ascii="楷体_GB2312" w:eastAsia="楷体_GB2312"/>
          <w:sz w:val="24"/>
        </w:rPr>
        <w:t>6、招标文件</w:t>
      </w:r>
    </w:p>
    <w:p>
      <w:pPr>
        <w:adjustRightInd w:val="0"/>
        <w:snapToGrid w:val="0"/>
        <w:spacing w:line="460" w:lineRule="exact"/>
        <w:ind w:firstLine="420"/>
        <w:rPr>
          <w:rFonts w:hint="eastAsia" w:ascii="楷体_GB2312" w:eastAsia="楷体_GB2312"/>
          <w:sz w:val="24"/>
        </w:rPr>
      </w:pPr>
      <w:r>
        <w:rPr>
          <w:rFonts w:hint="eastAsia" w:ascii="楷体_GB2312" w:eastAsia="楷体_GB2312"/>
          <w:sz w:val="24"/>
        </w:rPr>
        <w:t>6．1招标文件组成。</w:t>
      </w:r>
    </w:p>
    <w:p>
      <w:pPr>
        <w:numPr>
          <w:ilvl w:val="0"/>
          <w:numId w:val="2"/>
        </w:numPr>
        <w:adjustRightInd w:val="0"/>
        <w:snapToGrid w:val="0"/>
        <w:spacing w:line="460" w:lineRule="exact"/>
        <w:rPr>
          <w:rFonts w:hint="eastAsia" w:ascii="楷体_GB2312" w:eastAsia="楷体_GB2312"/>
          <w:sz w:val="24"/>
        </w:rPr>
      </w:pPr>
      <w:r>
        <w:rPr>
          <w:rFonts w:hint="eastAsia" w:ascii="楷体_GB2312" w:eastAsia="楷体_GB2312"/>
          <w:sz w:val="24"/>
        </w:rPr>
        <w:t>招标公告</w:t>
      </w:r>
    </w:p>
    <w:p>
      <w:pPr>
        <w:numPr>
          <w:ilvl w:val="0"/>
          <w:numId w:val="2"/>
        </w:numPr>
        <w:adjustRightInd w:val="0"/>
        <w:snapToGrid w:val="0"/>
        <w:spacing w:line="460" w:lineRule="exact"/>
        <w:rPr>
          <w:rFonts w:hint="eastAsia" w:ascii="楷体_GB2312" w:eastAsia="楷体_GB2312"/>
          <w:sz w:val="24"/>
        </w:rPr>
      </w:pPr>
      <w:r>
        <w:rPr>
          <w:rFonts w:hint="eastAsia" w:ascii="楷体_GB2312" w:eastAsia="楷体_GB2312"/>
          <w:sz w:val="24"/>
        </w:rPr>
        <w:t>投标邀请函</w:t>
      </w:r>
    </w:p>
    <w:p>
      <w:pPr>
        <w:numPr>
          <w:ilvl w:val="0"/>
          <w:numId w:val="2"/>
        </w:numPr>
        <w:adjustRightInd w:val="0"/>
        <w:snapToGrid w:val="0"/>
        <w:spacing w:line="460" w:lineRule="exact"/>
        <w:rPr>
          <w:rFonts w:hint="eastAsia" w:ascii="楷体_GB2312" w:eastAsia="楷体_GB2312"/>
          <w:sz w:val="24"/>
        </w:rPr>
      </w:pPr>
      <w:r>
        <w:rPr>
          <w:rFonts w:hint="eastAsia" w:ascii="楷体_GB2312" w:eastAsia="楷体_GB2312"/>
          <w:sz w:val="24"/>
        </w:rPr>
        <w:t>投标方须知</w:t>
      </w:r>
    </w:p>
    <w:p>
      <w:pPr>
        <w:numPr>
          <w:ilvl w:val="0"/>
          <w:numId w:val="2"/>
        </w:numPr>
        <w:adjustRightInd w:val="0"/>
        <w:snapToGrid w:val="0"/>
        <w:spacing w:line="460" w:lineRule="exact"/>
        <w:rPr>
          <w:rFonts w:hint="eastAsia" w:ascii="楷体_GB2312" w:eastAsia="楷体_GB2312"/>
          <w:sz w:val="24"/>
        </w:rPr>
      </w:pPr>
      <w:r>
        <w:rPr>
          <w:rFonts w:hint="eastAsia" w:ascii="楷体_GB2312" w:eastAsia="楷体_GB2312"/>
          <w:sz w:val="24"/>
        </w:rPr>
        <w:t>采购货物需求</w:t>
      </w:r>
    </w:p>
    <w:p>
      <w:pPr>
        <w:numPr>
          <w:ilvl w:val="0"/>
          <w:numId w:val="2"/>
        </w:numPr>
        <w:adjustRightInd w:val="0"/>
        <w:snapToGrid w:val="0"/>
        <w:spacing w:line="460" w:lineRule="exact"/>
        <w:rPr>
          <w:rFonts w:hint="eastAsia" w:ascii="楷体_GB2312" w:eastAsia="楷体_GB2312"/>
          <w:sz w:val="24"/>
        </w:rPr>
      </w:pPr>
      <w:r>
        <w:rPr>
          <w:rFonts w:hint="eastAsia" w:ascii="楷体_GB2312" w:eastAsia="楷体_GB2312"/>
          <w:sz w:val="24"/>
        </w:rPr>
        <w:t>合同</w:t>
      </w:r>
    </w:p>
    <w:p>
      <w:pPr>
        <w:numPr>
          <w:ilvl w:val="0"/>
          <w:numId w:val="2"/>
        </w:numPr>
        <w:adjustRightInd w:val="0"/>
        <w:snapToGrid w:val="0"/>
        <w:spacing w:line="460" w:lineRule="exact"/>
        <w:rPr>
          <w:rFonts w:hint="eastAsia" w:ascii="楷体_GB2312" w:eastAsia="楷体_GB2312"/>
          <w:sz w:val="24"/>
        </w:rPr>
      </w:pPr>
      <w:r>
        <w:rPr>
          <w:rFonts w:hint="eastAsia" w:ascii="楷体_GB2312" w:eastAsia="楷体_GB2312"/>
          <w:sz w:val="24"/>
        </w:rPr>
        <w:t>附件</w:t>
      </w:r>
    </w:p>
    <w:p>
      <w:pPr>
        <w:adjustRightInd w:val="0"/>
        <w:snapToGrid w:val="0"/>
        <w:spacing w:line="460" w:lineRule="exact"/>
        <w:ind w:left="420"/>
        <w:rPr>
          <w:rFonts w:hint="eastAsia" w:ascii="楷体_GB2312" w:eastAsia="楷体_GB2312"/>
          <w:sz w:val="24"/>
        </w:rPr>
      </w:pPr>
      <w:r>
        <w:rPr>
          <w:rFonts w:hint="eastAsia" w:ascii="楷体_GB2312" w:eastAsia="楷体_GB2312"/>
          <w:sz w:val="24"/>
        </w:rPr>
        <w:t>6．2投标方应详细阅读招标文件的全部内容。按照招标文件要求提交投标文</w:t>
      </w:r>
    </w:p>
    <w:p>
      <w:pPr>
        <w:adjustRightInd w:val="0"/>
        <w:snapToGrid w:val="0"/>
        <w:spacing w:line="460" w:lineRule="exact"/>
        <w:rPr>
          <w:rFonts w:hint="eastAsia" w:ascii="楷体_GB2312" w:eastAsia="楷体_GB2312"/>
          <w:sz w:val="24"/>
        </w:rPr>
      </w:pPr>
      <w:r>
        <w:rPr>
          <w:rFonts w:hint="eastAsia" w:ascii="楷体_GB2312" w:eastAsia="楷体_GB2312"/>
          <w:sz w:val="24"/>
        </w:rPr>
        <w:t>件，并保证所提交的全部资料的真实性。</w:t>
      </w:r>
    </w:p>
    <w:p>
      <w:pPr>
        <w:spacing w:line="440" w:lineRule="exact"/>
        <w:ind w:firstLine="480" w:firstLineChars="200"/>
        <w:rPr>
          <w:rFonts w:hint="eastAsia" w:ascii="楷体_GB2312" w:eastAsia="楷体_GB2312"/>
          <w:sz w:val="24"/>
        </w:rPr>
      </w:pPr>
      <w:r>
        <w:rPr>
          <w:rFonts w:hint="eastAsia" w:ascii="楷体_GB2312" w:eastAsia="楷体_GB2312"/>
          <w:sz w:val="24"/>
        </w:rPr>
        <w:t>6．3投标人如认为招标文件使自己的权益受到损害的，</w:t>
      </w:r>
      <w:r>
        <w:rPr>
          <w:rFonts w:hint="eastAsia" w:ascii="楷体_GB2312" w:eastAsia="楷体_GB2312"/>
          <w:b/>
          <w:sz w:val="24"/>
        </w:rPr>
        <w:t>可以在知道或者应知其权益受到损害之日起七个工作日内，以书面形式向招标人一次性提出书面质疑</w:t>
      </w:r>
      <w:r>
        <w:rPr>
          <w:rFonts w:ascii="楷体_GB2312" w:eastAsia="楷体_GB2312"/>
          <w:b/>
          <w:sz w:val="24"/>
        </w:rPr>
        <w:t>，该质疑文件应有法定代表人签字并加盖公章</w:t>
      </w:r>
      <w:r>
        <w:rPr>
          <w:rFonts w:hint="eastAsia" w:ascii="楷体_GB2312" w:eastAsia="楷体_GB2312"/>
          <w:sz w:val="24"/>
        </w:rPr>
        <w:t>。如有必要，招标人可将答复内容包括原提出的问题（但不标明问题查询的来源），以更正公告的方式在发布过招标公告的网站上发布。</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6．4在投标截止时间前，招标方有权对招标文件用补充公告的方式进行澄清或者修改。澄清或者修改的内容可能影响投标文件编制的，将在投标截止时间至少15日前，在规定信息发布网站上以补充公告的形式告知；不足15日的，顺延提交投标文件的截止时间。</w:t>
      </w:r>
    </w:p>
    <w:p>
      <w:pPr>
        <w:adjustRightInd w:val="0"/>
        <w:snapToGrid w:val="0"/>
        <w:jc w:val="center"/>
        <w:rPr>
          <w:rFonts w:hint="eastAsia" w:ascii="楷体_GB2312" w:eastAsia="楷体_GB2312"/>
          <w:sz w:val="24"/>
        </w:rPr>
      </w:pPr>
    </w:p>
    <w:p>
      <w:pPr>
        <w:adjustRightInd w:val="0"/>
        <w:snapToGrid w:val="0"/>
        <w:jc w:val="center"/>
        <w:rPr>
          <w:rFonts w:hint="eastAsia" w:ascii="楷体_GB2312" w:eastAsia="楷体_GB2312"/>
          <w:b/>
          <w:sz w:val="24"/>
        </w:rPr>
      </w:pPr>
    </w:p>
    <w:p>
      <w:pPr>
        <w:adjustRightInd w:val="0"/>
        <w:snapToGrid w:val="0"/>
        <w:jc w:val="center"/>
        <w:rPr>
          <w:rFonts w:ascii="楷体_GB2312" w:eastAsia="楷体_GB2312"/>
          <w:b/>
          <w:sz w:val="24"/>
        </w:rPr>
      </w:pPr>
      <w:r>
        <w:rPr>
          <w:rFonts w:ascii="楷体_GB2312" w:eastAsia="楷体_GB2312"/>
          <w:b/>
          <w:sz w:val="24"/>
        </w:rPr>
        <w:t xml:space="preserve">C  </w:t>
      </w:r>
      <w:r>
        <w:rPr>
          <w:rFonts w:hint="eastAsia" w:ascii="楷体_GB2312" w:eastAsia="楷体_GB2312"/>
          <w:b/>
          <w:sz w:val="24"/>
        </w:rPr>
        <w:t>投标文件</w:t>
      </w:r>
    </w:p>
    <w:p>
      <w:pPr>
        <w:adjustRightInd w:val="0"/>
        <w:snapToGrid w:val="0"/>
        <w:rPr>
          <w:rFonts w:ascii="楷体_GB2312" w:eastAsia="楷体_GB2312"/>
          <w:b/>
          <w:sz w:val="24"/>
        </w:rPr>
      </w:pPr>
      <w:r>
        <w:rPr>
          <w:rFonts w:ascii="楷体_GB2312" w:eastAsia="楷体_GB2312"/>
          <w:b/>
          <w:sz w:val="24"/>
        </w:rPr>
        <w:t xml:space="preserve">    </w:t>
      </w:r>
    </w:p>
    <w:p>
      <w:pPr>
        <w:adjustRightInd w:val="0"/>
        <w:snapToGrid w:val="0"/>
        <w:spacing w:line="460" w:lineRule="exact"/>
        <w:rPr>
          <w:rFonts w:ascii="楷体_GB2312" w:eastAsia="楷体_GB2312"/>
          <w:sz w:val="24"/>
        </w:rPr>
      </w:pPr>
      <w:r>
        <w:rPr>
          <w:rFonts w:ascii="楷体_GB2312" w:eastAsia="楷体_GB2312"/>
          <w:b/>
          <w:sz w:val="24"/>
        </w:rPr>
        <w:t xml:space="preserve">    </w:t>
      </w:r>
      <w:r>
        <w:rPr>
          <w:rFonts w:hint="eastAsia" w:ascii="楷体_GB2312" w:eastAsia="楷体_GB2312"/>
          <w:sz w:val="24"/>
        </w:rPr>
        <w:t>7、投标文件计量单位：</w:t>
      </w:r>
    </w:p>
    <w:p>
      <w:pPr>
        <w:pStyle w:val="9"/>
        <w:adjustRightInd w:val="0"/>
        <w:snapToGrid w:val="0"/>
        <w:spacing w:line="460" w:lineRule="exact"/>
        <w:rPr>
          <w:rFonts w:ascii="楷体_GB2312" w:eastAsia="楷体_GB2312"/>
          <w:sz w:val="24"/>
        </w:rPr>
      </w:pPr>
      <w:r>
        <w:rPr>
          <w:rFonts w:ascii="楷体_GB2312" w:eastAsia="楷体_GB2312"/>
          <w:sz w:val="24"/>
        </w:rPr>
        <w:t xml:space="preserve"> </w:t>
      </w:r>
      <w:r>
        <w:rPr>
          <w:rFonts w:hint="eastAsia" w:ascii="楷体_GB2312" w:eastAsia="楷体_GB2312"/>
          <w:sz w:val="24"/>
        </w:rPr>
        <w:t>投标文件中所使用的计量单位，除招标文件中有特殊要求外，应采用国家法定计量单位。</w:t>
      </w:r>
    </w:p>
    <w:p>
      <w:pPr>
        <w:adjustRightInd w:val="0"/>
        <w:snapToGrid w:val="0"/>
        <w:spacing w:line="460" w:lineRule="exact"/>
        <w:ind w:firstLine="420"/>
        <w:rPr>
          <w:rFonts w:ascii="楷体_GB2312" w:eastAsia="楷体_GB2312"/>
          <w:sz w:val="24"/>
        </w:rPr>
      </w:pPr>
      <w:r>
        <w:rPr>
          <w:rFonts w:hint="eastAsia" w:ascii="楷体_GB2312" w:eastAsia="楷体_GB2312"/>
          <w:sz w:val="24"/>
        </w:rPr>
        <w:t>8、投标文件的组成（价格标和技术商务标）</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8．1价格标</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（1）开标一览表（附件三）</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（2）投标报价明细表（附件四，仅供参考）</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（3）投标声明函（附件五、六）</w:t>
      </w:r>
    </w:p>
    <w:p>
      <w:pPr>
        <w:adjustRightInd w:val="0"/>
        <w:snapToGrid w:val="0"/>
        <w:spacing w:line="460" w:lineRule="exact"/>
        <w:ind w:firstLine="480" w:firstLineChars="200"/>
        <w:rPr>
          <w:rFonts w:hint="eastAsia" w:ascii="楷体_GB2312" w:eastAsia="楷体_GB2312"/>
          <w:sz w:val="24"/>
        </w:rPr>
      </w:pPr>
      <w:bookmarkStart w:id="78" w:name="OLE_LINK63"/>
      <w:bookmarkStart w:id="79" w:name="OLE_LINK62"/>
      <w:r>
        <w:rPr>
          <w:rFonts w:hint="eastAsia" w:ascii="楷体_GB2312" w:eastAsia="楷体_GB2312"/>
          <w:sz w:val="24"/>
        </w:rPr>
        <w:t>8．2技术商务标（包括）</w:t>
      </w:r>
    </w:p>
    <w:p>
      <w:pPr>
        <w:adjustRightInd w:val="0"/>
        <w:snapToGrid w:val="0"/>
        <w:spacing w:line="460" w:lineRule="exact"/>
        <w:ind w:left="420"/>
        <w:rPr>
          <w:rFonts w:hint="eastAsia" w:ascii="楷体_GB2312" w:eastAsia="楷体_GB2312"/>
          <w:sz w:val="24"/>
        </w:rPr>
      </w:pPr>
      <w:r>
        <w:rPr>
          <w:rFonts w:hint="eastAsia" w:ascii="楷体_GB2312" w:eastAsia="楷体_GB2312"/>
          <w:sz w:val="24"/>
        </w:rPr>
        <w:t>（1）投标函（附件一）</w:t>
      </w:r>
    </w:p>
    <w:p>
      <w:pPr>
        <w:adjustRightInd w:val="0"/>
        <w:snapToGrid w:val="0"/>
        <w:spacing w:line="460" w:lineRule="exact"/>
        <w:ind w:left="1020" w:leftChars="200" w:hanging="600" w:hangingChars="250"/>
        <w:rPr>
          <w:rFonts w:hint="eastAsia" w:ascii="楷体_GB2312" w:eastAsia="楷体_GB2312"/>
          <w:sz w:val="24"/>
        </w:rPr>
      </w:pPr>
      <w:r>
        <w:rPr>
          <w:rFonts w:hint="eastAsia" w:ascii="楷体_GB2312" w:eastAsia="楷体_GB2312"/>
          <w:sz w:val="24"/>
        </w:rPr>
        <w:t>（2）投标人代表须携带有效身份证，并在投标文件中提供复印件；如投标人代表不是法定代表人，须有法定代表人出具的授权委托书（正本用原件，副本用复印件，附件二），并在投标文件中提供授权代表及法定代表人身份证复印件。</w:t>
      </w:r>
    </w:p>
    <w:p>
      <w:pPr>
        <w:numPr>
          <w:ilvl w:val="0"/>
          <w:numId w:val="3"/>
        </w:numPr>
        <w:adjustRightInd w:val="0"/>
        <w:snapToGrid w:val="0"/>
        <w:spacing w:line="460" w:lineRule="exact"/>
        <w:rPr>
          <w:rFonts w:hint="eastAsia" w:ascii="楷体_GB2312" w:eastAsia="楷体_GB2312"/>
          <w:sz w:val="24"/>
        </w:rPr>
      </w:pPr>
      <w:r>
        <w:rPr>
          <w:rFonts w:hint="eastAsia" w:ascii="楷体_GB2312" w:eastAsia="楷体_GB2312"/>
          <w:sz w:val="24"/>
        </w:rPr>
        <w:t>投标货物技术要求响应表（附件七，仅供参考）</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（4）投标货物名称、规格型号和数量清单响应表（附件八，仅供参考）</w:t>
      </w:r>
    </w:p>
    <w:p>
      <w:pPr>
        <w:adjustRightInd w:val="0"/>
        <w:snapToGrid w:val="0"/>
        <w:spacing w:line="460" w:lineRule="exact"/>
        <w:ind w:left="120" w:leftChars="57" w:firstLine="360" w:firstLineChars="150"/>
        <w:rPr>
          <w:rFonts w:hint="eastAsia" w:ascii="楷体_GB2312" w:eastAsia="楷体_GB2312"/>
          <w:sz w:val="24"/>
        </w:rPr>
      </w:pPr>
      <w:r>
        <w:rPr>
          <w:rFonts w:hint="eastAsia" w:ascii="楷体_GB2312" w:eastAsia="楷体_GB2312"/>
          <w:sz w:val="24"/>
        </w:rPr>
        <w:t>（5）法人或者其他组织的营业执照等资格证明文件</w:t>
      </w:r>
    </w:p>
    <w:p>
      <w:pPr>
        <w:numPr>
          <w:ilvl w:val="0"/>
          <w:numId w:val="4"/>
        </w:numPr>
        <w:adjustRightInd w:val="0"/>
        <w:snapToGrid w:val="0"/>
        <w:spacing w:line="460" w:lineRule="exact"/>
        <w:rPr>
          <w:rFonts w:hint="eastAsia" w:ascii="楷体_GB2312" w:eastAsia="楷体_GB2312"/>
          <w:sz w:val="24"/>
        </w:rPr>
      </w:pPr>
      <w:r>
        <w:rPr>
          <w:rFonts w:hint="eastAsia" w:ascii="楷体_GB2312" w:eastAsia="楷体_GB2312"/>
          <w:sz w:val="24"/>
        </w:rPr>
        <w:t>财务状况报告，依法纳税和社会保障资金的相关材料</w:t>
      </w:r>
    </w:p>
    <w:p>
      <w:pPr>
        <w:numPr>
          <w:ilvl w:val="0"/>
          <w:numId w:val="4"/>
        </w:numPr>
        <w:adjustRightInd w:val="0"/>
        <w:snapToGrid w:val="0"/>
        <w:spacing w:line="460" w:lineRule="exact"/>
        <w:rPr>
          <w:rFonts w:hint="eastAsia" w:ascii="楷体_GB2312" w:eastAsia="楷体_GB2312"/>
          <w:sz w:val="24"/>
        </w:rPr>
      </w:pPr>
      <w:r>
        <w:rPr>
          <w:rFonts w:hint="eastAsia" w:ascii="楷体_GB2312" w:eastAsia="楷体_GB2312"/>
          <w:sz w:val="24"/>
        </w:rPr>
        <w:t>具备履行合同所必需的设备和专业技术能力的证明材料</w:t>
      </w:r>
    </w:p>
    <w:p>
      <w:pPr>
        <w:numPr>
          <w:ilvl w:val="0"/>
          <w:numId w:val="4"/>
        </w:numPr>
        <w:adjustRightInd w:val="0"/>
        <w:snapToGrid w:val="0"/>
        <w:spacing w:line="460" w:lineRule="exact"/>
        <w:rPr>
          <w:rFonts w:hint="eastAsia" w:ascii="楷体_GB2312" w:eastAsia="楷体_GB2312"/>
          <w:sz w:val="24"/>
        </w:rPr>
      </w:pPr>
      <w:r>
        <w:rPr>
          <w:rFonts w:hint="eastAsia" w:ascii="楷体_GB2312" w:eastAsia="楷体_GB2312"/>
          <w:sz w:val="24"/>
        </w:rPr>
        <w:t>参加政府采购活动前3年内在经营活动中没有重大违法记录的书面声明</w:t>
      </w:r>
    </w:p>
    <w:p>
      <w:pPr>
        <w:numPr>
          <w:ilvl w:val="0"/>
          <w:numId w:val="4"/>
        </w:numPr>
        <w:adjustRightInd w:val="0"/>
        <w:snapToGrid w:val="0"/>
        <w:spacing w:line="460" w:lineRule="exact"/>
        <w:rPr>
          <w:rFonts w:hint="eastAsia" w:ascii="楷体_GB2312" w:eastAsia="楷体_GB2312"/>
          <w:sz w:val="24"/>
        </w:rPr>
      </w:pPr>
      <w:r>
        <w:rPr>
          <w:rFonts w:hint="eastAsia" w:ascii="楷体_GB2312" w:eastAsia="楷体_GB2312"/>
          <w:sz w:val="24"/>
        </w:rPr>
        <w:t>具备法律、行政法规规定的其他条件的证明材料</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（10）项目施工方案和计划</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（11）项目验收和培训方案</w:t>
      </w:r>
    </w:p>
    <w:p>
      <w:pPr>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（12）售后服务承诺书</w:t>
      </w:r>
    </w:p>
    <w:p>
      <w:pPr>
        <w:adjustRightInd w:val="0"/>
        <w:snapToGrid w:val="0"/>
        <w:spacing w:line="460" w:lineRule="exact"/>
        <w:ind w:left="599" w:leftChars="228" w:hanging="120" w:hangingChars="50"/>
        <w:rPr>
          <w:rFonts w:ascii="楷体_GB2312" w:eastAsia="楷体_GB2312"/>
          <w:sz w:val="24"/>
        </w:rPr>
      </w:pPr>
      <w:r>
        <w:rPr>
          <w:rFonts w:hint="eastAsia" w:ascii="楷体_GB2312" w:eastAsia="楷体_GB2312"/>
          <w:sz w:val="24"/>
        </w:rPr>
        <w:t>（13）跟本次投标有关的其他资料</w:t>
      </w:r>
      <w:bookmarkEnd w:id="78"/>
      <w:bookmarkEnd w:id="79"/>
      <w:r>
        <w:rPr>
          <w:rFonts w:ascii="楷体_GB2312" w:eastAsia="楷体_GB2312"/>
          <w:sz w:val="24"/>
        </w:rPr>
        <w:br w:type="textWrapping"/>
      </w:r>
      <w:r>
        <w:rPr>
          <w:rFonts w:hint="eastAsia" w:ascii="楷体_GB2312" w:eastAsia="楷体_GB2312"/>
          <w:sz w:val="24"/>
        </w:rPr>
        <w:t>9、投标报价</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9．1投标方要按投标货物的清单分项报价，并合计总价。</w:t>
      </w:r>
    </w:p>
    <w:p>
      <w:pPr>
        <w:tabs>
          <w:tab w:val="left" w:pos="0"/>
        </w:tabs>
        <w:adjustRightInd w:val="0"/>
        <w:snapToGrid w:val="0"/>
        <w:spacing w:line="460" w:lineRule="exact"/>
        <w:ind w:firstLine="240" w:firstLineChars="100"/>
        <w:rPr>
          <w:rFonts w:hint="eastAsia" w:ascii="楷体_GB2312" w:eastAsia="楷体_GB2312"/>
          <w:sz w:val="24"/>
        </w:rPr>
      </w:pPr>
      <w:r>
        <w:rPr>
          <w:rFonts w:hint="eastAsia" w:ascii="楷体_GB2312" w:eastAsia="楷体_GB2312"/>
          <w:color w:val="000000"/>
          <w:sz w:val="24"/>
        </w:rPr>
        <w:t xml:space="preserve"> 9．2 </w:t>
      </w:r>
      <w:bookmarkStart w:id="80" w:name="OLE_LINK8"/>
      <w:bookmarkStart w:id="81" w:name="OLE_LINK9"/>
      <w:r>
        <w:rPr>
          <w:rFonts w:hint="eastAsia" w:ascii="楷体_GB2312" w:eastAsia="楷体_GB2312"/>
          <w:color w:val="000000"/>
          <w:sz w:val="24"/>
        </w:rPr>
        <w:t>所有投标价包括设备费（包括必备的附件）、安装材料费、运输装卸费、安装调试费、售后服务费、培训费和各种税费等一切费用。</w:t>
      </w:r>
      <w:bookmarkEnd w:id="80"/>
      <w:bookmarkEnd w:id="81"/>
    </w:p>
    <w:p>
      <w:pPr>
        <w:tabs>
          <w:tab w:val="left" w:pos="0"/>
        </w:tabs>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9．3最低报价不能作为中标的保证。</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10、投标文件的有效期、签署及规定</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10．1</w:t>
      </w:r>
      <w:r>
        <w:rPr>
          <w:rFonts w:hint="eastAsia" w:ascii="楷体_GB2312" w:eastAsia="楷体_GB2312"/>
          <w:bCs/>
          <w:sz w:val="24"/>
        </w:rPr>
        <w:t>自开标日起</w:t>
      </w:r>
      <w:r>
        <w:rPr>
          <w:rFonts w:hint="eastAsia" w:ascii="楷体_GB2312" w:eastAsia="楷体_GB2312"/>
          <w:sz w:val="24"/>
        </w:rPr>
        <w:t>90天内，投标书应保持有效，有效期短于这个规定期限的投标，将被拒绝。</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10．2在特殊情况下，招标方可与投标方协商延长投标标书的有效期。这种要求和答复都应用书面、传真的形式进行。投标保证金的有效期也相应延长。投标方可以拒绝接受延期要求，而不会因此被没收保证金。同意延长有效期的投标方，不得因此而提出修改投标书的要求。</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10．3投标文件中凡涉及到公司名称的都应填写全称，同时加盖印章。</w:t>
      </w:r>
    </w:p>
    <w:p>
      <w:pPr>
        <w:tabs>
          <w:tab w:val="left" w:pos="0"/>
        </w:tabs>
        <w:adjustRightInd w:val="0"/>
        <w:snapToGrid w:val="0"/>
        <w:spacing w:line="460" w:lineRule="exact"/>
        <w:ind w:firstLine="480" w:firstLineChars="200"/>
        <w:rPr>
          <w:rFonts w:ascii="楷体_GB2312" w:eastAsia="楷体_GB2312"/>
          <w:sz w:val="24"/>
        </w:rPr>
      </w:pPr>
      <w:r>
        <w:rPr>
          <w:rFonts w:hint="eastAsia" w:ascii="楷体_GB2312" w:eastAsia="楷体_GB2312"/>
          <w:sz w:val="24"/>
        </w:rPr>
        <w:t>10．4投标文件中：技术商务标5份，正本1份，副本4份；价格标 3份，正本1份，副本2份。如果</w:t>
      </w:r>
      <w:r>
        <w:rPr>
          <w:rFonts w:hint="eastAsia" w:ascii="楷体_GB2312" w:eastAsia="楷体_GB2312"/>
          <w:b/>
          <w:sz w:val="24"/>
        </w:rPr>
        <w:t>技术商务标</w:t>
      </w:r>
      <w:r>
        <w:rPr>
          <w:rFonts w:hint="eastAsia" w:ascii="楷体_GB2312" w:eastAsia="楷体_GB2312"/>
          <w:sz w:val="24"/>
        </w:rPr>
        <w:t>正本与副本不符，以正本为准。</w:t>
      </w:r>
    </w:p>
    <w:p>
      <w:pPr>
        <w:tabs>
          <w:tab w:val="left" w:pos="0"/>
        </w:tabs>
        <w:adjustRightInd w:val="0"/>
        <w:snapToGrid w:val="0"/>
        <w:spacing w:line="460" w:lineRule="exact"/>
        <w:ind w:firstLine="480" w:firstLineChars="200"/>
        <w:rPr>
          <w:rFonts w:ascii="楷体_GB2312" w:eastAsia="楷体_GB2312"/>
          <w:sz w:val="24"/>
        </w:rPr>
      </w:pPr>
      <w:r>
        <w:rPr>
          <w:rFonts w:hint="eastAsia" w:ascii="楷体_GB2312" w:eastAsia="楷体_GB2312"/>
          <w:sz w:val="24"/>
        </w:rPr>
        <w:t>10．5投标文件的正本必须以不褪色的墨水填写或打印，注明“正本”字样。副本可用复印件。投标文件不得涂改和增删，如有修改错漏处，必须由同一签署人签字或盖章。因字迹潦草或表达不清所引起的后果由投标方负责。</w:t>
      </w:r>
    </w:p>
    <w:p>
      <w:pPr>
        <w:tabs>
          <w:tab w:val="left" w:pos="0"/>
        </w:tabs>
        <w:adjustRightInd w:val="0"/>
        <w:snapToGrid w:val="0"/>
        <w:rPr>
          <w:rFonts w:hint="eastAsia" w:ascii="楷体_GB2312" w:eastAsia="楷体_GB2312"/>
          <w:bCs/>
          <w:sz w:val="24"/>
        </w:rPr>
      </w:pPr>
    </w:p>
    <w:p>
      <w:pPr>
        <w:tabs>
          <w:tab w:val="left" w:pos="0"/>
        </w:tabs>
        <w:adjustRightInd w:val="0"/>
        <w:snapToGrid w:val="0"/>
        <w:ind w:firstLine="420"/>
        <w:jc w:val="center"/>
        <w:rPr>
          <w:rFonts w:ascii="楷体_GB2312" w:eastAsia="楷体_GB2312"/>
          <w:b/>
          <w:sz w:val="24"/>
        </w:rPr>
      </w:pPr>
      <w:r>
        <w:rPr>
          <w:rFonts w:hint="eastAsia" w:ascii="楷体_GB2312" w:eastAsia="楷体_GB2312"/>
          <w:b/>
          <w:sz w:val="24"/>
        </w:rPr>
        <w:t>D投标文件的递交</w:t>
      </w:r>
    </w:p>
    <w:p>
      <w:pPr>
        <w:tabs>
          <w:tab w:val="left" w:pos="0"/>
        </w:tabs>
        <w:adjustRightInd w:val="0"/>
        <w:snapToGrid w:val="0"/>
        <w:spacing w:line="460" w:lineRule="exact"/>
        <w:ind w:firstLine="420"/>
        <w:rPr>
          <w:rFonts w:ascii="楷体_GB2312" w:eastAsia="楷体_GB2312"/>
          <w:sz w:val="24"/>
        </w:rPr>
      </w:pPr>
      <w:r>
        <w:rPr>
          <w:rFonts w:ascii="楷体_GB2312" w:eastAsia="楷体_GB2312"/>
          <w:sz w:val="24"/>
        </w:rPr>
        <w:t xml:space="preserve"> </w:t>
      </w:r>
      <w:r>
        <w:rPr>
          <w:rFonts w:hint="eastAsia" w:ascii="楷体_GB2312" w:eastAsia="楷体_GB2312"/>
          <w:sz w:val="24"/>
        </w:rPr>
        <w:t>11、投标文件的包装、密封及标记</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11．1投标文件应按以下方法分别装袋密封：</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11．1．1</w:t>
      </w:r>
      <w:r>
        <w:rPr>
          <w:rFonts w:hint="eastAsia" w:ascii="楷体_GB2312" w:eastAsia="楷体_GB2312"/>
          <w:b/>
          <w:bCs/>
          <w:sz w:val="24"/>
        </w:rPr>
        <w:t>技术商务标和价格标应分别密封封装，其中价格标装于一个单独信封或文件袋内</w:t>
      </w:r>
      <w:r>
        <w:rPr>
          <w:rFonts w:hint="eastAsia" w:ascii="楷体_GB2312" w:eastAsia="楷体_GB2312"/>
          <w:sz w:val="24"/>
        </w:rPr>
        <w:t>。</w:t>
      </w:r>
    </w:p>
    <w:p>
      <w:pPr>
        <w:tabs>
          <w:tab w:val="left" w:pos="0"/>
        </w:tabs>
        <w:adjustRightInd w:val="0"/>
        <w:snapToGrid w:val="0"/>
        <w:spacing w:line="460" w:lineRule="exact"/>
        <w:ind w:firstLine="420"/>
        <w:rPr>
          <w:rFonts w:hint="eastAsia" w:ascii="楷体_GB2312" w:eastAsia="楷体_GB2312"/>
          <w:b/>
          <w:bCs/>
          <w:sz w:val="24"/>
        </w:rPr>
      </w:pPr>
      <w:r>
        <w:rPr>
          <w:rFonts w:hint="eastAsia" w:ascii="楷体_GB2312" w:eastAsia="楷体_GB2312"/>
          <w:sz w:val="24"/>
        </w:rPr>
        <w:t>11．1．2</w:t>
      </w:r>
      <w:r>
        <w:rPr>
          <w:rFonts w:hint="eastAsia" w:ascii="楷体_GB2312" w:eastAsia="楷体_GB2312"/>
          <w:b/>
          <w:sz w:val="24"/>
        </w:rPr>
        <w:t>投标文件的包装</w:t>
      </w:r>
      <w:r>
        <w:rPr>
          <w:rFonts w:hint="eastAsia" w:ascii="楷体_GB2312" w:eastAsia="楷体_GB2312"/>
          <w:b/>
          <w:bCs/>
          <w:sz w:val="24"/>
        </w:rPr>
        <w:t>封</w:t>
      </w:r>
      <w:r>
        <w:rPr>
          <w:rFonts w:hint="eastAsia" w:ascii="楷体_GB2312" w:eastAsia="楷体_GB2312"/>
          <w:b/>
          <w:sz w:val="24"/>
        </w:rPr>
        <w:t>面</w:t>
      </w:r>
      <w:r>
        <w:rPr>
          <w:rFonts w:hint="eastAsia" w:ascii="楷体_GB2312" w:eastAsia="楷体_GB2312"/>
          <w:b/>
          <w:bCs/>
          <w:sz w:val="24"/>
        </w:rPr>
        <w:t>上均应注明：</w:t>
      </w:r>
    </w:p>
    <w:p>
      <w:pPr>
        <w:tabs>
          <w:tab w:val="left" w:pos="0"/>
        </w:tabs>
        <w:adjustRightInd w:val="0"/>
        <w:snapToGrid w:val="0"/>
        <w:spacing w:line="460" w:lineRule="exact"/>
        <w:ind w:firstLine="420"/>
        <w:rPr>
          <w:rFonts w:hint="eastAsia" w:ascii="楷体_GB2312" w:eastAsia="楷体_GB2312"/>
          <w:b/>
          <w:bCs/>
          <w:sz w:val="24"/>
        </w:rPr>
      </w:pPr>
      <w:r>
        <w:rPr>
          <w:rFonts w:hint="eastAsia" w:ascii="楷体_GB2312" w:eastAsia="楷体_GB2312"/>
          <w:b/>
          <w:bCs/>
          <w:sz w:val="24"/>
        </w:rPr>
        <w:t>（1）致：象山县政府采购中心</w:t>
      </w:r>
    </w:p>
    <w:p>
      <w:pPr>
        <w:tabs>
          <w:tab w:val="left" w:pos="0"/>
        </w:tabs>
        <w:adjustRightInd w:val="0"/>
        <w:snapToGrid w:val="0"/>
        <w:spacing w:line="460" w:lineRule="exact"/>
        <w:ind w:firstLine="420"/>
        <w:rPr>
          <w:rFonts w:hint="eastAsia" w:ascii="楷体_GB2312" w:eastAsia="楷体_GB2312"/>
          <w:b/>
          <w:bCs/>
          <w:sz w:val="24"/>
        </w:rPr>
      </w:pPr>
      <w:r>
        <w:rPr>
          <w:rFonts w:hint="eastAsia" w:ascii="楷体_GB2312" w:eastAsia="楷体_GB2312"/>
          <w:b/>
          <w:bCs/>
          <w:sz w:val="24"/>
        </w:rPr>
        <w:t xml:space="preserve">（2）招标项目名称 ：           </w:t>
      </w:r>
    </w:p>
    <w:p>
      <w:pPr>
        <w:tabs>
          <w:tab w:val="left" w:pos="0"/>
        </w:tabs>
        <w:adjustRightInd w:val="0"/>
        <w:snapToGrid w:val="0"/>
        <w:spacing w:line="460" w:lineRule="exact"/>
        <w:ind w:firstLine="420"/>
        <w:rPr>
          <w:rFonts w:hint="eastAsia" w:ascii="楷体_GB2312" w:eastAsia="楷体_GB2312"/>
          <w:b/>
          <w:bCs/>
          <w:sz w:val="24"/>
        </w:rPr>
      </w:pPr>
      <w:r>
        <w:rPr>
          <w:rFonts w:hint="eastAsia" w:ascii="楷体_GB2312" w:eastAsia="楷体_GB2312"/>
          <w:b/>
          <w:bCs/>
          <w:sz w:val="24"/>
        </w:rPr>
        <w:t xml:space="preserve">（3）招标编号：       </w:t>
      </w:r>
    </w:p>
    <w:p>
      <w:pPr>
        <w:tabs>
          <w:tab w:val="left" w:pos="0"/>
        </w:tabs>
        <w:adjustRightInd w:val="0"/>
        <w:snapToGrid w:val="0"/>
        <w:spacing w:line="460" w:lineRule="exact"/>
        <w:ind w:firstLine="420"/>
        <w:rPr>
          <w:rFonts w:hint="eastAsia" w:ascii="楷体_GB2312" w:eastAsia="楷体_GB2312"/>
          <w:b/>
          <w:bCs/>
          <w:sz w:val="24"/>
        </w:rPr>
      </w:pPr>
      <w:r>
        <w:rPr>
          <w:rFonts w:hint="eastAsia" w:ascii="楷体_GB2312" w:eastAsia="楷体_GB2312"/>
          <w:b/>
          <w:bCs/>
          <w:sz w:val="24"/>
        </w:rPr>
        <w:t>（4）标明“请勿在开标时间之前启封”字样</w:t>
      </w:r>
    </w:p>
    <w:p>
      <w:pPr>
        <w:tabs>
          <w:tab w:val="left" w:pos="0"/>
        </w:tabs>
        <w:adjustRightInd w:val="0"/>
        <w:snapToGrid w:val="0"/>
        <w:spacing w:line="460" w:lineRule="exact"/>
        <w:ind w:firstLine="420"/>
        <w:rPr>
          <w:rFonts w:hint="eastAsia" w:ascii="楷体_GB2312" w:eastAsia="楷体_GB2312"/>
          <w:b/>
          <w:bCs/>
          <w:sz w:val="24"/>
        </w:rPr>
      </w:pPr>
      <w:r>
        <w:rPr>
          <w:rFonts w:hint="eastAsia" w:ascii="楷体_GB2312" w:eastAsia="楷体_GB2312"/>
          <w:b/>
          <w:bCs/>
          <w:sz w:val="24"/>
        </w:rPr>
        <w:t>（5）投标人名称、</w:t>
      </w:r>
      <w:r>
        <w:rPr>
          <w:rFonts w:hint="eastAsia" w:ascii="楷体_GB2312" w:eastAsia="楷体_GB2312"/>
          <w:b/>
          <w:sz w:val="24"/>
        </w:rPr>
        <w:t>投标人地址、投标文件名称（技术商务标或价格标等）</w:t>
      </w:r>
    </w:p>
    <w:p>
      <w:pPr>
        <w:tabs>
          <w:tab w:val="left" w:pos="0"/>
        </w:tabs>
        <w:adjustRightInd w:val="0"/>
        <w:snapToGrid w:val="0"/>
        <w:spacing w:line="460" w:lineRule="exact"/>
        <w:ind w:firstLine="420"/>
        <w:rPr>
          <w:rFonts w:hint="eastAsia" w:ascii="楷体_GB2312" w:eastAsia="楷体_GB2312"/>
          <w:b/>
          <w:bCs/>
          <w:sz w:val="24"/>
        </w:rPr>
      </w:pPr>
      <w:r>
        <w:rPr>
          <w:rFonts w:hint="eastAsia" w:ascii="楷体_GB2312" w:eastAsia="楷体_GB2312"/>
          <w:b/>
          <w:bCs/>
          <w:sz w:val="24"/>
        </w:rPr>
        <w:t>（6）</w:t>
      </w:r>
      <w:r>
        <w:rPr>
          <w:rFonts w:hint="eastAsia" w:ascii="楷体_GB2312" w:eastAsia="楷体_GB2312"/>
          <w:b/>
          <w:sz w:val="24"/>
        </w:rPr>
        <w:t>包装封面应加盖投标人公章。</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11．2如果投标方未按上述规定包装、密封或标记的投标文件将被拒绝，由此造成投标文件被误投或提前拆封的风险由投标人承担。</w:t>
      </w:r>
    </w:p>
    <w:p>
      <w:pPr>
        <w:tabs>
          <w:tab w:val="left" w:pos="0"/>
        </w:tabs>
        <w:adjustRightInd w:val="0"/>
        <w:snapToGrid w:val="0"/>
        <w:spacing w:line="460" w:lineRule="exact"/>
        <w:ind w:firstLine="420"/>
        <w:rPr>
          <w:rFonts w:ascii="楷体_GB2312" w:eastAsia="楷体_GB2312"/>
          <w:b/>
          <w:sz w:val="24"/>
        </w:rPr>
      </w:pPr>
      <w:r>
        <w:rPr>
          <w:rFonts w:hint="eastAsia" w:ascii="楷体_GB2312" w:eastAsia="楷体_GB2312"/>
          <w:sz w:val="24"/>
        </w:rPr>
        <w:t>11．3</w:t>
      </w:r>
      <w:r>
        <w:rPr>
          <w:rFonts w:hint="eastAsia" w:ascii="楷体_GB2312" w:eastAsia="楷体_GB2312"/>
          <w:b/>
          <w:sz w:val="24"/>
        </w:rPr>
        <w:t>若在开标后发现技术商务标中含有投标报价，即作废标处理。</w:t>
      </w:r>
    </w:p>
    <w:p>
      <w:pPr>
        <w:tabs>
          <w:tab w:val="left" w:pos="0"/>
        </w:tabs>
        <w:adjustRightInd w:val="0"/>
        <w:snapToGrid w:val="0"/>
        <w:spacing w:line="460" w:lineRule="exact"/>
        <w:ind w:firstLine="420"/>
        <w:rPr>
          <w:rFonts w:hint="eastAsia" w:ascii="楷体_GB2312" w:eastAsia="楷体_GB2312"/>
          <w:b/>
          <w:sz w:val="24"/>
        </w:rPr>
      </w:pPr>
      <w:r>
        <w:rPr>
          <w:rFonts w:hint="eastAsia" w:ascii="楷体_GB2312" w:eastAsia="楷体_GB2312"/>
          <w:sz w:val="24"/>
        </w:rPr>
        <w:t>11．4投标文件必须在投标截止时间前送达到指定的投标地点，</w:t>
      </w:r>
      <w:r>
        <w:rPr>
          <w:rFonts w:hint="eastAsia" w:ascii="楷体_GB2312" w:eastAsia="楷体_GB2312"/>
          <w:b/>
          <w:sz w:val="24"/>
        </w:rPr>
        <w:t>在投标截止时间以后送达的投标文件，招标方拒绝接收。</w:t>
      </w:r>
    </w:p>
    <w:p>
      <w:pPr>
        <w:tabs>
          <w:tab w:val="left" w:pos="0"/>
        </w:tabs>
        <w:adjustRightInd w:val="0"/>
        <w:snapToGrid w:val="0"/>
        <w:spacing w:line="460" w:lineRule="exact"/>
        <w:ind w:firstLine="360"/>
        <w:rPr>
          <w:rFonts w:ascii="楷体_GB2312" w:eastAsia="楷体_GB2312"/>
          <w:sz w:val="24"/>
        </w:rPr>
      </w:pPr>
      <w:r>
        <w:rPr>
          <w:rFonts w:hint="eastAsia" w:ascii="楷体_GB2312" w:eastAsia="楷体_GB2312"/>
          <w:sz w:val="24"/>
        </w:rPr>
        <w:t>12．投标文件的修改和撤回</w:t>
      </w:r>
    </w:p>
    <w:p>
      <w:pPr>
        <w:tabs>
          <w:tab w:val="left" w:pos="0"/>
        </w:tabs>
        <w:adjustRightInd w:val="0"/>
        <w:snapToGrid w:val="0"/>
        <w:spacing w:line="460" w:lineRule="exact"/>
        <w:ind w:firstLine="180"/>
        <w:rPr>
          <w:rFonts w:ascii="楷体_GB2312" w:eastAsia="楷体_GB2312"/>
          <w:sz w:val="24"/>
        </w:rPr>
      </w:pPr>
      <w:r>
        <w:rPr>
          <w:rFonts w:ascii="楷体_GB2312" w:eastAsia="楷体_GB2312"/>
          <w:sz w:val="24"/>
        </w:rPr>
        <w:t xml:space="preserve"> </w:t>
      </w:r>
      <w:r>
        <w:rPr>
          <w:rFonts w:hint="eastAsia" w:ascii="楷体_GB2312" w:eastAsia="楷体_GB2312"/>
          <w:sz w:val="24"/>
        </w:rPr>
        <w:t xml:space="preserve"> 12．1在投标截止时间前，投标人可以书面形式补充、修改或撤回已递交的投标文件。补充、修改的内容为投标文件的组成部分。上述补充或修改若涉及投标报价，必须注明“最终唯一报价”（不得添减任何文字）字样，否则将视投标无效处理。</w:t>
      </w:r>
    </w:p>
    <w:p>
      <w:pPr>
        <w:tabs>
          <w:tab w:val="left" w:pos="0"/>
        </w:tabs>
        <w:adjustRightInd w:val="0"/>
        <w:snapToGrid w:val="0"/>
        <w:spacing w:line="460" w:lineRule="exact"/>
        <w:ind w:firstLine="201" w:firstLineChars="84"/>
        <w:rPr>
          <w:rFonts w:ascii="楷体_GB2312" w:eastAsia="楷体_GB2312"/>
          <w:sz w:val="24"/>
        </w:rPr>
      </w:pPr>
      <w:r>
        <w:rPr>
          <w:rFonts w:ascii="楷体_GB2312" w:eastAsia="楷体_GB2312"/>
          <w:sz w:val="24"/>
        </w:rPr>
        <w:t xml:space="preserve"> </w:t>
      </w:r>
      <w:r>
        <w:rPr>
          <w:rFonts w:hint="eastAsia" w:ascii="楷体_GB2312" w:eastAsia="楷体_GB2312"/>
          <w:sz w:val="24"/>
        </w:rPr>
        <w:t>12．2投标方修改投标文件的书面材料，须密封送达招标方，同时应在封套上标明“修改投标文件（并注明招标编号）”和“开标时启封”字样，修改后重新递交的投标文件或补充文件应按本招标文件的要求签署、盖章和密封。</w:t>
      </w:r>
    </w:p>
    <w:p>
      <w:pPr>
        <w:tabs>
          <w:tab w:val="left" w:pos="0"/>
        </w:tabs>
        <w:adjustRightInd w:val="0"/>
        <w:snapToGrid w:val="0"/>
        <w:spacing w:line="460" w:lineRule="exact"/>
        <w:ind w:firstLine="180"/>
        <w:rPr>
          <w:rFonts w:ascii="楷体_GB2312" w:eastAsia="楷体_GB2312"/>
          <w:sz w:val="24"/>
        </w:rPr>
      </w:pPr>
      <w:r>
        <w:rPr>
          <w:rFonts w:ascii="楷体_GB2312" w:eastAsia="楷体_GB2312"/>
          <w:sz w:val="24"/>
        </w:rPr>
        <w:t xml:space="preserve"> </w:t>
      </w:r>
      <w:r>
        <w:rPr>
          <w:rFonts w:hint="eastAsia" w:ascii="楷体_GB2312" w:eastAsia="楷体_GB2312"/>
          <w:sz w:val="24"/>
        </w:rPr>
        <w:t>12．3撤回投标应以书面、传真的形式通知招标方。如采取传真形式撤回投标的，随后必须补充有法人代表或授权代表签署的要求撤回投标的正式文件。撤回投标的时间以投标截止时间为准。</w:t>
      </w:r>
    </w:p>
    <w:p>
      <w:pPr>
        <w:tabs>
          <w:tab w:val="left" w:pos="0"/>
        </w:tabs>
        <w:adjustRightInd w:val="0"/>
        <w:snapToGrid w:val="0"/>
        <w:ind w:firstLine="420"/>
        <w:rPr>
          <w:rFonts w:ascii="楷体_GB2312" w:eastAsia="楷体_GB2312"/>
          <w:sz w:val="24"/>
        </w:rPr>
      </w:pPr>
    </w:p>
    <w:p>
      <w:pPr>
        <w:tabs>
          <w:tab w:val="left" w:pos="0"/>
        </w:tabs>
        <w:adjustRightInd w:val="0"/>
        <w:snapToGrid w:val="0"/>
        <w:ind w:firstLine="420"/>
        <w:jc w:val="center"/>
        <w:rPr>
          <w:rFonts w:ascii="楷体_GB2312" w:eastAsia="楷体_GB2312"/>
          <w:b/>
          <w:sz w:val="24"/>
        </w:rPr>
      </w:pPr>
    </w:p>
    <w:p>
      <w:pPr>
        <w:tabs>
          <w:tab w:val="left" w:pos="0"/>
        </w:tabs>
        <w:adjustRightInd w:val="0"/>
        <w:snapToGrid w:val="0"/>
        <w:ind w:firstLine="420"/>
        <w:jc w:val="center"/>
        <w:rPr>
          <w:rFonts w:ascii="楷体_GB2312" w:eastAsia="楷体_GB2312"/>
          <w:b/>
          <w:sz w:val="24"/>
        </w:rPr>
      </w:pPr>
      <w:r>
        <w:rPr>
          <w:rFonts w:ascii="楷体_GB2312" w:eastAsia="楷体_GB2312"/>
          <w:b/>
          <w:sz w:val="24"/>
        </w:rPr>
        <w:t xml:space="preserve">E  </w:t>
      </w:r>
      <w:r>
        <w:rPr>
          <w:rFonts w:hint="eastAsia" w:ascii="楷体_GB2312" w:eastAsia="楷体_GB2312"/>
          <w:b/>
          <w:sz w:val="24"/>
        </w:rPr>
        <w:t>开标及评标</w:t>
      </w:r>
    </w:p>
    <w:p>
      <w:pPr>
        <w:tabs>
          <w:tab w:val="left" w:pos="0"/>
        </w:tabs>
        <w:adjustRightInd w:val="0"/>
        <w:snapToGrid w:val="0"/>
        <w:ind w:firstLine="420"/>
        <w:jc w:val="center"/>
        <w:rPr>
          <w:rFonts w:ascii="楷体_GB2312" w:eastAsia="楷体_GB2312"/>
          <w:b/>
          <w:sz w:val="24"/>
        </w:rPr>
      </w:pPr>
    </w:p>
    <w:p>
      <w:pPr>
        <w:tabs>
          <w:tab w:val="left" w:pos="0"/>
        </w:tabs>
        <w:adjustRightInd w:val="0"/>
        <w:snapToGrid w:val="0"/>
        <w:spacing w:line="460" w:lineRule="exact"/>
        <w:ind w:firstLine="360"/>
        <w:rPr>
          <w:rFonts w:ascii="楷体_GB2312" w:eastAsia="楷体_GB2312"/>
          <w:sz w:val="24"/>
        </w:rPr>
      </w:pPr>
      <w:r>
        <w:rPr>
          <w:rFonts w:hint="eastAsia" w:ascii="楷体_GB2312" w:eastAsia="楷体_GB2312"/>
          <w:sz w:val="24"/>
        </w:rPr>
        <w:t>13．开标</w:t>
      </w:r>
    </w:p>
    <w:p>
      <w:pPr>
        <w:tabs>
          <w:tab w:val="left" w:pos="0"/>
        </w:tabs>
        <w:adjustRightInd w:val="0"/>
        <w:snapToGrid w:val="0"/>
        <w:spacing w:line="460" w:lineRule="exact"/>
        <w:ind w:left="26" w:leftChars="-85" w:hanging="204" w:hangingChars="85"/>
        <w:rPr>
          <w:rFonts w:ascii="楷体_GB2312" w:eastAsia="楷体_GB2312"/>
          <w:sz w:val="24"/>
        </w:rPr>
      </w:pPr>
      <w:r>
        <w:rPr>
          <w:rFonts w:ascii="楷体_GB2312" w:eastAsia="楷体_GB2312"/>
          <w:sz w:val="24"/>
        </w:rPr>
        <w:t xml:space="preserve">    </w:t>
      </w:r>
      <w:r>
        <w:rPr>
          <w:rFonts w:hint="eastAsia" w:ascii="楷体_GB2312" w:eastAsia="楷体_GB2312"/>
          <w:sz w:val="24"/>
        </w:rPr>
        <w:t xml:space="preserve"> 13．1招标方按招标文件规定的时间、地点主持公开开标。开标仪式由招标方主持，投标人的法定代表或其授权代表应参加开标会，如因故未能参加的视同放弃开标监督权利，认可开标结果。同时邀请有关工作人员参加。</w:t>
      </w:r>
    </w:p>
    <w:p>
      <w:pPr>
        <w:tabs>
          <w:tab w:val="left" w:pos="0"/>
        </w:tabs>
        <w:adjustRightInd w:val="0"/>
        <w:snapToGrid w:val="0"/>
        <w:spacing w:line="460" w:lineRule="exact"/>
        <w:rPr>
          <w:rFonts w:ascii="楷体_GB2312" w:eastAsia="楷体_GB2312"/>
          <w:b/>
          <w:sz w:val="24"/>
        </w:rPr>
      </w:pPr>
      <w:r>
        <w:rPr>
          <w:rFonts w:ascii="楷体_GB2312" w:eastAsia="楷体_GB2312"/>
          <w:sz w:val="24"/>
        </w:rPr>
        <w:t xml:space="preserve">    </w:t>
      </w:r>
      <w:r>
        <w:rPr>
          <w:rFonts w:hint="eastAsia" w:ascii="楷体_GB2312" w:eastAsia="楷体_GB2312"/>
          <w:sz w:val="24"/>
        </w:rPr>
        <w:t>13．2开标时由投标人或其当场推荐的代表，或者招标采购单位委托的公证机构检查验投标文件密封及签署情况并签字确认，确认无误后拆封唱标，</w:t>
      </w:r>
      <w:r>
        <w:rPr>
          <w:rFonts w:hint="eastAsia" w:ascii="楷体_GB2312" w:eastAsia="楷体_GB2312"/>
          <w:b/>
          <w:sz w:val="24"/>
        </w:rPr>
        <w:t>先开技术商务标，后开价格标。</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13．3招标方在开标仪式上，先打开技术商务标，清点投标文件正本、副本数量，符合招标文件要求的送评标室评审；不符合要求的，当场退还投标人，并由投标人代表签字确认。</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13.4等评标委员会对商务技术标评标结束后，由主持人公布无效投的投标人名单、投标无效的原因及其他有效投标的评分结果，然后宣读《开标一览表》。</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14．评标委员会的组成：评标委员会由采购人代表和从专家库随机抽取的技术、经济、法律专家若干名组成。</w:t>
      </w:r>
    </w:p>
    <w:p>
      <w:pPr>
        <w:tabs>
          <w:tab w:val="left" w:pos="0"/>
        </w:tabs>
        <w:adjustRightInd w:val="0"/>
        <w:snapToGrid w:val="0"/>
        <w:spacing w:line="460" w:lineRule="exact"/>
        <w:ind w:firstLine="480" w:firstLineChars="200"/>
        <w:rPr>
          <w:rFonts w:ascii="楷体_GB2312" w:eastAsia="楷体_GB2312"/>
          <w:sz w:val="24"/>
        </w:rPr>
      </w:pPr>
      <w:r>
        <w:rPr>
          <w:rFonts w:hint="eastAsia" w:ascii="楷体_GB2312" w:eastAsia="楷体_GB2312"/>
          <w:sz w:val="24"/>
        </w:rPr>
        <w:t>15．对投标文件的符合性筛选</w:t>
      </w:r>
    </w:p>
    <w:p>
      <w:pPr>
        <w:tabs>
          <w:tab w:val="left" w:pos="0"/>
        </w:tabs>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15．1符合性初筛选内容包括：</w:t>
      </w:r>
    </w:p>
    <w:p>
      <w:pPr>
        <w:tabs>
          <w:tab w:val="left" w:pos="0"/>
        </w:tabs>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（1）投标人资格是否符合招标文件要求。</w:t>
      </w:r>
    </w:p>
    <w:p>
      <w:pPr>
        <w:tabs>
          <w:tab w:val="left" w:pos="0"/>
        </w:tabs>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（2）投标人所投产品是否符合招标文件要求。</w:t>
      </w:r>
    </w:p>
    <w:p>
      <w:pPr>
        <w:tabs>
          <w:tab w:val="left" w:pos="0"/>
        </w:tabs>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（3）投标文件内容是否齐全。</w:t>
      </w:r>
    </w:p>
    <w:p>
      <w:pPr>
        <w:tabs>
          <w:tab w:val="left" w:pos="0"/>
        </w:tabs>
        <w:adjustRightInd w:val="0"/>
        <w:snapToGrid w:val="0"/>
        <w:spacing w:line="460" w:lineRule="exact"/>
        <w:ind w:firstLine="480" w:firstLineChars="200"/>
        <w:rPr>
          <w:rFonts w:hint="eastAsia" w:ascii="楷体_GB2312" w:eastAsia="楷体_GB2312"/>
          <w:sz w:val="24"/>
        </w:rPr>
      </w:pPr>
      <w:r>
        <w:rPr>
          <w:rFonts w:hint="eastAsia" w:ascii="楷体_GB2312" w:eastAsia="楷体_GB2312"/>
          <w:sz w:val="24"/>
        </w:rPr>
        <w:t>（4）投标文件签署情况。</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15．2与招标文件有重大偏离的投标文件将被拒绝。所谓重大偏离是指投标人所投标的质量、数量和交货期限明显不能满足招标文件要求。重大偏离须经评标委员会按照少数服从多数的原则认定。</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15. 3价格标与技术商务标中货物清单有较大不一致的，经评标委员会按照少数服从多数的原则认定为无效标。</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15．4评委会决定投标书的响应性只根据投标书本身的内容，而不寻求外部证据。</w:t>
      </w:r>
    </w:p>
    <w:p>
      <w:pPr>
        <w:adjustRightInd w:val="0"/>
        <w:snapToGrid w:val="0"/>
        <w:spacing w:line="460" w:lineRule="exact"/>
        <w:ind w:firstLine="354" w:firstLineChars="147"/>
        <w:rPr>
          <w:rFonts w:ascii="楷体_GB2312" w:eastAsia="楷体_GB2312"/>
          <w:b/>
          <w:sz w:val="24"/>
        </w:rPr>
      </w:pPr>
      <w:r>
        <w:rPr>
          <w:rFonts w:hint="eastAsia" w:ascii="楷体_GB2312" w:eastAsia="楷体_GB2312"/>
          <w:b/>
          <w:sz w:val="24"/>
        </w:rPr>
        <w:t>15．5发生下列情况之一，作无效采购响应文件的认定。</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（1）未按采购文件要求的递交时间、格式及相关要求进行采购文件递交的；</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（2）未按采购文件规定的实质性响应条款作出正确响应的；</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（3）明显不符合采购需求的技术规格和标准的；</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（4）采购响应文件未依法签字和加盖公章的；</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（5）采购响应文件有效期不符合采购文件要求的；</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（6）采购响应文件附有采购人不能接受的条件的；</w:t>
      </w:r>
    </w:p>
    <w:p>
      <w:pPr>
        <w:adjustRightInd w:val="0"/>
        <w:snapToGrid w:val="0"/>
        <w:spacing w:line="460" w:lineRule="exact"/>
        <w:ind w:left="420"/>
        <w:rPr>
          <w:rFonts w:hint="eastAsia" w:ascii="楷体_GB2312" w:eastAsia="楷体_GB2312"/>
          <w:sz w:val="24"/>
        </w:rPr>
      </w:pPr>
      <w:r>
        <w:rPr>
          <w:rFonts w:hint="eastAsia" w:ascii="楷体_GB2312" w:eastAsia="楷体_GB2312"/>
          <w:sz w:val="24"/>
        </w:rPr>
        <w:t>（7）不符合规定资格条件的；</w:t>
      </w:r>
    </w:p>
    <w:p>
      <w:pPr>
        <w:spacing w:line="440" w:lineRule="exact"/>
        <w:ind w:left="120" w:leftChars="57" w:firstLine="360" w:firstLineChars="150"/>
        <w:rPr>
          <w:rFonts w:ascii="楷体_GB2312" w:eastAsia="楷体_GB2312"/>
          <w:sz w:val="24"/>
        </w:rPr>
      </w:pPr>
      <w:r>
        <w:rPr>
          <w:rFonts w:hint="eastAsia" w:ascii="楷体_GB2312" w:eastAsia="楷体_GB2312"/>
          <w:sz w:val="24"/>
        </w:rPr>
        <w:t>（8）列入失信被执行人、重大税收违法案件当事人名单、政府采购严重违法失信记录名单在禁止参加采购期限的供应商（以投标截止日网站查询数据为准，打印不合格投标人的查询记录网页一并作为资格审查资料存档）；</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（9）投标报价超过采购预算（或最高限价）的；</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10）报价明显不合理的：①对于采购预算（或最高限价）40%以下的投标报价，投标人未在报价文件中提供成本测算资料；②投标人虽然提供了成本测算资料，但测算内容不完整、或依据不充分、或评审委员会半数以上成员经分析认为其成本测算依据不合理或明显低于市场价；</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（11）法律法规规定的其他应作无效响应的。</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16．评标</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16．1评标委员会将按照公平、公正、公开的对待所有的投标人。</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16．2评标由评标委员会严格按照招标文件的要求和条件对具备实质性响应的投标文件进行评估和比较。评估和比较的主要内容是：</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（1）质量保证；</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（2）交货时间及运输条件；</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（3）技术能力：与本项目有关的能体现投标人技术能力的资质情况、技术及维护人员资料和其他有效证明文件等。</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（4）售后服务：投标人的售后服务体系或文件（如组织体系、管理制度、售后服务人员的技术水平、服务响应时间、现场服务措施等）以及货物寿命周期的运行维护保养费用、系统升级费用及优惠条件等。</w:t>
      </w:r>
    </w:p>
    <w:p>
      <w:pPr>
        <w:tabs>
          <w:tab w:val="left" w:pos="0"/>
        </w:tabs>
        <w:adjustRightInd w:val="0"/>
        <w:snapToGrid w:val="0"/>
        <w:spacing w:line="460" w:lineRule="exact"/>
        <w:ind w:firstLine="360" w:firstLineChars="150"/>
        <w:rPr>
          <w:rFonts w:hint="eastAsia" w:ascii="楷体_GB2312" w:eastAsia="楷体_GB2312"/>
          <w:sz w:val="24"/>
        </w:rPr>
      </w:pPr>
      <w:r>
        <w:rPr>
          <w:rFonts w:hint="eastAsia" w:ascii="楷体_GB2312" w:eastAsia="楷体_GB2312"/>
          <w:sz w:val="24"/>
        </w:rPr>
        <w:t>（5）备件供应：部件、零配件的供应品牌、折扣率等。</w:t>
      </w:r>
    </w:p>
    <w:p>
      <w:pPr>
        <w:tabs>
          <w:tab w:val="left" w:pos="0"/>
        </w:tabs>
        <w:adjustRightInd w:val="0"/>
        <w:snapToGrid w:val="0"/>
        <w:spacing w:line="460" w:lineRule="exact"/>
        <w:ind w:firstLine="360" w:firstLineChars="150"/>
        <w:rPr>
          <w:rFonts w:hint="eastAsia" w:ascii="楷体_GB2312" w:eastAsia="楷体_GB2312"/>
          <w:sz w:val="24"/>
        </w:rPr>
      </w:pPr>
      <w:r>
        <w:rPr>
          <w:rFonts w:hint="eastAsia" w:ascii="楷体_GB2312" w:eastAsia="楷体_GB2312"/>
          <w:sz w:val="24"/>
        </w:rPr>
        <w:t>（6）实施方案和计划：投标人的项目施工方案和计划、人员培训计划、项目验收方案等。</w:t>
      </w:r>
    </w:p>
    <w:p>
      <w:pPr>
        <w:tabs>
          <w:tab w:val="left" w:pos="0"/>
        </w:tabs>
        <w:adjustRightInd w:val="0"/>
        <w:snapToGrid w:val="0"/>
        <w:spacing w:line="460" w:lineRule="exact"/>
        <w:ind w:firstLine="360" w:firstLineChars="150"/>
        <w:rPr>
          <w:rFonts w:hint="eastAsia" w:ascii="楷体_GB2312" w:eastAsia="楷体_GB2312"/>
          <w:sz w:val="24"/>
        </w:rPr>
      </w:pPr>
      <w:r>
        <w:rPr>
          <w:rFonts w:hint="eastAsia" w:ascii="楷体_GB2312" w:eastAsia="楷体_GB2312"/>
          <w:sz w:val="24"/>
        </w:rPr>
        <w:t>（7）业绩、财务状况和经营信誉：投标人近三年与本项目类似的销售情况、项目使用单位的评价资料等。</w:t>
      </w:r>
    </w:p>
    <w:p>
      <w:pPr>
        <w:tabs>
          <w:tab w:val="left" w:pos="0"/>
        </w:tabs>
        <w:adjustRightInd w:val="0"/>
        <w:snapToGrid w:val="0"/>
        <w:spacing w:line="460" w:lineRule="exact"/>
        <w:ind w:firstLine="360" w:firstLineChars="150"/>
        <w:rPr>
          <w:rFonts w:hint="eastAsia" w:ascii="楷体_GB2312" w:eastAsia="楷体_GB2312"/>
          <w:sz w:val="24"/>
        </w:rPr>
      </w:pPr>
      <w:r>
        <w:rPr>
          <w:rFonts w:hint="eastAsia" w:ascii="楷体_GB2312" w:eastAsia="楷体_GB2312"/>
          <w:sz w:val="24"/>
        </w:rPr>
        <w:t>（8）评委会认为其他需要考虑的因素。</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16．3评标委员会按照下列几个方面技术商务评分标准对投标文件的内容进</w:t>
      </w:r>
    </w:p>
    <w:p>
      <w:pPr>
        <w:tabs>
          <w:tab w:val="left" w:pos="0"/>
        </w:tabs>
        <w:adjustRightInd w:val="0"/>
        <w:snapToGrid w:val="0"/>
        <w:spacing w:line="460" w:lineRule="exact"/>
        <w:ind w:firstLine="420"/>
        <w:rPr>
          <w:rFonts w:hint="eastAsia" w:ascii="楷体_GB2312" w:eastAsia="楷体_GB2312"/>
          <w:sz w:val="24"/>
        </w:rPr>
      </w:pPr>
      <w:r>
        <w:rPr>
          <w:rFonts w:hint="eastAsia" w:ascii="楷体_GB2312" w:eastAsia="楷体_GB2312"/>
          <w:sz w:val="24"/>
        </w:rPr>
        <w:t>行综合打分；（总分100分）</w:t>
      </w:r>
    </w:p>
    <w:p>
      <w:pPr>
        <w:tabs>
          <w:tab w:val="left" w:pos="0"/>
        </w:tabs>
        <w:adjustRightInd w:val="0"/>
        <w:snapToGrid w:val="0"/>
        <w:spacing w:line="460" w:lineRule="exact"/>
        <w:ind w:firstLine="420"/>
        <w:rPr>
          <w:rFonts w:hint="eastAsia" w:ascii="楷体_GB2312" w:eastAsia="楷体_GB2312"/>
          <w:sz w:val="24"/>
        </w:rPr>
      </w:pPr>
    </w:p>
    <w:tbl>
      <w:tblPr>
        <w:tblStyle w:val="19"/>
        <w:tblW w:w="510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852"/>
        <w:gridCol w:w="63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7" w:hRule="atLeast"/>
        </w:trPr>
        <w:tc>
          <w:tcPr>
            <w:tcW w:w="570" w:type="pct"/>
            <w:shd w:val="clear" w:color="auto" w:fill="auto"/>
            <w:noWrap w:val="0"/>
            <w:vAlign w:val="center"/>
          </w:tcPr>
          <w:p>
            <w:pPr>
              <w:widowControl/>
              <w:jc w:val="center"/>
              <w:rPr>
                <w:rFonts w:ascii="宋体" w:hAnsi="宋体"/>
                <w:b/>
                <w:color w:val="000000"/>
                <w:sz w:val="18"/>
                <w:szCs w:val="18"/>
              </w:rPr>
            </w:pPr>
            <w:r>
              <w:rPr>
                <w:rFonts w:hint="eastAsia" w:ascii="宋体" w:hAnsi="宋体"/>
                <w:b/>
                <w:color w:val="000000"/>
                <w:sz w:val="18"/>
                <w:szCs w:val="18"/>
              </w:rPr>
              <w:t>评标项目</w:t>
            </w:r>
          </w:p>
        </w:tc>
        <w:tc>
          <w:tcPr>
            <w:tcW w:w="490" w:type="pct"/>
            <w:shd w:val="clear" w:color="auto" w:fill="auto"/>
            <w:noWrap w:val="0"/>
            <w:vAlign w:val="center"/>
          </w:tcPr>
          <w:p>
            <w:pPr>
              <w:widowControl/>
              <w:jc w:val="center"/>
              <w:rPr>
                <w:rFonts w:ascii="宋体" w:hAnsi="宋体"/>
                <w:b/>
                <w:color w:val="000000"/>
                <w:sz w:val="18"/>
                <w:szCs w:val="18"/>
              </w:rPr>
            </w:pPr>
            <w:r>
              <w:rPr>
                <w:rFonts w:hint="eastAsia" w:ascii="宋体" w:hAnsi="宋体"/>
                <w:b/>
                <w:color w:val="000000"/>
                <w:sz w:val="18"/>
                <w:szCs w:val="18"/>
              </w:rPr>
              <w:t>评分因素</w:t>
            </w:r>
          </w:p>
        </w:tc>
        <w:tc>
          <w:tcPr>
            <w:tcW w:w="3666" w:type="pct"/>
            <w:shd w:val="clear" w:color="auto" w:fill="auto"/>
            <w:noWrap w:val="0"/>
            <w:vAlign w:val="center"/>
          </w:tcPr>
          <w:p>
            <w:pPr>
              <w:widowControl/>
              <w:jc w:val="center"/>
              <w:rPr>
                <w:rFonts w:ascii="宋体" w:hAnsi="宋体"/>
                <w:b/>
                <w:color w:val="000000"/>
                <w:sz w:val="18"/>
                <w:szCs w:val="18"/>
              </w:rPr>
            </w:pPr>
            <w:r>
              <w:rPr>
                <w:rFonts w:hint="eastAsia" w:ascii="宋体" w:hAnsi="宋体"/>
                <w:b/>
                <w:color w:val="000000"/>
                <w:sz w:val="18"/>
                <w:szCs w:val="18"/>
              </w:rPr>
              <w:t>评标要点及说明</w:t>
            </w:r>
          </w:p>
        </w:tc>
        <w:tc>
          <w:tcPr>
            <w:tcW w:w="274" w:type="pct"/>
            <w:shd w:val="clear" w:color="auto" w:fill="auto"/>
            <w:noWrap w:val="0"/>
            <w:vAlign w:val="center"/>
          </w:tcPr>
          <w:p>
            <w:pPr>
              <w:widowControl/>
              <w:jc w:val="center"/>
              <w:rPr>
                <w:rFonts w:ascii="宋体" w:hAnsi="宋体"/>
                <w:b/>
                <w:color w:val="000000"/>
                <w:sz w:val="18"/>
                <w:szCs w:val="18"/>
              </w:rPr>
            </w:pPr>
            <w:r>
              <w:rPr>
                <w:rFonts w:hint="eastAsia" w:ascii="宋体" w:hAnsi="宋体"/>
                <w:b/>
                <w:color w:val="00000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080" w:hRule="atLeast"/>
        </w:trPr>
        <w:tc>
          <w:tcPr>
            <w:tcW w:w="570"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价格分</w:t>
            </w:r>
          </w:p>
        </w:tc>
        <w:tc>
          <w:tcPr>
            <w:tcW w:w="490" w:type="pct"/>
            <w:shd w:val="clear" w:color="auto" w:fill="auto"/>
            <w:noWrap w:val="0"/>
            <w:vAlign w:val="center"/>
          </w:tcPr>
          <w:p>
            <w:pPr>
              <w:widowControl/>
              <w:jc w:val="center"/>
              <w:rPr>
                <w:rFonts w:ascii="宋体" w:hAnsi="宋体"/>
                <w:color w:val="000000"/>
                <w:sz w:val="18"/>
                <w:szCs w:val="18"/>
              </w:rPr>
            </w:pPr>
          </w:p>
        </w:tc>
        <w:tc>
          <w:tcPr>
            <w:tcW w:w="3666" w:type="pct"/>
            <w:shd w:val="clear" w:color="auto" w:fill="auto"/>
            <w:noWrap w:val="0"/>
            <w:vAlign w:val="center"/>
          </w:tcPr>
          <w:p>
            <w:pPr>
              <w:snapToGrid w:val="0"/>
              <w:spacing w:line="360" w:lineRule="auto"/>
              <w:rPr>
                <w:rFonts w:ascii="宋体" w:hAnsi="宋体"/>
                <w:color w:val="000000"/>
                <w:sz w:val="18"/>
                <w:szCs w:val="18"/>
              </w:rPr>
            </w:pPr>
            <w:r>
              <w:rPr>
                <w:rFonts w:hint="eastAsia" w:ascii="宋体" w:hAnsi="宋体"/>
                <w:color w:val="000000"/>
                <w:sz w:val="18"/>
                <w:szCs w:val="18"/>
              </w:rPr>
              <w:t>在符合用户需求前提下，所有投标单位投标最低报价为基准价，基准价为25分。其他投标人的价格分统一按照下列公式计算：投标报价得分＝（评标基准价/投标报价）×25。</w:t>
            </w:r>
            <w:bookmarkStart w:id="82" w:name="OLE_LINK208"/>
            <w:bookmarkStart w:id="83" w:name="OLE_LINK207"/>
            <w:r>
              <w:rPr>
                <w:rFonts w:hint="eastAsia" w:ascii="宋体" w:hAnsi="宋体"/>
                <w:color w:val="000000"/>
                <w:sz w:val="18"/>
                <w:szCs w:val="18"/>
              </w:rPr>
              <w:t>（投标人为小微企业且所投产品为小微企业生产的，投标价格在评审时给予6%的扣除，用扣除后的价格参与评审。）</w:t>
            </w:r>
            <w:bookmarkEnd w:id="82"/>
            <w:bookmarkEnd w:id="83"/>
          </w:p>
        </w:tc>
        <w:tc>
          <w:tcPr>
            <w:tcW w:w="274"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1" w:hRule="atLeast"/>
        </w:trPr>
        <w:tc>
          <w:tcPr>
            <w:tcW w:w="570" w:type="pct"/>
            <w:vMerge w:val="restar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技术分（48分）</w:t>
            </w:r>
          </w:p>
        </w:tc>
        <w:tc>
          <w:tcPr>
            <w:tcW w:w="490" w:type="pct"/>
            <w:vMerge w:val="restar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维护方案</w:t>
            </w: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1、维护技术方案：好8-6分，较好5.9-4分；一般4分以下；</w:t>
            </w:r>
          </w:p>
        </w:tc>
        <w:tc>
          <w:tcPr>
            <w:tcW w:w="274" w:type="pct"/>
            <w:vMerge w:val="restart"/>
            <w:shd w:val="clear" w:color="auto" w:fill="auto"/>
            <w:noWrap w:val="0"/>
            <w:vAlign w:val="center"/>
          </w:tcPr>
          <w:p>
            <w:pPr>
              <w:jc w:val="center"/>
              <w:rPr>
                <w:rFonts w:ascii="宋体" w:hAnsi="宋体"/>
                <w:color w:val="000000"/>
                <w:sz w:val="18"/>
                <w:szCs w:val="18"/>
              </w:rPr>
            </w:pPr>
            <w:r>
              <w:rPr>
                <w:rFonts w:hint="eastAsia" w:ascii="宋体" w:hAnsi="宋体"/>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88"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2、维护管理制度：好7-5分，较好4.9-3分；一般3分以下；</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1"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3、针对采购需求提出的合理化建议，0-3分。</w:t>
            </w:r>
          </w:p>
        </w:tc>
        <w:tc>
          <w:tcPr>
            <w:tcW w:w="274" w:type="pct"/>
            <w:vMerge w:val="continue"/>
            <w:shd w:val="clear" w:color="auto" w:fill="auto"/>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64"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现场资料勘查</w:t>
            </w: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治安视频监控维护点位勘查详细资料(由评委对其全面性和准确性比较打分，包括点位编号、安装位置，经纬度等三项内容)，每项得1分，共3分。</w:t>
            </w:r>
          </w:p>
        </w:tc>
        <w:tc>
          <w:tcPr>
            <w:tcW w:w="274"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9"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restar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施工组织方案</w:t>
            </w: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1、质量保证与控制措施2-0分；</w:t>
            </w:r>
          </w:p>
        </w:tc>
        <w:tc>
          <w:tcPr>
            <w:tcW w:w="274" w:type="pct"/>
            <w:vMerge w:val="restart"/>
            <w:shd w:val="clear" w:color="auto" w:fill="auto"/>
            <w:noWrap w:val="0"/>
            <w:vAlign w:val="center"/>
          </w:tcPr>
          <w:p>
            <w:pPr>
              <w:jc w:val="center"/>
              <w:rPr>
                <w:rFonts w:ascii="宋体" w:hAnsi="宋体"/>
                <w:color w:val="000000"/>
                <w:sz w:val="18"/>
                <w:szCs w:val="18"/>
              </w:rPr>
            </w:pPr>
            <w:r>
              <w:rPr>
                <w:rFonts w:hint="eastAsia" w:ascii="宋体" w:hAnsi="宋体"/>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9"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2、进度安排的合理性2-0分；</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9"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3、项目安全保证与控制措施2-0分；</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9"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4、项目经理的施工管理经验2-0。</w:t>
            </w:r>
          </w:p>
        </w:tc>
        <w:tc>
          <w:tcPr>
            <w:tcW w:w="274" w:type="pct"/>
            <w:vMerge w:val="continue"/>
            <w:shd w:val="clear" w:color="auto" w:fill="auto"/>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66"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检测报告</w:t>
            </w:r>
          </w:p>
        </w:tc>
        <w:tc>
          <w:tcPr>
            <w:tcW w:w="3666" w:type="pct"/>
            <w:shd w:val="clear" w:color="auto" w:fill="auto"/>
            <w:noWrap w:val="0"/>
            <w:vAlign w:val="center"/>
          </w:tcPr>
          <w:p>
            <w:pPr>
              <w:widowControl/>
              <w:jc w:val="left"/>
              <w:rPr>
                <w:rFonts w:ascii="宋体" w:hAnsi="宋体"/>
                <w:color w:val="000000"/>
                <w:sz w:val="18"/>
                <w:szCs w:val="18"/>
              </w:rPr>
            </w:pPr>
            <w:bookmarkStart w:id="84" w:name="OLE_LINK216"/>
            <w:bookmarkStart w:id="85" w:name="OLE_LINK217"/>
            <w:r>
              <w:rPr>
                <w:rFonts w:hint="eastAsia" w:ascii="宋体" w:hAnsi="宋体"/>
                <w:color w:val="000000"/>
                <w:sz w:val="18"/>
                <w:szCs w:val="18"/>
              </w:rPr>
              <w:t>根据维护设备清单标</w:t>
            </w:r>
            <w:bookmarkStart w:id="86" w:name="OLE_LINK258"/>
            <w:bookmarkStart w:id="87" w:name="OLE_LINK259"/>
            <w:r>
              <w:rPr>
                <w:rFonts w:hint="eastAsia" w:ascii="仿宋" w:hAnsi="仿宋" w:eastAsia="仿宋"/>
                <w:sz w:val="24"/>
              </w:rPr>
              <w:t>▲</w:t>
            </w:r>
            <w:bookmarkEnd w:id="84"/>
            <w:bookmarkEnd w:id="85"/>
            <w:bookmarkEnd w:id="86"/>
            <w:bookmarkEnd w:id="87"/>
            <w:r>
              <w:rPr>
                <w:rFonts w:hint="eastAsia" w:ascii="宋体" w:hAnsi="宋体"/>
                <w:color w:val="000000"/>
                <w:sz w:val="18"/>
                <w:szCs w:val="18"/>
              </w:rPr>
              <w:t>的检测报告，每项3分，共12分。</w:t>
            </w:r>
          </w:p>
        </w:tc>
        <w:tc>
          <w:tcPr>
            <w:tcW w:w="274"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36"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restar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售后服务</w:t>
            </w: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投标人在宁波市内</w:t>
            </w:r>
            <w:bookmarkStart w:id="88" w:name="OLE_LINK71"/>
            <w:bookmarkStart w:id="89" w:name="OLE_LINK70"/>
            <w:r>
              <w:rPr>
                <w:rFonts w:hint="eastAsia" w:ascii="宋体" w:hAnsi="宋体"/>
                <w:color w:val="000000"/>
                <w:sz w:val="18"/>
                <w:szCs w:val="18"/>
              </w:rPr>
              <w:t>注册、有分公司或有售后服务机构的得2分</w:t>
            </w:r>
            <w:bookmarkEnd w:id="88"/>
            <w:bookmarkEnd w:id="89"/>
            <w:r>
              <w:rPr>
                <w:rFonts w:hint="eastAsia" w:ascii="宋体" w:hAnsi="宋体"/>
                <w:color w:val="000000"/>
                <w:sz w:val="18"/>
                <w:szCs w:val="18"/>
              </w:rPr>
              <w:t>；在象山县内注册、有分公司或有售后服务机构的得3分。（不重复得分）</w:t>
            </w:r>
          </w:p>
        </w:tc>
        <w:tc>
          <w:tcPr>
            <w:tcW w:w="274" w:type="pct"/>
            <w:vMerge w:val="restart"/>
            <w:shd w:val="clear" w:color="auto" w:fill="auto"/>
            <w:noWrap w:val="0"/>
            <w:vAlign w:val="center"/>
          </w:tcPr>
          <w:p>
            <w:pPr>
              <w:jc w:val="center"/>
              <w:rPr>
                <w:rFonts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48"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售后服务承诺：能够提供7*24小时级别服务的快速响应，提供10分钟内的远程技术支持服务，提供1小时到达客户现场响应服务的得2分。</w:t>
            </w:r>
          </w:p>
        </w:tc>
        <w:tc>
          <w:tcPr>
            <w:tcW w:w="274" w:type="pct"/>
            <w:vMerge w:val="continue"/>
            <w:shd w:val="clear" w:color="auto" w:fill="auto"/>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32"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应急保障</w:t>
            </w: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承诺对于各类应急任务，如各级应急演练、重大案事件等活动的保障，包含前后端设备调试、检查、清洁等，应急任务前2个小时内完成得2分。</w:t>
            </w:r>
          </w:p>
        </w:tc>
        <w:tc>
          <w:tcPr>
            <w:tcW w:w="274" w:type="pc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6" w:hRule="atLeast"/>
        </w:trPr>
        <w:tc>
          <w:tcPr>
            <w:tcW w:w="570" w:type="pct"/>
            <w:vMerge w:val="restar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商务分（27分）</w:t>
            </w:r>
          </w:p>
        </w:tc>
        <w:tc>
          <w:tcPr>
            <w:tcW w:w="490" w:type="pct"/>
            <w:vMerge w:val="restar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企业资质</w:t>
            </w: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1、投标人具有电子与智能化工程专业承包一级资质的得2分，二级资质的得1分。</w:t>
            </w:r>
          </w:p>
        </w:tc>
        <w:tc>
          <w:tcPr>
            <w:tcW w:w="274" w:type="pct"/>
            <w:vMerge w:val="restart"/>
            <w:shd w:val="clear" w:color="auto" w:fill="auto"/>
            <w:noWrap w:val="0"/>
            <w:vAlign w:val="center"/>
          </w:tcPr>
          <w:p>
            <w:pPr>
              <w:jc w:val="center"/>
              <w:rPr>
                <w:rFonts w:ascii="宋体" w:hAnsi="宋体"/>
                <w:color w:val="000000"/>
                <w:sz w:val="18"/>
                <w:szCs w:val="18"/>
              </w:rPr>
            </w:pPr>
            <w:r>
              <w:rPr>
                <w:rFonts w:hint="eastAsia" w:ascii="宋体" w:hAnsi="宋体"/>
                <w:color w:val="00000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96"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2、投标人具有安防一级资质的得2分，安防二级资质的得1分。</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043"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jc w:val="left"/>
              <w:rPr>
                <w:rFonts w:ascii="宋体" w:hAnsi="宋体"/>
                <w:color w:val="000000"/>
                <w:sz w:val="18"/>
                <w:szCs w:val="18"/>
              </w:rPr>
            </w:pPr>
            <w:r>
              <w:rPr>
                <w:rFonts w:hint="eastAsia" w:ascii="宋体" w:hAnsi="宋体"/>
                <w:color w:val="000000"/>
                <w:sz w:val="18"/>
                <w:szCs w:val="18"/>
              </w:rPr>
              <w:t>3、投标人具备适用于建筑智能化、安防系统工程的职业健康安全管理体系认证（OHSAS18001）、质量管理体系认证（ISO9001）、环境管理体系（ISO14001）认证证书的，每项得1分，共3分。</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16"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4、投标人具有安全技术防范系统集成及服务专项一级资质的得2分,二级资质的得1分。</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4"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left"/>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5、投标人具有省级国家保密局颁发的涉密资质，信息系统集成类的得1分、安防监控类的得1分，共2分。</w:t>
            </w:r>
          </w:p>
        </w:tc>
        <w:tc>
          <w:tcPr>
            <w:tcW w:w="274" w:type="pct"/>
            <w:vMerge w:val="continue"/>
            <w:shd w:val="clear" w:color="auto" w:fill="auto"/>
            <w:noWrap w:val="0"/>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119"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restart"/>
            <w:shd w:val="clear" w:color="auto" w:fill="auto"/>
            <w:noWrap w:val="0"/>
            <w:vAlign w:val="center"/>
          </w:tcPr>
          <w:p>
            <w:pPr>
              <w:widowControl/>
              <w:jc w:val="center"/>
              <w:rPr>
                <w:rFonts w:ascii="宋体" w:hAnsi="宋体"/>
                <w:color w:val="000000"/>
                <w:sz w:val="18"/>
                <w:szCs w:val="18"/>
              </w:rPr>
            </w:pPr>
            <w:r>
              <w:rPr>
                <w:rFonts w:hint="eastAsia" w:ascii="宋体" w:hAnsi="宋体"/>
                <w:color w:val="000000"/>
                <w:sz w:val="18"/>
                <w:szCs w:val="18"/>
              </w:rPr>
              <w:t>投标人实力</w:t>
            </w: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1、投标人拟指派的项目经理具有一级注册建造师（机电专业）执业资格证书的，得1分,具有IT服务项目经理（ITSS）证书的得1分，具有信息系统集成及服务项目经理证书的得1分，共3分。（提供证书复印件及投标前一个月社保记录）</w:t>
            </w:r>
          </w:p>
        </w:tc>
        <w:tc>
          <w:tcPr>
            <w:tcW w:w="274" w:type="pct"/>
            <w:vMerge w:val="restart"/>
            <w:shd w:val="clear" w:color="auto" w:fill="auto"/>
            <w:noWrap w:val="0"/>
            <w:vAlign w:val="center"/>
          </w:tcPr>
          <w:p>
            <w:pPr>
              <w:jc w:val="center"/>
              <w:rPr>
                <w:rFonts w:ascii="宋体" w:hAnsi="宋体"/>
                <w:color w:val="000000"/>
                <w:sz w:val="18"/>
                <w:szCs w:val="18"/>
              </w:rPr>
            </w:pPr>
            <w:r>
              <w:rPr>
                <w:rFonts w:hint="eastAsia" w:ascii="宋体" w:hAnsi="宋体"/>
                <w:color w:val="00000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8"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jc w:val="center"/>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2、项目组其他成员具有信息系统集成及服务高级项目经理证书的得2分。</w:t>
            </w:r>
          </w:p>
          <w:p>
            <w:pPr>
              <w:widowControl/>
              <w:jc w:val="left"/>
              <w:rPr>
                <w:rFonts w:ascii="宋体" w:hAnsi="宋体"/>
                <w:color w:val="000000"/>
                <w:sz w:val="18"/>
                <w:szCs w:val="18"/>
              </w:rPr>
            </w:pPr>
            <w:bookmarkStart w:id="90" w:name="OLE_LINK231"/>
            <w:bookmarkStart w:id="91" w:name="OLE_LINK230"/>
            <w:r>
              <w:rPr>
                <w:rFonts w:hint="eastAsia" w:ascii="宋体" w:hAnsi="宋体"/>
                <w:color w:val="000000"/>
                <w:sz w:val="18"/>
                <w:szCs w:val="18"/>
              </w:rPr>
              <w:t>（提供证书复印件及投标前一个月社保记录）</w:t>
            </w:r>
            <w:bookmarkEnd w:id="90"/>
            <w:bookmarkEnd w:id="91"/>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67"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jc w:val="center"/>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3、投标人在宁波市内具有登高功能的非载货专项作业车的得2分；具有维护车辆的，每辆得0.3分，最多得3分；共5分。（提供车辆行驶证复印件）</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64"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jc w:val="center"/>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4、拟投入的专业维护技术人员人数10-19人得1分，20-30人得2分,30人（不含）以上得3分。（提供技术人员职称（或文凭）证书和投标前一个月社保证明）</w:t>
            </w:r>
          </w:p>
        </w:tc>
        <w:tc>
          <w:tcPr>
            <w:tcW w:w="274" w:type="pct"/>
            <w:vMerge w:val="continue"/>
            <w:shd w:val="clear" w:color="auto" w:fill="auto"/>
            <w:noWrap w:val="0"/>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90" w:hRule="atLeast"/>
        </w:trPr>
        <w:tc>
          <w:tcPr>
            <w:tcW w:w="570" w:type="pct"/>
            <w:vMerge w:val="continue"/>
            <w:shd w:val="clear" w:color="auto" w:fill="auto"/>
            <w:noWrap w:val="0"/>
            <w:vAlign w:val="center"/>
          </w:tcPr>
          <w:p>
            <w:pPr>
              <w:widowControl/>
              <w:jc w:val="left"/>
              <w:rPr>
                <w:rFonts w:ascii="宋体" w:hAnsi="宋体"/>
                <w:color w:val="000000"/>
                <w:sz w:val="18"/>
                <w:szCs w:val="18"/>
              </w:rPr>
            </w:pPr>
          </w:p>
        </w:tc>
        <w:tc>
          <w:tcPr>
            <w:tcW w:w="490" w:type="pct"/>
            <w:vMerge w:val="continue"/>
            <w:shd w:val="clear" w:color="auto" w:fill="auto"/>
            <w:noWrap w:val="0"/>
            <w:vAlign w:val="center"/>
          </w:tcPr>
          <w:p>
            <w:pPr>
              <w:widowControl/>
              <w:jc w:val="center"/>
              <w:rPr>
                <w:rFonts w:ascii="宋体" w:hAnsi="宋体"/>
                <w:color w:val="000000"/>
                <w:sz w:val="18"/>
                <w:szCs w:val="18"/>
              </w:rPr>
            </w:pPr>
          </w:p>
        </w:tc>
        <w:tc>
          <w:tcPr>
            <w:tcW w:w="3666" w:type="pct"/>
            <w:shd w:val="clear" w:color="auto" w:fill="auto"/>
            <w:noWrap w:val="0"/>
            <w:vAlign w:val="center"/>
          </w:tcPr>
          <w:p>
            <w:pPr>
              <w:widowControl/>
              <w:jc w:val="left"/>
              <w:rPr>
                <w:rFonts w:ascii="宋体" w:hAnsi="宋体"/>
                <w:color w:val="000000"/>
                <w:sz w:val="18"/>
                <w:szCs w:val="18"/>
              </w:rPr>
            </w:pPr>
            <w:r>
              <w:rPr>
                <w:rFonts w:hint="eastAsia" w:ascii="宋体" w:hAnsi="宋体"/>
                <w:color w:val="000000"/>
                <w:sz w:val="18"/>
                <w:szCs w:val="18"/>
              </w:rPr>
              <w:t>5、根据投标人自2</w:t>
            </w:r>
            <w:r>
              <w:rPr>
                <w:rFonts w:ascii="宋体" w:hAnsi="宋体"/>
                <w:color w:val="000000"/>
                <w:sz w:val="18"/>
                <w:szCs w:val="18"/>
              </w:rPr>
              <w:t>017</w:t>
            </w:r>
            <w:r>
              <w:rPr>
                <w:rFonts w:hint="eastAsia" w:ascii="宋体" w:hAnsi="宋体"/>
                <w:color w:val="000000"/>
                <w:sz w:val="18"/>
                <w:szCs w:val="18"/>
              </w:rPr>
              <w:t>年1月1日（合同签订时间）以来类似监控安装或维护业绩打分，得0-3分。（提供合同和中标通知书）</w:t>
            </w:r>
          </w:p>
        </w:tc>
        <w:tc>
          <w:tcPr>
            <w:tcW w:w="274" w:type="pct"/>
            <w:vMerge w:val="continue"/>
            <w:shd w:val="clear" w:color="auto" w:fill="auto"/>
            <w:noWrap w:val="0"/>
            <w:vAlign w:val="center"/>
          </w:tcPr>
          <w:p>
            <w:pPr>
              <w:widowControl/>
              <w:jc w:val="center"/>
              <w:rPr>
                <w:rFonts w:ascii="宋体" w:hAnsi="宋体"/>
                <w:color w:val="000000"/>
                <w:sz w:val="18"/>
                <w:szCs w:val="18"/>
              </w:rPr>
            </w:pPr>
          </w:p>
        </w:tc>
      </w:tr>
    </w:tbl>
    <w:p>
      <w:pPr>
        <w:tabs>
          <w:tab w:val="left" w:pos="0"/>
        </w:tabs>
        <w:adjustRightInd w:val="0"/>
        <w:snapToGrid w:val="0"/>
        <w:spacing w:line="460" w:lineRule="exact"/>
        <w:ind w:firstLine="420"/>
        <w:rPr>
          <w:rFonts w:ascii="楷体_GB2312" w:eastAsia="楷体_GB2312"/>
          <w:b/>
          <w:color w:val="00B050"/>
          <w:sz w:val="24"/>
        </w:rPr>
      </w:pPr>
      <w:r>
        <w:rPr>
          <w:rFonts w:hint="eastAsia" w:ascii="楷体_GB2312" w:eastAsia="楷体_GB2312"/>
          <w:b/>
          <w:sz w:val="24"/>
        </w:rPr>
        <w:t>以上评分项目中的证书、社保证明、行驶证、合同、中标通知书等资料须在投标文件中提供复印件，证书中有有效期要求的必须在有效期内。</w:t>
      </w:r>
    </w:p>
    <w:p>
      <w:pPr>
        <w:adjustRightInd w:val="0"/>
        <w:snapToGrid w:val="0"/>
        <w:spacing w:line="460" w:lineRule="exact"/>
        <w:ind w:left="360"/>
        <w:rPr>
          <w:rFonts w:hint="eastAsia" w:ascii="楷体_GB2312" w:eastAsia="楷体_GB2312"/>
          <w:color w:val="000000"/>
          <w:sz w:val="24"/>
        </w:rPr>
      </w:pPr>
      <w:r>
        <w:rPr>
          <w:rFonts w:hint="eastAsia" w:ascii="楷体_GB2312" w:eastAsia="楷体_GB2312"/>
          <w:color w:val="000000"/>
          <w:sz w:val="24"/>
        </w:rPr>
        <w:t>16．4评委的综合打分，采用记名方式。</w:t>
      </w:r>
    </w:p>
    <w:p>
      <w:pPr>
        <w:adjustRightInd w:val="0"/>
        <w:snapToGrid w:val="0"/>
        <w:spacing w:line="460" w:lineRule="exact"/>
        <w:ind w:left="360"/>
        <w:rPr>
          <w:rFonts w:hint="eastAsia" w:ascii="楷体_GB2312" w:eastAsia="楷体_GB2312"/>
          <w:color w:val="000000"/>
          <w:sz w:val="24"/>
        </w:rPr>
      </w:pPr>
      <w:r>
        <w:rPr>
          <w:rFonts w:hint="eastAsia" w:ascii="楷体_GB2312" w:eastAsia="楷体_GB2312"/>
          <w:color w:val="000000"/>
          <w:sz w:val="24"/>
        </w:rPr>
        <w:t>16．5各投标人的技术得分为所有评委的有效评分的算术平均数，由指定专人进行计算复核。所有分值保留二位小数（采用四舍五入）。</w:t>
      </w:r>
    </w:p>
    <w:p>
      <w:pPr>
        <w:adjustRightInd w:val="0"/>
        <w:snapToGrid w:val="0"/>
        <w:spacing w:line="460" w:lineRule="exact"/>
        <w:ind w:left="360"/>
        <w:rPr>
          <w:rFonts w:hint="eastAsia" w:ascii="楷体_GB2312" w:eastAsia="楷体_GB2312"/>
          <w:color w:val="000000"/>
          <w:sz w:val="24"/>
        </w:rPr>
      </w:pPr>
      <w:r>
        <w:rPr>
          <w:rFonts w:hint="eastAsia" w:ascii="楷体_GB2312" w:eastAsia="楷体_GB2312"/>
          <w:color w:val="000000"/>
          <w:sz w:val="24"/>
        </w:rPr>
        <w:t>16．6在评标过程中，如发现有异常情况的，由评标委员会集体讨论决定。</w:t>
      </w:r>
    </w:p>
    <w:p>
      <w:pPr>
        <w:tabs>
          <w:tab w:val="left" w:pos="0"/>
        </w:tabs>
        <w:adjustRightInd w:val="0"/>
        <w:snapToGrid w:val="0"/>
        <w:spacing w:line="460" w:lineRule="exact"/>
        <w:ind w:firstLine="360" w:firstLineChars="150"/>
        <w:rPr>
          <w:rFonts w:ascii="楷体_GB2312" w:eastAsia="楷体_GB2312"/>
          <w:color w:val="000000"/>
          <w:sz w:val="24"/>
        </w:rPr>
      </w:pPr>
      <w:r>
        <w:rPr>
          <w:rFonts w:hint="eastAsia" w:ascii="楷体_GB2312" w:eastAsia="楷体_GB2312"/>
          <w:color w:val="000000"/>
          <w:sz w:val="24"/>
        </w:rPr>
        <w:t>16．7评委会在报价文件评审中，如果出现计算或表达上的错误，修正错误的原则如下：</w:t>
      </w:r>
    </w:p>
    <w:p>
      <w:pPr>
        <w:adjustRightInd w:val="0"/>
        <w:snapToGrid w:val="0"/>
        <w:spacing w:line="460" w:lineRule="exact"/>
        <w:ind w:left="420" w:leftChars="200" w:firstLine="120" w:firstLineChars="50"/>
        <w:rPr>
          <w:rFonts w:hint="eastAsia" w:ascii="楷体_GB2312" w:eastAsia="楷体_GB2312"/>
          <w:color w:val="000000"/>
          <w:sz w:val="24"/>
        </w:rPr>
      </w:pPr>
      <w:r>
        <w:rPr>
          <w:rFonts w:hint="eastAsia" w:ascii="楷体_GB2312" w:eastAsia="楷体_GB2312"/>
          <w:color w:val="000000"/>
          <w:sz w:val="24"/>
        </w:rPr>
        <w:t>（1）开标一览表总价与投标报价明细表汇总数不一致的，以开标一览表为准；</w:t>
      </w:r>
    </w:p>
    <w:p>
      <w:pPr>
        <w:widowControl/>
        <w:spacing w:line="450" w:lineRule="atLeast"/>
        <w:ind w:firstLine="480" w:firstLineChars="200"/>
        <w:jc w:val="left"/>
        <w:textAlignment w:val="baseline"/>
        <w:rPr>
          <w:rFonts w:ascii="楷体_GB2312" w:eastAsia="楷体_GB2312"/>
          <w:color w:val="000000"/>
          <w:sz w:val="24"/>
        </w:rPr>
      </w:pPr>
      <w:r>
        <w:rPr>
          <w:rFonts w:ascii="楷体_GB2312" w:eastAsia="楷体_GB2312"/>
          <w:color w:val="000000"/>
          <w:sz w:val="24"/>
        </w:rPr>
        <w:t>（</w:t>
      </w:r>
      <w:r>
        <w:rPr>
          <w:rFonts w:hint="eastAsia" w:ascii="楷体_GB2312" w:eastAsia="楷体_GB2312"/>
          <w:color w:val="000000"/>
          <w:sz w:val="24"/>
        </w:rPr>
        <w:t>2</w:t>
      </w:r>
      <w:r>
        <w:rPr>
          <w:rFonts w:ascii="楷体_GB2312" w:eastAsia="楷体_GB2312"/>
          <w:color w:val="000000"/>
          <w:sz w:val="24"/>
        </w:rPr>
        <w:t>）大写金额和小写金额不一致的，以大写金额为准；</w:t>
      </w:r>
    </w:p>
    <w:p>
      <w:pPr>
        <w:widowControl/>
        <w:spacing w:line="450" w:lineRule="atLeast"/>
        <w:jc w:val="left"/>
        <w:textAlignment w:val="baseline"/>
        <w:rPr>
          <w:rFonts w:ascii="楷体_GB2312" w:eastAsia="楷体_GB2312"/>
          <w:color w:val="000000"/>
          <w:sz w:val="24"/>
        </w:rPr>
      </w:pPr>
      <w:r>
        <w:rPr>
          <w:rFonts w:ascii="楷体_GB2312" w:eastAsia="楷体_GB2312"/>
          <w:color w:val="000000"/>
          <w:sz w:val="24"/>
        </w:rPr>
        <w:t>　　（</w:t>
      </w:r>
      <w:r>
        <w:rPr>
          <w:rFonts w:hint="eastAsia" w:ascii="楷体_GB2312" w:eastAsia="楷体_GB2312"/>
          <w:color w:val="000000"/>
          <w:sz w:val="24"/>
        </w:rPr>
        <w:t>3</w:t>
      </w:r>
      <w:r>
        <w:rPr>
          <w:rFonts w:ascii="楷体_GB2312" w:eastAsia="楷体_GB2312"/>
          <w:color w:val="000000"/>
          <w:sz w:val="24"/>
        </w:rPr>
        <w:t>）单价金额小数点或者百分比有明显错位的，以开标一览表的总价为准，并修改单价；</w:t>
      </w:r>
    </w:p>
    <w:p>
      <w:pPr>
        <w:widowControl/>
        <w:spacing w:line="450" w:lineRule="atLeast"/>
        <w:ind w:firstLine="480" w:firstLineChars="200"/>
        <w:jc w:val="left"/>
        <w:textAlignment w:val="baseline"/>
        <w:rPr>
          <w:rFonts w:hint="eastAsia" w:ascii="楷体_GB2312" w:eastAsia="楷体_GB2312"/>
          <w:color w:val="000000"/>
          <w:sz w:val="24"/>
        </w:rPr>
      </w:pPr>
      <w:r>
        <w:rPr>
          <w:rFonts w:ascii="楷体_GB2312" w:eastAsia="楷体_GB2312"/>
          <w:color w:val="000000"/>
          <w:sz w:val="24"/>
        </w:rPr>
        <w:t>（</w:t>
      </w:r>
      <w:r>
        <w:rPr>
          <w:rFonts w:hint="eastAsia" w:ascii="楷体_GB2312" w:eastAsia="楷体_GB2312"/>
          <w:color w:val="000000"/>
          <w:sz w:val="24"/>
        </w:rPr>
        <w:t>4</w:t>
      </w:r>
      <w:r>
        <w:rPr>
          <w:rFonts w:ascii="楷体_GB2312" w:eastAsia="楷体_GB2312"/>
          <w:color w:val="000000"/>
          <w:sz w:val="24"/>
        </w:rPr>
        <w:t>）总价金额与按单价汇总金额不一致的，以单价金额计算结果为准</w:t>
      </w:r>
      <w:r>
        <w:rPr>
          <w:rFonts w:hint="eastAsia" w:ascii="楷体_GB2312" w:eastAsia="楷体_GB2312"/>
          <w:color w:val="000000"/>
          <w:sz w:val="24"/>
        </w:rPr>
        <w:t>；</w:t>
      </w:r>
    </w:p>
    <w:p>
      <w:pPr>
        <w:adjustRightInd w:val="0"/>
        <w:snapToGrid w:val="0"/>
        <w:spacing w:line="460" w:lineRule="exact"/>
        <w:ind w:firstLine="600" w:firstLineChars="250"/>
        <w:rPr>
          <w:rFonts w:hint="eastAsia" w:ascii="楷体_GB2312" w:hAnsi="宋体" w:eastAsia="楷体_GB2312"/>
          <w:b/>
          <w:color w:val="00B050"/>
          <w:sz w:val="24"/>
        </w:rPr>
      </w:pPr>
      <w:r>
        <w:rPr>
          <w:rFonts w:ascii="楷体_GB2312" w:eastAsia="楷体_GB2312"/>
          <w:color w:val="000000"/>
          <w:sz w:val="24"/>
        </w:rPr>
        <w:t>同时出现两种以上不一致的，按照前款规定的顺序修正。</w:t>
      </w:r>
      <w:r>
        <w:rPr>
          <w:rFonts w:hint="eastAsia" w:ascii="楷体_GB2312" w:eastAsia="楷体_GB2312"/>
          <w:color w:val="000000"/>
          <w:sz w:val="24"/>
        </w:rPr>
        <w:t>投标方不同意以上调整或修正的，则其投标将作为无效投标处理。</w:t>
      </w:r>
    </w:p>
    <w:p>
      <w:pPr>
        <w:widowControl/>
        <w:spacing w:line="450" w:lineRule="atLeast"/>
        <w:jc w:val="left"/>
        <w:textAlignment w:val="baseline"/>
        <w:rPr>
          <w:rFonts w:hint="eastAsia" w:ascii="楷体_GB2312" w:eastAsia="楷体_GB2312"/>
          <w:sz w:val="24"/>
        </w:rPr>
      </w:pPr>
      <w:r>
        <w:rPr>
          <w:rFonts w:ascii="楷体_GB2312" w:eastAsia="楷体_GB2312"/>
          <w:sz w:val="24"/>
        </w:rPr>
        <w:t>　</w:t>
      </w:r>
      <w:r>
        <w:rPr>
          <w:rFonts w:hint="eastAsia" w:ascii="楷体_GB2312" w:eastAsia="楷体_GB2312"/>
          <w:sz w:val="24"/>
        </w:rPr>
        <w:t>16．8各投标人的最终得分按以下方法进行计算：</w:t>
      </w:r>
    </w:p>
    <w:p>
      <w:pPr>
        <w:adjustRightInd w:val="0"/>
        <w:snapToGrid w:val="0"/>
        <w:spacing w:line="460" w:lineRule="exact"/>
        <w:ind w:left="359" w:leftChars="171" w:firstLine="480" w:firstLineChars="200"/>
        <w:rPr>
          <w:rFonts w:hint="eastAsia" w:ascii="楷体_GB2312" w:eastAsia="楷体_GB2312"/>
          <w:sz w:val="24"/>
        </w:rPr>
      </w:pPr>
      <w:r>
        <w:rPr>
          <w:rFonts w:hint="eastAsia" w:ascii="楷体_GB2312" w:eastAsia="楷体_GB2312"/>
          <w:sz w:val="24"/>
        </w:rPr>
        <w:t>最终得分=价格分+技术商务分</w:t>
      </w:r>
    </w:p>
    <w:p>
      <w:pPr>
        <w:adjustRightInd w:val="0"/>
        <w:snapToGrid w:val="0"/>
        <w:spacing w:line="460" w:lineRule="exact"/>
        <w:ind w:left="360"/>
        <w:rPr>
          <w:rFonts w:hint="eastAsia" w:ascii="楷体_GB2312" w:eastAsia="楷体_GB2312"/>
          <w:sz w:val="24"/>
        </w:rPr>
      </w:pPr>
      <w:r>
        <w:rPr>
          <w:rFonts w:hint="eastAsia" w:ascii="楷体_GB2312" w:eastAsia="楷体_GB2312"/>
          <w:sz w:val="24"/>
        </w:rPr>
        <w:t>（1）各投标人的最终得分若出现并列，则报价低的排列在前。</w:t>
      </w:r>
    </w:p>
    <w:p>
      <w:pPr>
        <w:adjustRightInd w:val="0"/>
        <w:snapToGrid w:val="0"/>
        <w:spacing w:line="460" w:lineRule="exact"/>
        <w:ind w:left="360"/>
        <w:rPr>
          <w:rFonts w:hint="eastAsia" w:ascii="楷体_GB2312" w:eastAsia="楷体_GB2312"/>
          <w:sz w:val="24"/>
        </w:rPr>
      </w:pPr>
      <w:r>
        <w:rPr>
          <w:rFonts w:hint="eastAsia" w:ascii="楷体_GB2312" w:eastAsia="楷体_GB2312"/>
          <w:sz w:val="24"/>
        </w:rPr>
        <w:t>（2）如最终得分和报价都相同，则技术指标优的排列在前。</w:t>
      </w:r>
    </w:p>
    <w:p>
      <w:pPr>
        <w:adjustRightInd w:val="0"/>
        <w:snapToGrid w:val="0"/>
        <w:spacing w:line="460" w:lineRule="exact"/>
        <w:ind w:left="360"/>
        <w:rPr>
          <w:rFonts w:hint="eastAsia" w:ascii="楷体_GB2312" w:eastAsia="楷体_GB2312"/>
          <w:color w:val="00B050"/>
          <w:sz w:val="24"/>
        </w:rPr>
      </w:pPr>
      <w:r>
        <w:rPr>
          <w:rFonts w:hint="eastAsia" w:ascii="楷体_GB2312" w:eastAsia="楷体_GB2312"/>
          <w:sz w:val="24"/>
        </w:rPr>
        <w:t>（3）评标小组在审标、询标的基础上根据事先制定的评标办法对各投标人的投标文件进行评定，评出符合招标文件要求、有履行合同能力且综合得分最高的投标人为预中标人，法律法规规定的除外。</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17．投标的澄清、说明或者补正</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17．1评标委员会有权就投标文件中含义不明确、同类问题表述不一致或者有明显文字和计算错误的内容，要求投标人作出必要的澄清、说明或者补正。</w:t>
      </w:r>
    </w:p>
    <w:p>
      <w:pPr>
        <w:tabs>
          <w:tab w:val="left" w:pos="0"/>
        </w:tabs>
        <w:adjustRightInd w:val="0"/>
        <w:snapToGrid w:val="0"/>
        <w:spacing w:line="460" w:lineRule="exact"/>
        <w:ind w:firstLine="420"/>
        <w:rPr>
          <w:rFonts w:ascii="楷体_GB2312" w:hAnsi="宋体" w:eastAsia="楷体_GB2312"/>
          <w:sz w:val="24"/>
        </w:rPr>
      </w:pPr>
      <w:r>
        <w:rPr>
          <w:rFonts w:hint="eastAsia" w:ascii="楷体_GB2312" w:eastAsia="楷体_GB2312"/>
          <w:sz w:val="24"/>
        </w:rPr>
        <w:t>17．2投标人的澄清、说明或者补正应当采用书面形式，并加盖公章，或者由法定代表人或其授权的代表签字。（</w:t>
      </w:r>
      <w:r>
        <w:rPr>
          <w:rFonts w:hint="eastAsia" w:ascii="楷体_GB2312" w:hAnsi="宋体" w:eastAsia="楷体_GB2312"/>
          <w:sz w:val="24"/>
        </w:rPr>
        <w:t>若投标截止日仍处于疫情应急响应期间，则通过微信方式</w:t>
      </w:r>
      <w:r>
        <w:rPr>
          <w:rFonts w:hint="eastAsia" w:ascii="楷体_GB2312" w:eastAsia="楷体_GB2312"/>
          <w:sz w:val="24"/>
        </w:rPr>
        <w:t>作出澄清、说明或者补正。）</w:t>
      </w:r>
    </w:p>
    <w:p>
      <w:pPr>
        <w:adjustRightInd w:val="0"/>
        <w:snapToGrid w:val="0"/>
        <w:spacing w:line="460" w:lineRule="exact"/>
        <w:ind w:firstLine="360" w:firstLineChars="150"/>
        <w:rPr>
          <w:rFonts w:ascii="楷体_GB2312" w:eastAsia="楷体_GB2312"/>
          <w:sz w:val="24"/>
        </w:rPr>
      </w:pPr>
      <w:r>
        <w:rPr>
          <w:rFonts w:hint="eastAsia" w:ascii="楷体_GB2312" w:eastAsia="楷体_GB2312"/>
          <w:sz w:val="24"/>
        </w:rPr>
        <w:t>17．3投标人的澄清、说明或者补正不得超出投标文件的范围或者改变投标文件的实质性内容。</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18．评标过程保密</w:t>
      </w:r>
    </w:p>
    <w:p>
      <w:pPr>
        <w:tabs>
          <w:tab w:val="left" w:pos="0"/>
        </w:tabs>
        <w:adjustRightInd w:val="0"/>
        <w:snapToGrid w:val="0"/>
        <w:spacing w:line="460" w:lineRule="exact"/>
        <w:ind w:firstLine="420"/>
        <w:rPr>
          <w:rFonts w:ascii="楷体_GB2312" w:eastAsia="楷体_GB2312"/>
          <w:sz w:val="24"/>
        </w:rPr>
      </w:pPr>
      <w:r>
        <w:rPr>
          <w:rFonts w:hint="eastAsia" w:ascii="楷体_GB2312" w:eastAsia="楷体_GB2312"/>
          <w:sz w:val="24"/>
        </w:rPr>
        <w:t>18．1开标之后，凡是属于审查、澄清、评价和比较投标的有关资料等，均不得向投标方或其他无关的人员透露。</w:t>
      </w:r>
    </w:p>
    <w:p>
      <w:pPr>
        <w:tabs>
          <w:tab w:val="left" w:pos="0"/>
        </w:tabs>
        <w:adjustRightInd w:val="0"/>
        <w:snapToGrid w:val="0"/>
        <w:spacing w:line="460" w:lineRule="exact"/>
        <w:ind w:firstLine="420"/>
        <w:rPr>
          <w:rFonts w:hint="eastAsia" w:ascii="楷体_GB2312" w:eastAsia="楷体_GB2312"/>
          <w:b/>
          <w:color w:val="00B050"/>
          <w:sz w:val="24"/>
        </w:rPr>
      </w:pPr>
      <w:r>
        <w:rPr>
          <w:rFonts w:hint="eastAsia" w:ascii="楷体_GB2312" w:eastAsia="楷体_GB2312"/>
          <w:sz w:val="24"/>
        </w:rPr>
        <w:t>18．2 在评标期间，投标方企图影响招标方的任何活动，将导致投标被拒绝，并承担相应法律责任。</w:t>
      </w:r>
    </w:p>
    <w:p>
      <w:pPr>
        <w:tabs>
          <w:tab w:val="left" w:pos="0"/>
        </w:tabs>
        <w:adjustRightInd w:val="0"/>
        <w:snapToGrid w:val="0"/>
        <w:ind w:firstLine="420"/>
        <w:jc w:val="center"/>
        <w:rPr>
          <w:rFonts w:hint="eastAsia" w:ascii="楷体_GB2312" w:eastAsia="楷体_GB2312"/>
          <w:color w:val="00B050"/>
          <w:sz w:val="24"/>
        </w:rPr>
      </w:pPr>
      <w:r>
        <w:rPr>
          <w:rFonts w:ascii="楷体_GB2312" w:eastAsia="楷体_GB2312"/>
          <w:b/>
          <w:color w:val="000000"/>
          <w:sz w:val="24"/>
        </w:rPr>
        <w:t xml:space="preserve">F </w:t>
      </w:r>
      <w:r>
        <w:rPr>
          <w:rFonts w:hint="eastAsia" w:ascii="楷体_GB2312" w:eastAsia="楷体_GB2312"/>
          <w:b/>
          <w:color w:val="000000"/>
          <w:sz w:val="24"/>
        </w:rPr>
        <w:t>定标及授予合同</w:t>
      </w:r>
      <w:r>
        <w:rPr>
          <w:rFonts w:ascii="楷体_GB2312" w:eastAsia="楷体_GB2312"/>
          <w:color w:val="00B050"/>
          <w:sz w:val="24"/>
        </w:rPr>
        <w:t xml:space="preserve"> </w:t>
      </w:r>
    </w:p>
    <w:p>
      <w:pPr>
        <w:tabs>
          <w:tab w:val="left" w:pos="0"/>
        </w:tabs>
        <w:adjustRightInd w:val="0"/>
        <w:snapToGrid w:val="0"/>
        <w:spacing w:line="440" w:lineRule="exact"/>
        <w:rPr>
          <w:rFonts w:ascii="楷体_GB2312" w:eastAsia="楷体_GB2312"/>
          <w:sz w:val="24"/>
        </w:rPr>
      </w:pPr>
      <w:r>
        <w:rPr>
          <w:rFonts w:ascii="楷体_GB2312" w:eastAsia="楷体_GB2312"/>
          <w:sz w:val="24"/>
        </w:rPr>
        <w:t xml:space="preserve"> </w:t>
      </w:r>
      <w:r>
        <w:rPr>
          <w:rFonts w:hint="eastAsia" w:ascii="楷体_GB2312" w:eastAsia="楷体_GB2312"/>
          <w:sz w:val="24"/>
        </w:rPr>
        <w:t>19、定标</w:t>
      </w:r>
    </w:p>
    <w:p>
      <w:pPr>
        <w:tabs>
          <w:tab w:val="left" w:pos="0"/>
        </w:tabs>
        <w:adjustRightInd w:val="0"/>
        <w:snapToGrid w:val="0"/>
        <w:spacing w:line="440" w:lineRule="exact"/>
        <w:ind w:firstLine="540" w:firstLineChars="225"/>
        <w:rPr>
          <w:rFonts w:hint="eastAsia" w:ascii="楷体_GB2312" w:eastAsia="楷体_GB2312"/>
          <w:sz w:val="24"/>
        </w:rPr>
      </w:pPr>
      <w:r>
        <w:rPr>
          <w:rFonts w:hint="eastAsia" w:ascii="楷体_GB2312" w:eastAsia="楷体_GB2312"/>
          <w:sz w:val="24"/>
        </w:rPr>
        <w:t>19．1评委会将严格按照招标文件的要求和条件进行比较，根据评标办法推荐出中标候选人并进行公告。</w:t>
      </w:r>
    </w:p>
    <w:p>
      <w:pPr>
        <w:tabs>
          <w:tab w:val="left" w:pos="0"/>
        </w:tabs>
        <w:adjustRightInd w:val="0"/>
        <w:snapToGrid w:val="0"/>
        <w:spacing w:line="440" w:lineRule="exact"/>
        <w:ind w:firstLine="480" w:firstLineChars="200"/>
        <w:rPr>
          <w:rFonts w:hint="eastAsia" w:ascii="楷体_GB2312" w:eastAsia="楷体_GB2312"/>
          <w:color w:val="00B050"/>
          <w:sz w:val="24"/>
        </w:rPr>
      </w:pPr>
      <w:r>
        <w:rPr>
          <w:rFonts w:hint="eastAsia" w:ascii="楷体_GB2312" w:eastAsia="楷体_GB2312"/>
          <w:sz w:val="24"/>
        </w:rPr>
        <w:t>19．2</w:t>
      </w:r>
      <w:r>
        <w:rPr>
          <w:rFonts w:ascii="楷体_GB2312" w:eastAsia="楷体_GB2312"/>
          <w:sz w:val="24"/>
        </w:rPr>
        <w:t>投标供应商对中标公告有异议的，</w:t>
      </w:r>
      <w:r>
        <w:rPr>
          <w:rFonts w:ascii="楷体_GB2312" w:eastAsia="楷体_GB2312"/>
          <w:b/>
          <w:sz w:val="24"/>
        </w:rPr>
        <w:t>请在中标公告期限届满之日起七个工作日内以书面形式（加盖公章）向</w:t>
      </w:r>
      <w:r>
        <w:rPr>
          <w:rFonts w:hint="eastAsia" w:ascii="楷体_GB2312" w:eastAsia="楷体_GB2312"/>
          <w:b/>
          <w:sz w:val="24"/>
        </w:rPr>
        <w:t>招标人</w:t>
      </w:r>
      <w:r>
        <w:rPr>
          <w:rFonts w:ascii="楷体_GB2312" w:eastAsia="楷体_GB2312"/>
          <w:b/>
          <w:sz w:val="24"/>
        </w:rPr>
        <w:t>提出质疑，该书面质疑文件应有法定代表人签字并加盖公章。</w:t>
      </w:r>
      <w:r>
        <w:rPr>
          <w:rFonts w:hint="eastAsia" w:ascii="楷体_GB2312" w:eastAsia="楷体_GB2312"/>
          <w:sz w:val="24"/>
        </w:rPr>
        <w:t>若质疑答复不满意的，再向象山县财政局投诉。投诉电话0574-65750380、65753557。</w:t>
      </w:r>
    </w:p>
    <w:p>
      <w:pPr>
        <w:tabs>
          <w:tab w:val="left" w:pos="0"/>
        </w:tabs>
        <w:adjustRightInd w:val="0"/>
        <w:snapToGrid w:val="0"/>
        <w:spacing w:line="440" w:lineRule="exact"/>
        <w:ind w:firstLine="420"/>
        <w:rPr>
          <w:rFonts w:ascii="楷体_GB2312" w:eastAsia="楷体_GB2312"/>
          <w:sz w:val="24"/>
        </w:rPr>
      </w:pPr>
      <w:r>
        <w:rPr>
          <w:rFonts w:hint="eastAsia" w:ascii="楷体_GB2312" w:eastAsia="楷体_GB2312"/>
          <w:sz w:val="24"/>
        </w:rPr>
        <w:t>20、中标通知</w:t>
      </w:r>
    </w:p>
    <w:p>
      <w:pPr>
        <w:tabs>
          <w:tab w:val="left" w:pos="0"/>
        </w:tabs>
        <w:adjustRightInd w:val="0"/>
        <w:snapToGrid w:val="0"/>
        <w:spacing w:line="440" w:lineRule="exact"/>
        <w:ind w:firstLine="540" w:firstLineChars="225"/>
        <w:rPr>
          <w:rFonts w:ascii="楷体_GB2312" w:eastAsia="楷体_GB2312"/>
          <w:sz w:val="24"/>
        </w:rPr>
      </w:pPr>
      <w:r>
        <w:rPr>
          <w:rFonts w:hint="eastAsia" w:ascii="楷体_GB2312" w:eastAsia="楷体_GB2312"/>
          <w:sz w:val="24"/>
        </w:rPr>
        <w:t>20．1中标公告质疑期满后无异议的，招标人向中标人签发中标通知。</w:t>
      </w:r>
    </w:p>
    <w:p>
      <w:pPr>
        <w:tabs>
          <w:tab w:val="left" w:pos="0"/>
        </w:tabs>
        <w:adjustRightInd w:val="0"/>
        <w:snapToGrid w:val="0"/>
        <w:spacing w:line="440" w:lineRule="exact"/>
        <w:ind w:firstLine="480" w:firstLineChars="200"/>
        <w:rPr>
          <w:rFonts w:hint="eastAsia" w:ascii="楷体_GB2312" w:eastAsia="楷体_GB2312"/>
          <w:sz w:val="24"/>
        </w:rPr>
      </w:pPr>
      <w:r>
        <w:rPr>
          <w:rFonts w:hint="eastAsia" w:ascii="楷体_GB2312" w:eastAsia="楷体_GB2312"/>
          <w:sz w:val="24"/>
        </w:rPr>
        <w:t>20．2中标通知书将是合同的一个组成部分。</w:t>
      </w:r>
    </w:p>
    <w:p>
      <w:pPr>
        <w:tabs>
          <w:tab w:val="left" w:pos="0"/>
        </w:tabs>
        <w:adjustRightInd w:val="0"/>
        <w:snapToGrid w:val="0"/>
        <w:spacing w:line="440" w:lineRule="exact"/>
        <w:ind w:firstLine="480" w:firstLineChars="200"/>
        <w:rPr>
          <w:rFonts w:ascii="楷体_GB2312" w:eastAsia="楷体_GB2312"/>
          <w:sz w:val="24"/>
        </w:rPr>
      </w:pPr>
      <w:r>
        <w:rPr>
          <w:rFonts w:hint="eastAsia" w:ascii="楷体_GB2312" w:eastAsia="楷体_GB2312"/>
          <w:sz w:val="24"/>
        </w:rPr>
        <w:t>20.3中标通知书获取方式：现场领取或邮寄。</w:t>
      </w:r>
    </w:p>
    <w:p>
      <w:pPr>
        <w:tabs>
          <w:tab w:val="left" w:pos="0"/>
        </w:tabs>
        <w:adjustRightInd w:val="0"/>
        <w:snapToGrid w:val="0"/>
        <w:spacing w:line="440" w:lineRule="exact"/>
        <w:ind w:firstLine="436" w:firstLineChars="182"/>
        <w:rPr>
          <w:rFonts w:ascii="楷体_GB2312" w:eastAsia="楷体_GB2312"/>
          <w:sz w:val="24"/>
        </w:rPr>
      </w:pPr>
      <w:r>
        <w:rPr>
          <w:rFonts w:hint="eastAsia" w:ascii="楷体_GB2312" w:eastAsia="楷体_GB2312"/>
          <w:sz w:val="24"/>
        </w:rPr>
        <w:t>21．签订合同</w:t>
      </w:r>
    </w:p>
    <w:p>
      <w:pPr>
        <w:tabs>
          <w:tab w:val="left" w:pos="0"/>
        </w:tabs>
        <w:adjustRightInd w:val="0"/>
        <w:snapToGrid w:val="0"/>
        <w:spacing w:line="440" w:lineRule="exact"/>
        <w:ind w:firstLine="420"/>
        <w:rPr>
          <w:rFonts w:ascii="楷体_GB2312" w:eastAsia="楷体_GB2312"/>
          <w:sz w:val="24"/>
        </w:rPr>
      </w:pPr>
      <w:r>
        <w:rPr>
          <w:rFonts w:hint="eastAsia" w:ascii="楷体_GB2312" w:eastAsia="楷体_GB2312"/>
          <w:sz w:val="24"/>
        </w:rPr>
        <w:t>21．1中标方应按中标通知书中规定的时间、地点与采购人签订中标合同，给采购人造成损失的，投标人应承担赔偿责任。</w:t>
      </w:r>
    </w:p>
    <w:p>
      <w:pPr>
        <w:tabs>
          <w:tab w:val="left" w:pos="0"/>
        </w:tabs>
        <w:adjustRightInd w:val="0"/>
        <w:snapToGrid w:val="0"/>
        <w:spacing w:line="440" w:lineRule="exact"/>
        <w:ind w:firstLine="420"/>
        <w:rPr>
          <w:rFonts w:hint="eastAsia" w:ascii="楷体_GB2312" w:eastAsia="楷体_GB2312"/>
          <w:sz w:val="24"/>
        </w:rPr>
      </w:pPr>
      <w:r>
        <w:rPr>
          <w:rFonts w:hint="eastAsia" w:ascii="楷体_GB2312" w:eastAsia="楷体_GB2312"/>
          <w:sz w:val="24"/>
        </w:rPr>
        <w:t>21．2招标文件、中标方的投标文件及评标过程中有关澄清文件均应作为合同附件。</w:t>
      </w:r>
    </w:p>
    <w:p>
      <w:pPr>
        <w:tabs>
          <w:tab w:val="left" w:pos="0"/>
        </w:tabs>
        <w:adjustRightInd w:val="0"/>
        <w:snapToGrid w:val="0"/>
        <w:spacing w:line="440" w:lineRule="exact"/>
        <w:ind w:firstLine="420"/>
        <w:rPr>
          <w:rFonts w:hint="eastAsia" w:ascii="楷体_GB2312" w:eastAsia="楷体_GB2312"/>
          <w:sz w:val="24"/>
        </w:rPr>
      </w:pPr>
      <w:r>
        <w:rPr>
          <w:rFonts w:hint="eastAsia" w:ascii="楷体_GB2312" w:eastAsia="楷体_GB2312"/>
          <w:sz w:val="24"/>
        </w:rPr>
        <w:t>21．3</w:t>
      </w:r>
      <w:r>
        <w:rPr>
          <w:rFonts w:ascii="楷体_GB2312" w:eastAsia="楷体_GB2312"/>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0"/>
        </w:tabs>
        <w:adjustRightInd w:val="0"/>
        <w:snapToGrid w:val="0"/>
        <w:spacing w:line="440" w:lineRule="exact"/>
        <w:ind w:firstLine="420"/>
        <w:jc w:val="center"/>
        <w:rPr>
          <w:rFonts w:hint="eastAsia" w:ascii="楷体_GB2312" w:eastAsia="楷体_GB2312"/>
          <w:b/>
          <w:sz w:val="24"/>
        </w:rPr>
      </w:pPr>
      <w:r>
        <w:rPr>
          <w:rFonts w:hint="eastAsia" w:ascii="楷体_GB2312" w:eastAsia="楷体_GB2312"/>
          <w:b/>
          <w:sz w:val="24"/>
        </w:rPr>
        <w:t>G 特别说明</w:t>
      </w:r>
    </w:p>
    <w:p>
      <w:pPr>
        <w:tabs>
          <w:tab w:val="left" w:pos="0"/>
        </w:tabs>
        <w:adjustRightInd w:val="0"/>
        <w:snapToGrid w:val="0"/>
        <w:spacing w:line="440" w:lineRule="exact"/>
        <w:ind w:firstLine="420"/>
        <w:rPr>
          <w:rFonts w:ascii="楷体_GB2312" w:eastAsia="楷体_GB2312"/>
          <w:sz w:val="24"/>
        </w:rPr>
      </w:pPr>
      <w:bookmarkStart w:id="92" w:name="_Toc441316546"/>
      <w:bookmarkStart w:id="93" w:name="_Toc436408700"/>
      <w:bookmarkStart w:id="94" w:name="_Toc419729150"/>
      <w:bookmarkStart w:id="95" w:name="OLE_LINK17"/>
      <w:bookmarkStart w:id="96" w:name="OLE_LINK18"/>
      <w:r>
        <w:rPr>
          <w:rFonts w:hint="eastAsia" w:ascii="楷体_GB2312" w:eastAsia="楷体_GB2312"/>
          <w:sz w:val="24"/>
        </w:rPr>
        <w:t>22、执行政府采购活动中有关中小企业的相关规定（采购进口产品的项目不适用）：</w:t>
      </w:r>
      <w:bookmarkEnd w:id="92"/>
      <w:bookmarkEnd w:id="93"/>
      <w:bookmarkEnd w:id="94"/>
    </w:p>
    <w:p>
      <w:pPr>
        <w:tabs>
          <w:tab w:val="left" w:pos="0"/>
        </w:tabs>
        <w:adjustRightInd w:val="0"/>
        <w:snapToGrid w:val="0"/>
        <w:spacing w:line="440" w:lineRule="exact"/>
        <w:ind w:firstLine="420"/>
        <w:rPr>
          <w:rFonts w:ascii="楷体_GB2312" w:eastAsia="楷体_GB2312"/>
          <w:sz w:val="24"/>
        </w:rPr>
      </w:pPr>
      <w:bookmarkStart w:id="97" w:name="_Toc419729151"/>
      <w:bookmarkStart w:id="98" w:name="_Toc436408701"/>
      <w:bookmarkStart w:id="99" w:name="_Toc441316547"/>
      <w:r>
        <w:rPr>
          <w:rFonts w:hint="eastAsia" w:ascii="楷体_GB2312" w:eastAsia="楷体_GB2312"/>
          <w:sz w:val="24"/>
        </w:rPr>
        <w:t>（1）参加政府采购活动的中小企业（含中型、小型、微型企业，其他地方同）应当同时符合以下条件：</w:t>
      </w:r>
      <w:bookmarkEnd w:id="97"/>
      <w:bookmarkEnd w:id="98"/>
      <w:bookmarkEnd w:id="99"/>
    </w:p>
    <w:p>
      <w:pPr>
        <w:tabs>
          <w:tab w:val="left" w:pos="0"/>
        </w:tabs>
        <w:adjustRightInd w:val="0"/>
        <w:snapToGrid w:val="0"/>
        <w:spacing w:line="440" w:lineRule="exact"/>
        <w:ind w:firstLine="420"/>
        <w:rPr>
          <w:rFonts w:ascii="楷体_GB2312" w:eastAsia="楷体_GB2312"/>
          <w:sz w:val="24"/>
        </w:rPr>
      </w:pPr>
      <w:bookmarkStart w:id="100" w:name="_Toc419729152"/>
      <w:bookmarkStart w:id="101" w:name="_Toc441316548"/>
      <w:bookmarkStart w:id="102" w:name="_Toc436408702"/>
      <w:r>
        <w:rPr>
          <w:rFonts w:hint="eastAsia" w:ascii="楷体_GB2312" w:eastAsia="楷体_GB2312"/>
          <w:sz w:val="24"/>
        </w:rPr>
        <w:t>①符合中小企业划分标准（具体见工信部联企业[2011]300号）；</w:t>
      </w:r>
      <w:bookmarkEnd w:id="100"/>
      <w:bookmarkEnd w:id="101"/>
      <w:bookmarkEnd w:id="102"/>
    </w:p>
    <w:p>
      <w:pPr>
        <w:tabs>
          <w:tab w:val="left" w:pos="0"/>
        </w:tabs>
        <w:adjustRightInd w:val="0"/>
        <w:snapToGrid w:val="0"/>
        <w:spacing w:line="440" w:lineRule="exact"/>
        <w:ind w:firstLine="420"/>
        <w:rPr>
          <w:rFonts w:ascii="楷体_GB2312" w:eastAsia="楷体_GB2312"/>
          <w:sz w:val="24"/>
        </w:rPr>
      </w:pPr>
      <w:bookmarkStart w:id="103" w:name="_Toc436408703"/>
      <w:bookmarkStart w:id="104" w:name="_Toc419729153"/>
      <w:bookmarkStart w:id="105" w:name="_Toc441316549"/>
      <w:r>
        <w:rPr>
          <w:rFonts w:hint="eastAsia" w:ascii="楷体_GB2312" w:eastAsia="楷体_GB2312"/>
          <w:sz w:val="24"/>
        </w:rPr>
        <w:t>②</w:t>
      </w:r>
      <w:r>
        <w:rPr>
          <w:rFonts w:ascii="楷体_GB2312" w:eastAsia="楷体_GB2312"/>
          <w:sz w:val="24"/>
        </w:rPr>
        <w:t>提供本企业制造的货物</w:t>
      </w:r>
      <w:r>
        <w:rPr>
          <w:rFonts w:hint="eastAsia" w:ascii="楷体_GB2312" w:eastAsia="楷体_GB2312"/>
          <w:sz w:val="24"/>
        </w:rPr>
        <w:t>、</w:t>
      </w:r>
      <w:r>
        <w:rPr>
          <w:rFonts w:ascii="楷体_GB2312" w:eastAsia="楷体_GB2312"/>
          <w:sz w:val="24"/>
        </w:rPr>
        <w:t>承担</w:t>
      </w:r>
      <w:r>
        <w:rPr>
          <w:rFonts w:hint="eastAsia" w:ascii="楷体_GB2312" w:eastAsia="楷体_GB2312"/>
          <w:sz w:val="24"/>
        </w:rPr>
        <w:t>的</w:t>
      </w:r>
      <w:r>
        <w:rPr>
          <w:rFonts w:ascii="楷体_GB2312" w:eastAsia="楷体_GB2312"/>
          <w:sz w:val="24"/>
        </w:rPr>
        <w:t>工程</w:t>
      </w:r>
      <w:r>
        <w:rPr>
          <w:rFonts w:hint="eastAsia" w:ascii="楷体_GB2312" w:eastAsia="楷体_GB2312"/>
          <w:sz w:val="24"/>
        </w:rPr>
        <w:t>或者</w:t>
      </w:r>
      <w:r>
        <w:rPr>
          <w:rFonts w:ascii="楷体_GB2312" w:eastAsia="楷体_GB2312"/>
          <w:sz w:val="24"/>
        </w:rPr>
        <w:t>服务</w:t>
      </w:r>
      <w:r>
        <w:rPr>
          <w:rFonts w:hint="eastAsia" w:ascii="楷体_GB2312" w:eastAsia="楷体_GB2312"/>
          <w:sz w:val="24"/>
        </w:rPr>
        <w:t>，</w:t>
      </w:r>
      <w:r>
        <w:rPr>
          <w:rFonts w:ascii="楷体_GB2312" w:eastAsia="楷体_GB2312"/>
          <w:sz w:val="24"/>
        </w:rPr>
        <w:t>或者提供其他中小企业制造的货物。本项所称货物不包括使用大型企业注册商标的货物</w:t>
      </w:r>
      <w:r>
        <w:rPr>
          <w:rFonts w:hint="eastAsia" w:ascii="楷体_GB2312" w:eastAsia="楷体_GB2312"/>
          <w:sz w:val="24"/>
        </w:rPr>
        <w:t>。小型、微型企业提供中型企业制造的货物的，视同为中型企业。</w:t>
      </w:r>
      <w:bookmarkEnd w:id="103"/>
      <w:bookmarkEnd w:id="104"/>
      <w:bookmarkEnd w:id="105"/>
    </w:p>
    <w:p>
      <w:pPr>
        <w:tabs>
          <w:tab w:val="left" w:pos="0"/>
        </w:tabs>
        <w:adjustRightInd w:val="0"/>
        <w:snapToGrid w:val="0"/>
        <w:spacing w:line="440" w:lineRule="exact"/>
        <w:ind w:firstLine="420"/>
        <w:rPr>
          <w:rFonts w:ascii="楷体_GB2312" w:eastAsia="楷体_GB2312"/>
          <w:b/>
          <w:sz w:val="24"/>
        </w:rPr>
      </w:pPr>
      <w:bookmarkStart w:id="106" w:name="_Toc419729154"/>
      <w:bookmarkStart w:id="107" w:name="_Toc436408704"/>
      <w:bookmarkStart w:id="108" w:name="_Toc441316550"/>
      <w:r>
        <w:rPr>
          <w:rFonts w:hint="eastAsia" w:ascii="楷体_GB2312" w:eastAsia="楷体_GB2312"/>
          <w:b/>
          <w:sz w:val="24"/>
        </w:rPr>
        <w:t>（2）参加政府采购活动的中小企业应当提供《投标单位</w:t>
      </w:r>
      <w:r>
        <w:rPr>
          <w:rFonts w:ascii="楷体_GB2312" w:eastAsia="楷体_GB2312"/>
          <w:b/>
          <w:sz w:val="24"/>
        </w:rPr>
        <w:t>声明函</w:t>
      </w:r>
      <w:r>
        <w:rPr>
          <w:rFonts w:hint="eastAsia" w:ascii="楷体_GB2312" w:eastAsia="楷体_GB2312"/>
          <w:b/>
          <w:sz w:val="24"/>
        </w:rPr>
        <w:t>》，</w:t>
      </w:r>
      <w:bookmarkEnd w:id="106"/>
      <w:bookmarkEnd w:id="107"/>
      <w:bookmarkEnd w:id="108"/>
      <w:r>
        <w:rPr>
          <w:rFonts w:ascii="楷体_GB2312" w:eastAsia="楷体_GB2312"/>
          <w:b/>
          <w:sz w:val="24"/>
        </w:rPr>
        <w:t>未能提供的不予认可。</w:t>
      </w:r>
    </w:p>
    <w:p>
      <w:pPr>
        <w:tabs>
          <w:tab w:val="left" w:pos="0"/>
        </w:tabs>
        <w:adjustRightInd w:val="0"/>
        <w:snapToGrid w:val="0"/>
        <w:spacing w:line="440" w:lineRule="exact"/>
        <w:ind w:firstLine="420"/>
        <w:rPr>
          <w:rFonts w:ascii="楷体_GB2312" w:eastAsia="楷体_GB2312"/>
          <w:sz w:val="24"/>
        </w:rPr>
      </w:pPr>
      <w:bookmarkStart w:id="109" w:name="_Toc436408705"/>
      <w:bookmarkStart w:id="110" w:name="_Toc441316551"/>
      <w:bookmarkStart w:id="111" w:name="_Toc419729155"/>
      <w:r>
        <w:rPr>
          <w:rFonts w:hint="eastAsia" w:ascii="楷体_GB2312" w:eastAsia="楷体_GB2312"/>
          <w:sz w:val="24"/>
        </w:rPr>
        <w:t>（3）对于非专门面向中小企业的项目</w:t>
      </w:r>
      <w:r>
        <w:rPr>
          <w:rFonts w:ascii="楷体_GB2312" w:eastAsia="楷体_GB2312"/>
          <w:sz w:val="24"/>
        </w:rPr>
        <w:t>，对小微企业的价格</w:t>
      </w:r>
      <w:r>
        <w:rPr>
          <w:rFonts w:hint="eastAsia" w:ascii="楷体_GB2312" w:eastAsia="楷体_GB2312"/>
          <w:sz w:val="24"/>
        </w:rPr>
        <w:t>应</w:t>
      </w:r>
      <w:r>
        <w:rPr>
          <w:rFonts w:ascii="楷体_GB2312" w:eastAsia="楷体_GB2312"/>
          <w:sz w:val="24"/>
        </w:rPr>
        <w:t>给予6%-10%的扣除，用扣除后的价格参与评审</w:t>
      </w:r>
      <w:r>
        <w:rPr>
          <w:rFonts w:hint="eastAsia" w:ascii="楷体_GB2312" w:eastAsia="楷体_GB2312"/>
          <w:sz w:val="24"/>
        </w:rPr>
        <w:t>。具体扣除比例见价格分</w:t>
      </w:r>
      <w:r>
        <w:rPr>
          <w:rFonts w:hint="eastAsia" w:ascii="楷体_GB2312" w:hAnsi="宋体" w:eastAsia="楷体_GB2312" w:cs="宋体"/>
          <w:sz w:val="24"/>
        </w:rPr>
        <w:t>评分细则内容</w:t>
      </w:r>
      <w:r>
        <w:rPr>
          <w:rFonts w:hint="eastAsia" w:ascii="楷体_GB2312" w:eastAsia="楷体_GB2312"/>
          <w:sz w:val="24"/>
        </w:rPr>
        <w:t>。</w:t>
      </w:r>
      <w:bookmarkEnd w:id="109"/>
      <w:bookmarkEnd w:id="110"/>
      <w:bookmarkEnd w:id="111"/>
    </w:p>
    <w:p>
      <w:pPr>
        <w:tabs>
          <w:tab w:val="left" w:pos="0"/>
        </w:tabs>
        <w:adjustRightInd w:val="0"/>
        <w:snapToGrid w:val="0"/>
        <w:spacing w:line="440" w:lineRule="exact"/>
        <w:ind w:firstLine="420"/>
        <w:rPr>
          <w:rFonts w:ascii="楷体_GB2312" w:eastAsia="楷体_GB2312"/>
          <w:sz w:val="24"/>
        </w:rPr>
      </w:pPr>
      <w:bookmarkStart w:id="112" w:name="_Toc436408706"/>
      <w:bookmarkStart w:id="113" w:name="_Toc441316552"/>
      <w:bookmarkStart w:id="114" w:name="_Toc419729156"/>
      <w:r>
        <w:rPr>
          <w:rFonts w:hint="eastAsia" w:ascii="楷体_GB2312" w:eastAsia="楷体_GB2312"/>
          <w:sz w:val="24"/>
        </w:rPr>
        <w:t>（4）采购活动过程中，对供应商的“中小企业”资格认定，以供应商提交的《投标单位</w:t>
      </w:r>
      <w:r>
        <w:rPr>
          <w:rFonts w:ascii="楷体_GB2312" w:eastAsia="楷体_GB2312"/>
          <w:sz w:val="24"/>
        </w:rPr>
        <w:t>声明函</w:t>
      </w:r>
      <w:r>
        <w:rPr>
          <w:rFonts w:hint="eastAsia" w:ascii="楷体_GB2312" w:eastAsia="楷体_GB2312"/>
          <w:sz w:val="24"/>
        </w:rPr>
        <w:t>》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bookmarkEnd w:id="112"/>
      <w:bookmarkEnd w:id="113"/>
      <w:bookmarkEnd w:id="114"/>
    </w:p>
    <w:p>
      <w:pPr>
        <w:tabs>
          <w:tab w:val="left" w:pos="0"/>
        </w:tabs>
        <w:adjustRightInd w:val="0"/>
        <w:snapToGrid w:val="0"/>
        <w:spacing w:line="440" w:lineRule="exact"/>
        <w:ind w:firstLine="420"/>
        <w:rPr>
          <w:rFonts w:ascii="楷体_GB2312" w:eastAsia="楷体_GB2312"/>
          <w:sz w:val="24"/>
        </w:rPr>
      </w:pPr>
      <w:bookmarkStart w:id="115" w:name="_Toc436408707"/>
      <w:bookmarkStart w:id="116" w:name="_Toc441316553"/>
      <w:bookmarkStart w:id="117" w:name="_Toc419729157"/>
      <w:r>
        <w:rPr>
          <w:rFonts w:hint="eastAsia" w:ascii="楷体_GB2312" w:eastAsia="楷体_GB2312"/>
          <w:sz w:val="24"/>
        </w:rPr>
        <w:t>（5）《投标单位</w:t>
      </w:r>
      <w:r>
        <w:rPr>
          <w:rFonts w:ascii="楷体_GB2312" w:eastAsia="楷体_GB2312"/>
          <w:sz w:val="24"/>
        </w:rPr>
        <w:t>声明函</w:t>
      </w:r>
      <w:r>
        <w:rPr>
          <w:rFonts w:hint="eastAsia" w:ascii="楷体_GB2312" w:eastAsia="楷体_GB2312"/>
          <w:sz w:val="24"/>
        </w:rPr>
        <w:t>》由供应商提交，如供应商为代理商的，须自行采集制造商的中小企业划分类型信息填入相应栏目并对其真实性负责。</w:t>
      </w:r>
      <w:bookmarkEnd w:id="115"/>
      <w:bookmarkEnd w:id="116"/>
      <w:bookmarkEnd w:id="117"/>
    </w:p>
    <w:p>
      <w:pPr>
        <w:tabs>
          <w:tab w:val="left" w:pos="0"/>
        </w:tabs>
        <w:adjustRightInd w:val="0"/>
        <w:snapToGrid w:val="0"/>
        <w:spacing w:line="440" w:lineRule="exact"/>
        <w:ind w:firstLine="420"/>
        <w:rPr>
          <w:rFonts w:ascii="楷体_GB2312" w:eastAsia="楷体_GB2312"/>
          <w:sz w:val="24"/>
        </w:rPr>
      </w:pPr>
      <w:bookmarkStart w:id="118" w:name="_Toc495244277"/>
      <w:r>
        <w:rPr>
          <w:rFonts w:hint="eastAsia" w:ascii="楷体_GB2312" w:eastAsia="楷体_GB2312"/>
          <w:sz w:val="24"/>
        </w:rPr>
        <w:t>23、执行财政部、司法部《关于政府采购支持监狱企业发展有关问题的通知》。监狱企业（监狱和戒毒企业）提供自己企业的产品（服务）参加投标视同小型、微型企业，享受评审中价格扣除等政府采购促进中小企业发展的政府采购政策，</w:t>
      </w:r>
      <w:r>
        <w:rPr>
          <w:rFonts w:hint="eastAsia" w:ascii="楷体_GB2312" w:eastAsia="楷体_GB2312"/>
          <w:b/>
          <w:sz w:val="24"/>
        </w:rPr>
        <w:t>监狱企业参加政府采购活动时，必须提供由省级以上监狱管理局、戒毒管理局（含新疆生产建设兵团）出具的属于监狱企业的证明文件，未能提供上述证明文件的不予认可。</w:t>
      </w:r>
      <w:bookmarkEnd w:id="118"/>
    </w:p>
    <w:p>
      <w:pPr>
        <w:tabs>
          <w:tab w:val="left" w:pos="0"/>
        </w:tabs>
        <w:adjustRightInd w:val="0"/>
        <w:snapToGrid w:val="0"/>
        <w:spacing w:line="440" w:lineRule="exact"/>
        <w:ind w:firstLine="420"/>
        <w:rPr>
          <w:rFonts w:hint="eastAsia" w:ascii="楷体_GB2312" w:eastAsia="楷体_GB2312"/>
          <w:b/>
          <w:bCs/>
          <w:sz w:val="28"/>
        </w:rPr>
      </w:pPr>
      <w:r>
        <w:rPr>
          <w:rFonts w:hint="eastAsia" w:ascii="楷体_GB2312" w:eastAsia="楷体_GB2312"/>
          <w:sz w:val="24"/>
        </w:rPr>
        <w:t>24、</w:t>
      </w:r>
      <w:r>
        <w:rPr>
          <w:rFonts w:ascii="楷体_GB2312" w:eastAsia="楷体_GB2312"/>
          <w:sz w:val="24"/>
        </w:rPr>
        <w:t>执行《三部门联合发布关于促进残疾人就业政府采购政策的通知》</w:t>
      </w:r>
      <w:r>
        <w:rPr>
          <w:rFonts w:hint="eastAsia" w:ascii="楷体_GB2312" w:eastAsia="楷体_GB2312"/>
          <w:sz w:val="24"/>
        </w:rPr>
        <w:t>，</w:t>
      </w:r>
      <w:r>
        <w:rPr>
          <w:rFonts w:ascii="楷体_GB2312" w:eastAsia="楷体_GB2312"/>
          <w:sz w:val="24"/>
        </w:rPr>
        <w:t>在政府采购活动中，残疾人福利性单位视同小型、微型企业，享受评审中价格扣除等政府采购促进中小企业发展的政府采购政策，</w:t>
      </w:r>
      <w:r>
        <w:rPr>
          <w:rFonts w:ascii="楷体_GB2312" w:eastAsia="楷体_GB2312"/>
          <w:b/>
          <w:sz w:val="24"/>
        </w:rPr>
        <w:t>残疾人福利性单位参加政府采购活动时，应当提供《残疾人福利性单位声明函》</w:t>
      </w:r>
      <w:r>
        <w:rPr>
          <w:rFonts w:hint="eastAsia" w:ascii="楷体_GB2312" w:eastAsia="楷体_GB2312"/>
          <w:b/>
          <w:sz w:val="24"/>
        </w:rPr>
        <w:t>，</w:t>
      </w:r>
      <w:r>
        <w:rPr>
          <w:rFonts w:ascii="楷体_GB2312" w:eastAsia="楷体_GB2312"/>
          <w:b/>
          <w:sz w:val="24"/>
        </w:rPr>
        <w:t>并对声明的真实性负责，未能提供的不予认可。</w:t>
      </w:r>
    </w:p>
    <w:bookmarkEnd w:id="95"/>
    <w:bookmarkEnd w:id="96"/>
    <w:p>
      <w:pPr>
        <w:tabs>
          <w:tab w:val="left" w:pos="0"/>
        </w:tabs>
        <w:adjustRightInd w:val="0"/>
        <w:snapToGrid w:val="0"/>
        <w:ind w:firstLine="420"/>
        <w:jc w:val="center"/>
        <w:rPr>
          <w:rFonts w:ascii="楷体_GB2312" w:eastAsia="楷体_GB2312"/>
          <w:b/>
          <w:bCs/>
          <w:sz w:val="28"/>
        </w:rPr>
        <w:sectPr>
          <w:headerReference r:id="rId4" w:type="first"/>
          <w:headerReference r:id="rId3" w:type="default"/>
          <w:footerReference r:id="rId5" w:type="default"/>
          <w:footerReference r:id="rId6" w:type="even"/>
          <w:pgSz w:w="11906" w:h="16838"/>
          <w:pgMar w:top="1091" w:right="1800" w:bottom="1246" w:left="1800" w:header="851" w:footer="992" w:gutter="0"/>
          <w:pgNumType w:chapStyle="1"/>
          <w:cols w:space="720" w:num="1"/>
          <w:titlePg/>
          <w:docGrid w:type="lines" w:linePitch="312" w:charSpace="0"/>
        </w:sectPr>
      </w:pPr>
    </w:p>
    <w:p>
      <w:pPr>
        <w:tabs>
          <w:tab w:val="left" w:pos="0"/>
        </w:tabs>
        <w:adjustRightInd w:val="0"/>
        <w:snapToGrid w:val="0"/>
        <w:ind w:firstLine="420"/>
        <w:jc w:val="center"/>
        <w:rPr>
          <w:rFonts w:hint="eastAsia" w:ascii="楷体_GB2312" w:eastAsia="楷体_GB2312"/>
          <w:b/>
          <w:bCs/>
          <w:sz w:val="28"/>
        </w:rPr>
      </w:pPr>
      <w:r>
        <w:rPr>
          <w:rFonts w:hint="eastAsia" w:ascii="楷体_GB2312" w:eastAsia="楷体_GB2312"/>
          <w:b/>
          <w:bCs/>
          <w:sz w:val="28"/>
        </w:rPr>
        <w:t>第三部分   招标采购货物需求</w:t>
      </w:r>
    </w:p>
    <w:p>
      <w:pPr>
        <w:spacing w:line="360" w:lineRule="auto"/>
        <w:rPr>
          <w:rFonts w:ascii="仿宋" w:hAnsi="仿宋" w:eastAsia="仿宋"/>
          <w:b/>
          <w:sz w:val="24"/>
        </w:rPr>
      </w:pPr>
      <w:r>
        <w:rPr>
          <w:rFonts w:hint="eastAsia" w:ascii="仿宋" w:hAnsi="仿宋" w:eastAsia="仿宋"/>
          <w:b/>
          <w:sz w:val="24"/>
        </w:rPr>
        <w:t>一、维护周期</w:t>
      </w:r>
    </w:p>
    <w:p>
      <w:pPr>
        <w:tabs>
          <w:tab w:val="left" w:pos="993"/>
        </w:tabs>
        <w:spacing w:line="360" w:lineRule="auto"/>
        <w:ind w:left="-2" w:leftChars="-1" w:firstLine="568" w:firstLineChars="237"/>
        <w:rPr>
          <w:rFonts w:ascii="仿宋" w:hAnsi="仿宋" w:eastAsia="仿宋" w:cs="Arial"/>
          <w:bCs/>
          <w:sz w:val="24"/>
        </w:rPr>
      </w:pPr>
      <w:r>
        <w:rPr>
          <w:rFonts w:hint="eastAsia" w:ascii="仿宋" w:hAnsi="仿宋" w:eastAsia="仿宋" w:cs="Arial"/>
          <w:bCs/>
          <w:sz w:val="24"/>
        </w:rPr>
        <w:t>维护服务周期五年，20</w:t>
      </w:r>
      <w:r>
        <w:rPr>
          <w:rFonts w:ascii="仿宋" w:hAnsi="仿宋" w:eastAsia="仿宋" w:cs="Arial"/>
          <w:bCs/>
          <w:sz w:val="24"/>
        </w:rPr>
        <w:t>19</w:t>
      </w:r>
      <w:r>
        <w:rPr>
          <w:rFonts w:hint="eastAsia" w:ascii="仿宋" w:hAnsi="仿宋" w:eastAsia="仿宋" w:cs="Arial"/>
          <w:bCs/>
          <w:sz w:val="24"/>
        </w:rPr>
        <w:t>年1</w:t>
      </w:r>
      <w:r>
        <w:rPr>
          <w:rFonts w:ascii="仿宋" w:hAnsi="仿宋" w:eastAsia="仿宋" w:cs="Arial"/>
          <w:bCs/>
          <w:sz w:val="24"/>
        </w:rPr>
        <w:t>0</w:t>
      </w:r>
      <w:r>
        <w:rPr>
          <w:rFonts w:hint="eastAsia" w:ascii="仿宋" w:hAnsi="仿宋" w:eastAsia="仿宋" w:cs="Arial"/>
          <w:bCs/>
          <w:sz w:val="24"/>
        </w:rPr>
        <w:t>月1</w:t>
      </w:r>
      <w:r>
        <w:rPr>
          <w:rFonts w:ascii="仿宋" w:hAnsi="仿宋" w:eastAsia="仿宋" w:cs="Arial"/>
          <w:bCs/>
          <w:sz w:val="24"/>
        </w:rPr>
        <w:t>0</w:t>
      </w:r>
      <w:r>
        <w:rPr>
          <w:rFonts w:hint="eastAsia" w:ascii="仿宋" w:hAnsi="仿宋" w:eastAsia="仿宋" w:cs="Arial"/>
          <w:bCs/>
          <w:sz w:val="24"/>
        </w:rPr>
        <w:t>日至202</w:t>
      </w:r>
      <w:r>
        <w:rPr>
          <w:rFonts w:ascii="仿宋" w:hAnsi="仿宋" w:eastAsia="仿宋" w:cs="Arial"/>
          <w:bCs/>
          <w:sz w:val="24"/>
        </w:rPr>
        <w:t>4</w:t>
      </w:r>
      <w:r>
        <w:rPr>
          <w:rFonts w:hint="eastAsia" w:ascii="仿宋" w:hAnsi="仿宋" w:eastAsia="仿宋" w:cs="Arial"/>
          <w:bCs/>
          <w:sz w:val="24"/>
        </w:rPr>
        <w:t>年1</w:t>
      </w:r>
      <w:r>
        <w:rPr>
          <w:rFonts w:ascii="仿宋" w:hAnsi="仿宋" w:eastAsia="仿宋" w:cs="Arial"/>
          <w:bCs/>
          <w:sz w:val="24"/>
        </w:rPr>
        <w:t>0</w:t>
      </w:r>
      <w:r>
        <w:rPr>
          <w:rFonts w:hint="eastAsia" w:ascii="仿宋" w:hAnsi="仿宋" w:eastAsia="仿宋" w:cs="Arial"/>
          <w:bCs/>
          <w:sz w:val="24"/>
        </w:rPr>
        <w:t>月</w:t>
      </w:r>
      <w:r>
        <w:rPr>
          <w:rFonts w:ascii="仿宋" w:hAnsi="仿宋" w:eastAsia="仿宋" w:cs="Arial"/>
          <w:bCs/>
          <w:sz w:val="24"/>
        </w:rPr>
        <w:t>09</w:t>
      </w:r>
      <w:r>
        <w:rPr>
          <w:rFonts w:hint="eastAsia" w:ascii="仿宋" w:hAnsi="仿宋" w:eastAsia="仿宋" w:cs="Arial"/>
          <w:bCs/>
          <w:sz w:val="24"/>
        </w:rPr>
        <w:t>日。</w:t>
      </w:r>
    </w:p>
    <w:p>
      <w:pPr>
        <w:spacing w:line="360" w:lineRule="auto"/>
        <w:rPr>
          <w:rFonts w:ascii="仿宋" w:hAnsi="仿宋" w:eastAsia="仿宋"/>
          <w:b/>
          <w:sz w:val="24"/>
        </w:rPr>
      </w:pPr>
      <w:r>
        <w:rPr>
          <w:rFonts w:hint="eastAsia" w:ascii="仿宋" w:hAnsi="仿宋" w:eastAsia="仿宋"/>
          <w:b/>
          <w:sz w:val="24"/>
        </w:rPr>
        <w:t>二、本项目报价</w:t>
      </w:r>
    </w:p>
    <w:p>
      <w:pPr>
        <w:tabs>
          <w:tab w:val="left" w:pos="993"/>
        </w:tabs>
        <w:spacing w:line="360" w:lineRule="auto"/>
        <w:ind w:left="1" w:firstLine="564" w:firstLineChars="235"/>
        <w:rPr>
          <w:rFonts w:ascii="仿宋" w:hAnsi="仿宋" w:eastAsia="仿宋"/>
          <w:sz w:val="24"/>
        </w:rPr>
      </w:pPr>
      <w:r>
        <w:rPr>
          <w:rFonts w:hint="eastAsia" w:ascii="仿宋" w:hAnsi="仿宋" w:eastAsia="仿宋"/>
          <w:sz w:val="24"/>
        </w:rPr>
        <w:t>本项目采用服务 “统包”模式，包含方案设计、技术培训、设备采购、系统集成、质检、材料、运输装卸、仓储保管、施工技术设施、缺陷修包、保险、安装调试等跟本次投标有关的一切费用，电费及开户由业主方承担。</w:t>
      </w:r>
    </w:p>
    <w:p>
      <w:pPr>
        <w:spacing w:line="360" w:lineRule="auto"/>
        <w:rPr>
          <w:rFonts w:ascii="仿宋" w:hAnsi="仿宋" w:eastAsia="仿宋"/>
          <w:b/>
          <w:sz w:val="24"/>
        </w:rPr>
      </w:pPr>
      <w:r>
        <w:rPr>
          <w:rFonts w:hint="eastAsia" w:ascii="仿宋" w:hAnsi="仿宋" w:eastAsia="仿宋"/>
          <w:b/>
          <w:sz w:val="24"/>
        </w:rPr>
        <w:t>三、维护范围</w:t>
      </w:r>
    </w:p>
    <w:p>
      <w:pPr>
        <w:tabs>
          <w:tab w:val="left" w:pos="993"/>
        </w:tabs>
        <w:spacing w:line="360" w:lineRule="auto"/>
        <w:ind w:left="1" w:firstLine="564" w:firstLineChars="235"/>
        <w:rPr>
          <w:rFonts w:ascii="仿宋" w:hAnsi="仿宋" w:eastAsia="仿宋"/>
          <w:sz w:val="24"/>
        </w:rPr>
      </w:pPr>
      <w:r>
        <w:rPr>
          <w:rFonts w:hint="eastAsia" w:ascii="仿宋" w:hAnsi="仿宋" w:eastAsia="仿宋"/>
          <w:sz w:val="24"/>
        </w:rPr>
        <w:t>（1）象山县社会治安动态视频监控系统高清智能化建设项目所涉及的范围，包含各级控制中心、应用中心和前端2</w:t>
      </w:r>
      <w:r>
        <w:rPr>
          <w:rFonts w:ascii="仿宋" w:hAnsi="仿宋" w:eastAsia="仿宋"/>
          <w:sz w:val="24"/>
        </w:rPr>
        <w:t>44</w:t>
      </w:r>
      <w:r>
        <w:rPr>
          <w:rFonts w:hint="eastAsia" w:ascii="仿宋" w:hAnsi="仿宋" w:eastAsia="仿宋"/>
          <w:sz w:val="24"/>
        </w:rPr>
        <w:t>个点位的更换维护。</w:t>
      </w:r>
    </w:p>
    <w:p>
      <w:pPr>
        <w:tabs>
          <w:tab w:val="left" w:pos="993"/>
        </w:tabs>
        <w:spacing w:line="360" w:lineRule="auto"/>
        <w:ind w:left="1" w:firstLine="564" w:firstLineChars="235"/>
        <w:rPr>
          <w:rFonts w:ascii="仿宋" w:hAnsi="仿宋" w:eastAsia="仿宋"/>
          <w:sz w:val="24"/>
        </w:rPr>
      </w:pPr>
      <w:r>
        <w:rPr>
          <w:rFonts w:hint="eastAsia" w:ascii="仿宋" w:hAnsi="仿宋" w:eastAsia="仿宋"/>
          <w:sz w:val="24"/>
        </w:rPr>
        <w:t>（2）投标人须自行勘查现场，业主方不统一组织集中现场查看。业主方联系人叶科长：13858385887。</w:t>
      </w:r>
    </w:p>
    <w:p>
      <w:pPr>
        <w:spacing w:line="360" w:lineRule="auto"/>
        <w:rPr>
          <w:rFonts w:ascii="仿宋" w:hAnsi="仿宋" w:eastAsia="仿宋"/>
          <w:b/>
          <w:sz w:val="24"/>
        </w:rPr>
      </w:pPr>
      <w:r>
        <w:rPr>
          <w:rFonts w:hint="eastAsia" w:ascii="仿宋" w:hAnsi="仿宋" w:eastAsia="仿宋"/>
          <w:b/>
          <w:sz w:val="24"/>
        </w:rPr>
        <w:t>四、项目清单</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274"/>
        <w:gridCol w:w="4804"/>
        <w:gridCol w:w="578"/>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96" w:type="dxa"/>
            <w:gridSpan w:val="2"/>
            <w:shd w:val="clear" w:color="000000" w:fill="A6A6A6"/>
            <w:noWrap w:val="0"/>
            <w:vAlign w:val="center"/>
          </w:tcPr>
          <w:p>
            <w:pPr>
              <w:widowControl/>
              <w:jc w:val="left"/>
              <w:rPr>
                <w:rFonts w:ascii="宋体" w:hAnsi="宋体" w:cs="宋体"/>
                <w:b/>
                <w:bCs/>
                <w:kern w:val="0"/>
                <w:sz w:val="18"/>
                <w:szCs w:val="18"/>
              </w:rPr>
            </w:pPr>
            <w:bookmarkStart w:id="119" w:name="_Toc488749975"/>
            <w:r>
              <w:rPr>
                <w:rFonts w:hint="eastAsia" w:ascii="宋体" w:hAnsi="宋体" w:cs="宋体"/>
                <w:b/>
                <w:bCs/>
                <w:kern w:val="0"/>
                <w:sz w:val="18"/>
                <w:szCs w:val="18"/>
              </w:rPr>
              <w:t>一、设备更新替换</w:t>
            </w:r>
          </w:p>
        </w:tc>
        <w:tc>
          <w:tcPr>
            <w:tcW w:w="4804" w:type="dxa"/>
            <w:shd w:val="clear" w:color="000000" w:fill="A6A6A6"/>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96" w:type="dxa"/>
            <w:gridSpan w:val="2"/>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1、前端系统建设</w:t>
            </w:r>
          </w:p>
        </w:tc>
        <w:tc>
          <w:tcPr>
            <w:tcW w:w="4804" w:type="dxa"/>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274" w:type="dxa"/>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货物名称</w:t>
            </w:r>
          </w:p>
        </w:tc>
        <w:tc>
          <w:tcPr>
            <w:tcW w:w="4804" w:type="dxa"/>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参考参数</w:t>
            </w:r>
          </w:p>
        </w:tc>
        <w:tc>
          <w:tcPr>
            <w:tcW w:w="0" w:type="auto"/>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0" w:type="auto"/>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0" w:type="auto"/>
            <w:shd w:val="clear" w:color="auto" w:fill="auto"/>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智能双舱一体机</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≥800万1/1.8” CMOS 双目筒型网络摄像机</w:t>
            </w:r>
            <w:r>
              <w:rPr>
                <w:rFonts w:hint="eastAsia" w:ascii="宋体" w:hAnsi="宋体" w:cs="宋体"/>
                <w:kern w:val="0"/>
                <w:sz w:val="18"/>
                <w:szCs w:val="18"/>
              </w:rPr>
              <w:br w:type="textWrapping"/>
            </w:r>
            <w:r>
              <w:rPr>
                <w:rFonts w:hint="eastAsia" w:ascii="宋体" w:hAnsi="宋体" w:cs="宋体"/>
                <w:kern w:val="0"/>
                <w:sz w:val="18"/>
                <w:szCs w:val="18"/>
              </w:rPr>
              <w:t>上通道看细节，下通道看全景，采用双舱一体化设计</w:t>
            </w:r>
            <w:r>
              <w:rPr>
                <w:rFonts w:hint="eastAsia" w:ascii="宋体" w:hAnsi="宋体" w:cs="宋体"/>
                <w:kern w:val="0"/>
                <w:sz w:val="18"/>
                <w:szCs w:val="18"/>
              </w:rPr>
              <w:br w:type="textWrapping"/>
            </w:r>
            <w:r>
              <w:rPr>
                <w:rFonts w:hint="eastAsia" w:ascii="宋体" w:hAnsi="宋体" w:cs="宋体"/>
                <w:kern w:val="0"/>
                <w:sz w:val="18"/>
                <w:szCs w:val="18"/>
              </w:rPr>
              <w:t>传感器类型:上通道：≥1/1.8" Progressive Scan CMOS ;下通道：≥1/1.8" Progressive Scan CMOS</w:t>
            </w:r>
            <w:r>
              <w:rPr>
                <w:rFonts w:hint="eastAsia" w:ascii="宋体" w:hAnsi="宋体" w:cs="宋体"/>
                <w:kern w:val="0"/>
                <w:sz w:val="18"/>
                <w:szCs w:val="18"/>
              </w:rPr>
              <w:br w:type="textWrapping"/>
            </w:r>
            <w:r>
              <w:rPr>
                <w:rFonts w:hint="eastAsia" w:ascii="宋体" w:hAnsi="宋体" w:cs="宋体"/>
                <w:kern w:val="0"/>
                <w:sz w:val="18"/>
                <w:szCs w:val="18"/>
              </w:rPr>
              <w:t>最低照度:</w:t>
            </w:r>
            <w:r>
              <w:rPr>
                <w:rFonts w:hint="eastAsia" w:ascii="宋体" w:hAnsi="宋体" w:cs="宋体"/>
                <w:kern w:val="0"/>
                <w:sz w:val="18"/>
                <w:szCs w:val="18"/>
              </w:rPr>
              <w:br w:type="textWrapping"/>
            </w:r>
            <w:r>
              <w:rPr>
                <w:rFonts w:hint="eastAsia" w:ascii="宋体" w:hAnsi="宋体" w:cs="宋体"/>
                <w:kern w:val="0"/>
                <w:sz w:val="18"/>
                <w:szCs w:val="18"/>
              </w:rPr>
              <w:t>上通道：彩色:≤0.001 Lux @ (F1.2, AGC ON)  黑白:≤0.0006 Lux @ (F1.2, AGC ON), 0 Lux with IR</w:t>
            </w:r>
            <w:r>
              <w:rPr>
                <w:rFonts w:hint="eastAsia" w:ascii="宋体" w:hAnsi="宋体" w:cs="宋体"/>
                <w:kern w:val="0"/>
                <w:sz w:val="18"/>
                <w:szCs w:val="18"/>
              </w:rPr>
              <w:br w:type="textWrapping"/>
            </w:r>
            <w:r>
              <w:rPr>
                <w:rFonts w:hint="eastAsia" w:ascii="宋体" w:hAnsi="宋体" w:cs="宋体"/>
                <w:kern w:val="0"/>
                <w:sz w:val="18"/>
                <w:szCs w:val="18"/>
              </w:rPr>
              <w:t>下通道：彩色:≤0.001 Lux @ (F1.2, AGC ON)  黑白:≤0.0002 Lux @ (F1.2, AGC ON), 0 Lux with Light</w:t>
            </w:r>
            <w:r>
              <w:rPr>
                <w:rFonts w:hint="eastAsia" w:ascii="宋体" w:hAnsi="宋体" w:cs="宋体"/>
                <w:kern w:val="0"/>
                <w:sz w:val="18"/>
                <w:szCs w:val="18"/>
              </w:rPr>
              <w:br w:type="textWrapping"/>
            </w:r>
            <w:r>
              <w:rPr>
                <w:rFonts w:hint="eastAsia" w:ascii="宋体" w:hAnsi="宋体" w:cs="宋体"/>
                <w:kern w:val="0"/>
                <w:sz w:val="18"/>
                <w:szCs w:val="18"/>
              </w:rPr>
              <w:t>镜头:</w:t>
            </w:r>
            <w:r>
              <w:rPr>
                <w:rFonts w:hint="eastAsia" w:ascii="宋体" w:hAnsi="宋体" w:cs="宋体"/>
                <w:kern w:val="0"/>
                <w:sz w:val="18"/>
                <w:szCs w:val="18"/>
              </w:rPr>
              <w:br w:type="textWrapping"/>
            </w:r>
            <w:r>
              <w:rPr>
                <w:rFonts w:hint="eastAsia" w:ascii="宋体" w:hAnsi="宋体" w:cs="宋体"/>
                <w:kern w:val="0"/>
                <w:sz w:val="18"/>
                <w:szCs w:val="18"/>
              </w:rPr>
              <w:t>上通道：10-50mm  @F1.2水平视场角：41.4°-9.8°   垂直视场角：22.7°-5.5°</w:t>
            </w:r>
            <w:r>
              <w:rPr>
                <w:rFonts w:hint="eastAsia" w:ascii="宋体" w:hAnsi="宋体" w:cs="宋体"/>
                <w:kern w:val="0"/>
                <w:sz w:val="18"/>
                <w:szCs w:val="18"/>
              </w:rPr>
              <w:br w:type="textWrapping"/>
            </w:r>
            <w:r>
              <w:rPr>
                <w:rFonts w:hint="eastAsia" w:ascii="宋体" w:hAnsi="宋体" w:cs="宋体"/>
                <w:kern w:val="0"/>
                <w:sz w:val="18"/>
                <w:szCs w:val="18"/>
              </w:rPr>
              <w:t>下通道：4mm @F1.0 水平视场角：89°  垂直视场角：46°</w:t>
            </w:r>
            <w:r>
              <w:rPr>
                <w:rFonts w:hint="eastAsia" w:ascii="宋体" w:hAnsi="宋体" w:cs="宋体"/>
                <w:kern w:val="0"/>
                <w:sz w:val="18"/>
                <w:szCs w:val="18"/>
              </w:rPr>
              <w:br w:type="textWrapping"/>
            </w:r>
            <w:r>
              <w:rPr>
                <w:rFonts w:hint="eastAsia" w:ascii="宋体" w:hAnsi="宋体" w:cs="宋体"/>
                <w:kern w:val="0"/>
                <w:sz w:val="18"/>
                <w:szCs w:val="18"/>
              </w:rPr>
              <w:t>最大图像尺寸:上通道：3840 x 2160   下通道：2560 x 1440</w:t>
            </w:r>
            <w:r>
              <w:rPr>
                <w:rFonts w:hint="eastAsia" w:ascii="宋体" w:hAnsi="宋体" w:cs="宋体"/>
                <w:kern w:val="0"/>
                <w:sz w:val="18"/>
                <w:szCs w:val="18"/>
              </w:rPr>
              <w:br w:type="textWrapping"/>
            </w:r>
            <w:r>
              <w:rPr>
                <w:rFonts w:hint="eastAsia" w:ascii="宋体" w:hAnsi="宋体" w:cs="宋体"/>
                <w:kern w:val="0"/>
                <w:sz w:val="18"/>
                <w:szCs w:val="18"/>
              </w:rPr>
              <w:t>防护等级:IP66</w:t>
            </w:r>
            <w:r>
              <w:rPr>
                <w:rFonts w:hint="eastAsia" w:ascii="宋体" w:hAnsi="宋体" w:cs="宋体"/>
                <w:kern w:val="0"/>
                <w:sz w:val="18"/>
                <w:szCs w:val="18"/>
              </w:rPr>
              <w:br w:type="textWrapping"/>
            </w:r>
            <w:r>
              <w:rPr>
                <w:rFonts w:hint="eastAsia" w:ascii="宋体" w:hAnsi="宋体" w:cs="宋体"/>
                <w:kern w:val="0"/>
                <w:sz w:val="18"/>
                <w:szCs w:val="18"/>
              </w:rPr>
              <w:t>补光距离:上通道：混合补光:普通监控：80m  人脸抓拍：15m; 下通道：白光:普通监控：80m  人脸抓拍：30m</w:t>
            </w:r>
          </w:p>
          <w:p>
            <w:pPr>
              <w:widowControl/>
              <w:rPr>
                <w:rFonts w:ascii="宋体" w:hAnsi="宋体" w:cs="宋体"/>
                <w:kern w:val="0"/>
                <w:sz w:val="18"/>
                <w:szCs w:val="18"/>
              </w:rPr>
            </w:pPr>
            <w:r>
              <w:rPr>
                <w:rFonts w:hint="eastAsia" w:ascii="宋体" w:hAnsi="宋体" w:cs="宋体"/>
                <w:kern w:val="0"/>
                <w:sz w:val="18"/>
                <w:szCs w:val="18"/>
              </w:rPr>
              <w:t>在混合抓拍模式下，行人、非机动车和机动车目标捕获率不低于97%。</w:t>
            </w:r>
          </w:p>
          <w:p>
            <w:pPr>
              <w:widowControl/>
              <w:rPr>
                <w:rFonts w:ascii="宋体" w:hAnsi="宋体" w:cs="宋体"/>
                <w:kern w:val="0"/>
                <w:sz w:val="18"/>
                <w:szCs w:val="18"/>
              </w:rPr>
            </w:pPr>
            <w:r>
              <w:rPr>
                <w:rFonts w:hint="eastAsia" w:ascii="宋体" w:hAnsi="宋体" w:cs="宋体"/>
                <w:kern w:val="0"/>
                <w:sz w:val="18"/>
                <w:szCs w:val="18"/>
              </w:rPr>
              <w:t>支持单场景同时检出不少于40张人脸图片，并支持面部跟踪</w:t>
            </w:r>
          </w:p>
          <w:p>
            <w:pPr>
              <w:widowControl/>
              <w:rPr>
                <w:rFonts w:ascii="宋体" w:hAnsi="宋体" w:cs="宋体"/>
                <w:kern w:val="0"/>
                <w:sz w:val="18"/>
                <w:szCs w:val="18"/>
              </w:rPr>
            </w:pPr>
            <w:r>
              <w:rPr>
                <w:rFonts w:hint="eastAsia" w:ascii="宋体" w:hAnsi="宋体" w:cs="宋体"/>
                <w:kern w:val="0"/>
                <w:sz w:val="18"/>
                <w:szCs w:val="18"/>
              </w:rPr>
              <w:t>车辆子品牌识别白天准确率不小于95%，晚上准确率不小于90%。</w:t>
            </w:r>
          </w:p>
          <w:p>
            <w:pPr>
              <w:widowControl/>
              <w:rPr>
                <w:rFonts w:ascii="宋体" w:hAnsi="宋体" w:cs="宋体"/>
                <w:kern w:val="0"/>
                <w:sz w:val="18"/>
                <w:szCs w:val="18"/>
              </w:rPr>
            </w:pPr>
            <w:r>
              <w:rPr>
                <w:rFonts w:hint="eastAsia" w:ascii="宋体" w:hAnsi="宋体" w:cs="宋体"/>
                <w:kern w:val="0"/>
                <w:sz w:val="18"/>
                <w:szCs w:val="18"/>
              </w:rPr>
              <w:t>车型识别白天准确率不小于97%，晚上准确率不小于93%。</w:t>
            </w:r>
          </w:p>
          <w:p>
            <w:pPr>
              <w:widowControl/>
              <w:rPr>
                <w:rFonts w:ascii="宋体" w:hAnsi="宋体" w:cs="宋体"/>
                <w:kern w:val="0"/>
                <w:sz w:val="18"/>
                <w:szCs w:val="18"/>
              </w:rPr>
            </w:pPr>
            <w:r>
              <w:rPr>
                <w:rFonts w:hint="eastAsia" w:ascii="宋体" w:hAnsi="宋体" w:cs="宋体"/>
                <w:kern w:val="0"/>
                <w:sz w:val="18"/>
                <w:szCs w:val="18"/>
              </w:rPr>
              <w:t>车辆品牌识别白天准确率不小于97%，晚上准确率不小于95%。</w:t>
            </w:r>
          </w:p>
          <w:p>
            <w:pPr>
              <w:widowControl/>
              <w:rPr>
                <w:rFonts w:ascii="宋体" w:hAnsi="宋体" w:cs="宋体"/>
                <w:kern w:val="0"/>
                <w:sz w:val="18"/>
                <w:szCs w:val="18"/>
              </w:rPr>
            </w:pPr>
            <w:r>
              <w:rPr>
                <w:rFonts w:hint="eastAsia" w:ascii="仿宋" w:hAnsi="仿宋" w:eastAsia="仿宋"/>
                <w:sz w:val="24"/>
              </w:rPr>
              <w:t>▲</w:t>
            </w:r>
            <w:r>
              <w:rPr>
                <w:rFonts w:hint="eastAsia" w:ascii="宋体" w:hAnsi="宋体" w:cs="宋体"/>
                <w:kern w:val="0"/>
                <w:sz w:val="18"/>
                <w:szCs w:val="18"/>
              </w:rPr>
              <w:t>投标时提供第三方权威机构出具的检测报告复印件并加盖原厂公章</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0" w:type="auto"/>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高清卡口摄像机</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高清抓拍单元</w:t>
            </w:r>
            <w:r>
              <w:rPr>
                <w:rFonts w:hint="eastAsia" w:ascii="宋体" w:hAnsi="宋体" w:cs="宋体"/>
                <w:kern w:val="0"/>
                <w:sz w:val="18"/>
                <w:szCs w:val="18"/>
              </w:rPr>
              <w:br w:type="textWrapping"/>
            </w:r>
            <w:r>
              <w:rPr>
                <w:rFonts w:hint="eastAsia" w:ascii="宋体" w:hAnsi="宋体" w:cs="宋体"/>
                <w:kern w:val="0"/>
                <w:sz w:val="18"/>
                <w:szCs w:val="18"/>
              </w:rPr>
              <w:t>卡口抓拍单元，支持900万覆盖两车道，卡口混合车道应用，支持全结构化的机动车、非机动车和行人的抓拍和分析。支持闪光灯和LED频闪灯同步补光；</w:t>
            </w:r>
            <w:r>
              <w:rPr>
                <w:rFonts w:hint="eastAsia" w:ascii="宋体" w:hAnsi="宋体" w:cs="宋体"/>
                <w:kern w:val="0"/>
                <w:sz w:val="18"/>
                <w:szCs w:val="18"/>
              </w:rPr>
              <w:br w:type="textWrapping"/>
            </w:r>
            <w:r>
              <w:rPr>
                <w:rFonts w:hint="eastAsia" w:ascii="宋体" w:hAnsi="宋体" w:cs="宋体"/>
                <w:kern w:val="0"/>
                <w:sz w:val="18"/>
                <w:szCs w:val="18"/>
              </w:rPr>
              <w:t>使用闪光灯补光时，抓拍图片可看清司乘人员人脸；</w:t>
            </w:r>
            <w:r>
              <w:rPr>
                <w:rFonts w:hint="eastAsia" w:ascii="宋体" w:hAnsi="宋体" w:cs="宋体"/>
                <w:kern w:val="0"/>
                <w:sz w:val="18"/>
                <w:szCs w:val="18"/>
              </w:rPr>
              <w:br w:type="textWrapping"/>
            </w:r>
            <w:r>
              <w:rPr>
                <w:rFonts w:hint="eastAsia" w:ascii="宋体" w:hAnsi="宋体" w:cs="宋体"/>
                <w:kern w:val="0"/>
                <w:sz w:val="18"/>
                <w:szCs w:val="18"/>
              </w:rPr>
              <w:t>包含摄像机（内置偏振镜）、高清镜头、室外防护罩、风扇、内置补光灯、电源适配器、相机内置防雷模块、安装万向节等</w:t>
            </w:r>
            <w:r>
              <w:rPr>
                <w:rFonts w:hint="eastAsia" w:ascii="宋体" w:hAnsi="宋体" w:cs="宋体"/>
                <w:kern w:val="0"/>
                <w:sz w:val="18"/>
                <w:szCs w:val="18"/>
              </w:rPr>
              <w:br w:type="textWrapping"/>
            </w:r>
            <w:r>
              <w:rPr>
                <w:rFonts w:hint="eastAsia" w:ascii="宋体" w:hAnsi="宋体" w:cs="宋体"/>
                <w:kern w:val="0"/>
                <w:sz w:val="18"/>
                <w:szCs w:val="18"/>
              </w:rPr>
              <w:t>像素：≥900W</w:t>
            </w:r>
            <w:r>
              <w:rPr>
                <w:rFonts w:hint="eastAsia" w:ascii="宋体" w:hAnsi="宋体" w:cs="宋体"/>
                <w:kern w:val="0"/>
                <w:sz w:val="18"/>
                <w:szCs w:val="18"/>
              </w:rPr>
              <w:br w:type="textWrapping"/>
            </w:r>
            <w:r>
              <w:rPr>
                <w:rFonts w:hint="eastAsia" w:ascii="宋体" w:hAnsi="宋体" w:cs="宋体"/>
                <w:kern w:val="0"/>
                <w:sz w:val="18"/>
                <w:szCs w:val="18"/>
              </w:rPr>
              <w:t>分辨率：最大支持≥4096*2160</w:t>
            </w:r>
            <w:r>
              <w:rPr>
                <w:rFonts w:hint="eastAsia" w:ascii="宋体" w:hAnsi="宋体" w:cs="宋体"/>
                <w:kern w:val="0"/>
                <w:sz w:val="18"/>
                <w:szCs w:val="18"/>
              </w:rPr>
              <w:br w:type="textWrapping"/>
            </w:r>
            <w:r>
              <w:rPr>
                <w:rFonts w:hint="eastAsia" w:ascii="宋体" w:hAnsi="宋体" w:cs="宋体"/>
                <w:kern w:val="0"/>
                <w:sz w:val="18"/>
                <w:szCs w:val="18"/>
              </w:rPr>
              <w:t>帧率：≥25fps</w:t>
            </w:r>
            <w:r>
              <w:rPr>
                <w:rFonts w:hint="eastAsia" w:ascii="宋体" w:hAnsi="宋体" w:cs="宋体"/>
                <w:kern w:val="0"/>
                <w:sz w:val="18"/>
                <w:szCs w:val="18"/>
              </w:rPr>
              <w:br w:type="textWrapping"/>
            </w:r>
            <w:r>
              <w:rPr>
                <w:rFonts w:hint="eastAsia" w:ascii="宋体" w:hAnsi="宋体" w:cs="宋体"/>
                <w:kern w:val="0"/>
                <w:sz w:val="18"/>
                <w:szCs w:val="18"/>
              </w:rPr>
              <w:t>图像传感器：≥1" 英寸全局曝光CMOS（GMOS）传感器</w:t>
            </w:r>
            <w:r>
              <w:rPr>
                <w:rFonts w:hint="eastAsia" w:ascii="宋体" w:hAnsi="宋体" w:cs="宋体"/>
                <w:kern w:val="0"/>
                <w:sz w:val="18"/>
                <w:szCs w:val="18"/>
              </w:rPr>
              <w:br w:type="textWrapping"/>
            </w:r>
            <w:r>
              <w:rPr>
                <w:rFonts w:hint="eastAsia" w:ascii="宋体" w:hAnsi="宋体" w:cs="宋体"/>
                <w:kern w:val="0"/>
                <w:sz w:val="18"/>
                <w:szCs w:val="18"/>
              </w:rPr>
              <w:t>镜头：≥25mm镜头</w:t>
            </w:r>
            <w:r>
              <w:rPr>
                <w:rFonts w:hint="eastAsia" w:ascii="宋体" w:hAnsi="宋体" w:cs="宋体"/>
                <w:kern w:val="0"/>
                <w:sz w:val="18"/>
                <w:szCs w:val="18"/>
              </w:rPr>
              <w:br w:type="textWrapping"/>
            </w:r>
            <w:r>
              <w:rPr>
                <w:rFonts w:hint="eastAsia" w:ascii="宋体" w:hAnsi="宋体" w:cs="宋体"/>
                <w:kern w:val="0"/>
                <w:sz w:val="18"/>
                <w:szCs w:val="18"/>
              </w:rPr>
              <w:t xml:space="preserve">照度：彩色:≤0.01Lux  黑色:≤0.008Lux  </w:t>
            </w:r>
            <w:r>
              <w:rPr>
                <w:rFonts w:hint="eastAsia" w:ascii="宋体" w:hAnsi="宋体" w:cs="宋体"/>
                <w:kern w:val="0"/>
                <w:sz w:val="18"/>
                <w:szCs w:val="18"/>
              </w:rPr>
              <w:br w:type="textWrapping"/>
            </w:r>
            <w:r>
              <w:rPr>
                <w:rFonts w:hint="eastAsia" w:ascii="宋体" w:hAnsi="宋体" w:cs="宋体"/>
                <w:kern w:val="0"/>
                <w:sz w:val="18"/>
                <w:szCs w:val="18"/>
              </w:rPr>
              <w:t>输出：电平量信号</w:t>
            </w:r>
            <w:r>
              <w:rPr>
                <w:rFonts w:hint="eastAsia" w:ascii="宋体" w:hAnsi="宋体" w:cs="宋体"/>
                <w:kern w:val="0"/>
                <w:sz w:val="18"/>
                <w:szCs w:val="18"/>
              </w:rPr>
              <w:br w:type="textWrapping"/>
            </w:r>
            <w:r>
              <w:rPr>
                <w:rFonts w:hint="eastAsia" w:ascii="宋体" w:hAnsi="宋体" w:cs="宋体"/>
                <w:kern w:val="0"/>
                <w:sz w:val="18"/>
                <w:szCs w:val="18"/>
              </w:rPr>
              <w:t>通讯接口：3个RS-485接口,1个RS-232接口；2个RJ45 10M/100M/1000M自适应以太网口</w:t>
            </w:r>
            <w:r>
              <w:rPr>
                <w:rFonts w:hint="eastAsia" w:ascii="宋体" w:hAnsi="宋体" w:cs="宋体"/>
                <w:kern w:val="0"/>
                <w:sz w:val="18"/>
                <w:szCs w:val="18"/>
              </w:rPr>
              <w:br w:type="textWrapping"/>
            </w:r>
            <w:r>
              <w:rPr>
                <w:rFonts w:hint="eastAsia" w:ascii="宋体" w:hAnsi="宋体" w:cs="宋体"/>
                <w:kern w:val="0"/>
                <w:sz w:val="18"/>
                <w:szCs w:val="18"/>
              </w:rPr>
              <w:t xml:space="preserve"> 触发输入：1个触发/报警输入</w:t>
            </w:r>
            <w:r>
              <w:rPr>
                <w:rFonts w:hint="eastAsia" w:ascii="宋体" w:hAnsi="宋体" w:cs="宋体"/>
                <w:kern w:val="0"/>
                <w:sz w:val="18"/>
                <w:szCs w:val="18"/>
              </w:rPr>
              <w:br w:type="textWrapping"/>
            </w:r>
            <w:r>
              <w:rPr>
                <w:rFonts w:hint="eastAsia" w:ascii="宋体" w:hAnsi="宋体" w:cs="宋体"/>
                <w:kern w:val="0"/>
                <w:sz w:val="18"/>
                <w:szCs w:val="18"/>
              </w:rPr>
              <w:t>触发输出：7路F+F-输出接口，可作为补光灯同步输出控制；</w:t>
            </w:r>
            <w:r>
              <w:rPr>
                <w:rFonts w:hint="eastAsia" w:ascii="宋体" w:hAnsi="宋体" w:cs="宋体"/>
                <w:kern w:val="0"/>
                <w:sz w:val="18"/>
                <w:szCs w:val="18"/>
              </w:rPr>
              <w:br w:type="textWrapping"/>
            </w:r>
            <w:r>
              <w:rPr>
                <w:rFonts w:hint="eastAsia" w:ascii="宋体" w:hAnsi="宋体" w:cs="宋体"/>
                <w:kern w:val="0"/>
                <w:sz w:val="18"/>
                <w:szCs w:val="18"/>
              </w:rPr>
              <w:t>自动光圈镜头：支持</w:t>
            </w:r>
            <w:r>
              <w:rPr>
                <w:rFonts w:hint="eastAsia" w:ascii="宋体" w:hAnsi="宋体" w:cs="宋体"/>
                <w:kern w:val="0"/>
                <w:sz w:val="18"/>
                <w:szCs w:val="18"/>
              </w:rPr>
              <w:br w:type="textWrapping"/>
            </w:r>
            <w:r>
              <w:rPr>
                <w:rFonts w:hint="eastAsia" w:ascii="宋体" w:hAnsi="宋体" w:cs="宋体"/>
                <w:kern w:val="0"/>
                <w:sz w:val="18"/>
                <w:szCs w:val="18"/>
              </w:rPr>
              <w:t>支持智能识别功能：机动车违章检测：机动车超速、压线、逆行、禁止大货车等违法行为； 非机动车管控：非机动车载人、不戴头盔、逆行、占用机动车道等违法行为</w:t>
            </w:r>
          </w:p>
          <w:p>
            <w:pPr>
              <w:rPr>
                <w:rFonts w:ascii="宋体" w:hAnsi="宋体" w:cs="宋体"/>
                <w:kern w:val="0"/>
                <w:sz w:val="18"/>
                <w:szCs w:val="18"/>
              </w:rPr>
            </w:pPr>
            <w:r>
              <w:rPr>
                <w:rFonts w:hint="eastAsia" w:ascii="宋体" w:hAnsi="宋体" w:cs="宋体"/>
                <w:kern w:val="0"/>
                <w:sz w:val="18"/>
                <w:szCs w:val="18"/>
              </w:rPr>
              <w:t>设备可识别≥300种机动车品牌标志，白天识别准确率≥97%，夜晚识别准确率≥97%。</w:t>
            </w:r>
          </w:p>
          <w:p>
            <w:pPr>
              <w:rPr>
                <w:rFonts w:ascii="宋体" w:hAnsi="宋体" w:cs="宋体"/>
                <w:kern w:val="0"/>
                <w:sz w:val="18"/>
                <w:szCs w:val="18"/>
              </w:rPr>
            </w:pPr>
            <w:r>
              <w:rPr>
                <w:rFonts w:hint="eastAsia" w:ascii="宋体" w:hAnsi="宋体" w:cs="宋体"/>
                <w:kern w:val="0"/>
                <w:sz w:val="18"/>
                <w:szCs w:val="18"/>
              </w:rPr>
              <w:t>支持识别车头≥6000种车辆子品牌，车尾≥3000种车辆子品牌，在天气晴朗无雾，号牌无遮挡、无污损，白天环境光照度不低于200lx，晚上辅助光照度不高于30lx的条件下测试，白天识别准确率均≥95%，白晚上的识别准确率均≥93%</w:t>
            </w:r>
          </w:p>
          <w:p>
            <w:pPr>
              <w:rPr>
                <w:rFonts w:ascii="宋体" w:hAnsi="宋体" w:cs="宋体"/>
                <w:kern w:val="0"/>
                <w:sz w:val="18"/>
                <w:szCs w:val="18"/>
              </w:rPr>
            </w:pPr>
            <w:r>
              <w:rPr>
                <w:rFonts w:hint="eastAsia" w:ascii="宋体" w:hAnsi="宋体" w:cs="宋体"/>
                <w:kern w:val="0"/>
                <w:sz w:val="18"/>
                <w:szCs w:val="18"/>
              </w:rPr>
              <w:t>支持主副驾驶人脸抠图功能，单车道场景下，主副驾驶员人脸抠图像素点不小于120像素点×120像素点</w:t>
            </w:r>
          </w:p>
          <w:p>
            <w:pPr>
              <w:widowControl/>
              <w:rPr>
                <w:rFonts w:ascii="宋体" w:hAnsi="宋体" w:cs="宋体"/>
                <w:kern w:val="0"/>
                <w:sz w:val="18"/>
                <w:szCs w:val="18"/>
              </w:rPr>
            </w:pPr>
            <w:r>
              <w:rPr>
                <w:rFonts w:hint="eastAsia" w:ascii="宋体" w:hAnsi="宋体" w:cs="宋体"/>
                <w:kern w:val="0"/>
                <w:sz w:val="18"/>
                <w:szCs w:val="18"/>
              </w:rPr>
              <w:t>设备可支持≥20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95%，夜晚识别准确率≥92%。</w:t>
            </w:r>
          </w:p>
          <w:p>
            <w:pPr>
              <w:widowControl/>
              <w:rPr>
                <w:rFonts w:ascii="宋体" w:hAnsi="宋体" w:cs="宋体"/>
                <w:kern w:val="0"/>
                <w:sz w:val="18"/>
                <w:szCs w:val="18"/>
              </w:rPr>
            </w:pPr>
            <w:r>
              <w:rPr>
                <w:rFonts w:hint="eastAsia" w:ascii="仿宋" w:hAnsi="仿宋" w:eastAsia="仿宋"/>
                <w:sz w:val="24"/>
              </w:rPr>
              <w:t>▲</w:t>
            </w:r>
            <w:r>
              <w:rPr>
                <w:rFonts w:hint="eastAsia" w:ascii="宋体" w:hAnsi="宋体" w:cs="宋体"/>
                <w:kern w:val="0"/>
                <w:sz w:val="18"/>
                <w:szCs w:val="18"/>
              </w:rPr>
              <w:t>投标时提供第三方权威机构出具的检测报告复印件并加盖原厂公章</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0" w:type="auto"/>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高清球机</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1/1.8英寸CMOS；≥400万；2592×1520；最低照度彩色：≤0.005Lux@F1.5 黑白：≤0.0005Lux@F1.5 0Lux（红外灯开启）；≥220m（红外）；镜头焦距6mm~180mm；30倍光学变倍，16倍数字变倍；支持预置点跟踪类型；支持手动跟踪和报警跟踪两种跟踪方式；支持穿越围栏、绊线入侵、区域入侵、物品遗留、快速移动、停车检测、人员聚集、物品搬移、徘徊检测多种行为检测；支持多种触发规则联动动作；支持目标过滤</w:t>
            </w:r>
            <w:r>
              <w:rPr>
                <w:rFonts w:hint="eastAsia" w:ascii="宋体" w:hAnsi="宋体" w:cs="宋体"/>
                <w:color w:val="000000"/>
                <w:kern w:val="0"/>
                <w:sz w:val="18"/>
                <w:szCs w:val="18"/>
              </w:rPr>
              <w:t>;支持人脸检测;支持人数统计；支持热度图;水平方向360°连续旋转，垂直方向-20°～90°自动翻转180°后连续监视,无监视盲区;水平键控速度0.1°～200°/s ，垂直键控速度0.1°～120°/s，云台定位可精确到0.1°;支持300个预置位;可以按照所设置的预置位完成8条巡航路径;可设置5条巡迹路径，每条路径的记录时间大于15分钟供电方式AC24V/3A±25%；</w:t>
            </w:r>
            <w:r>
              <w:rPr>
                <w:rFonts w:hint="eastAsia" w:ascii="宋体" w:hAnsi="宋体" w:cs="宋体"/>
                <w:color w:val="000000"/>
                <w:kern w:val="0"/>
                <w:sz w:val="18"/>
                <w:szCs w:val="18"/>
              </w:rPr>
              <w:br w:type="textWrapping"/>
            </w:r>
            <w:r>
              <w:rPr>
                <w:rFonts w:hint="eastAsia" w:ascii="仿宋" w:hAnsi="仿宋" w:eastAsia="仿宋"/>
                <w:sz w:val="24"/>
              </w:rPr>
              <w:t>▲</w:t>
            </w:r>
            <w:r>
              <w:rPr>
                <w:rFonts w:hint="eastAsia" w:ascii="宋体" w:hAnsi="宋体" w:cs="宋体"/>
                <w:color w:val="000000"/>
                <w:kern w:val="0"/>
                <w:sz w:val="18"/>
                <w:szCs w:val="18"/>
              </w:rPr>
              <w:t>投标时提供第三方权威机构出具的检测报告复印件并加盖原厂公章</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0" w:type="auto"/>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补光灯</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【暖光】≥28颗 LED常亮灯</w:t>
            </w:r>
            <w:r>
              <w:rPr>
                <w:rFonts w:hint="eastAsia" w:ascii="宋体" w:hAnsi="宋体" w:cs="宋体"/>
                <w:kern w:val="0"/>
                <w:sz w:val="18"/>
                <w:szCs w:val="18"/>
              </w:rPr>
              <w:br w:type="textWrapping"/>
            </w:r>
            <w:r>
              <w:rPr>
                <w:rFonts w:hint="eastAsia" w:ascii="宋体" w:hAnsi="宋体" w:cs="宋体"/>
                <w:kern w:val="0"/>
                <w:sz w:val="18"/>
                <w:szCs w:val="18"/>
              </w:rPr>
              <w:t>发光角度：40°</w:t>
            </w:r>
            <w:r>
              <w:rPr>
                <w:rFonts w:hint="eastAsia" w:ascii="宋体" w:hAnsi="宋体" w:cs="宋体"/>
                <w:kern w:val="0"/>
                <w:sz w:val="18"/>
                <w:szCs w:val="18"/>
              </w:rPr>
              <w:br w:type="textWrapping"/>
            </w:r>
            <w:r>
              <w:rPr>
                <w:rFonts w:hint="eastAsia" w:ascii="宋体" w:hAnsi="宋体" w:cs="宋体"/>
                <w:kern w:val="0"/>
                <w:sz w:val="18"/>
                <w:szCs w:val="18"/>
              </w:rPr>
              <w:t>最佳补光距离：16米～25米</w:t>
            </w:r>
            <w:r>
              <w:rPr>
                <w:rFonts w:hint="eastAsia" w:ascii="宋体" w:hAnsi="宋体" w:cs="宋体"/>
                <w:kern w:val="0"/>
                <w:sz w:val="18"/>
                <w:szCs w:val="18"/>
              </w:rPr>
              <w:br w:type="textWrapping"/>
            </w:r>
            <w:r>
              <w:rPr>
                <w:rFonts w:hint="eastAsia" w:ascii="宋体" w:hAnsi="宋体" w:cs="宋体"/>
                <w:kern w:val="0"/>
                <w:sz w:val="18"/>
                <w:szCs w:val="18"/>
              </w:rPr>
              <w:t>响应时间：≤20us</w:t>
            </w:r>
            <w:r>
              <w:rPr>
                <w:rFonts w:hint="eastAsia" w:ascii="宋体" w:hAnsi="宋体" w:cs="宋体"/>
                <w:kern w:val="0"/>
                <w:sz w:val="18"/>
                <w:szCs w:val="18"/>
              </w:rPr>
              <w:br w:type="textWrapping"/>
            </w:r>
            <w:r>
              <w:rPr>
                <w:rFonts w:hint="eastAsia" w:ascii="宋体" w:hAnsi="宋体" w:cs="宋体"/>
                <w:kern w:val="0"/>
                <w:sz w:val="18"/>
                <w:szCs w:val="18"/>
              </w:rPr>
              <w:t xml:space="preserve">日夜功能：支持环境亮度检测，低照度下自动开启 </w:t>
            </w:r>
            <w:r>
              <w:rPr>
                <w:rFonts w:hint="eastAsia" w:ascii="宋体" w:hAnsi="宋体" w:cs="宋体"/>
                <w:kern w:val="0"/>
                <w:sz w:val="18"/>
                <w:szCs w:val="18"/>
              </w:rPr>
              <w:br w:type="textWrapping"/>
            </w:r>
            <w:r>
              <w:rPr>
                <w:rFonts w:hint="eastAsia" w:ascii="宋体" w:hAnsi="宋体" w:cs="宋体"/>
                <w:kern w:val="0"/>
                <w:sz w:val="18"/>
                <w:szCs w:val="18"/>
              </w:rPr>
              <w:t>亮度控制：两档亮度控制</w:t>
            </w:r>
            <w:r>
              <w:rPr>
                <w:rFonts w:hint="eastAsia" w:ascii="宋体" w:hAnsi="宋体" w:cs="宋体"/>
                <w:kern w:val="0"/>
                <w:sz w:val="18"/>
                <w:szCs w:val="18"/>
              </w:rPr>
              <w:br w:type="textWrapping"/>
            </w:r>
            <w:r>
              <w:rPr>
                <w:rFonts w:hint="eastAsia" w:ascii="宋体" w:hAnsi="宋体" w:cs="宋体"/>
                <w:kern w:val="0"/>
                <w:sz w:val="18"/>
                <w:szCs w:val="18"/>
              </w:rPr>
              <w:t>设计寿命：≥50000小时</w:t>
            </w:r>
            <w:r>
              <w:rPr>
                <w:rFonts w:hint="eastAsia" w:ascii="宋体" w:hAnsi="宋体" w:cs="宋体"/>
                <w:kern w:val="0"/>
                <w:sz w:val="18"/>
                <w:szCs w:val="18"/>
              </w:rPr>
              <w:br w:type="textWrapping"/>
            </w:r>
            <w:r>
              <w:rPr>
                <w:rFonts w:hint="eastAsia" w:ascii="宋体" w:hAnsi="宋体" w:cs="宋体"/>
                <w:kern w:val="0"/>
                <w:sz w:val="18"/>
                <w:szCs w:val="18"/>
              </w:rPr>
              <w:t>电源：AC220V±20%，47Hz~63Hz</w:t>
            </w:r>
            <w:r>
              <w:rPr>
                <w:rFonts w:hint="eastAsia" w:ascii="宋体" w:hAnsi="宋体" w:cs="宋体"/>
                <w:kern w:val="0"/>
                <w:sz w:val="18"/>
                <w:szCs w:val="18"/>
              </w:rPr>
              <w:br w:type="textWrapping"/>
            </w:r>
            <w:r>
              <w:rPr>
                <w:rFonts w:hint="eastAsia" w:ascii="宋体" w:hAnsi="宋体" w:cs="宋体"/>
                <w:kern w:val="0"/>
                <w:sz w:val="18"/>
                <w:szCs w:val="18"/>
              </w:rPr>
              <w:t>功率：最大60W，低亮档30W （实际功率与控制方式相关）</w:t>
            </w:r>
            <w:r>
              <w:rPr>
                <w:rFonts w:hint="eastAsia" w:ascii="宋体" w:hAnsi="宋体" w:cs="宋体"/>
                <w:kern w:val="0"/>
                <w:sz w:val="18"/>
                <w:szCs w:val="18"/>
              </w:rPr>
              <w:br w:type="textWrapping"/>
            </w:r>
            <w:r>
              <w:rPr>
                <w:rFonts w:hint="eastAsia" w:ascii="宋体" w:hAnsi="宋体" w:cs="宋体"/>
                <w:kern w:val="0"/>
                <w:sz w:val="18"/>
                <w:szCs w:val="18"/>
              </w:rPr>
              <w:t>工作环境：工作温度-40℃～+70℃，工作湿度10%～90%</w:t>
            </w:r>
            <w:r>
              <w:rPr>
                <w:rFonts w:hint="eastAsia" w:ascii="宋体" w:hAnsi="宋体" w:cs="宋体"/>
                <w:kern w:val="0"/>
                <w:sz w:val="18"/>
                <w:szCs w:val="18"/>
              </w:rPr>
              <w:br w:type="textWrapping"/>
            </w:r>
            <w:r>
              <w:rPr>
                <w:rFonts w:hint="eastAsia" w:ascii="宋体" w:hAnsi="宋体" w:cs="宋体"/>
                <w:kern w:val="0"/>
                <w:sz w:val="18"/>
                <w:szCs w:val="18"/>
              </w:rPr>
              <w:t>防护等级：IP66</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0" w:type="auto"/>
            <w:shd w:val="clear" w:color="auto" w:fill="auto"/>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车牌补光灯</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【暖光】 ≥16颗</w:t>
            </w:r>
            <w:r>
              <w:rPr>
                <w:rFonts w:hint="eastAsia" w:ascii="宋体" w:hAnsi="宋体" w:cs="宋体"/>
                <w:kern w:val="0"/>
                <w:sz w:val="18"/>
                <w:szCs w:val="18"/>
              </w:rPr>
              <w:br w:type="textWrapping"/>
            </w:r>
            <w:r>
              <w:rPr>
                <w:rFonts w:hint="eastAsia" w:ascii="宋体" w:hAnsi="宋体" w:cs="宋体"/>
                <w:kern w:val="0"/>
                <w:sz w:val="18"/>
                <w:szCs w:val="18"/>
              </w:rPr>
              <w:t>光源类型：原装进口大功率LED，单车道环境补光</w:t>
            </w:r>
            <w:r>
              <w:rPr>
                <w:rFonts w:hint="eastAsia" w:ascii="宋体" w:hAnsi="宋体" w:cs="宋体"/>
                <w:kern w:val="0"/>
                <w:sz w:val="18"/>
                <w:szCs w:val="18"/>
              </w:rPr>
              <w:br w:type="textWrapping"/>
            </w:r>
            <w:r>
              <w:rPr>
                <w:rFonts w:hint="eastAsia" w:ascii="宋体" w:hAnsi="宋体" w:cs="宋体"/>
                <w:kern w:val="0"/>
                <w:sz w:val="18"/>
                <w:szCs w:val="18"/>
              </w:rPr>
              <w:t>LED灯珠数量：16颗</w:t>
            </w:r>
            <w:r>
              <w:rPr>
                <w:rFonts w:hint="eastAsia" w:ascii="宋体" w:hAnsi="宋体" w:cs="宋体"/>
                <w:kern w:val="0"/>
                <w:sz w:val="18"/>
                <w:szCs w:val="18"/>
              </w:rPr>
              <w:br w:type="textWrapping"/>
            </w:r>
            <w:r>
              <w:rPr>
                <w:rFonts w:hint="eastAsia" w:ascii="宋体" w:hAnsi="宋体" w:cs="宋体"/>
                <w:kern w:val="0"/>
                <w:sz w:val="18"/>
                <w:szCs w:val="18"/>
              </w:rPr>
              <w:t>发光角度：10°</w:t>
            </w:r>
            <w:r>
              <w:rPr>
                <w:rFonts w:hint="eastAsia" w:ascii="宋体" w:hAnsi="宋体" w:cs="宋体"/>
                <w:kern w:val="0"/>
                <w:sz w:val="18"/>
                <w:szCs w:val="18"/>
              </w:rPr>
              <w:br w:type="textWrapping"/>
            </w:r>
            <w:r>
              <w:rPr>
                <w:rFonts w:hint="eastAsia" w:ascii="宋体" w:hAnsi="宋体" w:cs="宋体"/>
                <w:kern w:val="0"/>
                <w:sz w:val="18"/>
                <w:szCs w:val="18"/>
              </w:rPr>
              <w:t>最佳补光距离：16米-25米</w:t>
            </w:r>
            <w:r>
              <w:rPr>
                <w:rFonts w:hint="eastAsia" w:ascii="宋体" w:hAnsi="宋体" w:cs="宋体"/>
                <w:kern w:val="0"/>
                <w:sz w:val="18"/>
                <w:szCs w:val="18"/>
              </w:rPr>
              <w:br w:type="textWrapping"/>
            </w:r>
            <w:r>
              <w:rPr>
                <w:rFonts w:hint="eastAsia" w:ascii="宋体" w:hAnsi="宋体" w:cs="宋体"/>
                <w:kern w:val="0"/>
                <w:sz w:val="18"/>
                <w:szCs w:val="18"/>
              </w:rPr>
              <w:t>触发方式：电平量触发(可选配开关量触发)</w:t>
            </w:r>
            <w:r>
              <w:rPr>
                <w:rFonts w:hint="eastAsia" w:ascii="宋体" w:hAnsi="宋体" w:cs="宋体"/>
                <w:kern w:val="0"/>
                <w:sz w:val="18"/>
                <w:szCs w:val="18"/>
              </w:rPr>
              <w:br w:type="textWrapping"/>
            </w:r>
            <w:r>
              <w:rPr>
                <w:rFonts w:hint="eastAsia" w:ascii="宋体" w:hAnsi="宋体" w:cs="宋体"/>
                <w:kern w:val="0"/>
                <w:sz w:val="18"/>
                <w:szCs w:val="18"/>
              </w:rPr>
              <w:t>响应时间：小于20us</w:t>
            </w:r>
            <w:r>
              <w:rPr>
                <w:rFonts w:hint="eastAsia" w:ascii="宋体" w:hAnsi="宋体" w:cs="宋体"/>
                <w:kern w:val="0"/>
                <w:sz w:val="18"/>
                <w:szCs w:val="18"/>
              </w:rPr>
              <w:br w:type="textWrapping"/>
            </w:r>
            <w:r>
              <w:rPr>
                <w:rFonts w:hint="eastAsia" w:ascii="宋体" w:hAnsi="宋体" w:cs="宋体"/>
                <w:kern w:val="0"/>
                <w:sz w:val="18"/>
                <w:szCs w:val="18"/>
              </w:rPr>
              <w:t>日夜功能：支持环境亮度监测,低照度下自动开启(可选配)</w:t>
            </w:r>
            <w:r>
              <w:rPr>
                <w:rFonts w:hint="eastAsia" w:ascii="宋体" w:hAnsi="宋体" w:cs="宋体"/>
                <w:kern w:val="0"/>
                <w:sz w:val="18"/>
                <w:szCs w:val="18"/>
              </w:rPr>
              <w:br w:type="textWrapping"/>
            </w:r>
            <w:r>
              <w:rPr>
                <w:rFonts w:hint="eastAsia" w:ascii="宋体" w:hAnsi="宋体" w:cs="宋体"/>
                <w:kern w:val="0"/>
                <w:sz w:val="18"/>
                <w:szCs w:val="18"/>
              </w:rPr>
              <w:t>触发信号电平：4V-6V</w:t>
            </w:r>
            <w:r>
              <w:rPr>
                <w:rFonts w:hint="eastAsia" w:ascii="宋体" w:hAnsi="宋体" w:cs="宋体"/>
                <w:kern w:val="0"/>
                <w:sz w:val="18"/>
                <w:szCs w:val="18"/>
              </w:rPr>
              <w:br w:type="textWrapping"/>
            </w:r>
            <w:r>
              <w:rPr>
                <w:rFonts w:hint="eastAsia" w:ascii="宋体" w:hAnsi="宋体" w:cs="宋体"/>
                <w:kern w:val="0"/>
                <w:sz w:val="18"/>
                <w:szCs w:val="18"/>
              </w:rPr>
              <w:t>防护等级：IP66</w:t>
            </w:r>
            <w:r>
              <w:rPr>
                <w:rFonts w:hint="eastAsia" w:ascii="宋体" w:hAnsi="宋体" w:cs="宋体"/>
                <w:kern w:val="0"/>
                <w:sz w:val="18"/>
                <w:szCs w:val="18"/>
              </w:rPr>
              <w:br w:type="textWrapping"/>
            </w:r>
            <w:r>
              <w:rPr>
                <w:rFonts w:hint="eastAsia" w:ascii="宋体" w:hAnsi="宋体" w:cs="宋体"/>
                <w:kern w:val="0"/>
                <w:sz w:val="18"/>
                <w:szCs w:val="18"/>
              </w:rPr>
              <w:t>外形尺寸：128mm(W)×216mm(H)×159mm(D)</w:t>
            </w:r>
            <w:r>
              <w:rPr>
                <w:rFonts w:hint="eastAsia" w:ascii="宋体" w:hAnsi="宋体" w:cs="宋体"/>
                <w:kern w:val="0"/>
                <w:sz w:val="18"/>
                <w:szCs w:val="18"/>
              </w:rPr>
              <w:br w:type="textWrapping"/>
            </w:r>
            <w:r>
              <w:rPr>
                <w:rFonts w:hint="eastAsia" w:ascii="宋体" w:hAnsi="宋体" w:cs="宋体"/>
                <w:kern w:val="0"/>
                <w:sz w:val="18"/>
                <w:szCs w:val="18"/>
              </w:rPr>
              <w:t>整体重量：2.72Kg</w:t>
            </w:r>
            <w:r>
              <w:rPr>
                <w:rFonts w:hint="eastAsia" w:ascii="宋体" w:hAnsi="宋体" w:cs="宋体"/>
                <w:kern w:val="0"/>
                <w:sz w:val="18"/>
                <w:szCs w:val="18"/>
              </w:rPr>
              <w:br w:type="textWrapping"/>
            </w:r>
            <w:r>
              <w:rPr>
                <w:rFonts w:hint="eastAsia" w:ascii="宋体" w:hAnsi="宋体" w:cs="宋体"/>
                <w:kern w:val="0"/>
                <w:sz w:val="18"/>
                <w:szCs w:val="18"/>
              </w:rPr>
              <w:t>功率：最大功率36W(实际功率与控制方式有关)</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0" w:type="auto"/>
            <w:shd w:val="clear" w:color="auto" w:fill="auto"/>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光纤收发器</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接口类型：FC接口（可选ST）；传输距离：单模0~40km；光纤类型：单模/单纤；发送/接收波长： 发送波长：1310nm；接口类型：1个RJ45接口；工作模式：10/100M自适应以太网；供电电源：DC12V/1A；</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244</w:t>
            </w:r>
          </w:p>
        </w:tc>
        <w:tc>
          <w:tcPr>
            <w:tcW w:w="0" w:type="auto"/>
            <w:shd w:val="clear" w:color="auto" w:fill="auto"/>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光纤收发器机箱</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光纤收发器接收端机箱，19英寸4U机箱,17插槽,双220V电源</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0" w:type="auto"/>
            <w:shd w:val="clear" w:color="auto" w:fill="auto"/>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7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施工辅材</w:t>
            </w:r>
          </w:p>
        </w:tc>
        <w:tc>
          <w:tcPr>
            <w:tcW w:w="48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包括电源线，管材等辅助材料和安装等费用</w:t>
            </w:r>
          </w:p>
        </w:tc>
        <w:tc>
          <w:tcPr>
            <w:tcW w:w="0" w:type="auto"/>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244</w:t>
            </w:r>
          </w:p>
        </w:tc>
        <w:tc>
          <w:tcPr>
            <w:tcW w:w="0" w:type="auto"/>
            <w:shd w:val="clear" w:color="auto" w:fill="auto"/>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696" w:type="dxa"/>
            <w:gridSpan w:val="2"/>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2、控制中心设备传输及存储更新扩容</w:t>
            </w:r>
          </w:p>
        </w:tc>
        <w:tc>
          <w:tcPr>
            <w:tcW w:w="4804" w:type="dxa"/>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auto" w:fill="auto"/>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auto" w:fill="auto"/>
            <w:noWrap/>
            <w:vAlign w:val="bottom"/>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接入层交换机</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24FE+2GE COMBO；交换容量：32Gbps，包转发率：6.6Mpps；支持至少具备4个队列，支持SP，WRR，SP+WRR调度方式，支持双向端口限速，限速粒度64K；管理支持SNMP V1/V2/V3、Telnet、RMON、SSHV2</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0" w:type="auto"/>
            <w:shd w:val="clear" w:color="auto" w:fill="auto"/>
            <w:noWrap w:val="0"/>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光模块</w:t>
            </w:r>
          </w:p>
        </w:tc>
        <w:tc>
          <w:tcPr>
            <w:tcW w:w="480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光模块-eSFP-GE-多模模块(850nm,0.5km,LC)</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0" w:type="auto"/>
            <w:shd w:val="clear" w:color="auto" w:fill="auto"/>
            <w:noWrap w:val="0"/>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服务器内存条</w:t>
            </w:r>
          </w:p>
        </w:tc>
        <w:tc>
          <w:tcPr>
            <w:tcW w:w="4804" w:type="dxa"/>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DDR4 RDIMM内存32GB-2666MT/s-2Rank(2G*4bit)-1.2V-ECC</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云存储系统</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配套，兼容原有公安存储系统，</w:t>
            </w:r>
            <w:r>
              <w:rPr>
                <w:rFonts w:hint="eastAsia" w:ascii="仿宋" w:hAnsi="仿宋" w:eastAsia="仿宋"/>
                <w:sz w:val="24"/>
              </w:rPr>
              <w:t>▲</w:t>
            </w:r>
            <w:r>
              <w:rPr>
                <w:rFonts w:hint="eastAsia" w:ascii="宋体" w:hAnsi="宋体" w:cs="宋体"/>
                <w:kern w:val="0"/>
                <w:sz w:val="18"/>
                <w:szCs w:val="18"/>
              </w:rPr>
              <w:t>投标时提供第三方权威机构出具的检测报告复印件并加盖原厂公章</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0" w:type="auto"/>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云存储节点</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负责提供存储空间容量和数据流服务；</w:t>
            </w:r>
            <w:r>
              <w:rPr>
                <w:rFonts w:hint="eastAsia" w:ascii="宋体" w:hAnsi="宋体" w:cs="宋体"/>
                <w:kern w:val="0"/>
                <w:sz w:val="18"/>
                <w:szCs w:val="18"/>
              </w:rPr>
              <w:br w:type="textWrapping"/>
            </w:r>
            <w:r>
              <w:rPr>
                <w:rFonts w:hint="eastAsia" w:ascii="宋体" w:hAnsi="宋体" w:cs="宋体"/>
                <w:kern w:val="0"/>
                <w:sz w:val="18"/>
                <w:szCs w:val="18"/>
              </w:rPr>
              <w:t>提供磁盘级的负载均衡：根据磁盘的IO负载，空间容量等情况，自动选择负载最轻的磁盘读写新的数据文件；</w:t>
            </w:r>
            <w:r>
              <w:rPr>
                <w:rFonts w:hint="eastAsia" w:ascii="宋体" w:hAnsi="宋体" w:cs="宋体"/>
                <w:kern w:val="0"/>
                <w:sz w:val="18"/>
                <w:szCs w:val="18"/>
              </w:rPr>
              <w:br w:type="textWrapping"/>
            </w:r>
            <w:r>
              <w:rPr>
                <w:rFonts w:hint="eastAsia" w:ascii="宋体" w:hAnsi="宋体" w:cs="宋体"/>
                <w:kern w:val="0"/>
                <w:sz w:val="18"/>
                <w:szCs w:val="18"/>
              </w:rPr>
              <w:t>采用Erasure Code冗余方式实现容错，数据冗余分布存储在不同的数据节点上；</w:t>
            </w:r>
            <w:r>
              <w:rPr>
                <w:rFonts w:hint="eastAsia" w:ascii="宋体" w:hAnsi="宋体" w:cs="宋体"/>
                <w:kern w:val="0"/>
                <w:sz w:val="18"/>
                <w:szCs w:val="18"/>
              </w:rPr>
              <w:br w:type="textWrapping"/>
            </w:r>
            <w:r>
              <w:rPr>
                <w:rFonts w:hint="eastAsia" w:ascii="宋体" w:hAnsi="宋体" w:cs="宋体"/>
                <w:kern w:val="0"/>
                <w:sz w:val="18"/>
                <w:szCs w:val="18"/>
              </w:rPr>
              <w:t>配置要求：</w:t>
            </w:r>
            <w:r>
              <w:rPr>
                <w:rFonts w:hint="eastAsia" w:ascii="宋体" w:hAnsi="宋体" w:cs="宋体"/>
                <w:kern w:val="0"/>
                <w:sz w:val="18"/>
                <w:szCs w:val="18"/>
              </w:rPr>
              <w:br w:type="textWrapping"/>
            </w:r>
            <w:r>
              <w:rPr>
                <w:rFonts w:hint="eastAsia" w:ascii="宋体" w:hAnsi="宋体" w:cs="宋体"/>
                <w:kern w:val="0"/>
                <w:sz w:val="18"/>
                <w:szCs w:val="18"/>
              </w:rPr>
              <w:t>单控制器；</w:t>
            </w:r>
            <w:r>
              <w:rPr>
                <w:rFonts w:hint="eastAsia" w:ascii="宋体" w:hAnsi="宋体" w:cs="宋体"/>
                <w:kern w:val="0"/>
                <w:sz w:val="18"/>
                <w:szCs w:val="18"/>
              </w:rPr>
              <w:br w:type="textWrapping"/>
            </w:r>
            <w:r>
              <w:rPr>
                <w:rFonts w:hint="eastAsia" w:ascii="宋体" w:hAnsi="宋体" w:cs="宋体"/>
                <w:kern w:val="0"/>
                <w:sz w:val="18"/>
                <w:szCs w:val="18"/>
              </w:rPr>
              <w:t>英特尔IvyBridge 4核CPU；</w:t>
            </w:r>
            <w:r>
              <w:rPr>
                <w:rFonts w:hint="eastAsia" w:ascii="宋体" w:hAnsi="宋体" w:cs="宋体"/>
                <w:kern w:val="0"/>
                <w:sz w:val="18"/>
                <w:szCs w:val="18"/>
              </w:rPr>
              <w:br w:type="textWrapping"/>
            </w:r>
            <w:r>
              <w:rPr>
                <w:rFonts w:hint="eastAsia" w:ascii="宋体" w:hAnsi="宋体" w:cs="宋体"/>
                <w:kern w:val="0"/>
                <w:sz w:val="18"/>
                <w:szCs w:val="18"/>
              </w:rPr>
              <w:t>高速缓存16G；</w:t>
            </w:r>
            <w:r>
              <w:rPr>
                <w:rFonts w:hint="eastAsia" w:ascii="宋体" w:hAnsi="宋体" w:cs="宋体"/>
                <w:kern w:val="0"/>
                <w:sz w:val="18"/>
                <w:szCs w:val="18"/>
              </w:rPr>
              <w:br w:type="textWrapping"/>
            </w:r>
            <w:r>
              <w:rPr>
                <w:rFonts w:hint="eastAsia" w:ascii="宋体" w:hAnsi="宋体" w:cs="宋体"/>
                <w:kern w:val="0"/>
                <w:sz w:val="18"/>
                <w:szCs w:val="18"/>
              </w:rPr>
              <w:t>支持硬盘36个；</w:t>
            </w:r>
            <w:r>
              <w:rPr>
                <w:rFonts w:hint="eastAsia" w:ascii="宋体" w:hAnsi="宋体" w:cs="宋体"/>
                <w:kern w:val="0"/>
                <w:sz w:val="18"/>
                <w:szCs w:val="18"/>
              </w:rPr>
              <w:br w:type="textWrapping"/>
            </w:r>
            <w:r>
              <w:rPr>
                <w:rFonts w:hint="eastAsia" w:ascii="宋体" w:hAnsi="宋体" w:cs="宋体"/>
                <w:kern w:val="0"/>
                <w:sz w:val="18"/>
                <w:szCs w:val="18"/>
              </w:rPr>
              <w:t>1个管理网口8个千兆网口，支持负载均衡、容错等网口绑定模式；</w:t>
            </w:r>
            <w:r>
              <w:rPr>
                <w:rFonts w:hint="eastAsia" w:ascii="宋体" w:hAnsi="宋体" w:cs="宋体"/>
                <w:kern w:val="0"/>
                <w:sz w:val="18"/>
                <w:szCs w:val="18"/>
              </w:rPr>
              <w:br w:type="textWrapping"/>
            </w:r>
            <w:r>
              <w:rPr>
                <w:rFonts w:hint="eastAsia" w:ascii="宋体" w:hAnsi="宋体" w:cs="宋体"/>
                <w:kern w:val="0"/>
                <w:sz w:val="18"/>
                <w:szCs w:val="18"/>
              </w:rPr>
              <w:t>1个USB2.0接口和eSATA复用接口；</w:t>
            </w:r>
            <w:r>
              <w:rPr>
                <w:rFonts w:hint="eastAsia" w:ascii="宋体" w:hAnsi="宋体" w:cs="宋体"/>
                <w:kern w:val="0"/>
                <w:sz w:val="18"/>
                <w:szCs w:val="18"/>
              </w:rPr>
              <w:br w:type="textWrapping"/>
            </w:r>
            <w:r>
              <w:rPr>
                <w:rFonts w:hint="eastAsia" w:ascii="宋体" w:hAnsi="宋体" w:cs="宋体"/>
                <w:kern w:val="0"/>
                <w:sz w:val="18"/>
                <w:szCs w:val="18"/>
              </w:rPr>
              <w:t>1个RS232接口和1个RS485接口。</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0" w:type="auto"/>
            <w:shd w:val="clear" w:color="auto" w:fill="auto"/>
            <w:noWrap w:val="0"/>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7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企业级6T硬盘</w:t>
            </w:r>
          </w:p>
        </w:tc>
        <w:tc>
          <w:tcPr>
            <w:tcW w:w="4804" w:type="dxa"/>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6T-256M缓存-7200RPM-3.5英寸-SATA3.0接口</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0" w:type="auto"/>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216</w:t>
            </w:r>
          </w:p>
        </w:tc>
        <w:tc>
          <w:tcPr>
            <w:tcW w:w="0" w:type="auto"/>
            <w:shd w:val="clear" w:color="auto" w:fill="auto"/>
            <w:noWrap w:val="0"/>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96" w:type="dxa"/>
            <w:gridSpan w:val="2"/>
            <w:shd w:val="clear" w:color="000000" w:fill="A6A6A6"/>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二、系统维护及搬迁移位</w:t>
            </w:r>
          </w:p>
        </w:tc>
        <w:tc>
          <w:tcPr>
            <w:tcW w:w="4804" w:type="dxa"/>
            <w:shd w:val="clear" w:color="000000" w:fill="A6A6A6"/>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96" w:type="dxa"/>
            <w:gridSpan w:val="2"/>
            <w:shd w:val="clear" w:color="auto" w:fill="auto"/>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1、搬迁移位</w:t>
            </w:r>
          </w:p>
        </w:tc>
        <w:tc>
          <w:tcPr>
            <w:tcW w:w="4804" w:type="dxa"/>
            <w:shd w:val="clear" w:color="auto" w:fill="auto"/>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0" w:type="auto"/>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0" w:type="auto"/>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0" w:type="auto"/>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迁移改造</w:t>
            </w:r>
          </w:p>
        </w:tc>
        <w:tc>
          <w:tcPr>
            <w:tcW w:w="480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包括基础挖坑、浇筑、吊机使用，运输，路面及绿化修复，管线、设备安装与调试</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0" w:type="auto"/>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96" w:type="dxa"/>
            <w:gridSpan w:val="2"/>
            <w:shd w:val="clear" w:color="auto" w:fill="auto"/>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2、系统维护及管理</w:t>
            </w:r>
          </w:p>
        </w:tc>
        <w:tc>
          <w:tcPr>
            <w:tcW w:w="4804" w:type="dxa"/>
            <w:shd w:val="clear" w:color="auto" w:fill="auto"/>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五年人工维护费用</w:t>
            </w:r>
          </w:p>
        </w:tc>
        <w:tc>
          <w:tcPr>
            <w:tcW w:w="480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五年人工费用，包含五年维护过程中所需的人员费用及相关维护辅材</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高清新增</w:t>
            </w:r>
          </w:p>
        </w:tc>
        <w:tc>
          <w:tcPr>
            <w:tcW w:w="480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主要包含前后端全部设备的新建及系统的调试和应用并兼容现有的全息感知系统（主要包括摄像机、传输设备、立杆、机箱、取电、辅材、交换机、云存储等），根据业主实际需求新建安装，在五年内完成。</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0" w:type="auto"/>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restart"/>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4" w:type="dxa"/>
            <w:vMerge w:val="restart"/>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不可抗力及管理费用</w:t>
            </w:r>
          </w:p>
        </w:tc>
        <w:tc>
          <w:tcPr>
            <w:tcW w:w="480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包括不可抗力的自然灾害及被撞、被盗、被损是指被撞、被盗等损坏导致无法追偿的，需无偿新建或维修的，同时包含所需的后端扩容和配套费用；</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auto"/>
            <w:noWrap w:val="0"/>
            <w:vAlign w:val="center"/>
          </w:tcPr>
          <w:p>
            <w:pPr>
              <w:widowControl/>
              <w:jc w:val="left"/>
              <w:rPr>
                <w:rFonts w:ascii="宋体" w:hAnsi="宋体" w:cs="宋体"/>
                <w:color w:val="000000"/>
                <w:kern w:val="0"/>
                <w:sz w:val="18"/>
                <w:szCs w:val="18"/>
              </w:rPr>
            </w:pPr>
          </w:p>
        </w:tc>
        <w:tc>
          <w:tcPr>
            <w:tcW w:w="1274" w:type="dxa"/>
            <w:vMerge w:val="continue"/>
            <w:shd w:val="clear" w:color="auto" w:fill="auto"/>
            <w:noWrap w:val="0"/>
            <w:vAlign w:val="center"/>
          </w:tcPr>
          <w:p>
            <w:pPr>
              <w:widowControl/>
              <w:jc w:val="left"/>
              <w:rPr>
                <w:rFonts w:ascii="宋体" w:hAnsi="宋体" w:cs="宋体"/>
                <w:color w:val="000000"/>
                <w:kern w:val="0"/>
                <w:sz w:val="18"/>
                <w:szCs w:val="18"/>
              </w:rPr>
            </w:pPr>
          </w:p>
        </w:tc>
        <w:tc>
          <w:tcPr>
            <w:tcW w:w="480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包含相关的办公管理、财务费用、税金等</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696" w:type="dxa"/>
            <w:gridSpan w:val="2"/>
            <w:shd w:val="clear" w:color="000000" w:fill="A6A6A6"/>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三、网络链路</w:t>
            </w:r>
          </w:p>
        </w:tc>
        <w:tc>
          <w:tcPr>
            <w:tcW w:w="4804" w:type="dxa"/>
            <w:shd w:val="clear" w:color="000000" w:fill="A6A6A6"/>
            <w:noWrap w:val="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c>
          <w:tcPr>
            <w:tcW w:w="0" w:type="auto"/>
            <w:shd w:val="clear" w:color="000000" w:fill="A6A6A6"/>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网络链路费</w:t>
            </w:r>
          </w:p>
        </w:tc>
        <w:tc>
          <w:tcPr>
            <w:tcW w:w="4804" w:type="dxa"/>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前端244个点位，卡口219+石浦25个，五年租赁，每点位≤150元/月，点对点裸光纤敷设，按实结算。</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0" w:type="auto"/>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244</w:t>
            </w:r>
          </w:p>
        </w:tc>
        <w:tc>
          <w:tcPr>
            <w:tcW w:w="0" w:type="auto"/>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360" w:lineRule="auto"/>
        <w:rPr>
          <w:rFonts w:ascii="仿宋" w:hAnsi="仿宋" w:eastAsia="仿宋"/>
          <w:b/>
          <w:sz w:val="24"/>
        </w:rPr>
      </w:pPr>
    </w:p>
    <w:p>
      <w:pPr>
        <w:spacing w:line="360" w:lineRule="auto"/>
        <w:rPr>
          <w:rFonts w:ascii="仿宋" w:hAnsi="仿宋" w:eastAsia="仿宋"/>
          <w:b/>
          <w:color w:val="FF0000"/>
          <w:sz w:val="24"/>
        </w:rPr>
      </w:pPr>
      <w:r>
        <w:rPr>
          <w:rFonts w:hint="eastAsia" w:ascii="仿宋" w:hAnsi="仿宋" w:eastAsia="仿宋"/>
          <w:b/>
          <w:sz w:val="24"/>
        </w:rPr>
        <w:t>五、维护的主要设备要求：</w:t>
      </w:r>
    </w:p>
    <w:p>
      <w:pPr>
        <w:spacing w:line="360" w:lineRule="auto"/>
        <w:ind w:firstLine="480" w:firstLineChars="200"/>
        <w:rPr>
          <w:rFonts w:ascii="仿宋" w:hAnsi="仿宋" w:eastAsia="仿宋"/>
          <w:sz w:val="24"/>
        </w:rPr>
      </w:pPr>
      <w:r>
        <w:rPr>
          <w:rFonts w:hint="eastAsia" w:ascii="仿宋" w:hAnsi="仿宋" w:eastAsia="仿宋"/>
          <w:sz w:val="24"/>
        </w:rPr>
        <w:t>1、建议提供智能双舱一体机、高清卡口摄像机、高清球机、云存储系统的检测报告，该部分将作为评分依据。</w:t>
      </w:r>
    </w:p>
    <w:p>
      <w:pPr>
        <w:spacing w:line="360" w:lineRule="auto"/>
        <w:ind w:firstLine="480" w:firstLineChars="200"/>
        <w:rPr>
          <w:rFonts w:ascii="仿宋" w:hAnsi="仿宋" w:eastAsia="仿宋"/>
          <w:sz w:val="24"/>
        </w:rPr>
      </w:pPr>
      <w:r>
        <w:rPr>
          <w:rFonts w:hint="eastAsia" w:ascii="仿宋" w:hAnsi="仿宋" w:eastAsia="仿宋"/>
          <w:sz w:val="24"/>
        </w:rPr>
        <w:t>2、投标人提供本项目设备更新替换部分的产品的品牌、型号清单，作为更新替换的依据，投标人所投产品不低于清单参数要求。</w:t>
      </w:r>
    </w:p>
    <w:p>
      <w:pPr>
        <w:spacing w:line="360" w:lineRule="auto"/>
        <w:rPr>
          <w:rFonts w:ascii="仿宋" w:hAnsi="仿宋" w:eastAsia="仿宋"/>
          <w:b/>
          <w:sz w:val="24"/>
        </w:rPr>
      </w:pPr>
      <w:r>
        <w:rPr>
          <w:rFonts w:hint="eastAsia" w:ascii="仿宋" w:hAnsi="仿宋" w:eastAsia="仿宋"/>
          <w:b/>
          <w:sz w:val="24"/>
        </w:rPr>
        <w:t>六、维护</w:t>
      </w:r>
      <w:bookmarkEnd w:id="119"/>
      <w:r>
        <w:rPr>
          <w:rFonts w:hint="eastAsia" w:ascii="仿宋" w:hAnsi="仿宋" w:eastAsia="仿宋"/>
          <w:b/>
          <w:sz w:val="24"/>
        </w:rPr>
        <w:t>内容及要求</w:t>
      </w:r>
    </w:p>
    <w:p>
      <w:pPr>
        <w:spacing w:line="360" w:lineRule="auto"/>
        <w:ind w:firstLine="240" w:firstLineChars="100"/>
        <w:rPr>
          <w:rFonts w:ascii="仿宋" w:hAnsi="仿宋" w:eastAsia="仿宋"/>
          <w:b/>
          <w:sz w:val="24"/>
        </w:rPr>
      </w:pPr>
      <w:r>
        <w:rPr>
          <w:rFonts w:hint="eastAsia" w:ascii="仿宋" w:hAnsi="仿宋" w:eastAsia="仿宋"/>
          <w:b/>
          <w:sz w:val="24"/>
        </w:rPr>
        <w:t>（一）维护内容</w:t>
      </w:r>
    </w:p>
    <w:p>
      <w:pPr>
        <w:spacing w:line="360" w:lineRule="auto"/>
        <w:ind w:firstLine="480" w:firstLineChars="200"/>
        <w:rPr>
          <w:rFonts w:ascii="仿宋" w:hAnsi="仿宋" w:eastAsia="仿宋"/>
          <w:b/>
          <w:kern w:val="24"/>
          <w:sz w:val="24"/>
          <w:lang w:val="en-GB"/>
        </w:rPr>
      </w:pPr>
      <w:r>
        <w:rPr>
          <w:rFonts w:hint="eastAsia" w:ascii="仿宋" w:hAnsi="仿宋" w:eastAsia="仿宋"/>
          <w:b/>
          <w:kern w:val="24"/>
          <w:sz w:val="24"/>
          <w:lang w:val="en-GB"/>
        </w:rPr>
        <w:t>A.前端维护服务：</w:t>
      </w:r>
    </w:p>
    <w:p>
      <w:pPr>
        <w:numPr>
          <w:ilvl w:val="0"/>
          <w:numId w:val="5"/>
        </w:numPr>
        <w:tabs>
          <w:tab w:val="left" w:pos="851"/>
          <w:tab w:val="left" w:pos="993"/>
        </w:tabs>
        <w:spacing w:line="360" w:lineRule="auto"/>
        <w:rPr>
          <w:rFonts w:ascii="仿宋" w:hAnsi="仿宋" w:eastAsia="仿宋"/>
          <w:kern w:val="24"/>
          <w:sz w:val="24"/>
          <w:lang w:val="en-GB"/>
        </w:rPr>
      </w:pPr>
      <w:r>
        <w:rPr>
          <w:rFonts w:hint="eastAsia" w:ascii="仿宋" w:hAnsi="仿宋" w:eastAsia="仿宋"/>
          <w:kern w:val="24"/>
          <w:sz w:val="24"/>
          <w:lang w:val="en-GB"/>
        </w:rPr>
        <w:t>前端点位的维护，保养：前端点位清洗，巡检，维修等工作；</w:t>
      </w:r>
    </w:p>
    <w:p>
      <w:pPr>
        <w:numPr>
          <w:ilvl w:val="0"/>
          <w:numId w:val="5"/>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前端线路的维护，保养：监控视频线路的检修，光纤链路的检修， 电源取，接电等工作；</w:t>
      </w:r>
    </w:p>
    <w:p>
      <w:pPr>
        <w:numPr>
          <w:ilvl w:val="0"/>
          <w:numId w:val="5"/>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前端基础工程的施工：前端点位新建、移位、搬迁工程；</w:t>
      </w:r>
    </w:p>
    <w:p>
      <w:pPr>
        <w:numPr>
          <w:ilvl w:val="0"/>
          <w:numId w:val="5"/>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设备新产品，系统新技术的更新和替换：新增及设备更新的安装工程；</w:t>
      </w:r>
    </w:p>
    <w:p>
      <w:pPr>
        <w:numPr>
          <w:ilvl w:val="0"/>
          <w:numId w:val="5"/>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对设备更新替换按照业主实际要求和工期完成安装，具体以合同约定为准；</w:t>
      </w:r>
    </w:p>
    <w:p>
      <w:pPr>
        <w:numPr>
          <w:ilvl w:val="0"/>
          <w:numId w:val="5"/>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对维护过程中的新建高清监控根据业主实际需求进行安装，在五年内完成。</w:t>
      </w:r>
    </w:p>
    <w:p>
      <w:pPr>
        <w:tabs>
          <w:tab w:val="left" w:pos="426"/>
          <w:tab w:val="left" w:pos="709"/>
          <w:tab w:val="left" w:pos="851"/>
          <w:tab w:val="left" w:pos="993"/>
          <w:tab w:val="left" w:pos="1418"/>
        </w:tabs>
        <w:spacing w:line="360" w:lineRule="auto"/>
        <w:ind w:left="560"/>
        <w:rPr>
          <w:rFonts w:ascii="仿宋" w:hAnsi="仿宋" w:eastAsia="仿宋"/>
          <w:b/>
          <w:kern w:val="24"/>
          <w:sz w:val="24"/>
          <w:lang w:val="en-GB"/>
        </w:rPr>
      </w:pPr>
      <w:r>
        <w:rPr>
          <w:rFonts w:hint="eastAsia" w:ascii="仿宋" w:hAnsi="仿宋" w:eastAsia="仿宋"/>
          <w:b/>
          <w:kern w:val="24"/>
          <w:sz w:val="24"/>
          <w:lang w:val="en-GB"/>
        </w:rPr>
        <w:t>B.后端维护服务：</w:t>
      </w:r>
    </w:p>
    <w:p>
      <w:pPr>
        <w:numPr>
          <w:ilvl w:val="0"/>
          <w:numId w:val="6"/>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对所有公安视频机房的设备维护，保养：应用中心的监控设备的维保工作；</w:t>
      </w:r>
    </w:p>
    <w:p>
      <w:pPr>
        <w:numPr>
          <w:ilvl w:val="0"/>
          <w:numId w:val="6"/>
        </w:numPr>
        <w:tabs>
          <w:tab w:val="left" w:pos="426"/>
          <w:tab w:val="left" w:pos="709"/>
          <w:tab w:val="left" w:pos="851"/>
          <w:tab w:val="left" w:pos="993"/>
          <w:tab w:val="left" w:pos="1418"/>
        </w:tabs>
        <w:spacing w:line="360" w:lineRule="auto"/>
        <w:ind w:left="142" w:firstLine="418"/>
        <w:rPr>
          <w:rFonts w:ascii="仿宋" w:hAnsi="仿宋" w:eastAsia="仿宋"/>
          <w:color w:val="FF0000"/>
          <w:kern w:val="24"/>
          <w:sz w:val="24"/>
          <w:lang w:val="en-GB"/>
        </w:rPr>
      </w:pPr>
      <w:r>
        <w:rPr>
          <w:rFonts w:hint="eastAsia" w:ascii="仿宋" w:hAnsi="仿宋" w:eastAsia="仿宋"/>
          <w:kern w:val="24"/>
          <w:sz w:val="24"/>
          <w:lang w:val="en-GB"/>
        </w:rPr>
        <w:t>对所有公安视频机房的环境维护，对空调的运行情况，UPS供电情况，机房温湿度情况的记录与监测，确保县公安机房设备运行的正常；</w:t>
      </w:r>
    </w:p>
    <w:p>
      <w:pPr>
        <w:numPr>
          <w:ilvl w:val="0"/>
          <w:numId w:val="6"/>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后端各类服务器、网络设备、应用系统的维护服务。</w:t>
      </w:r>
    </w:p>
    <w:p>
      <w:pPr>
        <w:numPr>
          <w:ilvl w:val="0"/>
          <w:numId w:val="6"/>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与</w:t>
      </w:r>
      <w:r>
        <w:rPr>
          <w:rFonts w:ascii="仿宋" w:hAnsi="仿宋" w:eastAsia="仿宋"/>
          <w:kern w:val="24"/>
          <w:sz w:val="24"/>
          <w:lang w:val="en-GB"/>
        </w:rPr>
        <w:t>视频</w:t>
      </w:r>
      <w:r>
        <w:rPr>
          <w:rFonts w:hint="eastAsia" w:ascii="仿宋" w:hAnsi="仿宋" w:eastAsia="仿宋"/>
          <w:kern w:val="24"/>
          <w:sz w:val="24"/>
          <w:lang w:val="en-GB"/>
        </w:rPr>
        <w:t>监控</w:t>
      </w:r>
      <w:r>
        <w:rPr>
          <w:rFonts w:ascii="仿宋" w:hAnsi="仿宋" w:eastAsia="仿宋"/>
          <w:kern w:val="24"/>
          <w:sz w:val="24"/>
          <w:lang w:val="en-GB"/>
        </w:rPr>
        <w:t>相关的</w:t>
      </w:r>
      <w:r>
        <w:rPr>
          <w:rFonts w:hint="eastAsia" w:ascii="仿宋" w:hAnsi="仿宋" w:eastAsia="仿宋"/>
          <w:kern w:val="24"/>
          <w:sz w:val="24"/>
          <w:lang w:val="en-GB"/>
        </w:rPr>
        <w:t>各类数据的采集、录入、修改等。</w:t>
      </w:r>
    </w:p>
    <w:p>
      <w:pPr>
        <w:tabs>
          <w:tab w:val="left" w:pos="426"/>
          <w:tab w:val="left" w:pos="709"/>
          <w:tab w:val="left" w:pos="851"/>
          <w:tab w:val="left" w:pos="993"/>
          <w:tab w:val="left" w:pos="1418"/>
        </w:tabs>
        <w:spacing w:line="360" w:lineRule="auto"/>
        <w:ind w:left="560"/>
        <w:rPr>
          <w:rFonts w:ascii="仿宋" w:hAnsi="仿宋" w:eastAsia="仿宋"/>
          <w:b/>
          <w:kern w:val="24"/>
          <w:sz w:val="24"/>
          <w:lang w:val="en-GB"/>
        </w:rPr>
      </w:pPr>
      <w:r>
        <w:rPr>
          <w:rFonts w:hint="eastAsia" w:ascii="仿宋" w:hAnsi="仿宋" w:eastAsia="仿宋"/>
          <w:b/>
          <w:kern w:val="24"/>
          <w:sz w:val="24"/>
          <w:lang w:val="en-GB"/>
        </w:rPr>
        <w:t>C.培训及咨询服务</w:t>
      </w:r>
    </w:p>
    <w:p>
      <w:pPr>
        <w:numPr>
          <w:ilvl w:val="0"/>
          <w:numId w:val="7"/>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监控中心工作人员培训工作：新技术新应用的培训工作以及监控中心工作人员更换后的培训工作；</w:t>
      </w:r>
    </w:p>
    <w:p>
      <w:pPr>
        <w:numPr>
          <w:ilvl w:val="0"/>
          <w:numId w:val="7"/>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提供业主方信息支持服务：给予业主方服务期内各种新技术，新设备的信息支持服务，并做好技术支持；</w:t>
      </w:r>
    </w:p>
    <w:p>
      <w:pPr>
        <w:tabs>
          <w:tab w:val="left" w:pos="426"/>
          <w:tab w:val="left" w:pos="709"/>
          <w:tab w:val="left" w:pos="851"/>
          <w:tab w:val="left" w:pos="993"/>
          <w:tab w:val="left" w:pos="1418"/>
        </w:tabs>
        <w:spacing w:line="360" w:lineRule="auto"/>
        <w:ind w:left="560"/>
        <w:rPr>
          <w:rFonts w:ascii="仿宋" w:hAnsi="仿宋" w:eastAsia="仿宋"/>
          <w:b/>
          <w:kern w:val="24"/>
          <w:sz w:val="24"/>
          <w:lang w:val="en-GB"/>
        </w:rPr>
      </w:pPr>
      <w:r>
        <w:rPr>
          <w:rFonts w:hint="eastAsia" w:ascii="仿宋" w:hAnsi="仿宋" w:eastAsia="仿宋"/>
          <w:b/>
          <w:kern w:val="24"/>
          <w:sz w:val="24"/>
          <w:lang w:val="en-GB"/>
        </w:rPr>
        <w:t>D.保障服务</w:t>
      </w:r>
    </w:p>
    <w:p>
      <w:pPr>
        <w:numPr>
          <w:ilvl w:val="0"/>
          <w:numId w:val="8"/>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支持、协同完成业主方的应急任务：配合，协同做好紧急任务的保障工作；</w:t>
      </w:r>
    </w:p>
    <w:p>
      <w:pPr>
        <w:numPr>
          <w:ilvl w:val="0"/>
          <w:numId w:val="8"/>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维护风险的承担和受理工作：维护资料文件的整理及其保密工作，考核机制，损坏或被盗点位的先行修复工程等</w:t>
      </w:r>
    </w:p>
    <w:p>
      <w:pPr>
        <w:numPr>
          <w:ilvl w:val="0"/>
          <w:numId w:val="8"/>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负责所有视频点位以及相关的信息采集、录入、修改、统计等工作。</w:t>
      </w:r>
    </w:p>
    <w:p>
      <w:pPr>
        <w:numPr>
          <w:ilvl w:val="0"/>
          <w:numId w:val="8"/>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备足备品备件，确保业主方应急保障需求。</w:t>
      </w:r>
    </w:p>
    <w:p>
      <w:pPr>
        <w:numPr>
          <w:ilvl w:val="0"/>
          <w:numId w:val="8"/>
        </w:numPr>
        <w:tabs>
          <w:tab w:val="left" w:pos="426"/>
          <w:tab w:val="left" w:pos="709"/>
          <w:tab w:val="left" w:pos="851"/>
          <w:tab w:val="left" w:pos="993"/>
          <w:tab w:val="left" w:pos="1418"/>
        </w:tabs>
        <w:spacing w:line="360" w:lineRule="auto"/>
        <w:ind w:left="142" w:firstLine="418"/>
        <w:rPr>
          <w:rFonts w:ascii="仿宋" w:hAnsi="仿宋" w:eastAsia="仿宋"/>
          <w:kern w:val="24"/>
          <w:sz w:val="24"/>
          <w:lang w:val="en-GB"/>
        </w:rPr>
      </w:pPr>
      <w:r>
        <w:rPr>
          <w:rFonts w:hint="eastAsia" w:ascii="仿宋" w:hAnsi="仿宋" w:eastAsia="仿宋"/>
          <w:kern w:val="24"/>
          <w:sz w:val="24"/>
          <w:lang w:val="en-GB"/>
        </w:rPr>
        <w:t>完成业主方明示、暗示与视频系统相关的其他工作。</w:t>
      </w:r>
    </w:p>
    <w:p>
      <w:pPr>
        <w:spacing w:line="360" w:lineRule="auto"/>
        <w:ind w:firstLine="240" w:firstLineChars="100"/>
        <w:rPr>
          <w:rFonts w:ascii="仿宋" w:hAnsi="仿宋" w:eastAsia="仿宋"/>
          <w:b/>
          <w:sz w:val="24"/>
        </w:rPr>
      </w:pPr>
      <w:r>
        <w:rPr>
          <w:rFonts w:hint="eastAsia" w:ascii="仿宋" w:hAnsi="仿宋" w:eastAsia="仿宋"/>
          <w:b/>
          <w:sz w:val="24"/>
        </w:rPr>
        <w:t>（二）维护要求</w:t>
      </w:r>
    </w:p>
    <w:p>
      <w:pPr>
        <w:spacing w:line="360" w:lineRule="auto"/>
        <w:ind w:firstLine="499" w:firstLineChars="208"/>
        <w:rPr>
          <w:rFonts w:ascii="仿宋" w:hAnsi="仿宋" w:eastAsia="仿宋"/>
          <w:b/>
          <w:sz w:val="24"/>
        </w:rPr>
      </w:pPr>
      <w:bookmarkStart w:id="120" w:name="_Toc488749980"/>
      <w:r>
        <w:rPr>
          <w:rFonts w:hint="eastAsia" w:ascii="仿宋" w:hAnsi="仿宋" w:eastAsia="仿宋"/>
          <w:b/>
          <w:sz w:val="24"/>
        </w:rPr>
        <w:t>1.维护改进性</w:t>
      </w:r>
      <w:bookmarkEnd w:id="120"/>
      <w:r>
        <w:rPr>
          <w:rFonts w:hint="eastAsia" w:ascii="仿宋" w:hAnsi="仿宋" w:eastAsia="仿宋"/>
          <w:b/>
          <w:sz w:val="24"/>
        </w:rPr>
        <w:t>要求</w:t>
      </w:r>
    </w:p>
    <w:p>
      <w:pPr>
        <w:spacing w:line="360" w:lineRule="auto"/>
        <w:ind w:firstLine="480" w:firstLineChars="200"/>
        <w:rPr>
          <w:rFonts w:ascii="仿宋" w:hAnsi="仿宋" w:eastAsia="仿宋"/>
          <w:sz w:val="24"/>
        </w:rPr>
      </w:pPr>
      <w:r>
        <w:rPr>
          <w:rFonts w:hint="eastAsia" w:ascii="仿宋" w:hAnsi="仿宋" w:eastAsia="仿宋"/>
          <w:sz w:val="24"/>
        </w:rPr>
        <w:t>本项目不仅仅对原有系统，设备的维护，保养，对故障设备的修复，更重要的是要对整个项目进行系统性完善和改进，并符合当前阶段系统主流技术的特征和要求。</w:t>
      </w:r>
    </w:p>
    <w:p>
      <w:pPr>
        <w:spacing w:line="360" w:lineRule="auto"/>
        <w:ind w:firstLine="480" w:firstLineChars="200"/>
        <w:rPr>
          <w:rFonts w:ascii="仿宋" w:hAnsi="仿宋" w:eastAsia="仿宋"/>
          <w:sz w:val="24"/>
        </w:rPr>
      </w:pPr>
      <w:r>
        <w:rPr>
          <w:rFonts w:hint="eastAsia" w:ascii="仿宋" w:hAnsi="仿宋" w:eastAsia="仿宋"/>
          <w:sz w:val="24"/>
        </w:rPr>
        <w:t>在维护的改进性实施过程中，如遇到无法修复，维护的，则要符合本项目改进性的原则要求，需要用当前阶段的技术或主流设备，做当前的维护工作，保持信息技术的不断更新和持续发展。</w:t>
      </w:r>
    </w:p>
    <w:p>
      <w:pPr>
        <w:spacing w:line="360" w:lineRule="auto"/>
        <w:ind w:firstLine="499" w:firstLineChars="208"/>
        <w:rPr>
          <w:rFonts w:ascii="仿宋" w:hAnsi="仿宋" w:eastAsia="仿宋"/>
          <w:b/>
          <w:sz w:val="24"/>
        </w:rPr>
      </w:pPr>
      <w:bookmarkStart w:id="121" w:name="_Toc488749981"/>
      <w:r>
        <w:rPr>
          <w:rFonts w:hint="eastAsia" w:ascii="仿宋" w:hAnsi="仿宋" w:eastAsia="仿宋"/>
          <w:b/>
          <w:sz w:val="24"/>
        </w:rPr>
        <w:t>2.维护中出现重大保障任务</w:t>
      </w:r>
      <w:bookmarkEnd w:id="121"/>
      <w:r>
        <w:rPr>
          <w:rFonts w:hint="eastAsia" w:ascii="仿宋" w:hAnsi="仿宋" w:eastAsia="仿宋"/>
          <w:b/>
          <w:sz w:val="24"/>
        </w:rPr>
        <w:t>要求</w:t>
      </w:r>
    </w:p>
    <w:p>
      <w:pPr>
        <w:spacing w:line="360" w:lineRule="auto"/>
        <w:ind w:firstLine="480" w:firstLineChars="200"/>
        <w:rPr>
          <w:rFonts w:ascii="仿宋" w:hAnsi="仿宋" w:eastAsia="仿宋"/>
          <w:sz w:val="24"/>
        </w:rPr>
      </w:pPr>
      <w:r>
        <w:rPr>
          <w:rFonts w:hint="eastAsia" w:ascii="仿宋" w:hAnsi="仿宋" w:eastAsia="仿宋"/>
          <w:sz w:val="24"/>
        </w:rPr>
        <w:t>要求在出现重大的保障任务情况下，是需要无条件的协同和跟进，支持配合任务的完成。</w:t>
      </w:r>
    </w:p>
    <w:p>
      <w:pPr>
        <w:spacing w:line="360" w:lineRule="auto"/>
        <w:ind w:firstLine="499" w:firstLineChars="208"/>
        <w:rPr>
          <w:rFonts w:ascii="仿宋" w:hAnsi="仿宋" w:eastAsia="仿宋"/>
          <w:b/>
          <w:sz w:val="24"/>
        </w:rPr>
      </w:pPr>
      <w:bookmarkStart w:id="122" w:name="_Toc488749982"/>
      <w:r>
        <w:rPr>
          <w:rFonts w:hint="eastAsia" w:ascii="仿宋" w:hAnsi="仿宋" w:eastAsia="仿宋"/>
          <w:b/>
          <w:sz w:val="24"/>
        </w:rPr>
        <w:t>3.维护工作的备案备查工作</w:t>
      </w:r>
      <w:bookmarkEnd w:id="122"/>
      <w:r>
        <w:rPr>
          <w:rFonts w:hint="eastAsia" w:ascii="仿宋" w:hAnsi="仿宋" w:eastAsia="仿宋"/>
          <w:b/>
          <w:sz w:val="24"/>
        </w:rPr>
        <w:t>要求</w:t>
      </w:r>
    </w:p>
    <w:p>
      <w:pPr>
        <w:spacing w:line="360" w:lineRule="auto"/>
        <w:ind w:firstLine="480" w:firstLineChars="200"/>
        <w:rPr>
          <w:rFonts w:ascii="仿宋" w:hAnsi="仿宋" w:eastAsia="仿宋"/>
          <w:sz w:val="24"/>
        </w:rPr>
      </w:pPr>
      <w:r>
        <w:rPr>
          <w:rFonts w:hint="eastAsia" w:ascii="仿宋" w:hAnsi="仿宋" w:eastAsia="仿宋"/>
          <w:sz w:val="24"/>
        </w:rPr>
        <w:t>恢复性、替换性，改进性等各方面的维护工作都应该具有备案记录，有利于维护工作的条理性的梳理，项目工作的有依可循，有依可据，有条有理的开展，是项目五年顺利进行的基础。</w:t>
      </w:r>
    </w:p>
    <w:p>
      <w:pPr>
        <w:spacing w:line="360" w:lineRule="auto"/>
        <w:ind w:firstLine="499" w:firstLineChars="208"/>
        <w:rPr>
          <w:rFonts w:ascii="仿宋" w:hAnsi="仿宋" w:eastAsia="仿宋"/>
          <w:b/>
          <w:sz w:val="24"/>
        </w:rPr>
      </w:pPr>
      <w:bookmarkStart w:id="123" w:name="_Toc488749987"/>
      <w:r>
        <w:rPr>
          <w:rFonts w:hint="eastAsia" w:ascii="仿宋" w:hAnsi="仿宋" w:eastAsia="仿宋"/>
          <w:b/>
          <w:sz w:val="24"/>
        </w:rPr>
        <w:t>4.巡检保养</w:t>
      </w:r>
      <w:bookmarkEnd w:id="123"/>
      <w:r>
        <w:rPr>
          <w:rFonts w:hint="eastAsia" w:ascii="仿宋" w:hAnsi="仿宋" w:eastAsia="仿宋"/>
          <w:b/>
          <w:sz w:val="24"/>
        </w:rPr>
        <w:t>要求</w:t>
      </w:r>
    </w:p>
    <w:p>
      <w:pPr>
        <w:spacing w:line="360" w:lineRule="auto"/>
        <w:ind w:firstLine="480" w:firstLineChars="200"/>
        <w:rPr>
          <w:rFonts w:ascii="仿宋" w:hAnsi="仿宋" w:eastAsia="仿宋"/>
          <w:sz w:val="24"/>
        </w:rPr>
      </w:pPr>
      <w:r>
        <w:rPr>
          <w:rFonts w:hint="eastAsia" w:ascii="仿宋" w:hAnsi="仿宋" w:eastAsia="仿宋"/>
          <w:sz w:val="24"/>
        </w:rPr>
        <w:t>（1）每月对工程敷设线路及前端安装点进行巡检，并填写巡检记录表，对可能影响线路及前端的情况要及时协调，防止因线路中断等情况造成系统中断；每个月第一周对本项目约定点位进行巡检，做好镜头清洁、遮挡物清理、镜头视角矫正等工作。</w:t>
      </w:r>
    </w:p>
    <w:p>
      <w:pPr>
        <w:spacing w:line="360" w:lineRule="auto"/>
        <w:ind w:firstLine="480" w:firstLineChars="200"/>
        <w:rPr>
          <w:rFonts w:ascii="仿宋" w:hAnsi="仿宋" w:eastAsia="仿宋"/>
          <w:sz w:val="24"/>
        </w:rPr>
      </w:pPr>
      <w:r>
        <w:rPr>
          <w:rFonts w:hint="eastAsia" w:ascii="仿宋" w:hAnsi="仿宋" w:eastAsia="仿宋"/>
          <w:sz w:val="24"/>
        </w:rPr>
        <w:t>（2）每季度对工程范围内的设备箱、设备及其供电系统进行一次保养性维护，包括设备除尘、排除故障隐患等，并填写设备养护记录表；以确认所有设备及系统工作正常；</w:t>
      </w:r>
    </w:p>
    <w:p>
      <w:pPr>
        <w:spacing w:line="360" w:lineRule="auto"/>
        <w:ind w:firstLine="480" w:firstLineChars="200"/>
        <w:rPr>
          <w:rFonts w:ascii="仿宋" w:hAnsi="仿宋" w:eastAsia="仿宋"/>
          <w:sz w:val="24"/>
        </w:rPr>
      </w:pPr>
      <w:r>
        <w:rPr>
          <w:rFonts w:hint="eastAsia" w:ascii="仿宋" w:hAnsi="仿宋" w:eastAsia="仿宋"/>
          <w:sz w:val="24"/>
        </w:rPr>
        <w:t>（3）每季度对系统进行全面的检测，包括前端设备，终端设备，软件平台等，同时对机房设备除尘及排除故障隐患等，并填写设备检测记录表；以确认所有设备及系统工作正常；</w:t>
      </w:r>
    </w:p>
    <w:p>
      <w:pPr>
        <w:spacing w:line="360" w:lineRule="auto"/>
        <w:ind w:firstLine="480" w:firstLineChars="200"/>
        <w:rPr>
          <w:rFonts w:ascii="仿宋" w:hAnsi="仿宋" w:eastAsia="仿宋"/>
          <w:sz w:val="24"/>
        </w:rPr>
      </w:pPr>
      <w:r>
        <w:rPr>
          <w:rFonts w:hint="eastAsia" w:ascii="仿宋" w:hAnsi="仿宋" w:eastAsia="仿宋"/>
          <w:sz w:val="24"/>
        </w:rPr>
        <w:t>（4）每季度对工程范围内的系统设备除尘清洁一次，并填写记录表；</w:t>
      </w:r>
    </w:p>
    <w:p>
      <w:pPr>
        <w:spacing w:line="360" w:lineRule="auto"/>
        <w:ind w:firstLine="499" w:firstLineChars="208"/>
        <w:rPr>
          <w:rFonts w:ascii="仿宋" w:hAnsi="仿宋" w:eastAsia="仿宋"/>
          <w:b/>
          <w:sz w:val="24"/>
        </w:rPr>
      </w:pPr>
      <w:r>
        <w:rPr>
          <w:rFonts w:hint="eastAsia" w:ascii="仿宋" w:hAnsi="仿宋" w:eastAsia="仿宋"/>
          <w:b/>
          <w:sz w:val="24"/>
        </w:rPr>
        <w:t>5.后端系统保障要求</w:t>
      </w:r>
    </w:p>
    <w:p>
      <w:pPr>
        <w:spacing w:line="360" w:lineRule="auto"/>
        <w:ind w:firstLine="480" w:firstLineChars="200"/>
        <w:rPr>
          <w:rFonts w:ascii="仿宋" w:hAnsi="仿宋" w:eastAsia="仿宋"/>
          <w:sz w:val="24"/>
        </w:rPr>
      </w:pPr>
      <w:r>
        <w:rPr>
          <w:rFonts w:hint="eastAsia" w:ascii="仿宋" w:hAnsi="仿宋" w:eastAsia="仿宋"/>
          <w:bCs/>
          <w:sz w:val="24"/>
        </w:rPr>
        <w:t>（1）确保网络正常要求</w:t>
      </w:r>
    </w:p>
    <w:p>
      <w:pPr>
        <w:spacing w:line="360" w:lineRule="auto"/>
        <w:ind w:firstLine="480" w:firstLineChars="200"/>
        <w:rPr>
          <w:rFonts w:ascii="仿宋" w:hAnsi="仿宋" w:eastAsia="仿宋"/>
          <w:sz w:val="24"/>
        </w:rPr>
      </w:pPr>
      <w:r>
        <w:rPr>
          <w:rFonts w:hint="eastAsia" w:ascii="仿宋" w:hAnsi="仿宋" w:eastAsia="仿宋"/>
          <w:sz w:val="24"/>
        </w:rPr>
        <w:t>通过网络系统管理服务，降低网络设备故障率，提高网络设备的运行性能。提高系统网络运行的稳定性、可靠性，以专业化运作模式解决目前系统信息化发展的需求。需要提供故障诊断、远程支持、现场支持、软件升级、设备搬迁、网络优化、网络巡检、现场培训、技术交流、网络安全、网络建设建议等服务。</w:t>
      </w:r>
    </w:p>
    <w:p>
      <w:pPr>
        <w:spacing w:line="360" w:lineRule="auto"/>
        <w:ind w:firstLine="480" w:firstLineChars="200"/>
        <w:rPr>
          <w:rFonts w:ascii="仿宋" w:hAnsi="仿宋" w:eastAsia="仿宋"/>
          <w:sz w:val="24"/>
        </w:rPr>
      </w:pPr>
      <w:r>
        <w:rPr>
          <w:rFonts w:hint="eastAsia" w:ascii="仿宋" w:hAnsi="仿宋" w:eastAsia="仿宋"/>
          <w:sz w:val="24"/>
        </w:rPr>
        <w:t>主要包括以下维护内容：网络设备硬件状态检查；网络故障排查；设备配置；关键设备日志查看、分析；网络设备安全配置检查；网络设备资料整理，配置参数整理；网络设备事件管理服务；设备资料、配置文档等的收集、立卷、归档管理；出现异常或故障时做好记录，上报问题，并协助原厂商、链路运营商解决问题。</w:t>
      </w:r>
    </w:p>
    <w:p>
      <w:pPr>
        <w:spacing w:line="360" w:lineRule="auto"/>
        <w:ind w:left="482"/>
        <w:rPr>
          <w:rFonts w:ascii="仿宋" w:hAnsi="仿宋" w:eastAsia="仿宋"/>
          <w:sz w:val="24"/>
        </w:rPr>
      </w:pPr>
      <w:r>
        <w:rPr>
          <w:rFonts w:hint="eastAsia" w:ascii="仿宋" w:hAnsi="仿宋" w:eastAsia="仿宋"/>
          <w:sz w:val="24"/>
        </w:rPr>
        <w:t>（2）确保服务器系统正常要求</w:t>
      </w:r>
    </w:p>
    <w:p>
      <w:pPr>
        <w:spacing w:line="360" w:lineRule="auto"/>
        <w:ind w:firstLine="480" w:firstLineChars="200"/>
        <w:rPr>
          <w:rFonts w:ascii="仿宋" w:hAnsi="仿宋" w:eastAsia="仿宋"/>
          <w:sz w:val="24"/>
        </w:rPr>
      </w:pPr>
      <w:r>
        <w:rPr>
          <w:rFonts w:hint="eastAsia" w:ascii="仿宋" w:hAnsi="仿宋" w:eastAsia="仿宋"/>
          <w:sz w:val="24"/>
        </w:rPr>
        <w:t>主要包括以下维护内容：服务器硬件状态检查；服务器设备事件管理服务；服务器进程与服务检查；服务系统漏洞修补；系统配置与变更管理；系统垃圾清理；出现异常或故障时做好记录，上报问题，并落实修复系统。</w:t>
      </w:r>
    </w:p>
    <w:p>
      <w:pPr>
        <w:spacing w:line="360" w:lineRule="auto"/>
        <w:ind w:left="482"/>
        <w:rPr>
          <w:rFonts w:ascii="仿宋" w:hAnsi="仿宋" w:eastAsia="仿宋"/>
          <w:sz w:val="24"/>
        </w:rPr>
      </w:pPr>
      <w:r>
        <w:rPr>
          <w:rFonts w:hint="eastAsia" w:ascii="仿宋" w:hAnsi="仿宋" w:eastAsia="仿宋"/>
          <w:sz w:val="24"/>
        </w:rPr>
        <w:t>（3）确保存储系统正常要求</w:t>
      </w:r>
    </w:p>
    <w:p>
      <w:pPr>
        <w:spacing w:line="360" w:lineRule="auto"/>
        <w:ind w:firstLine="480" w:firstLineChars="200"/>
        <w:rPr>
          <w:rFonts w:ascii="仿宋" w:hAnsi="仿宋" w:eastAsia="仿宋"/>
          <w:sz w:val="24"/>
        </w:rPr>
      </w:pPr>
      <w:r>
        <w:rPr>
          <w:rFonts w:hint="eastAsia" w:ascii="仿宋" w:hAnsi="仿宋" w:eastAsia="仿宋"/>
          <w:sz w:val="24"/>
        </w:rPr>
        <w:t>主要包括以下维护内容：存储设备运行维护；存储设备配置管理服务；存储设备事件管理服务；备份作业检查；备份及恢复策略制定；备份介质管理；备份软件维护；存储设备磁盘调整；备份数据恢复；备份数据整理。</w:t>
      </w:r>
    </w:p>
    <w:p>
      <w:pPr>
        <w:spacing w:line="360" w:lineRule="auto"/>
        <w:ind w:firstLine="480" w:firstLineChars="200"/>
        <w:rPr>
          <w:rFonts w:ascii="仿宋" w:hAnsi="仿宋" w:eastAsia="仿宋"/>
          <w:sz w:val="24"/>
        </w:rPr>
      </w:pPr>
      <w:r>
        <w:rPr>
          <w:rFonts w:hint="eastAsia" w:ascii="仿宋" w:hAnsi="仿宋" w:eastAsia="仿宋"/>
          <w:sz w:val="24"/>
        </w:rPr>
        <w:t>（4）确保应用系统正常工作</w:t>
      </w:r>
    </w:p>
    <w:p>
      <w:pPr>
        <w:spacing w:line="360" w:lineRule="auto"/>
        <w:ind w:firstLine="480" w:firstLineChars="200"/>
        <w:rPr>
          <w:rFonts w:ascii="仿宋" w:hAnsi="仿宋" w:eastAsia="仿宋"/>
          <w:sz w:val="24"/>
        </w:rPr>
      </w:pPr>
      <w:r>
        <w:rPr>
          <w:rFonts w:hint="eastAsia" w:ascii="仿宋" w:hAnsi="仿宋" w:eastAsia="仿宋"/>
          <w:sz w:val="24"/>
        </w:rPr>
        <w:t>本项目应用系统是指前端维护点位所涉及的视频监控平台、运维系统平台，维护单位应确保应用系统的正常工作，主要包括日志管理，系统运行情况登记，相关的数据采集，录入，应用系统培训等工作。</w:t>
      </w:r>
    </w:p>
    <w:p>
      <w:pPr>
        <w:spacing w:line="360" w:lineRule="auto"/>
        <w:ind w:firstLine="499" w:firstLineChars="208"/>
        <w:rPr>
          <w:rFonts w:ascii="仿宋" w:hAnsi="仿宋" w:eastAsia="仿宋"/>
          <w:b/>
          <w:sz w:val="24"/>
        </w:rPr>
      </w:pPr>
      <w:bookmarkStart w:id="124" w:name="_Toc488749989"/>
      <w:r>
        <w:rPr>
          <w:rFonts w:hint="eastAsia" w:ascii="仿宋" w:hAnsi="仿宋" w:eastAsia="仿宋"/>
          <w:b/>
          <w:sz w:val="24"/>
        </w:rPr>
        <w:t>6.故障修复</w:t>
      </w:r>
      <w:bookmarkEnd w:id="124"/>
      <w:r>
        <w:rPr>
          <w:rFonts w:hint="eastAsia" w:ascii="仿宋" w:hAnsi="仿宋" w:eastAsia="仿宋"/>
          <w:b/>
          <w:sz w:val="24"/>
        </w:rPr>
        <w:t>要求</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承担合同期内系统发生任何故障的抢修任务。</w:t>
      </w:r>
    </w:p>
    <w:p>
      <w:pPr>
        <w:spacing w:line="360" w:lineRule="auto"/>
        <w:ind w:firstLine="499" w:firstLineChars="208"/>
        <w:rPr>
          <w:rFonts w:ascii="仿宋" w:hAnsi="仿宋" w:eastAsia="仿宋"/>
          <w:b/>
          <w:sz w:val="24"/>
        </w:rPr>
      </w:pPr>
      <w:bookmarkStart w:id="125" w:name="_Toc488749990"/>
      <w:r>
        <w:rPr>
          <w:rFonts w:hint="eastAsia" w:ascii="仿宋" w:hAnsi="仿宋" w:eastAsia="仿宋"/>
          <w:b/>
          <w:sz w:val="24"/>
        </w:rPr>
        <w:t>7.特殊保障</w:t>
      </w:r>
      <w:bookmarkEnd w:id="125"/>
      <w:r>
        <w:rPr>
          <w:rFonts w:hint="eastAsia" w:ascii="仿宋" w:hAnsi="仿宋" w:eastAsia="仿宋"/>
          <w:b/>
          <w:sz w:val="24"/>
        </w:rPr>
        <w:t>要求</w:t>
      </w:r>
    </w:p>
    <w:p>
      <w:pPr>
        <w:spacing w:line="360" w:lineRule="auto"/>
        <w:ind w:firstLine="480" w:firstLineChars="200"/>
        <w:rPr>
          <w:rFonts w:ascii="仿宋" w:hAnsi="仿宋" w:eastAsia="仿宋"/>
          <w:sz w:val="24"/>
        </w:rPr>
      </w:pPr>
      <w:r>
        <w:rPr>
          <w:rFonts w:hint="eastAsia" w:ascii="仿宋" w:hAnsi="仿宋" w:eastAsia="仿宋"/>
          <w:sz w:val="24"/>
        </w:rPr>
        <w:t>业主方如有重大事件、临时现场监控等较特殊的保障措施，维护方应第一时间响应，根据业主的需求派遣有经验的技术工程师或技术工人提供服务。</w:t>
      </w:r>
    </w:p>
    <w:p>
      <w:pPr>
        <w:spacing w:line="360" w:lineRule="auto"/>
        <w:ind w:firstLine="480" w:firstLineChars="200"/>
        <w:rPr>
          <w:rFonts w:ascii="仿宋" w:hAnsi="仿宋" w:eastAsia="仿宋"/>
          <w:sz w:val="24"/>
        </w:rPr>
      </w:pPr>
      <w:r>
        <w:rPr>
          <w:rFonts w:hint="eastAsia" w:ascii="仿宋" w:hAnsi="仿宋" w:eastAsia="仿宋"/>
          <w:sz w:val="24"/>
        </w:rPr>
        <w:t>业主方如有安全保卫、系统接管等较特殊的要求，维护单位应在第一时间派遣技术人员按照要求提供服务。</w:t>
      </w:r>
    </w:p>
    <w:p>
      <w:pPr>
        <w:spacing w:line="360" w:lineRule="auto"/>
        <w:rPr>
          <w:rFonts w:ascii="仿宋" w:hAnsi="仿宋" w:eastAsia="仿宋"/>
          <w:b/>
          <w:sz w:val="24"/>
        </w:rPr>
      </w:pPr>
      <w:r>
        <w:rPr>
          <w:rFonts w:hint="eastAsia" w:ascii="仿宋" w:hAnsi="仿宋" w:eastAsia="仿宋"/>
          <w:b/>
          <w:sz w:val="24"/>
        </w:rPr>
        <w:t>七、考核</w:t>
      </w:r>
    </w:p>
    <w:p>
      <w:pPr>
        <w:spacing w:line="360" w:lineRule="auto"/>
        <w:rPr>
          <w:rFonts w:ascii="仿宋" w:hAnsi="仿宋" w:eastAsia="仿宋"/>
          <w:b/>
          <w:sz w:val="24"/>
        </w:rPr>
      </w:pPr>
      <w:r>
        <w:rPr>
          <w:rFonts w:hint="eastAsia" w:ascii="仿宋" w:hAnsi="仿宋" w:eastAsia="仿宋"/>
          <w:b/>
          <w:sz w:val="24"/>
        </w:rPr>
        <w:t>（一）视频完好率考核</w:t>
      </w:r>
    </w:p>
    <w:p>
      <w:pPr>
        <w:spacing w:line="360" w:lineRule="auto"/>
        <w:ind w:firstLine="480" w:firstLineChars="200"/>
        <w:rPr>
          <w:rFonts w:ascii="仿宋" w:hAnsi="仿宋" w:eastAsia="仿宋"/>
          <w:b/>
          <w:sz w:val="24"/>
        </w:rPr>
      </w:pPr>
      <w:r>
        <w:rPr>
          <w:rFonts w:hint="eastAsia" w:ascii="仿宋" w:hAnsi="仿宋" w:eastAsia="仿宋"/>
          <w:sz w:val="24"/>
        </w:rPr>
        <w:t>投标人应在投标书中进行承诺，未做承诺的做无效标处理:</w:t>
      </w:r>
    </w:p>
    <w:p>
      <w:pPr>
        <w:spacing w:line="360" w:lineRule="auto"/>
        <w:ind w:firstLine="480" w:firstLineChars="200"/>
        <w:rPr>
          <w:rFonts w:ascii="仿宋" w:hAnsi="仿宋" w:eastAsia="仿宋"/>
          <w:sz w:val="24"/>
        </w:rPr>
      </w:pPr>
      <w:r>
        <w:rPr>
          <w:rFonts w:hint="eastAsia" w:ascii="仿宋" w:hAnsi="仿宋" w:eastAsia="仿宋"/>
          <w:sz w:val="24"/>
        </w:rPr>
        <w:t>1、执行“雪亮工程”视频考核率标准：月运行完好率考核标准为98%，承诺承担由于图像完好率未能达标而导致的扣罚，扣罚标准：每下降1%（不足1%按1%计算）扣</w:t>
      </w:r>
      <w:r>
        <w:rPr>
          <w:rFonts w:ascii="仿宋" w:hAnsi="仿宋" w:eastAsia="仿宋"/>
          <w:sz w:val="24"/>
        </w:rPr>
        <w:t>10</w:t>
      </w:r>
      <w:r>
        <w:rPr>
          <w:rFonts w:hint="eastAsia" w:ascii="仿宋" w:hAnsi="仿宋" w:eastAsia="仿宋"/>
          <w:sz w:val="24"/>
        </w:rPr>
        <w:t>万元；如引用的考核标准发生变化，应符合最新省厅和市局考核标准执行扣罚，具体以合同约定为准。</w:t>
      </w:r>
    </w:p>
    <w:p>
      <w:pPr>
        <w:spacing w:line="360" w:lineRule="auto"/>
        <w:ind w:firstLine="480" w:firstLineChars="200"/>
        <w:rPr>
          <w:rFonts w:ascii="仿宋" w:hAnsi="仿宋" w:eastAsia="仿宋"/>
          <w:sz w:val="24"/>
        </w:rPr>
      </w:pPr>
      <w:r>
        <w:rPr>
          <w:rFonts w:hint="eastAsia" w:ascii="仿宋" w:hAnsi="仿宋" w:eastAsia="仿宋"/>
          <w:sz w:val="24"/>
        </w:rPr>
        <w:t xml:space="preserve">2、每半年运行完好率得分低于全市平均水平的，每下降0.1%（不足0.1%按0.1%计算）罚款1000元，具体以合同约定为准。 </w:t>
      </w:r>
    </w:p>
    <w:p>
      <w:pPr>
        <w:spacing w:line="360" w:lineRule="auto"/>
        <w:ind w:firstLine="480" w:firstLineChars="200"/>
        <w:rPr>
          <w:rFonts w:ascii="仿宋" w:hAnsi="仿宋" w:eastAsia="仿宋"/>
          <w:sz w:val="24"/>
        </w:rPr>
      </w:pPr>
      <w:r>
        <w:rPr>
          <w:rFonts w:hint="eastAsia" w:ascii="仿宋" w:hAnsi="仿宋" w:eastAsia="仿宋"/>
          <w:sz w:val="24"/>
        </w:rPr>
        <w:t>3、运行完好率连续3个月低于宁波市市公安局完好率考核标准的，业主方有权拒付当年服务费用，并选择终止合同和追究违约责任。</w:t>
      </w:r>
    </w:p>
    <w:p>
      <w:pPr>
        <w:spacing w:line="360" w:lineRule="auto"/>
        <w:ind w:firstLine="480" w:firstLineChars="200"/>
        <w:rPr>
          <w:rFonts w:ascii="仿宋" w:hAnsi="仿宋" w:eastAsia="仿宋"/>
          <w:sz w:val="24"/>
        </w:rPr>
      </w:pPr>
      <w:r>
        <w:rPr>
          <w:rFonts w:hint="eastAsia" w:ascii="仿宋" w:hAnsi="仿宋" w:eastAsia="仿宋"/>
          <w:sz w:val="24"/>
        </w:rPr>
        <w:t>4、车辆卡口时延达标率未到月平均值的90%以上的，每次罚款1万元；平台出现级联故障的，每次罚款1万元。</w:t>
      </w:r>
    </w:p>
    <w:p>
      <w:pPr>
        <w:spacing w:line="360" w:lineRule="auto"/>
        <w:ind w:firstLine="480" w:firstLineChars="200"/>
        <w:rPr>
          <w:rFonts w:ascii="仿宋" w:hAnsi="仿宋" w:eastAsia="仿宋"/>
          <w:sz w:val="24"/>
        </w:rPr>
      </w:pPr>
      <w:r>
        <w:rPr>
          <w:rFonts w:hint="eastAsia" w:ascii="仿宋" w:hAnsi="仿宋" w:eastAsia="仿宋"/>
          <w:sz w:val="24"/>
        </w:rPr>
        <w:t>5、由于未按规定施工、维护，造成业主方“一机两用”安全事故的每起罚款1万元；造成网络外联的，每起罚款2万元。</w:t>
      </w:r>
    </w:p>
    <w:p>
      <w:pPr>
        <w:spacing w:line="360" w:lineRule="auto"/>
        <w:ind w:firstLine="480" w:firstLineChars="200"/>
        <w:rPr>
          <w:rFonts w:ascii="仿宋" w:hAnsi="仿宋" w:eastAsia="仿宋"/>
          <w:sz w:val="24"/>
        </w:rPr>
      </w:pPr>
      <w:r>
        <w:rPr>
          <w:rFonts w:hint="eastAsia" w:ascii="仿宋" w:hAnsi="仿宋" w:eastAsia="仿宋"/>
          <w:sz w:val="24"/>
        </w:rPr>
        <w:t>6、由于维护方原因造成视频、数据等信息泄露的，每次罚款1万元，造成不良后果的，每次罚款10万</w:t>
      </w:r>
    </w:p>
    <w:p>
      <w:pPr>
        <w:spacing w:line="360" w:lineRule="auto"/>
        <w:rPr>
          <w:rFonts w:ascii="仿宋" w:hAnsi="仿宋" w:eastAsia="仿宋"/>
          <w:b/>
          <w:sz w:val="24"/>
        </w:rPr>
      </w:pPr>
      <w:r>
        <w:rPr>
          <w:rFonts w:hint="eastAsia" w:ascii="仿宋" w:hAnsi="仿宋" w:eastAsia="仿宋"/>
          <w:b/>
          <w:sz w:val="24"/>
        </w:rPr>
        <w:t>（二）维护考核</w:t>
      </w:r>
    </w:p>
    <w:p>
      <w:pPr>
        <w:spacing w:line="360" w:lineRule="auto"/>
        <w:ind w:firstLine="499" w:firstLineChars="208"/>
        <w:rPr>
          <w:rFonts w:ascii="仿宋" w:hAnsi="仿宋" w:eastAsia="仿宋"/>
          <w:b/>
          <w:sz w:val="24"/>
        </w:rPr>
      </w:pPr>
      <w:r>
        <w:rPr>
          <w:rFonts w:hint="eastAsia" w:ascii="仿宋" w:hAnsi="仿宋" w:eastAsia="仿宋"/>
          <w:b/>
          <w:sz w:val="24"/>
        </w:rPr>
        <w:t>1.一般性故障考核</w:t>
      </w:r>
    </w:p>
    <w:p>
      <w:pPr>
        <w:spacing w:line="360" w:lineRule="auto"/>
        <w:ind w:firstLine="480" w:firstLineChars="200"/>
        <w:rPr>
          <w:rFonts w:ascii="仿宋" w:hAnsi="仿宋" w:eastAsia="仿宋"/>
          <w:sz w:val="24"/>
        </w:rPr>
      </w:pPr>
      <w:r>
        <w:rPr>
          <w:rFonts w:hint="eastAsia" w:ascii="仿宋" w:hAnsi="仿宋" w:eastAsia="仿宋"/>
          <w:sz w:val="24"/>
        </w:rPr>
        <w:t>一般性故障主要指前端摄像机、光纤收发器等设备不能正常工作：</w:t>
      </w:r>
    </w:p>
    <w:p>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一般性故障</w:t>
      </w:r>
      <w:r>
        <w:rPr>
          <w:rFonts w:hint="eastAsia" w:ascii="仿宋" w:hAnsi="仿宋" w:eastAsia="仿宋"/>
          <w:sz w:val="24"/>
        </w:rPr>
        <w:t>应承诺在3天内修复故障，</w:t>
      </w:r>
      <w:r>
        <w:rPr>
          <w:rFonts w:ascii="仿宋" w:hAnsi="仿宋" w:eastAsia="仿宋"/>
          <w:sz w:val="24"/>
        </w:rPr>
        <w:t>因第三方原因引起的市电停电、光纤等管线断裂和重新敷设等造成的故障在3天内不能修复的，中标方应向</w:t>
      </w:r>
      <w:r>
        <w:rPr>
          <w:rFonts w:hint="eastAsia" w:ascii="仿宋" w:hAnsi="仿宋" w:eastAsia="仿宋"/>
          <w:sz w:val="24"/>
        </w:rPr>
        <w:t>业主</w:t>
      </w:r>
      <w:r>
        <w:rPr>
          <w:rFonts w:ascii="仿宋" w:hAnsi="仿宋" w:eastAsia="仿宋"/>
          <w:sz w:val="24"/>
        </w:rPr>
        <w:t>方提出故障延期修复申请，确定解决办法和最后期限，最大延期时间（累计）不得超过15天，</w:t>
      </w:r>
      <w:r>
        <w:rPr>
          <w:rFonts w:hint="eastAsia" w:ascii="仿宋" w:hAnsi="仿宋" w:eastAsia="仿宋"/>
          <w:sz w:val="24"/>
        </w:rPr>
        <w:t>业主</w:t>
      </w:r>
      <w:r>
        <w:rPr>
          <w:rFonts w:ascii="仿宋" w:hAnsi="仿宋" w:eastAsia="仿宋"/>
          <w:sz w:val="24"/>
        </w:rPr>
        <w:t>方酌情作出审批。</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一般性故障超出</w:t>
      </w:r>
      <w:r>
        <w:rPr>
          <w:rFonts w:hint="eastAsia" w:ascii="仿宋" w:hAnsi="仿宋" w:eastAsia="仿宋"/>
          <w:sz w:val="24"/>
        </w:rPr>
        <w:t>业主</w:t>
      </w:r>
      <w:r>
        <w:rPr>
          <w:rFonts w:ascii="仿宋" w:hAnsi="仿宋" w:eastAsia="仿宋"/>
          <w:sz w:val="24"/>
        </w:rPr>
        <w:t>方给定修复期的，</w:t>
      </w:r>
      <w:r>
        <w:rPr>
          <w:rFonts w:hint="eastAsia" w:ascii="仿宋" w:hAnsi="仿宋" w:eastAsia="仿宋"/>
          <w:sz w:val="24"/>
        </w:rPr>
        <w:t>业主</w:t>
      </w:r>
      <w:r>
        <w:rPr>
          <w:rFonts w:ascii="仿宋" w:hAnsi="仿宋" w:eastAsia="仿宋"/>
          <w:sz w:val="24"/>
        </w:rPr>
        <w:t>方有权扣除</w:t>
      </w:r>
      <w:r>
        <w:rPr>
          <w:rFonts w:hint="eastAsia" w:ascii="仿宋" w:hAnsi="仿宋" w:eastAsia="仿宋"/>
          <w:sz w:val="24"/>
        </w:rPr>
        <w:t>5</w:t>
      </w:r>
      <w:r>
        <w:rPr>
          <w:rFonts w:ascii="仿宋" w:hAnsi="仿宋" w:eastAsia="仿宋"/>
          <w:sz w:val="24"/>
        </w:rPr>
        <w:t>00元/每天/每点位</w:t>
      </w:r>
      <w:r>
        <w:rPr>
          <w:rFonts w:hint="eastAsia" w:ascii="仿宋" w:hAnsi="仿宋" w:eastAsia="仿宋"/>
          <w:sz w:val="24"/>
        </w:rPr>
        <w:t>并上报给业主方</w:t>
      </w:r>
      <w:r>
        <w:rPr>
          <w:rFonts w:ascii="仿宋" w:hAnsi="仿宋" w:eastAsia="仿宋"/>
          <w:sz w:val="24"/>
        </w:rPr>
        <w:t>。不足一天以一天计。由于中标方原因无故延误三个月以上不修复的，业主方有权终止合同并要求赔偿。</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重大或疑难故障考核</w:t>
      </w:r>
    </w:p>
    <w:p>
      <w:pPr>
        <w:spacing w:line="360" w:lineRule="auto"/>
        <w:ind w:firstLine="480" w:firstLineChars="200"/>
        <w:rPr>
          <w:rFonts w:ascii="仿宋" w:hAnsi="仿宋" w:eastAsia="仿宋"/>
          <w:sz w:val="24"/>
        </w:rPr>
      </w:pPr>
      <w:r>
        <w:rPr>
          <w:rFonts w:ascii="仿宋" w:hAnsi="仿宋" w:eastAsia="仿宋"/>
          <w:sz w:val="24"/>
        </w:rPr>
        <w:t>重大或疑难故障主要是指服务器、系统平台、主干光缆发生故障以及第三方原因引起的市电停电、光纤等管线断裂和重新敷设等引起的故障，造成较大部分或整体系统不能正常工作</w:t>
      </w:r>
      <w:r>
        <w:rPr>
          <w:rFonts w:hint="eastAsia" w:ascii="仿宋" w:hAnsi="仿宋" w:eastAsia="仿宋"/>
          <w:sz w:val="24"/>
        </w:rPr>
        <w:t>：</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重大或疑难故障中标方须在7天内修复，不能修复的，中标方应向</w:t>
      </w:r>
      <w:r>
        <w:rPr>
          <w:rFonts w:hint="eastAsia" w:ascii="仿宋" w:hAnsi="仿宋" w:eastAsia="仿宋" w:cs="宋体"/>
          <w:color w:val="000000"/>
          <w:kern w:val="0"/>
          <w:sz w:val="24"/>
        </w:rPr>
        <w:t>业主方</w:t>
      </w:r>
      <w:r>
        <w:rPr>
          <w:rFonts w:ascii="仿宋" w:hAnsi="仿宋" w:eastAsia="仿宋" w:cs="宋体"/>
          <w:color w:val="000000"/>
          <w:kern w:val="0"/>
          <w:sz w:val="24"/>
        </w:rPr>
        <w:t>提出故障延期修复申请，确定解决办法和最后期限，最大延期时间（累计）不得超过30天，</w:t>
      </w:r>
      <w:r>
        <w:rPr>
          <w:rFonts w:hint="eastAsia" w:ascii="仿宋" w:hAnsi="仿宋" w:eastAsia="仿宋" w:cs="宋体"/>
          <w:color w:val="000000"/>
          <w:kern w:val="0"/>
          <w:sz w:val="24"/>
        </w:rPr>
        <w:t>业主方</w:t>
      </w:r>
      <w:r>
        <w:rPr>
          <w:rFonts w:ascii="仿宋" w:hAnsi="仿宋" w:eastAsia="仿宋" w:cs="宋体"/>
          <w:color w:val="000000"/>
          <w:kern w:val="0"/>
          <w:sz w:val="24"/>
        </w:rPr>
        <w:t>酌情作出审批。</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重大或疑难故障超出</w:t>
      </w:r>
      <w:r>
        <w:rPr>
          <w:rFonts w:hint="eastAsia" w:ascii="仿宋" w:hAnsi="仿宋" w:eastAsia="仿宋" w:cs="宋体"/>
          <w:color w:val="000000"/>
          <w:kern w:val="0"/>
          <w:sz w:val="24"/>
        </w:rPr>
        <w:t>业主方</w:t>
      </w:r>
      <w:r>
        <w:rPr>
          <w:rFonts w:ascii="仿宋" w:hAnsi="仿宋" w:eastAsia="仿宋" w:cs="宋体"/>
          <w:color w:val="000000"/>
          <w:kern w:val="0"/>
          <w:sz w:val="24"/>
        </w:rPr>
        <w:t>给定修复期的，</w:t>
      </w:r>
      <w:r>
        <w:rPr>
          <w:rFonts w:hint="eastAsia" w:ascii="仿宋" w:hAnsi="仿宋" w:eastAsia="仿宋" w:cs="宋体"/>
          <w:color w:val="000000"/>
          <w:kern w:val="0"/>
          <w:sz w:val="24"/>
        </w:rPr>
        <w:t>业主方</w:t>
      </w:r>
      <w:r>
        <w:rPr>
          <w:rFonts w:ascii="仿宋" w:hAnsi="仿宋" w:eastAsia="仿宋" w:cs="宋体"/>
          <w:color w:val="000000"/>
          <w:kern w:val="0"/>
          <w:sz w:val="24"/>
        </w:rPr>
        <w:t>有权扣除每点位</w:t>
      </w:r>
      <w:r>
        <w:rPr>
          <w:rFonts w:hint="eastAsia" w:ascii="仿宋" w:hAnsi="仿宋" w:eastAsia="仿宋" w:cs="宋体"/>
          <w:color w:val="000000"/>
          <w:kern w:val="0"/>
          <w:sz w:val="24"/>
        </w:rPr>
        <w:t>建设</w:t>
      </w:r>
      <w:r>
        <w:rPr>
          <w:rFonts w:ascii="仿宋" w:hAnsi="仿宋" w:eastAsia="仿宋" w:cs="宋体"/>
          <w:color w:val="000000"/>
          <w:kern w:val="0"/>
          <w:sz w:val="24"/>
        </w:rPr>
        <w:t>费用*故障点位数量*超期天数，不足一天以一天计；由于中标方原因无故延误一个月以上不修复的，业主方有权终止合同并要求赔偿。</w:t>
      </w:r>
    </w:p>
    <w:p>
      <w:pPr>
        <w:spacing w:line="360" w:lineRule="auto"/>
        <w:ind w:firstLine="499" w:firstLineChars="208"/>
        <w:rPr>
          <w:rFonts w:ascii="仿宋" w:hAnsi="仿宋" w:eastAsia="仿宋"/>
          <w:b/>
          <w:sz w:val="24"/>
        </w:rPr>
      </w:pPr>
      <w:r>
        <w:rPr>
          <w:rFonts w:hint="eastAsia" w:ascii="仿宋" w:hAnsi="仿宋" w:eastAsia="仿宋"/>
          <w:b/>
          <w:sz w:val="24"/>
        </w:rPr>
        <w:t>3.应急保障考核</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应急保障维护考核。中标方应按约定响应业主方发起的临时性、突发性应急保障需求。其中前后端设备的调试、检查、清洁等任务，城区1小时、农村2小时内到达现场，24小时内完成,超时的，罚款2000元/小时，不足1小时以1小时计；现场临时搭建前端位或中心的在48小时内未完成的，超时的，罚款2000元/小时，不足1小时以1小时计；日常性保障，7日内完成，超时的罚款500元/日，不足1天以1天计。</w:t>
      </w:r>
    </w:p>
    <w:p>
      <w:pPr>
        <w:spacing w:line="360" w:lineRule="auto"/>
        <w:ind w:firstLine="499" w:firstLineChars="208"/>
        <w:rPr>
          <w:rFonts w:ascii="仿宋" w:hAnsi="仿宋" w:eastAsia="仿宋"/>
          <w:b/>
          <w:sz w:val="24"/>
        </w:rPr>
      </w:pPr>
      <w:r>
        <w:rPr>
          <w:rFonts w:hint="eastAsia" w:ascii="仿宋" w:hAnsi="仿宋" w:eastAsia="仿宋"/>
          <w:b/>
          <w:sz w:val="24"/>
        </w:rPr>
        <w:t>4.信息维护考核</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未按业主方要求完成与本服务相关的如信息采集、录入、核对、修改等日常性、事务性工作被上级机关通报的，每一次扣1000元。</w:t>
      </w:r>
    </w:p>
    <w:p>
      <w:pPr>
        <w:spacing w:line="360" w:lineRule="auto"/>
        <w:ind w:firstLine="499" w:firstLineChars="208"/>
        <w:rPr>
          <w:rFonts w:ascii="仿宋" w:hAnsi="仿宋" w:eastAsia="仿宋"/>
          <w:b/>
          <w:sz w:val="24"/>
        </w:rPr>
      </w:pPr>
      <w:r>
        <w:rPr>
          <w:rFonts w:hint="eastAsia" w:ascii="仿宋" w:hAnsi="仿宋" w:eastAsia="仿宋"/>
          <w:b/>
          <w:sz w:val="24"/>
        </w:rPr>
        <w:t>5.其他</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（1）由于不可抗拒因素，如自然灾害等，由中标方上报业主方，对故障点位恢复做出期限，超出期限按照相关约定扣罚。</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（2）具体以合同约定为准。</w:t>
      </w:r>
    </w:p>
    <w:p>
      <w:pPr>
        <w:spacing w:line="360" w:lineRule="auto"/>
        <w:rPr>
          <w:rFonts w:ascii="仿宋" w:hAnsi="仿宋" w:eastAsia="仿宋"/>
          <w:b/>
          <w:sz w:val="24"/>
        </w:rPr>
      </w:pPr>
      <w:r>
        <w:rPr>
          <w:rFonts w:hint="eastAsia" w:ascii="仿宋" w:hAnsi="仿宋" w:eastAsia="仿宋"/>
          <w:b/>
          <w:sz w:val="24"/>
        </w:rPr>
        <w:t>七、考核免责认定和执行方式</w:t>
      </w:r>
    </w:p>
    <w:p>
      <w:pPr>
        <w:spacing w:line="360" w:lineRule="auto"/>
        <w:ind w:firstLine="480" w:firstLineChars="200"/>
        <w:rPr>
          <w:rFonts w:ascii="仿宋" w:hAnsi="仿宋" w:eastAsia="仿宋"/>
          <w:sz w:val="24"/>
        </w:rPr>
      </w:pPr>
      <w:r>
        <w:rPr>
          <w:rFonts w:hint="eastAsia" w:ascii="仿宋" w:hAnsi="仿宋" w:eastAsia="仿宋"/>
          <w:sz w:val="24"/>
        </w:rPr>
        <w:t>1、由业主方发起的移位、机房搬迁、整改等原因引起的故障，应不列入考核；由第三方道路、管井、建筑等施工引起的市电停电、光纤等管线断裂和重新敷设等导致点位故障的，中标方应于每月21号之前向业主方提交书面报告，经业主方确认后应不列入图像完好率考核。</w:t>
      </w:r>
    </w:p>
    <w:p>
      <w:pPr>
        <w:spacing w:line="360" w:lineRule="auto"/>
        <w:ind w:firstLine="480" w:firstLineChars="200"/>
        <w:rPr>
          <w:rFonts w:ascii="仿宋" w:hAnsi="仿宋" w:eastAsia="仿宋"/>
          <w:sz w:val="24"/>
        </w:rPr>
      </w:pPr>
      <w:r>
        <w:rPr>
          <w:rFonts w:hint="eastAsia" w:ascii="仿宋" w:hAnsi="仿宋" w:eastAsia="仿宋"/>
          <w:sz w:val="24"/>
        </w:rPr>
        <w:t>2、考核执行方式：图像完好率考核直接引用市局当年度标准和当年度月通报完好率结果；一般故障维护、疑难故障维护和应急保障维护的考核依据，是《象山县社会治安动态视频监控---智能运维管理系统》所载的相关数据以及实际查验的图像数据，由业主方出具《维护考核扣款通知单》作为扣款依据，交送中标方，由中标方签收并回执返还业主方。罚款额从服务费用支付中扣除。</w:t>
      </w:r>
    </w:p>
    <w:p>
      <w:pPr>
        <w:tabs>
          <w:tab w:val="left" w:pos="0"/>
        </w:tabs>
        <w:adjustRightInd w:val="0"/>
        <w:snapToGrid w:val="0"/>
        <w:ind w:firstLine="420"/>
        <w:jc w:val="center"/>
        <w:rPr>
          <w:rFonts w:hint="eastAsia" w:ascii="楷体_GB2312" w:eastAsia="楷体_GB2312"/>
          <w:b/>
          <w:bCs/>
          <w:sz w:val="28"/>
        </w:rPr>
      </w:pPr>
    </w:p>
    <w:p>
      <w:pPr>
        <w:tabs>
          <w:tab w:val="left" w:pos="0"/>
        </w:tabs>
        <w:adjustRightInd w:val="0"/>
        <w:snapToGrid w:val="0"/>
        <w:spacing w:line="360" w:lineRule="auto"/>
        <w:jc w:val="left"/>
        <w:rPr>
          <w:rFonts w:ascii="仿宋" w:hAnsi="仿宋" w:eastAsia="仿宋"/>
          <w:b/>
          <w:sz w:val="24"/>
        </w:rPr>
      </w:pPr>
      <w:r>
        <w:rPr>
          <w:rFonts w:hint="eastAsia" w:ascii="仿宋" w:hAnsi="仿宋" w:eastAsia="仿宋"/>
          <w:b/>
          <w:sz w:val="24"/>
        </w:rPr>
        <w:t>八、其他要求</w:t>
      </w:r>
    </w:p>
    <w:p>
      <w:pPr>
        <w:numPr>
          <w:ilvl w:val="0"/>
          <w:numId w:val="9"/>
        </w:numPr>
        <w:tabs>
          <w:tab w:val="left" w:pos="993"/>
        </w:tabs>
        <w:spacing w:line="360" w:lineRule="auto"/>
        <w:rPr>
          <w:rFonts w:ascii="仿宋" w:hAnsi="仿宋" w:eastAsia="仿宋"/>
          <w:sz w:val="24"/>
        </w:rPr>
      </w:pPr>
      <w:r>
        <w:rPr>
          <w:rFonts w:hint="eastAsia" w:ascii="仿宋" w:hAnsi="仿宋" w:eastAsia="仿宋"/>
          <w:sz w:val="24"/>
        </w:rPr>
        <w:t>维护周期为5年（20</w:t>
      </w:r>
      <w:r>
        <w:rPr>
          <w:rFonts w:ascii="仿宋" w:hAnsi="仿宋" w:eastAsia="仿宋"/>
          <w:sz w:val="24"/>
        </w:rPr>
        <w:t>19</w:t>
      </w:r>
      <w:r>
        <w:rPr>
          <w:rFonts w:hint="eastAsia" w:ascii="仿宋" w:hAnsi="仿宋" w:eastAsia="仿宋"/>
          <w:sz w:val="24"/>
        </w:rPr>
        <w:t>年1</w:t>
      </w:r>
      <w:r>
        <w:rPr>
          <w:rFonts w:ascii="仿宋" w:hAnsi="仿宋" w:eastAsia="仿宋"/>
          <w:sz w:val="24"/>
        </w:rPr>
        <w:t>0</w:t>
      </w:r>
      <w:r>
        <w:rPr>
          <w:rFonts w:hint="eastAsia" w:ascii="仿宋" w:hAnsi="仿宋" w:eastAsia="仿宋"/>
          <w:sz w:val="24"/>
        </w:rPr>
        <w:t>月</w:t>
      </w:r>
      <w:r>
        <w:rPr>
          <w:rFonts w:ascii="仿宋" w:hAnsi="仿宋" w:eastAsia="仿宋"/>
          <w:sz w:val="24"/>
        </w:rPr>
        <w:t>10</w:t>
      </w:r>
      <w:r>
        <w:rPr>
          <w:rFonts w:hint="eastAsia" w:ascii="仿宋" w:hAnsi="仿宋" w:eastAsia="仿宋"/>
          <w:sz w:val="24"/>
        </w:rPr>
        <w:t>日至202</w:t>
      </w:r>
      <w:r>
        <w:rPr>
          <w:rFonts w:ascii="仿宋" w:hAnsi="仿宋" w:eastAsia="仿宋"/>
          <w:sz w:val="24"/>
        </w:rPr>
        <w:t>4</w:t>
      </w:r>
      <w:r>
        <w:rPr>
          <w:rFonts w:hint="eastAsia" w:ascii="仿宋" w:hAnsi="仿宋" w:eastAsia="仿宋"/>
          <w:sz w:val="24"/>
        </w:rPr>
        <w:t>年1</w:t>
      </w:r>
      <w:r>
        <w:rPr>
          <w:rFonts w:ascii="仿宋" w:hAnsi="仿宋" w:eastAsia="仿宋"/>
          <w:sz w:val="24"/>
        </w:rPr>
        <w:t>0</w:t>
      </w:r>
      <w:r>
        <w:rPr>
          <w:rFonts w:hint="eastAsia" w:ascii="仿宋" w:hAnsi="仿宋" w:eastAsia="仿宋"/>
          <w:sz w:val="24"/>
        </w:rPr>
        <w:t>月</w:t>
      </w:r>
      <w:r>
        <w:rPr>
          <w:rFonts w:ascii="仿宋" w:hAnsi="仿宋" w:eastAsia="仿宋"/>
          <w:sz w:val="24"/>
        </w:rPr>
        <w:t>09</w:t>
      </w:r>
      <w:r>
        <w:rPr>
          <w:rFonts w:hint="eastAsia" w:ascii="仿宋" w:hAnsi="仿宋" w:eastAsia="仿宋"/>
          <w:sz w:val="24"/>
        </w:rPr>
        <w:t>日），投标文件中须承诺，否则作无效标处理。</w:t>
      </w:r>
    </w:p>
    <w:p>
      <w:pPr>
        <w:numPr>
          <w:ilvl w:val="0"/>
          <w:numId w:val="9"/>
        </w:numPr>
        <w:tabs>
          <w:tab w:val="left" w:pos="993"/>
        </w:tabs>
        <w:spacing w:line="360" w:lineRule="auto"/>
        <w:rPr>
          <w:rFonts w:ascii="仿宋" w:hAnsi="仿宋" w:eastAsia="仿宋"/>
          <w:sz w:val="24"/>
        </w:rPr>
      </w:pPr>
      <w:r>
        <w:rPr>
          <w:rFonts w:hint="eastAsia" w:ascii="仿宋" w:hAnsi="仿宋" w:eastAsia="仿宋"/>
          <w:sz w:val="24"/>
        </w:rPr>
        <w:t>投标人须对中标后进行服务承诺，无承诺的做无效标处理：</w:t>
      </w:r>
    </w:p>
    <w:p>
      <w:pPr>
        <w:tabs>
          <w:tab w:val="left" w:pos="993"/>
        </w:tabs>
        <w:spacing w:line="360" w:lineRule="auto"/>
        <w:ind w:left="840"/>
        <w:rPr>
          <w:rFonts w:ascii="仿宋" w:hAnsi="仿宋" w:eastAsia="仿宋"/>
          <w:sz w:val="24"/>
        </w:rPr>
      </w:pPr>
      <w:r>
        <w:rPr>
          <w:rFonts w:hint="eastAsia" w:ascii="仿宋" w:hAnsi="仿宋" w:eastAsia="仿宋"/>
          <w:sz w:val="24"/>
        </w:rPr>
        <w:t>（1）投标人应具备维护服务中心，并安排专人7*24小时值班；统一提供维护管理服务；</w:t>
      </w:r>
    </w:p>
    <w:p>
      <w:pPr>
        <w:tabs>
          <w:tab w:val="left" w:pos="993"/>
        </w:tabs>
        <w:spacing w:line="360" w:lineRule="auto"/>
        <w:ind w:left="840"/>
        <w:rPr>
          <w:rFonts w:ascii="仿宋" w:hAnsi="仿宋" w:eastAsia="仿宋"/>
          <w:sz w:val="24"/>
        </w:rPr>
      </w:pPr>
      <w:r>
        <w:rPr>
          <w:rFonts w:hint="eastAsia" w:ascii="仿宋" w:hAnsi="仿宋" w:eastAsia="仿宋"/>
          <w:sz w:val="24"/>
        </w:rPr>
        <w:t>（2）维护服务中心须有专人值班，提供7*12小时响应服务，紧急情况提供7*24小时响应服务；工作时间范围（含节假日）：早上8：00—晚上20：00；法定节假日，须提供维护值班人员安排及应急措施。</w:t>
      </w:r>
    </w:p>
    <w:p>
      <w:pPr>
        <w:numPr>
          <w:ilvl w:val="0"/>
          <w:numId w:val="9"/>
        </w:numPr>
        <w:tabs>
          <w:tab w:val="left" w:pos="993"/>
        </w:tabs>
        <w:spacing w:line="360" w:lineRule="auto"/>
        <w:rPr>
          <w:rFonts w:ascii="仿宋" w:hAnsi="仿宋" w:eastAsia="仿宋"/>
          <w:sz w:val="24"/>
        </w:rPr>
      </w:pPr>
      <w:r>
        <w:rPr>
          <w:rFonts w:hint="eastAsia" w:ascii="仿宋" w:hAnsi="仿宋" w:eastAsia="仿宋"/>
          <w:sz w:val="24"/>
        </w:rPr>
        <w:t>投标人的投标报价中应包含税费和利润以及合同中明示或暗示的所有一般风险、责任和义务等一切应由中标方支付的费用。</w:t>
      </w:r>
    </w:p>
    <w:p>
      <w:pPr>
        <w:numPr>
          <w:ilvl w:val="0"/>
          <w:numId w:val="9"/>
        </w:numPr>
        <w:tabs>
          <w:tab w:val="left" w:pos="993"/>
        </w:tabs>
        <w:spacing w:line="360" w:lineRule="auto"/>
        <w:rPr>
          <w:rFonts w:ascii="仿宋" w:hAnsi="仿宋" w:eastAsia="仿宋"/>
          <w:sz w:val="24"/>
        </w:rPr>
      </w:pPr>
      <w:r>
        <w:rPr>
          <w:rFonts w:hint="eastAsia" w:ascii="仿宋" w:hAnsi="仿宋" w:eastAsia="仿宋"/>
          <w:sz w:val="24"/>
        </w:rPr>
        <w:t>本项目中标方管理服务包含跟本项目有关的一切费用和协调事项，中标后，不得以不了解招标文件、施工现场和周围环境等情况为借口，而提出额外补偿等要求。</w:t>
      </w:r>
    </w:p>
    <w:p>
      <w:pPr>
        <w:tabs>
          <w:tab w:val="left" w:pos="993"/>
        </w:tabs>
        <w:spacing w:line="360" w:lineRule="auto"/>
        <w:ind w:left="480"/>
        <w:rPr>
          <w:rFonts w:hint="eastAsia" w:ascii="楷体_GB2312" w:eastAsia="楷体_GB2312"/>
          <w:b/>
          <w:bCs/>
          <w:sz w:val="28"/>
        </w:rPr>
      </w:pPr>
      <w:r>
        <w:rPr>
          <w:rFonts w:hint="eastAsia" w:ascii="仿宋" w:hAnsi="仿宋" w:eastAsia="仿宋"/>
          <w:sz w:val="24"/>
        </w:rPr>
        <w:t>5、过渡性维护费：原项目2</w:t>
      </w:r>
      <w:r>
        <w:rPr>
          <w:rFonts w:ascii="仿宋" w:hAnsi="仿宋" w:eastAsia="仿宋"/>
          <w:sz w:val="24"/>
        </w:rPr>
        <w:t>019</w:t>
      </w:r>
      <w:r>
        <w:rPr>
          <w:rFonts w:hint="eastAsia" w:ascii="仿宋" w:hAnsi="仿宋" w:eastAsia="仿宋"/>
          <w:sz w:val="24"/>
        </w:rPr>
        <w:t>年1</w:t>
      </w:r>
      <w:r>
        <w:rPr>
          <w:rFonts w:ascii="仿宋" w:hAnsi="仿宋" w:eastAsia="仿宋"/>
          <w:sz w:val="24"/>
        </w:rPr>
        <w:t>0</w:t>
      </w:r>
      <w:r>
        <w:rPr>
          <w:rFonts w:hint="eastAsia" w:ascii="仿宋" w:hAnsi="仿宋" w:eastAsia="仿宋"/>
          <w:sz w:val="24"/>
        </w:rPr>
        <w:t>月</w:t>
      </w:r>
      <w:r>
        <w:rPr>
          <w:rFonts w:ascii="仿宋" w:hAnsi="仿宋" w:eastAsia="仿宋"/>
          <w:sz w:val="24"/>
        </w:rPr>
        <w:t>9</w:t>
      </w:r>
      <w:r>
        <w:rPr>
          <w:rFonts w:hint="eastAsia" w:ascii="仿宋" w:hAnsi="仿宋" w:eastAsia="仿宋"/>
          <w:sz w:val="24"/>
        </w:rPr>
        <w:t>日维护到期，期间暂由原“联合体”单位（象山县广播电视台和航天海鹰安全技术工程有限公司）按市局考核标准进行维护。在招标结束后，从维护到期日至完成招标并签订合同之日止，该部分费用由中标单位按中标价/60个月*过渡维护月数（不足一个月按一个月计算）在签订本项目合同前支付给原维护单位。若原集成单位参与投标，则费用包含在本次报价中。投标人应在投标书中进行承诺，未做承诺的做无效标处理。</w:t>
      </w:r>
    </w:p>
    <w:p>
      <w:pPr>
        <w:tabs>
          <w:tab w:val="left" w:pos="0"/>
        </w:tabs>
        <w:adjustRightInd w:val="0"/>
        <w:snapToGrid w:val="0"/>
        <w:ind w:firstLine="420"/>
        <w:jc w:val="center"/>
        <w:rPr>
          <w:rFonts w:hint="eastAsia" w:ascii="楷体_GB2312" w:eastAsia="楷体_GB2312"/>
          <w:b/>
          <w:bCs/>
          <w:sz w:val="28"/>
        </w:rPr>
      </w:pPr>
    </w:p>
    <w:p>
      <w:pPr>
        <w:tabs>
          <w:tab w:val="left" w:pos="0"/>
        </w:tabs>
        <w:adjustRightInd w:val="0"/>
        <w:snapToGrid w:val="0"/>
        <w:ind w:firstLine="420"/>
        <w:jc w:val="center"/>
        <w:rPr>
          <w:rFonts w:hint="eastAsia" w:ascii="楷体_GB2312" w:eastAsia="楷体_GB2312"/>
          <w:b/>
          <w:bCs/>
          <w:sz w:val="28"/>
        </w:rPr>
      </w:pPr>
    </w:p>
    <w:p>
      <w:pPr>
        <w:tabs>
          <w:tab w:val="left" w:pos="0"/>
        </w:tabs>
        <w:adjustRightInd w:val="0"/>
        <w:snapToGrid w:val="0"/>
        <w:ind w:firstLine="420"/>
        <w:jc w:val="center"/>
        <w:rPr>
          <w:rFonts w:hint="eastAsia" w:ascii="楷体_GB2312" w:eastAsia="楷体_GB2312"/>
          <w:b/>
          <w:bCs/>
          <w:sz w:val="28"/>
        </w:rPr>
      </w:pPr>
    </w:p>
    <w:p>
      <w:pPr>
        <w:widowControl/>
        <w:tabs>
          <w:tab w:val="left" w:pos="993"/>
        </w:tabs>
        <w:spacing w:line="360" w:lineRule="auto"/>
        <w:jc w:val="left"/>
        <w:rPr>
          <w:rFonts w:ascii="宋体" w:hAnsi="宋体"/>
          <w:sz w:val="24"/>
        </w:rPr>
        <w:sectPr>
          <w:pgSz w:w="11906" w:h="16838"/>
          <w:pgMar w:top="1089" w:right="1797" w:bottom="1247" w:left="1797" w:header="851" w:footer="992" w:gutter="0"/>
          <w:pgNumType w:chapStyle="1"/>
          <w:cols w:space="720" w:num="1"/>
          <w:titlePg/>
          <w:docGrid w:type="linesAndChars" w:linePitch="312" w:charSpace="0"/>
        </w:sectPr>
      </w:pPr>
    </w:p>
    <w:p>
      <w:pPr>
        <w:spacing w:before="120" w:beforeLines="50" w:after="120" w:afterLines="50" w:line="400" w:lineRule="exact"/>
        <w:jc w:val="center"/>
        <w:rPr>
          <w:rFonts w:hint="eastAsia" w:ascii="宋体" w:hAnsi="宋体"/>
          <w:b/>
          <w:sz w:val="24"/>
          <w:szCs w:val="30"/>
        </w:rPr>
      </w:pPr>
      <w:r>
        <w:rPr>
          <w:rFonts w:hint="eastAsia" w:ascii="楷体_GB2312" w:eastAsia="楷体_GB2312"/>
          <w:b/>
          <w:bCs/>
          <w:sz w:val="28"/>
        </w:rPr>
        <w:t xml:space="preserve">第四部分    </w:t>
      </w:r>
      <w:r>
        <w:rPr>
          <w:rFonts w:hint="eastAsia" w:ascii="黑体" w:hAnsi="宋体" w:eastAsia="黑体"/>
          <w:sz w:val="30"/>
          <w:szCs w:val="30"/>
        </w:rPr>
        <w:t>政府采购</w:t>
      </w:r>
      <w:r>
        <w:rPr>
          <w:rFonts w:hint="eastAsia" w:ascii="黑体" w:hAnsi="宋体" w:eastAsia="黑体"/>
          <w:bCs/>
          <w:sz w:val="30"/>
          <w:szCs w:val="30"/>
        </w:rPr>
        <w:t>合同</w:t>
      </w:r>
    </w:p>
    <w:p>
      <w:pPr>
        <w:spacing w:line="360" w:lineRule="auto"/>
        <w:jc w:val="center"/>
        <w:rPr>
          <w:rFonts w:hint="eastAsia" w:ascii="宋体" w:hAnsi="宋体" w:cs="Arial"/>
          <w:b/>
          <w:bCs/>
          <w:sz w:val="30"/>
          <w:szCs w:val="30"/>
        </w:rPr>
      </w:pPr>
      <w:r>
        <w:rPr>
          <w:rFonts w:hint="eastAsia" w:ascii="宋体" w:hAnsi="宋体" w:cs="Arial"/>
          <w:b/>
          <w:bCs/>
          <w:sz w:val="30"/>
          <w:szCs w:val="30"/>
        </w:rPr>
        <w:t>象山县社会治安动态视频监控系统高清智能化</w:t>
      </w:r>
    </w:p>
    <w:p>
      <w:pPr>
        <w:spacing w:line="360" w:lineRule="auto"/>
        <w:jc w:val="center"/>
        <w:rPr>
          <w:rFonts w:hint="eastAsia" w:ascii="宋体" w:hAnsi="宋体"/>
          <w:b/>
          <w:sz w:val="30"/>
          <w:szCs w:val="30"/>
        </w:rPr>
      </w:pPr>
      <w:r>
        <w:rPr>
          <w:rFonts w:hint="eastAsia" w:ascii="宋体" w:hAnsi="宋体" w:cs="Arial"/>
          <w:b/>
          <w:bCs/>
          <w:sz w:val="30"/>
          <w:szCs w:val="30"/>
        </w:rPr>
        <w:t>维护项目合同</w:t>
      </w:r>
    </w:p>
    <w:p>
      <w:pPr>
        <w:tabs>
          <w:tab w:val="left" w:pos="4889"/>
        </w:tabs>
        <w:spacing w:line="360" w:lineRule="auto"/>
        <w:rPr>
          <w:rFonts w:hint="eastAsia" w:ascii="仿宋_GB2312" w:eastAsia="仿宋_GB2312"/>
          <w:sz w:val="28"/>
          <w:szCs w:val="28"/>
        </w:rPr>
      </w:pPr>
    </w:p>
    <w:p>
      <w:pPr>
        <w:tabs>
          <w:tab w:val="left" w:pos="4889"/>
        </w:tabs>
        <w:spacing w:line="360" w:lineRule="auto"/>
        <w:rPr>
          <w:rFonts w:hint="eastAsia" w:ascii="仿宋_GB2312" w:eastAsia="仿宋_GB2312"/>
          <w:sz w:val="28"/>
          <w:szCs w:val="28"/>
        </w:rPr>
      </w:pPr>
      <w:r>
        <w:rPr>
          <w:rFonts w:hint="eastAsia" w:ascii="仿宋_GB2312" w:eastAsia="仿宋_GB2312"/>
          <w:sz w:val="28"/>
          <w:szCs w:val="28"/>
        </w:rPr>
        <w:t>甲方（业主单位）：</w:t>
      </w:r>
    </w:p>
    <w:p>
      <w:pPr>
        <w:tabs>
          <w:tab w:val="left" w:pos="4889"/>
        </w:tabs>
        <w:spacing w:line="360" w:lineRule="auto"/>
        <w:rPr>
          <w:rFonts w:hint="eastAsia" w:ascii="仿宋_GB2312" w:eastAsia="仿宋_GB2312"/>
          <w:sz w:val="28"/>
          <w:szCs w:val="28"/>
        </w:rPr>
      </w:pPr>
      <w:r>
        <w:rPr>
          <w:rFonts w:hint="eastAsia" w:ascii="仿宋_GB2312" w:eastAsia="仿宋_GB2312"/>
          <w:sz w:val="28"/>
          <w:szCs w:val="28"/>
        </w:rPr>
        <w:t xml:space="preserve">法定代表人（负责人）：   </w:t>
      </w:r>
    </w:p>
    <w:p>
      <w:pPr>
        <w:tabs>
          <w:tab w:val="left" w:pos="4889"/>
        </w:tabs>
        <w:spacing w:line="360" w:lineRule="auto"/>
        <w:rPr>
          <w:rFonts w:hint="eastAsia" w:ascii="仿宋_GB2312" w:eastAsia="仿宋_GB2312"/>
          <w:sz w:val="28"/>
          <w:szCs w:val="28"/>
        </w:rPr>
      </w:pPr>
      <w:r>
        <w:rPr>
          <w:rFonts w:hint="eastAsia" w:ascii="仿宋_GB2312" w:eastAsia="仿宋_GB2312"/>
          <w:sz w:val="28"/>
          <w:szCs w:val="28"/>
        </w:rPr>
        <w:t xml:space="preserve">地  址： </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乙方（承建单位）：</w:t>
      </w:r>
    </w:p>
    <w:p>
      <w:pPr>
        <w:spacing w:line="360" w:lineRule="auto"/>
        <w:rPr>
          <w:rFonts w:hint="eastAsia" w:ascii="仿宋_GB2312" w:eastAsia="仿宋_GB2312"/>
          <w:sz w:val="28"/>
          <w:szCs w:val="28"/>
        </w:rPr>
      </w:pPr>
      <w:r>
        <w:rPr>
          <w:rFonts w:hint="eastAsia" w:ascii="仿宋_GB2312" w:eastAsia="仿宋_GB2312"/>
          <w:sz w:val="28"/>
          <w:szCs w:val="28"/>
        </w:rPr>
        <w:t xml:space="preserve">法定代表人（负责人）：    </w:t>
      </w:r>
    </w:p>
    <w:p>
      <w:pPr>
        <w:spacing w:line="360" w:lineRule="auto"/>
        <w:rPr>
          <w:rFonts w:hint="eastAsia" w:ascii="仿宋_GB2312" w:eastAsia="仿宋_GB2312"/>
          <w:b/>
          <w:sz w:val="24"/>
        </w:rPr>
      </w:pPr>
      <w:r>
        <w:rPr>
          <w:rFonts w:hint="eastAsia" w:ascii="仿宋_GB2312" w:eastAsia="仿宋_GB2312"/>
          <w:sz w:val="28"/>
          <w:szCs w:val="28"/>
        </w:rPr>
        <w:t>地  址：</w:t>
      </w:r>
      <w:r>
        <w:rPr>
          <w:rFonts w:hint="eastAsia" w:ascii="仿宋_GB2312" w:eastAsia="仿宋_GB2312"/>
          <w:b/>
          <w:sz w:val="24"/>
        </w:rPr>
        <w:t xml:space="preserve"> </w:t>
      </w: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jc w:val="center"/>
        <w:rPr>
          <w:rFonts w:hint="eastAsia" w:ascii="仿宋_GB2312" w:eastAsia="仿宋_GB2312"/>
          <w:b/>
          <w:sz w:val="24"/>
        </w:rPr>
      </w:pPr>
      <w:r>
        <w:rPr>
          <w:rFonts w:hint="eastAsia" w:ascii="仿宋_GB2312" w:eastAsia="仿宋_GB2312"/>
          <w:b/>
          <w:sz w:val="24"/>
        </w:rPr>
        <w:t>签订日期：  年   月</w:t>
      </w:r>
    </w:p>
    <w:p>
      <w:pPr>
        <w:pStyle w:val="17"/>
        <w:spacing w:line="360" w:lineRule="auto"/>
        <w:ind w:firstLine="480" w:firstLineChars="200"/>
        <w:jc w:val="left"/>
        <w:rPr>
          <w:rFonts w:hint="eastAsia" w:ascii="仿宋_GB2312" w:hAnsi="Times New Roman"/>
          <w:b w:val="0"/>
          <w:bCs w:val="0"/>
          <w:sz w:val="24"/>
          <w:szCs w:val="24"/>
        </w:rPr>
      </w:pPr>
      <w:r>
        <w:rPr>
          <w:rFonts w:hint="eastAsia" w:ascii="仿宋_GB2312" w:hAnsi="Times New Roman"/>
          <w:b w:val="0"/>
          <w:bCs w:val="0"/>
          <w:sz w:val="24"/>
          <w:szCs w:val="24"/>
        </w:rPr>
        <w:t>根据《中华人民共和国合同法》和《中华人民共和国政府采购法》以及相关法律法规的有关规定，双方友好协商签订本合同。</w:t>
      </w:r>
    </w:p>
    <w:p>
      <w:pPr>
        <w:spacing w:line="360" w:lineRule="auto"/>
        <w:ind w:firstLine="472"/>
        <w:outlineLvl w:val="0"/>
        <w:rPr>
          <w:rFonts w:hint="eastAsia" w:ascii="仿宋_GB2312" w:eastAsia="仿宋_GB2312"/>
          <w:b/>
          <w:sz w:val="24"/>
        </w:rPr>
      </w:pPr>
      <w:r>
        <w:rPr>
          <w:rFonts w:hint="eastAsia" w:ascii="仿宋_GB2312" w:eastAsia="仿宋_GB2312"/>
          <w:b/>
          <w:sz w:val="24"/>
        </w:rPr>
        <w:t>第一条  合同范围</w:t>
      </w:r>
    </w:p>
    <w:p>
      <w:pPr>
        <w:pStyle w:val="17"/>
        <w:spacing w:line="360" w:lineRule="auto"/>
        <w:ind w:firstLine="480" w:firstLineChars="200"/>
        <w:jc w:val="left"/>
        <w:rPr>
          <w:rFonts w:hint="eastAsia" w:ascii="仿宋_GB2312" w:hAnsi="Times New Roman"/>
          <w:b w:val="0"/>
          <w:bCs w:val="0"/>
          <w:sz w:val="24"/>
          <w:szCs w:val="24"/>
        </w:rPr>
      </w:pPr>
      <w:r>
        <w:rPr>
          <w:rFonts w:hint="eastAsia" w:ascii="仿宋_GB2312" w:hAnsi="Times New Roman"/>
          <w:b w:val="0"/>
          <w:bCs w:val="0"/>
          <w:sz w:val="24"/>
          <w:szCs w:val="24"/>
        </w:rPr>
        <w:t>“象山县社会治安动态视频监控系统高清智能化维护项目”所涉及的范围包含各级控制中心、应用中心和前端2</w:t>
      </w:r>
      <w:r>
        <w:rPr>
          <w:rFonts w:ascii="仿宋_GB2312" w:hAnsi="Times New Roman"/>
          <w:b w:val="0"/>
          <w:bCs w:val="0"/>
          <w:sz w:val="24"/>
          <w:szCs w:val="24"/>
        </w:rPr>
        <w:t>44</w:t>
      </w:r>
      <w:r>
        <w:rPr>
          <w:rFonts w:hint="eastAsia" w:ascii="仿宋_GB2312" w:hAnsi="Times New Roman"/>
          <w:b w:val="0"/>
          <w:bCs w:val="0"/>
          <w:sz w:val="24"/>
          <w:szCs w:val="24"/>
        </w:rPr>
        <w:t>个点位的更换维护。</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第二条  合同期限</w:t>
      </w:r>
    </w:p>
    <w:p>
      <w:pPr>
        <w:spacing w:line="360" w:lineRule="auto"/>
        <w:ind w:firstLine="480" w:firstLineChars="200"/>
        <w:rPr>
          <w:rFonts w:hint="eastAsia" w:ascii="仿宋_GB2312" w:eastAsia="仿宋_GB2312"/>
          <w:sz w:val="24"/>
        </w:rPr>
      </w:pPr>
      <w:r>
        <w:rPr>
          <w:rFonts w:hint="eastAsia" w:ascii="仿宋_GB2312" w:eastAsia="仿宋_GB2312"/>
          <w:sz w:val="24"/>
        </w:rPr>
        <w:t>合同期五年，20</w:t>
      </w:r>
      <w:r>
        <w:rPr>
          <w:rFonts w:ascii="仿宋_GB2312" w:eastAsia="仿宋_GB2312"/>
          <w:sz w:val="24"/>
        </w:rPr>
        <w:t>19</w:t>
      </w:r>
      <w:r>
        <w:rPr>
          <w:rFonts w:hint="eastAsia" w:ascii="仿宋_GB2312" w:eastAsia="仿宋_GB2312"/>
          <w:sz w:val="24"/>
        </w:rPr>
        <w:t>年1</w:t>
      </w:r>
      <w:r>
        <w:rPr>
          <w:rFonts w:ascii="仿宋_GB2312" w:eastAsia="仿宋_GB2312"/>
          <w:sz w:val="24"/>
        </w:rPr>
        <w:t>0</w:t>
      </w:r>
      <w:r>
        <w:rPr>
          <w:rFonts w:hint="eastAsia" w:ascii="仿宋_GB2312" w:eastAsia="仿宋_GB2312"/>
          <w:sz w:val="24"/>
        </w:rPr>
        <w:t>月1</w:t>
      </w:r>
      <w:r>
        <w:rPr>
          <w:rFonts w:ascii="仿宋_GB2312" w:eastAsia="仿宋_GB2312"/>
          <w:sz w:val="24"/>
        </w:rPr>
        <w:t>0</w:t>
      </w:r>
      <w:r>
        <w:rPr>
          <w:rFonts w:hint="eastAsia" w:ascii="仿宋_GB2312" w:eastAsia="仿宋_GB2312"/>
          <w:sz w:val="24"/>
        </w:rPr>
        <w:t>日至202</w:t>
      </w:r>
      <w:r>
        <w:rPr>
          <w:rFonts w:ascii="仿宋_GB2312" w:eastAsia="仿宋_GB2312"/>
          <w:sz w:val="24"/>
        </w:rPr>
        <w:t>4</w:t>
      </w:r>
      <w:r>
        <w:rPr>
          <w:rFonts w:hint="eastAsia" w:ascii="仿宋_GB2312" w:eastAsia="仿宋_GB2312"/>
          <w:sz w:val="24"/>
        </w:rPr>
        <w:t>年1</w:t>
      </w:r>
      <w:r>
        <w:rPr>
          <w:rFonts w:ascii="仿宋_GB2312" w:eastAsia="仿宋_GB2312"/>
          <w:sz w:val="24"/>
        </w:rPr>
        <w:t>0</w:t>
      </w:r>
      <w:r>
        <w:rPr>
          <w:rFonts w:hint="eastAsia" w:ascii="仿宋_GB2312" w:eastAsia="仿宋_GB2312"/>
          <w:sz w:val="24"/>
        </w:rPr>
        <w:t>月</w:t>
      </w:r>
      <w:r>
        <w:rPr>
          <w:rFonts w:ascii="仿宋_GB2312" w:eastAsia="仿宋_GB2312"/>
          <w:sz w:val="24"/>
        </w:rPr>
        <w:t>09</w:t>
      </w:r>
      <w:r>
        <w:rPr>
          <w:rFonts w:hint="eastAsia" w:ascii="仿宋_GB2312" w:eastAsia="仿宋_GB2312"/>
          <w:sz w:val="24"/>
        </w:rPr>
        <w:t>日。</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第三条  项目内容和范围</w:t>
      </w:r>
    </w:p>
    <w:p>
      <w:pPr>
        <w:spacing w:line="360" w:lineRule="auto"/>
        <w:ind w:firstLine="480" w:firstLineChars="200"/>
        <w:rPr>
          <w:rFonts w:hint="eastAsia" w:ascii="仿宋_GB2312" w:eastAsia="仿宋_GB2312"/>
          <w:sz w:val="24"/>
        </w:rPr>
      </w:pPr>
      <w:r>
        <w:rPr>
          <w:rFonts w:hint="eastAsia" w:ascii="仿宋_GB2312" w:eastAsia="仿宋_GB2312"/>
          <w:sz w:val="24"/>
        </w:rPr>
        <w:t>乙方负责设备维修、软件维护升级、新品替换、辅助材料、特殊工具等项；包括涉及本项目的新增、移位、撤除，供电接电配合、前后端设备清洁，人为损坏理赔追责以及恢复施工；包括公安各类应急任务的支持和保障，如警卫，重大活动保卫、各级应急演练、重大案事件调用、其他急要事件处理等；包括其他通过约定明示或暗示的责任和义务。电费及开户由甲方承担。</w:t>
      </w:r>
    </w:p>
    <w:p>
      <w:pPr>
        <w:numPr>
          <w:ilvl w:val="0"/>
          <w:numId w:val="10"/>
        </w:numPr>
        <w:spacing w:line="360" w:lineRule="auto"/>
        <w:outlineLvl w:val="0"/>
        <w:rPr>
          <w:rFonts w:hint="eastAsia" w:ascii="仿宋_GB2312" w:eastAsia="仿宋_GB2312"/>
          <w:b/>
          <w:sz w:val="24"/>
        </w:rPr>
      </w:pPr>
      <w:r>
        <w:rPr>
          <w:rFonts w:hint="eastAsia" w:ascii="仿宋_GB2312" w:eastAsia="仿宋_GB2312"/>
          <w:b/>
          <w:sz w:val="24"/>
        </w:rPr>
        <w:t>权利和义务</w:t>
      </w:r>
    </w:p>
    <w:p>
      <w:pPr>
        <w:spacing w:line="360" w:lineRule="auto"/>
        <w:ind w:firstLine="470" w:firstLineChars="196"/>
        <w:outlineLvl w:val="0"/>
        <w:rPr>
          <w:rFonts w:hint="eastAsia" w:ascii="仿宋_GB2312" w:eastAsia="仿宋_GB2312"/>
          <w:bCs/>
          <w:sz w:val="24"/>
        </w:rPr>
      </w:pPr>
      <w:r>
        <w:rPr>
          <w:rFonts w:hint="eastAsia" w:ascii="仿宋_GB2312" w:eastAsia="仿宋_GB2312"/>
          <w:bCs/>
          <w:sz w:val="24"/>
        </w:rPr>
        <w:t>甲方总体负责项目管理、对外协调，保证系统正常运作。乙方具体负责本项目相关设备的采购、安装、系统集成、培训、维护等相关服务。</w:t>
      </w:r>
    </w:p>
    <w:p>
      <w:pPr>
        <w:spacing w:line="360" w:lineRule="auto"/>
        <w:ind w:firstLine="482" w:firstLineChars="200"/>
        <w:rPr>
          <w:rFonts w:hint="eastAsia" w:ascii="仿宋_GB2312" w:eastAsia="仿宋_GB2312"/>
          <w:b/>
          <w:sz w:val="24"/>
        </w:rPr>
      </w:pPr>
      <w:r>
        <w:rPr>
          <w:rFonts w:hint="eastAsia" w:ascii="仿宋_GB2312" w:eastAsia="仿宋_GB2312"/>
          <w:b/>
          <w:sz w:val="24"/>
        </w:rPr>
        <w:t>（一）甲方权利和义务</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1、用于本项目的设备材料、图像数据资料未经甲方同意，乙方均不得私自调用，泄露、转让、转借。</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2、甲方拥有本项目设备所有权。</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3、甲方应当遵照合同约定按时支付相关费用；</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4、监控点位新增或移位等建设时，甲方应支持乙方做好本项目建设工作中相关的各项配合工作并协调甲方单位进行配合。主要包括：协调、勘查工作，保证入网的各单位或部门配合乙方的安装调测工作；相关部门的协调，如建设、电力、城管、交通、路政、园林、规划等部门配合乙方进行维保和建设工作的协调工作。</w:t>
      </w:r>
    </w:p>
    <w:p>
      <w:pPr>
        <w:spacing w:line="360" w:lineRule="auto"/>
        <w:ind w:firstLine="482" w:firstLineChars="200"/>
        <w:rPr>
          <w:rFonts w:hint="eastAsia" w:ascii="仿宋_GB2312" w:eastAsia="仿宋_GB2312"/>
          <w:b/>
          <w:sz w:val="24"/>
        </w:rPr>
      </w:pPr>
      <w:r>
        <w:rPr>
          <w:rFonts w:hint="eastAsia" w:ascii="仿宋_GB2312" w:eastAsia="仿宋_GB2312"/>
          <w:b/>
          <w:sz w:val="24"/>
        </w:rPr>
        <w:t>（三）乙方权利和义务</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1、乙方有权获取与本项目相关的信息。</w:t>
      </w:r>
    </w:p>
    <w:p>
      <w:pPr>
        <w:spacing w:line="360" w:lineRule="auto"/>
        <w:ind w:firstLine="480" w:firstLineChars="200"/>
        <w:rPr>
          <w:rFonts w:hint="eastAsia" w:ascii="仿宋_GB2312" w:eastAsia="仿宋_GB2312"/>
          <w:sz w:val="24"/>
        </w:rPr>
      </w:pPr>
      <w:r>
        <w:rPr>
          <w:rFonts w:hint="eastAsia" w:ascii="仿宋_GB2312" w:eastAsia="仿宋_GB2312"/>
          <w:sz w:val="24"/>
        </w:rPr>
        <w:t>2、乙方按招标要求进行系统维护，保证满足甲方单位的需求；</w:t>
      </w:r>
    </w:p>
    <w:p>
      <w:pPr>
        <w:tabs>
          <w:tab w:val="left" w:pos="851"/>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3、在系统维护和新增、移位、拆迁等施工过程中，乙方应当做好人员和设备的安全工作，因乙方原因导致人员安全问题或设备损坏或失窃等，由乙方负责,与甲方无关。非乙方原因导致设备损坏或失窃的在未找到责任人前，无特殊情况，乙方可以先行修复。</w:t>
      </w:r>
    </w:p>
    <w:p>
      <w:pPr>
        <w:tabs>
          <w:tab w:val="left" w:pos="851"/>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4、乙方负责建立健全本项目的相关技术档案和维护档案并提供给甲方单位；</w:t>
      </w:r>
    </w:p>
    <w:p>
      <w:pPr>
        <w:tabs>
          <w:tab w:val="left" w:pos="851"/>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5、乙方提供及时优质的维护服务，保障系统的运行稳定，负责故障的全程处理，并及时修复；</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6、乙方提供7*12小时响应服务，工作时间范围（含节假日）：早上8：00—晚上20：00。</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7、乙方保证本项目设备和数据信息的安全，不用于其他用途；</w:t>
      </w:r>
    </w:p>
    <w:p>
      <w:pPr>
        <w:tabs>
          <w:tab w:val="left" w:pos="851"/>
          <w:tab w:val="left" w:pos="1134"/>
        </w:tabs>
        <w:spacing w:line="360" w:lineRule="auto"/>
        <w:ind w:firstLine="480" w:firstLineChars="200"/>
        <w:rPr>
          <w:ins w:id="0" w:author="lawyer鲍" w:date="2019-07-09T10:52:00Z"/>
          <w:rFonts w:hint="eastAsia" w:ascii="仿宋_GB2312" w:eastAsia="仿宋_GB2312"/>
          <w:sz w:val="24"/>
        </w:rPr>
      </w:pPr>
      <w:r>
        <w:rPr>
          <w:rFonts w:hint="eastAsia" w:ascii="仿宋_GB2312" w:eastAsia="仿宋_GB2312"/>
          <w:sz w:val="24"/>
        </w:rPr>
        <w:t>8、乙方对于新品替换（主要指服务器、摄像机、交换机、光端机/收发器、云储存等主要设备），在设备到货后，必须向甲方书面报审，经甲方确认通过后方可进场使用。否则甲方有权要求退货、换货，由此引起的工期延误及相应损失由乙方承担。</w:t>
      </w:r>
    </w:p>
    <w:p>
      <w:pPr>
        <w:numPr>
          <w:ilvl w:val="0"/>
          <w:numId w:val="10"/>
        </w:numPr>
        <w:spacing w:line="360" w:lineRule="auto"/>
        <w:outlineLvl w:val="0"/>
        <w:rPr>
          <w:rFonts w:hint="eastAsia" w:ascii="仿宋_GB2312" w:eastAsia="仿宋_GB2312"/>
          <w:b/>
          <w:sz w:val="24"/>
        </w:rPr>
      </w:pPr>
      <w:r>
        <w:rPr>
          <w:rFonts w:hint="eastAsia" w:ascii="仿宋_GB2312" w:eastAsia="仿宋_GB2312"/>
          <w:b/>
          <w:sz w:val="24"/>
        </w:rPr>
        <w:t>资费内容、标准、支付方式及其他约定</w:t>
      </w:r>
    </w:p>
    <w:p>
      <w:pPr>
        <w:spacing w:line="360" w:lineRule="auto"/>
        <w:ind w:firstLine="482" w:firstLineChars="200"/>
        <w:rPr>
          <w:rFonts w:hint="eastAsia" w:ascii="仿宋_GB2312" w:eastAsia="仿宋_GB2312"/>
          <w:b/>
          <w:sz w:val="24"/>
        </w:rPr>
      </w:pPr>
      <w:r>
        <w:rPr>
          <w:rFonts w:hint="eastAsia" w:ascii="仿宋_GB2312" w:eastAsia="仿宋_GB2312"/>
          <w:b/>
          <w:sz w:val="24"/>
        </w:rPr>
        <w:t>（一）资费标准</w:t>
      </w:r>
    </w:p>
    <w:p>
      <w:pPr>
        <w:spacing w:line="360" w:lineRule="auto"/>
        <w:ind w:firstLine="480" w:firstLineChars="200"/>
        <w:rPr>
          <w:rFonts w:ascii="仿宋_GB2312" w:eastAsia="仿宋_GB2312"/>
          <w:sz w:val="24"/>
        </w:rPr>
      </w:pPr>
      <w:r>
        <w:rPr>
          <w:rFonts w:hint="eastAsia" w:ascii="仿宋_GB2312" w:eastAsia="仿宋_GB2312"/>
          <w:sz w:val="24"/>
        </w:rPr>
        <w:t>本项目合同总金额为人民币（大写）</w:t>
      </w:r>
      <w:r>
        <w:rPr>
          <w:rFonts w:hint="eastAsia" w:ascii="仿宋_GB2312" w:eastAsia="仿宋_GB2312"/>
          <w:sz w:val="24"/>
          <w:u w:val="single"/>
        </w:rPr>
        <w:t xml:space="preserve">     </w:t>
      </w:r>
      <w:r>
        <w:rPr>
          <w:rFonts w:hint="eastAsia" w:ascii="仿宋_GB2312" w:eastAsia="仿宋_GB2312"/>
          <w:sz w:val="24"/>
        </w:rPr>
        <w:t>元整（小写）</w:t>
      </w:r>
      <w:r>
        <w:rPr>
          <w:rFonts w:ascii="仿宋_GB2312" w:eastAsia="仿宋_GB2312"/>
          <w:sz w:val="24"/>
        </w:rPr>
        <w:t xml:space="preserve"> </w:t>
      </w:r>
    </w:p>
    <w:p>
      <w:pPr>
        <w:spacing w:line="360" w:lineRule="auto"/>
        <w:ind w:firstLine="482" w:firstLineChars="200"/>
        <w:rPr>
          <w:rFonts w:hint="eastAsia" w:ascii="仿宋_GB2312" w:eastAsia="仿宋_GB2312"/>
          <w:b/>
          <w:sz w:val="24"/>
        </w:rPr>
      </w:pPr>
      <w:r>
        <w:rPr>
          <w:rFonts w:hint="eastAsia" w:ascii="仿宋_GB2312" w:eastAsia="仿宋_GB2312"/>
          <w:b/>
          <w:sz w:val="24"/>
        </w:rPr>
        <w:t>（二）支付方式</w:t>
      </w:r>
    </w:p>
    <w:p>
      <w:pPr>
        <w:spacing w:line="360" w:lineRule="auto"/>
        <w:ind w:firstLine="480" w:firstLineChars="200"/>
        <w:rPr>
          <w:rFonts w:hint="eastAsia" w:ascii="仿宋_GB2312" w:eastAsia="仿宋_GB2312"/>
          <w:sz w:val="24"/>
        </w:rPr>
      </w:pPr>
      <w:r>
        <w:rPr>
          <w:rFonts w:hint="eastAsia" w:ascii="仿宋_GB2312" w:eastAsia="仿宋_GB2312"/>
          <w:sz w:val="24"/>
        </w:rPr>
        <w:t>合同签订完毕生效后，根据服务周期，维护费每半年结算一次，运维满半年后的15个工作日内支付，实际支付金额=中标价/5年/2-每月考核罚款的累计。</w:t>
      </w:r>
    </w:p>
    <w:p>
      <w:pPr>
        <w:spacing w:line="360" w:lineRule="auto"/>
        <w:ind w:firstLine="482" w:firstLineChars="200"/>
        <w:rPr>
          <w:rFonts w:hint="eastAsia" w:ascii="仿宋_GB2312" w:eastAsia="仿宋_GB2312"/>
          <w:b/>
          <w:sz w:val="24"/>
        </w:rPr>
      </w:pPr>
      <w:r>
        <w:rPr>
          <w:rFonts w:hint="eastAsia" w:ascii="仿宋_GB2312" w:eastAsia="仿宋_GB2312"/>
          <w:b/>
          <w:sz w:val="24"/>
        </w:rPr>
        <w:t>（四）其他约定</w:t>
      </w:r>
    </w:p>
    <w:p>
      <w:pPr>
        <w:tabs>
          <w:tab w:val="left" w:pos="1134"/>
        </w:tabs>
        <w:spacing w:line="360" w:lineRule="auto"/>
        <w:ind w:left="120" w:leftChars="57" w:firstLine="480" w:firstLineChars="200"/>
        <w:rPr>
          <w:rFonts w:hint="eastAsia" w:ascii="仿宋_GB2312" w:eastAsia="仿宋_GB2312"/>
          <w:sz w:val="24"/>
        </w:rPr>
      </w:pPr>
      <w:r>
        <w:rPr>
          <w:rFonts w:hint="eastAsia" w:ascii="仿宋_GB2312" w:eastAsia="仿宋_GB2312"/>
          <w:sz w:val="24"/>
        </w:rPr>
        <w:t>1、乙方负责维护中被替换下来设备的登记和保管，做到帐实相符，甲方每年进行一次年度查核和清缴，乙方应同时将账物移交甲方。</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2、乙方负责无偿实施应承担部分的前端点位新增、移位、人为损害等施工和修复，做好登记上报甲方备案。超出应承担部分的建设，在符合政府采购等相关法律法规的前提下，可共同商定建设费用。</w:t>
      </w:r>
    </w:p>
    <w:p>
      <w:pPr>
        <w:tabs>
          <w:tab w:val="left" w:pos="1134"/>
        </w:tabs>
        <w:spacing w:line="360" w:lineRule="auto"/>
        <w:ind w:firstLine="480" w:firstLineChars="200"/>
        <w:rPr>
          <w:rFonts w:hint="eastAsia" w:ascii="仿宋_GB2312" w:eastAsia="仿宋_GB2312"/>
          <w:color w:val="FF0000"/>
          <w:sz w:val="24"/>
        </w:rPr>
      </w:pPr>
      <w:r>
        <w:rPr>
          <w:rFonts w:hint="eastAsia" w:ascii="仿宋_GB2312" w:eastAsia="仿宋_GB2312"/>
          <w:sz w:val="24"/>
        </w:rPr>
        <w:t>3、乙方凭相关部门签发的施工联系单经由甲方确认后进行施工，费用在当年度第二个半年度结算时付清。</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 xml:space="preserve">4、乙方协助设备被撞、被盗等人为损坏设备的报案、追责、理赔等工作。 </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第六条  维护要求与考核</w:t>
      </w:r>
    </w:p>
    <w:p>
      <w:pPr>
        <w:spacing w:line="360" w:lineRule="auto"/>
        <w:ind w:firstLine="472" w:firstLineChars="196"/>
        <w:rPr>
          <w:rFonts w:hint="eastAsia" w:ascii="仿宋_GB2312" w:eastAsia="仿宋_GB2312"/>
          <w:b/>
          <w:sz w:val="24"/>
        </w:rPr>
      </w:pPr>
      <w:r>
        <w:rPr>
          <w:rFonts w:hint="eastAsia" w:ascii="仿宋_GB2312" w:eastAsia="仿宋_GB2312"/>
          <w:b/>
          <w:sz w:val="24"/>
        </w:rPr>
        <w:t>（一）维护要求</w:t>
      </w:r>
    </w:p>
    <w:p>
      <w:pPr>
        <w:spacing w:line="360" w:lineRule="auto"/>
        <w:ind w:firstLine="480" w:firstLineChars="200"/>
        <w:rPr>
          <w:rFonts w:hint="eastAsia" w:ascii="仿宋_GB2312" w:eastAsia="仿宋_GB2312"/>
          <w:sz w:val="24"/>
        </w:rPr>
      </w:pPr>
      <w:r>
        <w:rPr>
          <w:rFonts w:hint="eastAsia" w:ascii="仿宋_GB2312" w:eastAsia="仿宋_GB2312"/>
          <w:sz w:val="24"/>
        </w:rPr>
        <w:t>1、加强安全生产管理</w:t>
      </w:r>
    </w:p>
    <w:p>
      <w:pPr>
        <w:spacing w:line="360" w:lineRule="auto"/>
        <w:ind w:firstLine="480" w:firstLineChars="200"/>
        <w:rPr>
          <w:rFonts w:hint="eastAsia" w:ascii="仿宋_GB2312" w:eastAsia="仿宋_GB2312"/>
          <w:sz w:val="24"/>
        </w:rPr>
      </w:pPr>
      <w:r>
        <w:rPr>
          <w:rFonts w:hint="eastAsia" w:ascii="仿宋_GB2312" w:eastAsia="仿宋_GB2312"/>
          <w:sz w:val="24"/>
        </w:rPr>
        <w:t>① 乙方要加强安全生产管理，落实维护和施工过程中的各项安全措施，确保人身和其他财产的安全。由于乙方自身原因造成的损失，均由乙方承担。</w:t>
      </w:r>
    </w:p>
    <w:p>
      <w:pPr>
        <w:spacing w:line="360" w:lineRule="auto"/>
        <w:ind w:firstLine="480" w:firstLineChars="200"/>
        <w:rPr>
          <w:rFonts w:hint="eastAsia" w:ascii="仿宋_GB2312" w:eastAsia="仿宋_GB2312"/>
          <w:color w:val="FF0000"/>
          <w:sz w:val="24"/>
        </w:rPr>
      </w:pPr>
      <w:r>
        <w:rPr>
          <w:rFonts w:hint="eastAsia" w:ascii="仿宋_GB2312" w:eastAsia="仿宋_GB2312"/>
          <w:sz w:val="24"/>
        </w:rPr>
        <w:t>②乙方要加强应急处置的时效性，对于前后端设备有人身和财产安全隐患的，必须立即赶赴现场，及时消除安全隐患。由于乙方原因未及时消除安全隐患，由此造成的损失均由乙方承担。</w:t>
      </w:r>
    </w:p>
    <w:p>
      <w:pPr>
        <w:spacing w:line="360" w:lineRule="auto"/>
        <w:ind w:firstLine="480" w:firstLineChars="200"/>
        <w:rPr>
          <w:rFonts w:hint="eastAsia" w:ascii="仿宋_GB2312" w:eastAsia="仿宋_GB2312"/>
          <w:sz w:val="24"/>
        </w:rPr>
      </w:pPr>
      <w:r>
        <w:rPr>
          <w:rFonts w:hint="eastAsia" w:ascii="仿宋_GB2312" w:eastAsia="仿宋_GB2312"/>
          <w:sz w:val="24"/>
        </w:rPr>
        <w:t>③乙方要加强设备安全管理，落实防火、防盗、防破坏等安全措施；对于前端市电接入、接地电阻、后端防火防水、设备接地、用电负载等应严格落实施工与维护的工作规范；</w:t>
      </w:r>
    </w:p>
    <w:p>
      <w:pPr>
        <w:spacing w:line="360" w:lineRule="auto"/>
        <w:ind w:firstLine="480" w:firstLineChars="200"/>
        <w:jc w:val="left"/>
        <w:rPr>
          <w:rFonts w:hint="eastAsia" w:ascii="仿宋_GB2312" w:eastAsia="仿宋_GB2312"/>
          <w:sz w:val="24"/>
        </w:rPr>
      </w:pPr>
      <w:r>
        <w:rPr>
          <w:rFonts w:hint="eastAsia" w:ascii="仿宋_GB2312" w:eastAsia="仿宋_GB2312"/>
          <w:sz w:val="24"/>
        </w:rPr>
        <w:t>④乙方要加强数据安全管理。对于甲方单位的各类数据，在施工维护、第三方研发、共享联网等过程中，要特别注意保护甲方单位数据的安全，杜绝随意泄露甲方数据用户账户口令，严禁向无关人员泄露甲方的图像数据。做好防泄密、防窃密等安全保密工作。</w:t>
      </w:r>
    </w:p>
    <w:p>
      <w:pPr>
        <w:spacing w:line="360" w:lineRule="auto"/>
        <w:ind w:firstLine="480" w:firstLineChars="200"/>
        <w:rPr>
          <w:rFonts w:hint="eastAsia" w:ascii="仿宋_GB2312" w:eastAsia="仿宋_GB2312"/>
          <w:sz w:val="24"/>
        </w:rPr>
      </w:pPr>
      <w:r>
        <w:rPr>
          <w:rFonts w:hint="eastAsia" w:ascii="仿宋_GB2312" w:eastAsia="仿宋_GB2312"/>
          <w:sz w:val="24"/>
        </w:rPr>
        <w:t>2、加强重点保障</w:t>
      </w:r>
    </w:p>
    <w:p>
      <w:pPr>
        <w:spacing w:line="360" w:lineRule="auto"/>
        <w:ind w:firstLine="480" w:firstLineChars="200"/>
        <w:rPr>
          <w:rFonts w:hint="eastAsia" w:ascii="仿宋_GB2312" w:eastAsia="仿宋_GB2312"/>
          <w:sz w:val="24"/>
        </w:rPr>
      </w:pPr>
      <w:r>
        <w:rPr>
          <w:rFonts w:hint="eastAsia" w:ascii="仿宋_GB2312" w:eastAsia="仿宋_GB2312"/>
          <w:sz w:val="24"/>
        </w:rPr>
        <w:t>①乙方必须即时响应协助甲方单位做好警卫，重大活动保卫、演练、重大案事件等其他急要活动的保障工作；</w:t>
      </w:r>
    </w:p>
    <w:p>
      <w:pPr>
        <w:spacing w:line="360" w:lineRule="auto"/>
        <w:ind w:firstLine="480" w:firstLineChars="200"/>
        <w:rPr>
          <w:rFonts w:hint="eastAsia" w:ascii="仿宋_GB2312" w:eastAsia="仿宋_GB2312"/>
          <w:sz w:val="24"/>
        </w:rPr>
      </w:pPr>
      <w:r>
        <w:rPr>
          <w:rFonts w:hint="eastAsia" w:ascii="仿宋_GB2312" w:eastAsia="仿宋_GB2312"/>
          <w:sz w:val="24"/>
        </w:rPr>
        <w:t xml:space="preserve">②乙方应加强节假日、非正常工作时间的值班备勤，明确应急措施、落实值班人员、备足应急设备和交通工具，确保各类应急和紧急任务的快速处理； </w:t>
      </w:r>
    </w:p>
    <w:p>
      <w:pPr>
        <w:spacing w:line="360" w:lineRule="auto"/>
        <w:ind w:firstLine="480" w:firstLineChars="200"/>
        <w:rPr>
          <w:rFonts w:hint="eastAsia" w:ascii="仿宋_GB2312" w:eastAsia="仿宋_GB2312"/>
          <w:sz w:val="24"/>
        </w:rPr>
      </w:pPr>
      <w:r>
        <w:rPr>
          <w:rFonts w:hint="eastAsia" w:ascii="仿宋_GB2312" w:eastAsia="仿宋_GB2312"/>
          <w:sz w:val="24"/>
        </w:rPr>
        <w:t>③乙方应重点加强甲方单位的核心交换机、存储设备、服务器、系统平台和应用平台等重要系统、重要设备的实时保障工作；即时响应中心机房、指挥中心设备维护项目，确保系统设备正常、稳定运行。</w:t>
      </w:r>
    </w:p>
    <w:p>
      <w:pPr>
        <w:spacing w:line="360" w:lineRule="auto"/>
        <w:ind w:firstLine="480" w:firstLineChars="200"/>
        <w:rPr>
          <w:rFonts w:hint="eastAsia" w:ascii="仿宋_GB2312" w:eastAsia="仿宋_GB2312"/>
          <w:sz w:val="24"/>
        </w:rPr>
      </w:pPr>
      <w:r>
        <w:rPr>
          <w:rFonts w:hint="eastAsia" w:ascii="仿宋_GB2312" w:eastAsia="仿宋_GB2312"/>
          <w:sz w:val="24"/>
        </w:rPr>
        <w:t>3、加强维护的时效性</w:t>
      </w:r>
    </w:p>
    <w:p>
      <w:pPr>
        <w:spacing w:line="360" w:lineRule="auto"/>
        <w:ind w:firstLine="480" w:firstLineChars="200"/>
        <w:rPr>
          <w:rFonts w:hint="eastAsia" w:ascii="仿宋_GB2312" w:eastAsia="仿宋_GB2312"/>
          <w:sz w:val="24"/>
        </w:rPr>
      </w:pPr>
      <w:r>
        <w:rPr>
          <w:rFonts w:hint="eastAsia" w:ascii="仿宋_GB2312" w:eastAsia="仿宋_GB2312"/>
          <w:sz w:val="24"/>
        </w:rPr>
        <w:t>①合同维护期限内，乙方提供7*12小时响应服务，报修电话</w:t>
      </w:r>
      <w:r>
        <w:rPr>
          <w:rFonts w:hint="eastAsia" w:ascii="仿宋_GB2312" w:eastAsia="仿宋_GB2312"/>
          <w:sz w:val="24"/>
          <w:u w:val="single"/>
        </w:rPr>
        <w:t xml:space="preserve">          </w:t>
      </w:r>
      <w:r>
        <w:rPr>
          <w:rFonts w:hint="eastAsia" w:ascii="仿宋_GB2312" w:eastAsia="仿宋_GB2312"/>
          <w:sz w:val="24"/>
        </w:rPr>
        <w:t>；紧急情况提供7*24小时响应服务。</w:t>
      </w:r>
    </w:p>
    <w:p>
      <w:pPr>
        <w:spacing w:line="360" w:lineRule="auto"/>
        <w:ind w:firstLine="480" w:firstLineChars="200"/>
        <w:rPr>
          <w:rFonts w:hint="eastAsia" w:ascii="仿宋_GB2312" w:eastAsia="仿宋_GB2312"/>
          <w:sz w:val="24"/>
        </w:rPr>
      </w:pPr>
      <w:r>
        <w:rPr>
          <w:rFonts w:hint="eastAsia" w:ascii="仿宋_GB2312" w:eastAsia="仿宋_GB2312"/>
          <w:sz w:val="24"/>
        </w:rPr>
        <w:t>②乙方对于前后端设备有人身和财产安全隐患的，必须即刻响应，立即消除，最长不得超过2小时。</w:t>
      </w:r>
    </w:p>
    <w:p>
      <w:pPr>
        <w:spacing w:line="360" w:lineRule="auto"/>
        <w:ind w:firstLine="480" w:firstLineChars="200"/>
        <w:rPr>
          <w:rFonts w:hint="eastAsia" w:ascii="仿宋_GB2312" w:eastAsia="仿宋_GB2312"/>
          <w:sz w:val="24"/>
        </w:rPr>
      </w:pPr>
      <w:r>
        <w:rPr>
          <w:rFonts w:hint="eastAsia" w:ascii="仿宋_GB2312" w:eastAsia="仿宋_GB2312"/>
          <w:sz w:val="24"/>
        </w:rPr>
        <w:t>③乙方对于甲方单位各类临时性、突发性的应急保障任务，须即时响应，城区1小时内，农村2小时内到达现场；前后端设备的调测、检修、清洁在12小时内完成；现场临时搭建视频监控点及中心的在48小时内完成；属日常性的**保障，甲方提前48小时通知，乙方应在7日内完成。</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 xml:space="preserve">④乙方对于涉及核心设备、主干网络、应用系统等重要故障的，须立即响应，采取应急措施，迅速恢复功能； </w:t>
      </w:r>
    </w:p>
    <w:p>
      <w:pPr>
        <w:spacing w:line="360" w:lineRule="auto"/>
        <w:ind w:firstLine="480" w:firstLineChars="200"/>
        <w:rPr>
          <w:rFonts w:hint="eastAsia" w:ascii="仿宋_GB2312" w:eastAsia="仿宋_GB2312"/>
          <w:sz w:val="24"/>
          <w:highlight w:val="yellow"/>
        </w:rPr>
      </w:pPr>
      <w:r>
        <w:rPr>
          <w:rFonts w:hint="eastAsia" w:ascii="仿宋_GB2312" w:eastAsia="仿宋_GB2312"/>
          <w:sz w:val="24"/>
        </w:rPr>
        <w:t xml:space="preserve">⑤每年前端点位新增、移位，一般应每半年集中施工一次；每年无法追偿的被撞、被盗等人为损坏修复，一般应及时进行；每年前端点位属高清新增。 </w:t>
      </w:r>
    </w:p>
    <w:p>
      <w:pPr>
        <w:spacing w:line="360" w:lineRule="auto"/>
        <w:ind w:firstLine="480" w:firstLineChars="200"/>
        <w:rPr>
          <w:rFonts w:hint="eastAsia" w:ascii="仿宋_GB2312" w:eastAsia="仿宋_GB2312"/>
          <w:sz w:val="24"/>
        </w:rPr>
      </w:pPr>
      <w:r>
        <w:rPr>
          <w:rFonts w:hint="eastAsia" w:ascii="仿宋_GB2312" w:eastAsia="仿宋_GB2312"/>
          <w:sz w:val="24"/>
        </w:rPr>
        <w:t>4、落实替换性维修</w:t>
      </w:r>
    </w:p>
    <w:p>
      <w:pPr>
        <w:spacing w:line="360" w:lineRule="auto"/>
        <w:ind w:firstLine="480" w:firstLineChars="200"/>
        <w:rPr>
          <w:rFonts w:hint="eastAsia" w:ascii="仿宋_GB2312" w:eastAsia="仿宋_GB2312"/>
          <w:sz w:val="24"/>
        </w:rPr>
      </w:pPr>
      <w:r>
        <w:rPr>
          <w:rFonts w:hint="eastAsia" w:ascii="仿宋_GB2312" w:eastAsia="仿宋_GB2312"/>
          <w:sz w:val="24"/>
        </w:rPr>
        <w:t>①一般采用国内知名品牌，性能参数指标高于等于原有标准，有前瞻性，且选型与本项目系统同类设备保持相对统一。</w:t>
      </w:r>
    </w:p>
    <w:p>
      <w:pPr>
        <w:spacing w:line="360" w:lineRule="auto"/>
        <w:ind w:firstLine="480" w:firstLineChars="200"/>
        <w:rPr>
          <w:rFonts w:hint="eastAsia" w:ascii="仿宋_GB2312" w:eastAsia="仿宋_GB2312"/>
          <w:color w:val="FF0000"/>
          <w:sz w:val="24"/>
        </w:rPr>
      </w:pPr>
      <w:r>
        <w:rPr>
          <w:rFonts w:hint="eastAsia" w:ascii="仿宋_GB2312" w:eastAsia="仿宋_GB2312"/>
          <w:sz w:val="24"/>
        </w:rPr>
        <w:t>②符合《安全防范工程设计规范》GB50348-2004、《浙江省社会治安动态视频监控系统技术规范》DB33/T 502--2004、</w:t>
      </w:r>
      <w:r>
        <w:rPr>
          <w:rFonts w:hint="eastAsia" w:ascii="仿宋_GB2312" w:hAnsi="Arial" w:eastAsia="仿宋_GB2312" w:cs="Arial"/>
          <w:sz w:val="24"/>
          <w:shd w:val="clear" w:color="auto" w:fill="FFFFFF"/>
        </w:rPr>
        <w:t>《安全防范视频监控联网系统信息传输、交换、控制技术要求》GB/T</w:t>
      </w:r>
      <w:r>
        <w:rPr>
          <w:rStyle w:val="23"/>
          <w:rFonts w:hint="eastAsia" w:ascii="仿宋_GB2312" w:hAnsi="Arial" w:eastAsia="仿宋_GB2312" w:cs="Arial"/>
          <w:i w:val="0"/>
          <w:iCs w:val="0"/>
          <w:sz w:val="24"/>
          <w:shd w:val="clear" w:color="auto" w:fill="FFFFFF"/>
        </w:rPr>
        <w:t>28181</w:t>
      </w:r>
      <w:r>
        <w:rPr>
          <w:rFonts w:hint="eastAsia" w:ascii="仿宋_GB2312" w:hAnsi="Arial" w:eastAsia="仿宋_GB2312" w:cs="Arial"/>
          <w:sz w:val="24"/>
          <w:shd w:val="clear" w:color="auto" w:fill="FFFFFF"/>
        </w:rPr>
        <w:t>-2011等标准</w:t>
      </w:r>
      <w:r>
        <w:rPr>
          <w:rFonts w:hint="eastAsia" w:ascii="仿宋_GB2312" w:eastAsia="仿宋_GB2312"/>
          <w:sz w:val="24"/>
        </w:rPr>
        <w:t>。</w:t>
      </w:r>
    </w:p>
    <w:p>
      <w:pPr>
        <w:spacing w:line="360" w:lineRule="auto"/>
        <w:ind w:firstLine="480" w:firstLineChars="200"/>
        <w:rPr>
          <w:rFonts w:hint="eastAsia" w:ascii="仿宋_GB2312" w:eastAsia="仿宋_GB2312"/>
          <w:sz w:val="24"/>
        </w:rPr>
      </w:pPr>
      <w:r>
        <w:rPr>
          <w:rFonts w:hint="eastAsia" w:ascii="仿宋_GB2312" w:eastAsia="仿宋_GB2312"/>
          <w:sz w:val="24"/>
        </w:rPr>
        <w:t>③维护中的所有新品替换，乙方均应登记造册、做好台账并与甲方共同备案。与原品牌、型号不同的新品替换应书面报备甲方，同品牌、型号的或遇重大应急等保障任务的个别新品替换，可在口头征得甲方同意后先行施工，完成施工后并报备甲方。</w:t>
      </w:r>
    </w:p>
    <w:p>
      <w:pPr>
        <w:spacing w:line="360" w:lineRule="auto"/>
        <w:ind w:firstLine="480" w:firstLineChars="200"/>
        <w:rPr>
          <w:rFonts w:hint="eastAsia" w:ascii="仿宋_GB2312" w:eastAsia="仿宋_GB2312"/>
          <w:sz w:val="24"/>
        </w:rPr>
      </w:pPr>
      <w:r>
        <w:rPr>
          <w:rFonts w:hint="eastAsia" w:ascii="仿宋_GB2312" w:eastAsia="仿宋_GB2312"/>
          <w:sz w:val="24"/>
        </w:rPr>
        <w:t>④前端摄像机损坏、前端点位新增、前端点位移位、产品无法维修或多次以上维修的以及人为损坏情况严重的恢复性施工一般应进行替换性维修。</w:t>
      </w:r>
    </w:p>
    <w:p>
      <w:pPr>
        <w:spacing w:line="360" w:lineRule="auto"/>
        <w:ind w:firstLine="480" w:firstLineChars="200"/>
        <w:rPr>
          <w:rFonts w:hint="eastAsia" w:ascii="仿宋_GB2312" w:eastAsia="仿宋_GB2312"/>
          <w:sz w:val="24"/>
        </w:rPr>
      </w:pPr>
      <w:r>
        <w:rPr>
          <w:rFonts w:hint="eastAsia" w:ascii="仿宋_GB2312" w:eastAsia="仿宋_GB2312"/>
          <w:sz w:val="24"/>
        </w:rPr>
        <w:t>5、加强系统设备巡检</w:t>
      </w:r>
    </w:p>
    <w:p>
      <w:pPr>
        <w:tabs>
          <w:tab w:val="left" w:pos="1134"/>
        </w:tabs>
        <w:spacing w:line="360" w:lineRule="auto"/>
        <w:ind w:firstLine="480" w:firstLineChars="200"/>
        <w:rPr>
          <w:rFonts w:hint="eastAsia" w:ascii="仿宋_GB2312" w:eastAsia="仿宋_GB2312"/>
          <w:color w:val="FF0000"/>
          <w:sz w:val="24"/>
        </w:rPr>
      </w:pPr>
      <w:r>
        <w:rPr>
          <w:rFonts w:hint="eastAsia" w:ascii="仿宋_GB2312" w:eastAsia="仿宋_GB2312"/>
          <w:sz w:val="24"/>
        </w:rPr>
        <w:t>①乙方应建立前端点位日常巡检制度，做好镜头清洁、遮挡物清理、视角矫正以及箱内设备、市电接入、设备接地等检修和清洁保养工作。</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②乙方应建立各控制中心机房巡检制度，重点做好市电、UPS供电的负载的平衡以及稳定性检查，还要做好机房接地、设备接地，机房温湿度检测以及其他相关设备的检修和清洁保养，排除安全隐患。</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③乙方应联系及协助设备制造商做好设备的跟踪、反馈等检修服务。</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kern w:val="24"/>
          <w:sz w:val="24"/>
          <w:lang w:val="en-GB"/>
        </w:rPr>
        <w:t>④乙方的巡检工作要注重预防性检查，特别是一些使用率不高的设备，要结合巡检、通过加电热机等预防性措施，以保证设备能正常使用。</w:t>
      </w:r>
    </w:p>
    <w:p>
      <w:pPr>
        <w:spacing w:line="360" w:lineRule="auto"/>
        <w:ind w:firstLine="480" w:firstLineChars="200"/>
        <w:rPr>
          <w:rFonts w:hint="eastAsia" w:ascii="仿宋_GB2312" w:eastAsia="仿宋_GB2312"/>
          <w:strike/>
          <w:sz w:val="24"/>
        </w:rPr>
      </w:pPr>
      <w:r>
        <w:rPr>
          <w:rFonts w:hint="eastAsia" w:ascii="仿宋_GB2312" w:eastAsia="仿宋_GB2312"/>
          <w:sz w:val="24"/>
        </w:rPr>
        <w:t>⑤乙方的巡检工作须形成书面巡检报告，巡检报告应当载明巡检中发现的问题、解决的预期以及其他合理化建议。</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6、乙方应制定详细、合理、科学的维修保养方案及实施措施，针对维保设备实际运行情况，提供人员及技术保障和充足的备品备件。</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7、乙方应在合同签订生效后一个月内对所有点位的设备建立完整的维保档案，记录维护时间、故障现象、解决问题的方法、更换零部件的名称和数量、版本升级记录、扩容记录等，并进行质量跟踪。</w:t>
      </w:r>
    </w:p>
    <w:p>
      <w:pPr>
        <w:tabs>
          <w:tab w:val="left" w:pos="1134"/>
          <w:tab w:val="left" w:pos="1276"/>
        </w:tabs>
        <w:spacing w:line="360" w:lineRule="auto"/>
        <w:ind w:firstLine="480" w:firstLineChars="200"/>
        <w:rPr>
          <w:rFonts w:hint="eastAsia" w:ascii="仿宋_GB2312" w:eastAsia="仿宋_GB2312"/>
          <w:sz w:val="24"/>
        </w:rPr>
      </w:pPr>
      <w:r>
        <w:rPr>
          <w:rFonts w:hint="eastAsia" w:ascii="仿宋_GB2312" w:eastAsia="仿宋_GB2312"/>
          <w:sz w:val="24"/>
        </w:rPr>
        <w:t xml:space="preserve">8、乙方须及时跟进因第三方原因引起的现场施工，做好相关管线、基础、预埋等配套工作。 </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9、乙方应做好技术支撑和咨询服务工作。</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①乙方应及时响应甲方指挥中心、分控中心、应用中心等部门的技术咨询与支撑的需求；</w:t>
      </w:r>
    </w:p>
    <w:p>
      <w:pPr>
        <w:tabs>
          <w:tab w:val="left" w:pos="1134"/>
        </w:tabs>
        <w:spacing w:line="360" w:lineRule="auto"/>
        <w:ind w:firstLine="480" w:firstLineChars="200"/>
        <w:rPr>
          <w:rFonts w:hint="eastAsia" w:ascii="仿宋_GB2312" w:eastAsia="仿宋_GB2312"/>
          <w:sz w:val="24"/>
        </w:rPr>
      </w:pPr>
      <w:r>
        <w:rPr>
          <w:rFonts w:hint="eastAsia" w:ascii="仿宋_GB2312" w:eastAsia="仿宋_GB2312"/>
          <w:sz w:val="24"/>
        </w:rPr>
        <w:t>②乙方应做好技术培训。结合巡检要经常性的对甲方相关系统操作人员进行技术培训，新系统部署、甲方新员工上岗要进行专题培训，协助甲方做好视频监控系统相关人员培训工作；</w:t>
      </w:r>
    </w:p>
    <w:p>
      <w:pPr>
        <w:tabs>
          <w:tab w:val="left" w:pos="1134"/>
          <w:tab w:val="left" w:pos="1276"/>
        </w:tabs>
        <w:spacing w:line="360" w:lineRule="auto"/>
        <w:ind w:firstLine="480" w:firstLineChars="200"/>
        <w:rPr>
          <w:rFonts w:hint="eastAsia" w:ascii="仿宋_GB2312" w:eastAsia="仿宋_GB2312"/>
          <w:sz w:val="24"/>
        </w:rPr>
      </w:pPr>
      <w:r>
        <w:rPr>
          <w:rFonts w:hint="eastAsia" w:ascii="仿宋_GB2312" w:eastAsia="仿宋_GB2312"/>
          <w:sz w:val="24"/>
        </w:rPr>
        <w:t>③乙方要无偿为甲方提供视频监控发展技术资讯、视频监控建设前景规划、视频监控建设、技术方预案等技术咨询服务。</w:t>
      </w:r>
    </w:p>
    <w:p>
      <w:pPr>
        <w:spacing w:line="360" w:lineRule="auto"/>
        <w:ind w:firstLine="472" w:firstLineChars="196"/>
        <w:rPr>
          <w:rFonts w:hint="eastAsia" w:ascii="仿宋_GB2312" w:eastAsia="仿宋_GB2312"/>
          <w:b/>
          <w:sz w:val="24"/>
        </w:rPr>
      </w:pPr>
      <w:r>
        <w:rPr>
          <w:rFonts w:hint="eastAsia" w:ascii="仿宋_GB2312" w:eastAsia="仿宋_GB2312"/>
          <w:b/>
          <w:sz w:val="24"/>
        </w:rPr>
        <w:t>（二）维护考核</w:t>
      </w:r>
    </w:p>
    <w:p>
      <w:pPr>
        <w:spacing w:line="360" w:lineRule="auto"/>
        <w:ind w:firstLine="472" w:firstLineChars="196"/>
        <w:rPr>
          <w:rFonts w:hint="eastAsia" w:ascii="仿宋_GB2312" w:eastAsia="仿宋_GB2312"/>
          <w:b/>
          <w:sz w:val="24"/>
        </w:rPr>
      </w:pPr>
      <w:r>
        <w:rPr>
          <w:rFonts w:hint="eastAsia" w:ascii="仿宋_GB2312" w:eastAsia="仿宋_GB2312"/>
          <w:b/>
          <w:sz w:val="24"/>
        </w:rPr>
        <w:t>1.一般故障考核</w:t>
      </w:r>
    </w:p>
    <w:p>
      <w:pPr>
        <w:spacing w:line="360" w:lineRule="auto"/>
        <w:ind w:firstLine="480" w:firstLineChars="200"/>
        <w:rPr>
          <w:rFonts w:ascii="仿宋_GB2312" w:eastAsia="仿宋_GB2312"/>
          <w:sz w:val="24"/>
        </w:rPr>
      </w:pPr>
      <w:r>
        <w:rPr>
          <w:rFonts w:hint="eastAsia" w:ascii="仿宋_GB2312" w:eastAsia="仿宋_GB2312"/>
          <w:sz w:val="24"/>
        </w:rPr>
        <w:t>一般性故障主要指前端摄像机、光纤收发器等设备不能正常工作：</w:t>
      </w:r>
    </w:p>
    <w:p>
      <w:pPr>
        <w:spacing w:line="360" w:lineRule="auto"/>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一般性故障</w:t>
      </w:r>
      <w:r>
        <w:rPr>
          <w:rFonts w:hint="eastAsia" w:ascii="仿宋_GB2312" w:eastAsia="仿宋_GB2312"/>
          <w:sz w:val="24"/>
        </w:rPr>
        <w:t>应承诺在3天内修复故障，</w:t>
      </w:r>
      <w:r>
        <w:rPr>
          <w:rFonts w:ascii="仿宋_GB2312" w:eastAsia="仿宋_GB2312"/>
          <w:sz w:val="24"/>
        </w:rPr>
        <w:t>因第三方原因引起的市电停电、光纤等管线断裂和重新敷设等造成的故障在3天内不能修复的，中标方应向</w:t>
      </w:r>
      <w:r>
        <w:rPr>
          <w:rFonts w:hint="eastAsia" w:ascii="仿宋_GB2312" w:eastAsia="仿宋_GB2312"/>
          <w:sz w:val="24"/>
        </w:rPr>
        <w:t>甲方</w:t>
      </w:r>
      <w:r>
        <w:rPr>
          <w:rFonts w:ascii="仿宋_GB2312" w:eastAsia="仿宋_GB2312"/>
          <w:sz w:val="24"/>
        </w:rPr>
        <w:t>提出故障延期修复申请，确定解决办法和最后期限，最大延期时间（累计）不得超过15天，</w:t>
      </w:r>
      <w:r>
        <w:rPr>
          <w:rFonts w:hint="eastAsia" w:ascii="仿宋_GB2312" w:eastAsia="仿宋_GB2312"/>
          <w:sz w:val="24"/>
        </w:rPr>
        <w:t>甲方</w:t>
      </w:r>
      <w:r>
        <w:rPr>
          <w:rFonts w:ascii="仿宋_GB2312" w:eastAsia="仿宋_GB2312"/>
          <w:sz w:val="24"/>
        </w:rPr>
        <w:t>酌情作出审批。</w:t>
      </w:r>
    </w:p>
    <w:p>
      <w:pPr>
        <w:spacing w:line="360" w:lineRule="auto"/>
        <w:ind w:firstLine="470" w:firstLineChars="196"/>
        <w:rPr>
          <w:rFonts w:hint="eastAsia" w:ascii="仿宋_GB2312" w:eastAsia="仿宋_GB2312"/>
          <w:sz w:val="24"/>
        </w:rPr>
      </w:pPr>
      <w:r>
        <w:rPr>
          <w:rFonts w:hint="eastAsia" w:ascii="仿宋_GB2312" w:eastAsia="仿宋_GB2312"/>
          <w:sz w:val="24"/>
        </w:rPr>
        <w:t>（2）</w:t>
      </w:r>
      <w:r>
        <w:rPr>
          <w:rFonts w:ascii="仿宋_GB2312" w:eastAsia="仿宋_GB2312"/>
          <w:sz w:val="24"/>
        </w:rPr>
        <w:t>一般性故障超出</w:t>
      </w:r>
      <w:r>
        <w:rPr>
          <w:rFonts w:hint="eastAsia" w:ascii="仿宋_GB2312" w:eastAsia="仿宋_GB2312"/>
          <w:sz w:val="24"/>
        </w:rPr>
        <w:t>甲方</w:t>
      </w:r>
      <w:r>
        <w:rPr>
          <w:rFonts w:ascii="仿宋_GB2312" w:eastAsia="仿宋_GB2312"/>
          <w:sz w:val="24"/>
        </w:rPr>
        <w:t>给定修复期的，</w:t>
      </w:r>
      <w:r>
        <w:rPr>
          <w:rFonts w:hint="eastAsia" w:ascii="仿宋_GB2312" w:eastAsia="仿宋_GB2312"/>
          <w:sz w:val="24"/>
        </w:rPr>
        <w:t>甲方</w:t>
      </w:r>
      <w:r>
        <w:rPr>
          <w:rFonts w:ascii="仿宋_GB2312" w:eastAsia="仿宋_GB2312"/>
          <w:sz w:val="24"/>
        </w:rPr>
        <w:t>有权扣除</w:t>
      </w:r>
      <w:r>
        <w:rPr>
          <w:rFonts w:hint="eastAsia" w:ascii="仿宋_GB2312" w:eastAsia="仿宋_GB2312"/>
          <w:sz w:val="24"/>
        </w:rPr>
        <w:t>5</w:t>
      </w:r>
      <w:r>
        <w:rPr>
          <w:rFonts w:ascii="仿宋_GB2312" w:eastAsia="仿宋_GB2312"/>
          <w:sz w:val="24"/>
        </w:rPr>
        <w:t>00元/每天/每点位</w:t>
      </w:r>
      <w:r>
        <w:rPr>
          <w:rFonts w:hint="eastAsia" w:ascii="仿宋_GB2312" w:eastAsia="仿宋_GB2312"/>
          <w:sz w:val="24"/>
        </w:rPr>
        <w:t>并上报给甲方</w:t>
      </w:r>
      <w:r>
        <w:rPr>
          <w:rFonts w:ascii="仿宋_GB2312" w:eastAsia="仿宋_GB2312"/>
          <w:sz w:val="24"/>
        </w:rPr>
        <w:t>。不足一天以一天计。由于中标方原因无故延误三个月以上不修复的，甲方有权终止合同并要求赔偿。</w:t>
      </w:r>
    </w:p>
    <w:p>
      <w:pPr>
        <w:spacing w:line="360" w:lineRule="auto"/>
        <w:ind w:firstLine="472" w:firstLineChars="196"/>
        <w:rPr>
          <w:rFonts w:hint="eastAsia" w:ascii="仿宋_GB2312" w:eastAsia="仿宋_GB2312"/>
          <w:b/>
          <w:sz w:val="24"/>
        </w:rPr>
      </w:pPr>
      <w:r>
        <w:rPr>
          <w:rFonts w:hint="eastAsia" w:ascii="仿宋_GB2312" w:eastAsia="仿宋_GB2312"/>
          <w:b/>
          <w:sz w:val="24"/>
        </w:rPr>
        <w:t>2、疑难故障维护考核</w:t>
      </w:r>
    </w:p>
    <w:p>
      <w:pPr>
        <w:spacing w:line="360" w:lineRule="auto"/>
        <w:ind w:firstLine="480" w:firstLineChars="200"/>
        <w:rPr>
          <w:rFonts w:ascii="仿宋_GB2312" w:eastAsia="仿宋_GB2312"/>
          <w:sz w:val="24"/>
        </w:rPr>
      </w:pPr>
      <w:r>
        <w:rPr>
          <w:rFonts w:ascii="仿宋_GB2312" w:eastAsia="仿宋_GB2312"/>
          <w:sz w:val="24"/>
        </w:rPr>
        <w:t>重大或疑难故障主要是指服务器、系统平台、主干光缆发生故障以及第三方原因引起的市电停电、光纤等管线断裂和重新敷设等引起的故障，造成较大部分或整体系统不能正常工作</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重大或疑难故障中标方须在7天内修复，不能修复的，中标方应向</w:t>
      </w:r>
      <w:r>
        <w:rPr>
          <w:rFonts w:hint="eastAsia" w:ascii="仿宋_GB2312" w:eastAsia="仿宋_GB2312"/>
          <w:sz w:val="24"/>
        </w:rPr>
        <w:t>甲方</w:t>
      </w:r>
      <w:r>
        <w:rPr>
          <w:rFonts w:ascii="仿宋_GB2312" w:eastAsia="仿宋_GB2312"/>
          <w:sz w:val="24"/>
        </w:rPr>
        <w:t>提出故障延期修复申请，确定解决办法和最后期限，最大延期时间（累计）不得超过30天，</w:t>
      </w:r>
      <w:r>
        <w:rPr>
          <w:rFonts w:hint="eastAsia" w:ascii="仿宋_GB2312" w:eastAsia="仿宋_GB2312"/>
          <w:sz w:val="24"/>
        </w:rPr>
        <w:t>甲方</w:t>
      </w:r>
      <w:r>
        <w:rPr>
          <w:rFonts w:ascii="仿宋_GB2312" w:eastAsia="仿宋_GB2312"/>
          <w:sz w:val="24"/>
        </w:rPr>
        <w:t>酌情作出审批。</w:t>
      </w:r>
    </w:p>
    <w:p>
      <w:pPr>
        <w:spacing w:line="360" w:lineRule="auto"/>
        <w:ind w:firstLine="480" w:firstLineChars="200"/>
        <w:rPr>
          <w:rFonts w:ascii="仿宋" w:hAnsi="仿宋" w:eastAsia="仿宋" w:cs="宋体"/>
          <w:color w:val="000000"/>
          <w:kern w:val="0"/>
          <w:sz w:val="24"/>
        </w:rPr>
      </w:pPr>
      <w:r>
        <w:rPr>
          <w:rFonts w:hint="eastAsia" w:ascii="仿宋_GB2312" w:eastAsia="仿宋_GB2312"/>
          <w:sz w:val="24"/>
        </w:rPr>
        <w:t>（2）</w:t>
      </w:r>
      <w:r>
        <w:rPr>
          <w:rFonts w:ascii="仿宋_GB2312" w:eastAsia="仿宋_GB2312"/>
          <w:sz w:val="24"/>
        </w:rPr>
        <w:t>重大或疑难故障超出</w:t>
      </w:r>
      <w:r>
        <w:rPr>
          <w:rFonts w:hint="eastAsia" w:ascii="仿宋_GB2312" w:eastAsia="仿宋_GB2312"/>
          <w:sz w:val="24"/>
        </w:rPr>
        <w:t>甲方</w:t>
      </w:r>
      <w:r>
        <w:rPr>
          <w:rFonts w:ascii="仿宋_GB2312" w:eastAsia="仿宋_GB2312"/>
          <w:sz w:val="24"/>
        </w:rPr>
        <w:t>给定修复期的，</w:t>
      </w:r>
      <w:r>
        <w:rPr>
          <w:rFonts w:hint="eastAsia" w:ascii="仿宋_GB2312" w:eastAsia="仿宋_GB2312"/>
          <w:sz w:val="24"/>
        </w:rPr>
        <w:t>甲方</w:t>
      </w:r>
      <w:r>
        <w:rPr>
          <w:rFonts w:ascii="仿宋_GB2312" w:eastAsia="仿宋_GB2312"/>
          <w:sz w:val="24"/>
        </w:rPr>
        <w:t>有权扣除每点位</w:t>
      </w:r>
      <w:r>
        <w:rPr>
          <w:rFonts w:hint="eastAsia" w:ascii="仿宋_GB2312" w:eastAsia="仿宋_GB2312"/>
          <w:sz w:val="24"/>
        </w:rPr>
        <w:t>建设</w:t>
      </w:r>
      <w:r>
        <w:rPr>
          <w:rFonts w:ascii="仿宋_GB2312" w:eastAsia="仿宋_GB2312"/>
          <w:sz w:val="24"/>
        </w:rPr>
        <w:t>费用*故障点位数量*超期天数，不足一天以一天计；由于中标方原因无故延误一个月以上不修复的，甲方有权终止合同并要求赔偿。</w:t>
      </w:r>
    </w:p>
    <w:p>
      <w:pPr>
        <w:spacing w:line="360" w:lineRule="auto"/>
        <w:ind w:firstLine="501" w:firstLineChars="208"/>
        <w:rPr>
          <w:rFonts w:ascii="仿宋" w:hAnsi="仿宋" w:eastAsia="仿宋"/>
          <w:b/>
          <w:sz w:val="24"/>
        </w:rPr>
      </w:pPr>
      <w:r>
        <w:rPr>
          <w:rFonts w:hint="eastAsia" w:ascii="仿宋" w:hAnsi="仿宋" w:eastAsia="仿宋"/>
          <w:b/>
          <w:sz w:val="24"/>
        </w:rPr>
        <w:t>3.应急保障考核</w:t>
      </w:r>
    </w:p>
    <w:p>
      <w:pPr>
        <w:spacing w:line="360" w:lineRule="auto"/>
        <w:ind w:firstLine="480" w:firstLineChars="200"/>
        <w:rPr>
          <w:rFonts w:ascii="仿宋_GB2312" w:eastAsia="仿宋_GB2312"/>
          <w:sz w:val="24"/>
        </w:rPr>
      </w:pPr>
      <w:r>
        <w:rPr>
          <w:rFonts w:hint="eastAsia" w:ascii="仿宋_GB2312" w:eastAsia="仿宋_GB2312"/>
          <w:sz w:val="24"/>
        </w:rPr>
        <w:t>应急保障维护考核。中标方应按约定响应甲方发起的临时性、突发性应急保障需求。其中前后端设备的调试、检查、清洁等任务，城区1小时、农村2小时内到达现场，24小时内完成,超时的，罚款2000元/小时，不足1小时以1小时计；现场临时搭建前端位或中心的在48小时内未完成的，超时的，罚款2000元/小时，不足1小时以1小时计；日常性保障，7日内完成，超时的罚款500元/日，不足1天以1天计。</w:t>
      </w:r>
    </w:p>
    <w:p>
      <w:pPr>
        <w:spacing w:line="360" w:lineRule="auto"/>
        <w:ind w:firstLine="501" w:firstLineChars="208"/>
        <w:rPr>
          <w:rFonts w:ascii="仿宋" w:hAnsi="仿宋" w:eastAsia="仿宋"/>
          <w:b/>
          <w:sz w:val="24"/>
        </w:rPr>
      </w:pPr>
      <w:r>
        <w:rPr>
          <w:rFonts w:hint="eastAsia" w:ascii="仿宋" w:hAnsi="仿宋" w:eastAsia="仿宋"/>
          <w:b/>
          <w:sz w:val="24"/>
        </w:rPr>
        <w:t>4.信息维护考核</w:t>
      </w:r>
    </w:p>
    <w:p>
      <w:pPr>
        <w:spacing w:line="360" w:lineRule="auto"/>
        <w:ind w:firstLine="480" w:firstLineChars="200"/>
        <w:rPr>
          <w:rFonts w:ascii="仿宋_GB2312" w:eastAsia="仿宋_GB2312"/>
          <w:sz w:val="24"/>
        </w:rPr>
      </w:pPr>
      <w:r>
        <w:rPr>
          <w:rFonts w:hint="eastAsia" w:ascii="仿宋_GB2312" w:eastAsia="仿宋_GB2312"/>
          <w:sz w:val="24"/>
        </w:rPr>
        <w:t>未按甲方要求完成与本服务相关的如信息采集、录入、核对、修改等日常性、事务性工作被上级机关通报的，每一次扣1000元。</w:t>
      </w:r>
    </w:p>
    <w:p>
      <w:pPr>
        <w:spacing w:line="360" w:lineRule="auto"/>
        <w:ind w:firstLine="501" w:firstLineChars="208"/>
        <w:rPr>
          <w:rFonts w:ascii="仿宋" w:hAnsi="仿宋" w:eastAsia="仿宋"/>
          <w:b/>
          <w:sz w:val="24"/>
        </w:rPr>
      </w:pPr>
      <w:r>
        <w:rPr>
          <w:rFonts w:hint="eastAsia" w:ascii="仿宋" w:hAnsi="仿宋" w:eastAsia="仿宋"/>
          <w:b/>
          <w:sz w:val="24"/>
        </w:rPr>
        <w:t>5.其他</w:t>
      </w:r>
    </w:p>
    <w:p>
      <w:pPr>
        <w:spacing w:line="360" w:lineRule="auto"/>
        <w:ind w:firstLine="480" w:firstLineChars="200"/>
        <w:rPr>
          <w:rFonts w:ascii="仿宋_GB2312" w:eastAsia="仿宋_GB2312"/>
          <w:sz w:val="24"/>
        </w:rPr>
      </w:pPr>
      <w:r>
        <w:rPr>
          <w:rFonts w:hint="eastAsia" w:ascii="仿宋_GB2312" w:eastAsia="仿宋_GB2312"/>
          <w:sz w:val="24"/>
        </w:rPr>
        <w:t>（1）由于不可抗拒因素，如自然灾害等，由中标方上报甲方，对故障点位恢复做出期限，超出期限按照相关约定扣罚。</w:t>
      </w:r>
    </w:p>
    <w:p>
      <w:pPr>
        <w:spacing w:line="360" w:lineRule="auto"/>
        <w:ind w:firstLine="480" w:firstLineChars="200"/>
        <w:rPr>
          <w:rFonts w:ascii="仿宋_GB2312" w:eastAsia="仿宋_GB2312"/>
          <w:sz w:val="24"/>
        </w:rPr>
      </w:pPr>
      <w:r>
        <w:rPr>
          <w:rFonts w:hint="eastAsia" w:ascii="仿宋_GB2312" w:eastAsia="仿宋_GB2312"/>
          <w:sz w:val="24"/>
        </w:rPr>
        <w:t>（2）具体以合同约定为准。</w:t>
      </w:r>
    </w:p>
    <w:p>
      <w:pPr>
        <w:spacing w:line="360" w:lineRule="auto"/>
        <w:ind w:firstLine="472" w:firstLineChars="196"/>
        <w:rPr>
          <w:rFonts w:hint="eastAsia" w:ascii="仿宋_GB2312" w:eastAsia="仿宋_GB2312"/>
          <w:b/>
          <w:sz w:val="24"/>
        </w:rPr>
      </w:pPr>
      <w:r>
        <w:rPr>
          <w:rFonts w:hint="eastAsia" w:ascii="仿宋_GB2312" w:eastAsia="仿宋_GB2312"/>
          <w:b/>
          <w:sz w:val="24"/>
        </w:rPr>
        <w:t>（三）图像完好率考核</w:t>
      </w:r>
    </w:p>
    <w:p>
      <w:pPr>
        <w:spacing w:line="360" w:lineRule="auto"/>
        <w:ind w:firstLine="480" w:firstLineChars="200"/>
        <w:rPr>
          <w:rFonts w:ascii="仿宋_GB2312" w:eastAsia="仿宋_GB2312"/>
          <w:sz w:val="24"/>
        </w:rPr>
      </w:pPr>
      <w:r>
        <w:rPr>
          <w:rFonts w:hint="eastAsia" w:ascii="仿宋_GB2312" w:eastAsia="仿宋_GB2312"/>
          <w:sz w:val="24"/>
        </w:rPr>
        <w:t>（1）执行“雪亮工程”视频考核率标准：月运行完好率考核标准为98%，承诺承担由于图像完好率未能达标而导致的扣罚，扣罚标准：每下降1%（不足1%按1%计算）扣</w:t>
      </w:r>
      <w:r>
        <w:rPr>
          <w:rFonts w:ascii="仿宋_GB2312" w:eastAsia="仿宋_GB2312"/>
          <w:sz w:val="24"/>
        </w:rPr>
        <w:t>10</w:t>
      </w:r>
      <w:r>
        <w:rPr>
          <w:rFonts w:hint="eastAsia" w:ascii="仿宋_GB2312" w:eastAsia="仿宋_GB2312"/>
          <w:sz w:val="24"/>
        </w:rPr>
        <w:t>万元；如引用的考核标准发生变化，应符合最新省厅和市局考核标准执行扣罚，具体以合同约定为准。</w:t>
      </w:r>
    </w:p>
    <w:p>
      <w:pPr>
        <w:spacing w:line="360" w:lineRule="auto"/>
        <w:ind w:firstLine="480" w:firstLineChars="200"/>
        <w:rPr>
          <w:rFonts w:ascii="仿宋_GB2312" w:eastAsia="仿宋_GB2312"/>
          <w:sz w:val="24"/>
        </w:rPr>
      </w:pPr>
      <w:r>
        <w:rPr>
          <w:rFonts w:hint="eastAsia" w:ascii="仿宋_GB2312" w:eastAsia="仿宋_GB2312"/>
          <w:sz w:val="24"/>
        </w:rPr>
        <w:t xml:space="preserve">（2）每半年运行完好率得分低于全市平均水平的，每下降0.1%（不足0.1%按0.1%计算）罚款1000元，具体以合同约定为准。 </w:t>
      </w:r>
    </w:p>
    <w:p>
      <w:pPr>
        <w:spacing w:line="360" w:lineRule="auto"/>
        <w:ind w:firstLine="480" w:firstLineChars="200"/>
        <w:rPr>
          <w:rFonts w:ascii="仿宋_GB2312" w:eastAsia="仿宋_GB2312"/>
          <w:sz w:val="24"/>
        </w:rPr>
      </w:pPr>
      <w:r>
        <w:rPr>
          <w:rFonts w:hint="eastAsia" w:ascii="仿宋_GB2312" w:eastAsia="仿宋_GB2312"/>
          <w:sz w:val="24"/>
        </w:rPr>
        <w:t>（3）运行完好率连续3个月低于宁波市市公安局完好率考核标准的，甲方有权拒付当年服务费用，并选择终止合同和追究违约责任。</w:t>
      </w:r>
    </w:p>
    <w:p>
      <w:pPr>
        <w:spacing w:line="360" w:lineRule="auto"/>
        <w:ind w:firstLine="480" w:firstLineChars="200"/>
        <w:rPr>
          <w:rFonts w:ascii="仿宋_GB2312" w:eastAsia="仿宋_GB2312"/>
          <w:sz w:val="24"/>
        </w:rPr>
      </w:pPr>
      <w:r>
        <w:rPr>
          <w:rFonts w:hint="eastAsia" w:ascii="仿宋_GB2312" w:eastAsia="仿宋_GB2312"/>
          <w:sz w:val="24"/>
        </w:rPr>
        <w:t>（4）车辆卡口时延达标率未到月平均值的90%以上的，每次罚款1万元；平台出现级联故障的，每次罚款1万元。</w:t>
      </w:r>
    </w:p>
    <w:p>
      <w:pPr>
        <w:spacing w:line="360" w:lineRule="auto"/>
        <w:ind w:firstLine="480" w:firstLineChars="200"/>
        <w:rPr>
          <w:rFonts w:ascii="仿宋_GB2312" w:eastAsia="仿宋_GB2312"/>
          <w:sz w:val="24"/>
        </w:rPr>
      </w:pPr>
      <w:r>
        <w:rPr>
          <w:rFonts w:hint="eastAsia" w:ascii="仿宋_GB2312" w:eastAsia="仿宋_GB2312"/>
          <w:sz w:val="24"/>
        </w:rPr>
        <w:t>（5）由于未按规定施工、维护，造成甲方“一机两用”安全事故的每起罚款1万元；造成网络外联的，每起罚款2万元。</w:t>
      </w:r>
    </w:p>
    <w:p>
      <w:pPr>
        <w:tabs>
          <w:tab w:val="left" w:pos="1134"/>
        </w:tabs>
        <w:spacing w:line="360" w:lineRule="auto"/>
        <w:ind w:firstLine="424" w:firstLineChars="177"/>
        <w:rPr>
          <w:rFonts w:hint="eastAsia" w:ascii="仿宋_GB2312" w:eastAsia="仿宋_GB2312"/>
          <w:sz w:val="24"/>
        </w:rPr>
      </w:pPr>
      <w:r>
        <w:rPr>
          <w:rFonts w:hint="eastAsia" w:ascii="仿宋_GB2312" w:eastAsia="仿宋_GB2312"/>
          <w:sz w:val="24"/>
        </w:rPr>
        <w:t>（6）由于维护方原因造成视频、数据等信息泄露的，每次罚款1万元，造成不良后果的，每次罚款10万。</w:t>
      </w:r>
    </w:p>
    <w:p>
      <w:pPr>
        <w:spacing w:line="360" w:lineRule="auto"/>
        <w:ind w:firstLine="472" w:firstLineChars="196"/>
        <w:rPr>
          <w:rFonts w:hint="eastAsia" w:ascii="仿宋_GB2312" w:eastAsia="仿宋_GB2312"/>
          <w:b/>
          <w:sz w:val="24"/>
        </w:rPr>
      </w:pPr>
      <w:r>
        <w:rPr>
          <w:rFonts w:hint="eastAsia" w:ascii="仿宋_GB2312" w:eastAsia="仿宋_GB2312"/>
          <w:b/>
          <w:sz w:val="24"/>
        </w:rPr>
        <w:t>（四）考核免责认定</w:t>
      </w:r>
    </w:p>
    <w:p>
      <w:pPr>
        <w:spacing w:line="360" w:lineRule="auto"/>
        <w:ind w:firstLine="480" w:firstLineChars="200"/>
        <w:rPr>
          <w:rFonts w:ascii="仿宋_GB2312" w:eastAsia="仿宋_GB2312"/>
          <w:sz w:val="24"/>
        </w:rPr>
      </w:pPr>
      <w:r>
        <w:rPr>
          <w:rFonts w:hint="eastAsia" w:ascii="仿宋_GB2312" w:eastAsia="仿宋_GB2312"/>
          <w:sz w:val="24"/>
        </w:rPr>
        <w:t>（1）由甲方发起的移位、机房搬迁、整改等原因引起的故障，应不列入考核；由第三方道路、管井、建筑等施工引起的市电停电、光纤等管线断裂和重新敷设等导致点位故障的，中标方应于每月21号之前向甲方提交书面报告，经甲方确认后应不列入图像完好率考核。</w:t>
      </w:r>
    </w:p>
    <w:p>
      <w:pPr>
        <w:spacing w:line="360" w:lineRule="auto"/>
        <w:ind w:firstLine="470" w:firstLineChars="196"/>
        <w:outlineLvl w:val="0"/>
        <w:rPr>
          <w:rFonts w:hint="eastAsia" w:ascii="仿宋_GB2312" w:eastAsia="仿宋_GB2312"/>
          <w:sz w:val="24"/>
        </w:rPr>
      </w:pPr>
      <w:r>
        <w:rPr>
          <w:rFonts w:hint="eastAsia" w:ascii="仿宋_GB2312" w:eastAsia="仿宋_GB2312"/>
          <w:sz w:val="24"/>
        </w:rPr>
        <w:t>（2）考核执行方式：图像完好率考核直接引用市局当年度标准和当年度月通报完好率结果；一般故障维护、疑难故障维护和应急保障维护的考核依据，是《象山县社会治安动态视频监控---智能运维管理系统》所载的相关数据以及实际查验的图像数据，由甲方出具《维护考核扣款通知单》作为扣款依据，交送中标方，由中标方签收并回执返还甲方。罚款额从服务费用支付中扣除。</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第七条  保密事项</w:t>
      </w:r>
    </w:p>
    <w:p>
      <w:pPr>
        <w:spacing w:line="360" w:lineRule="auto"/>
        <w:ind w:firstLine="480" w:firstLineChars="200"/>
        <w:rPr>
          <w:rFonts w:hint="eastAsia" w:ascii="仿宋_GB2312" w:eastAsia="仿宋_GB2312"/>
          <w:sz w:val="24"/>
        </w:rPr>
      </w:pPr>
      <w:r>
        <w:rPr>
          <w:rFonts w:hint="eastAsia" w:ascii="仿宋_GB2312" w:eastAsia="仿宋_GB2312"/>
          <w:sz w:val="24"/>
        </w:rPr>
        <w:t>未经对方书面许可，任何一方不得向其他与本合同无关的相关方提供或披露与对方业务有关的资料和信息，法律另有规定的除外；双方均有义务保守商业机密、公众秘密。</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第八条  违约责任</w:t>
      </w:r>
    </w:p>
    <w:p>
      <w:pPr>
        <w:spacing w:line="360" w:lineRule="auto"/>
        <w:ind w:firstLine="480" w:firstLineChars="200"/>
        <w:rPr>
          <w:rFonts w:hint="eastAsia" w:ascii="仿宋_GB2312" w:eastAsia="仿宋_GB2312"/>
          <w:sz w:val="24"/>
        </w:rPr>
      </w:pPr>
      <w:r>
        <w:rPr>
          <w:rFonts w:hint="eastAsia" w:ascii="仿宋_GB2312" w:eastAsia="仿宋_GB2312"/>
          <w:sz w:val="24"/>
        </w:rPr>
        <w:t>任何一方未履行本合同项下的任何一项条款均被视为违约。</w:t>
      </w:r>
    </w:p>
    <w:p>
      <w:pPr>
        <w:spacing w:line="360" w:lineRule="auto"/>
        <w:ind w:firstLine="480" w:firstLineChars="200"/>
        <w:rPr>
          <w:rFonts w:hint="eastAsia" w:ascii="仿宋_GB2312" w:eastAsia="仿宋_GB2312"/>
          <w:sz w:val="24"/>
        </w:rPr>
      </w:pPr>
      <w:r>
        <w:rPr>
          <w:rFonts w:hint="eastAsia" w:ascii="仿宋_GB2312" w:eastAsia="仿宋_GB2312"/>
          <w:sz w:val="24"/>
        </w:rPr>
        <w:t>除本合同第六条第二款“维护考核”另有约定外的所有违约行为，任何一方在收到对方的具体说明违约情况的书面通知后，如确认违约行为存在，则应在二十天内对违约行为予以纠正并书面通知对方；如认为违约行为不存在，则应在二十天内向对方提出书面异议或说明。</w:t>
      </w:r>
    </w:p>
    <w:p>
      <w:pPr>
        <w:spacing w:line="360" w:lineRule="auto"/>
        <w:ind w:firstLine="480" w:firstLineChars="200"/>
        <w:rPr>
          <w:rFonts w:hint="eastAsia" w:ascii="仿宋_GB2312" w:eastAsia="仿宋_GB2312"/>
          <w:sz w:val="24"/>
          <w:u w:val="single"/>
        </w:rPr>
      </w:pPr>
      <w:r>
        <w:rPr>
          <w:rFonts w:hint="eastAsia" w:ascii="仿宋_GB2312" w:eastAsia="仿宋_GB2312"/>
          <w:sz w:val="24"/>
        </w:rPr>
        <w:t>所有违约，双方应充分协商，协商不成，按本合同争议条款解决。违约方应承担因自己的违约行为而造成的法律责任。</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第九条  争议解决</w:t>
      </w:r>
    </w:p>
    <w:p>
      <w:pPr>
        <w:spacing w:line="360" w:lineRule="auto"/>
        <w:ind w:firstLine="480" w:firstLineChars="200"/>
        <w:rPr>
          <w:rFonts w:hint="eastAsia" w:ascii="仿宋_GB2312" w:eastAsia="仿宋_GB2312"/>
          <w:sz w:val="24"/>
        </w:rPr>
      </w:pPr>
      <w:r>
        <w:rPr>
          <w:rFonts w:hint="eastAsia" w:ascii="仿宋_GB2312" w:eastAsia="仿宋_GB2312"/>
          <w:sz w:val="24"/>
        </w:rPr>
        <w:t>若合同执行期间出台新的法律法规和服务标准，则自新的法律法规和服务标准生效之日起按照新的法律法规和服务标准执行；</w:t>
      </w:r>
    </w:p>
    <w:p>
      <w:pPr>
        <w:spacing w:line="360" w:lineRule="auto"/>
        <w:ind w:firstLine="480" w:firstLineChars="200"/>
        <w:rPr>
          <w:rFonts w:hint="eastAsia" w:ascii="仿宋_GB2312" w:eastAsia="仿宋_GB2312"/>
          <w:sz w:val="24"/>
        </w:rPr>
      </w:pPr>
      <w:r>
        <w:rPr>
          <w:rFonts w:hint="eastAsia" w:ascii="仿宋_GB2312" w:eastAsia="仿宋_GB2312"/>
          <w:sz w:val="24"/>
        </w:rPr>
        <w:t>双方因本合同的履行而发生的争议，应由双方友好协商解决。协商不成，任何一方均可向象山县人民法院提起诉讼。在诉讼期间，本合同不涉及争议的条款仍须履行。</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第十条  免责条款</w:t>
      </w:r>
    </w:p>
    <w:p>
      <w:pPr>
        <w:tabs>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因不可抗力导致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由于不可抗力导致合同不能或者没有必要继续履行的，本合同可由双方协商解除。</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第十一条  合同的变更</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在合同有效期内双方中任何一方提出变更，必须采取书面形式，经双方友好协商签订补充协议，并提交到采购办备案。</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第十二条  合同的有效期限和续签</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 xml:space="preserve">本合同自双方负责人签字并加盖公章后生效。 </w:t>
      </w:r>
    </w:p>
    <w:p>
      <w:pPr>
        <w:tabs>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合同到期后，若双方对本合同内容无异议，且符合相关法律法规要求，可以续签。</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第十三条  合同附件</w:t>
      </w:r>
    </w:p>
    <w:p>
      <w:pPr>
        <w:spacing w:line="360" w:lineRule="auto"/>
        <w:ind w:left="323"/>
        <w:rPr>
          <w:rFonts w:hint="eastAsia" w:ascii="仿宋_GB2312" w:eastAsia="仿宋_GB2312"/>
          <w:sz w:val="24"/>
        </w:rPr>
      </w:pPr>
      <w:r>
        <w:rPr>
          <w:rFonts w:hint="eastAsia" w:ascii="仿宋_GB2312" w:eastAsia="仿宋_GB2312"/>
          <w:sz w:val="24"/>
        </w:rPr>
        <w:t>合同附件及优先解释顺序如下：</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1、本项目的招标文件及投标文件、投标承诺书；</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2、经甲、乙双方代表共同签署的工程联系单及与本合同有关的书面文件。</w:t>
      </w:r>
    </w:p>
    <w:p>
      <w:pPr>
        <w:spacing w:line="360" w:lineRule="auto"/>
        <w:ind w:firstLine="472" w:firstLineChars="196"/>
        <w:outlineLvl w:val="0"/>
        <w:rPr>
          <w:rFonts w:hint="eastAsia" w:ascii="仿宋_GB2312" w:eastAsia="仿宋_GB2312"/>
          <w:b/>
          <w:sz w:val="24"/>
        </w:rPr>
      </w:pPr>
      <w:r>
        <w:rPr>
          <w:rFonts w:hint="eastAsia" w:ascii="仿宋_GB2312" w:eastAsia="仿宋_GB2312"/>
          <w:b/>
          <w:sz w:val="24"/>
        </w:rPr>
        <w:t xml:space="preserve">第十四条  附  则   </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1、合同正本条款受国家《合同法》的保护；</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2、如果本合同的任何条款在任何时候变成不合法、无效或不可强制执行而不从根本上影响本合同的效力时，本合同的其它条款应不受影响；</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3、未经双方书面确认，任何一方不得自行变更或修改本合同；</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4、本合同的任何内容不应被视为或解释为双方之间具有合资、合伙、代理关系；</w:t>
      </w:r>
    </w:p>
    <w:p>
      <w:pPr>
        <w:numPr>
          <w:ilvl w:val="0"/>
          <w:numId w:val="11"/>
        </w:numPr>
        <w:tabs>
          <w:tab w:val="left" w:pos="851"/>
          <w:tab w:val="left" w:pos="993"/>
        </w:tabs>
        <w:spacing w:line="360" w:lineRule="auto"/>
        <w:rPr>
          <w:rFonts w:hint="eastAsia" w:ascii="仿宋_GB2312" w:eastAsia="仿宋_GB2312"/>
          <w:sz w:val="24"/>
        </w:rPr>
      </w:pPr>
      <w:r>
        <w:rPr>
          <w:rFonts w:hint="eastAsia" w:ascii="仿宋_GB2312" w:eastAsia="仿宋_GB2312"/>
          <w:sz w:val="24"/>
        </w:rPr>
        <w:t>变更合同、补充协议及合同附件与本合同具有同等法律效力；</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6、本合同未尽事宜由双方协商解决；</w:t>
      </w:r>
    </w:p>
    <w:p>
      <w:pPr>
        <w:tabs>
          <w:tab w:val="left" w:pos="851"/>
          <w:tab w:val="left" w:pos="993"/>
        </w:tabs>
        <w:spacing w:line="360" w:lineRule="auto"/>
        <w:ind w:firstLine="480" w:firstLineChars="200"/>
        <w:rPr>
          <w:rFonts w:hint="eastAsia" w:ascii="仿宋_GB2312" w:eastAsia="仿宋_GB2312"/>
          <w:sz w:val="24"/>
        </w:rPr>
      </w:pPr>
      <w:r>
        <w:rPr>
          <w:rFonts w:hint="eastAsia" w:ascii="仿宋_GB2312" w:eastAsia="仿宋_GB2312"/>
          <w:sz w:val="24"/>
        </w:rPr>
        <w:t>7、本合同一式拾份，甲方叁份、乙方执肆份，采购办备案壹份，交易中心壹份，县财政壹份。</w:t>
      </w:r>
    </w:p>
    <w:p>
      <w:pPr>
        <w:spacing w:line="360" w:lineRule="auto"/>
        <w:ind w:firstLine="480" w:firstLineChars="200"/>
        <w:jc w:val="left"/>
        <w:rPr>
          <w:rFonts w:hint="eastAsia" w:ascii="仿宋_GB2312" w:eastAsia="仿宋_GB2312"/>
          <w:snapToGrid w:val="0"/>
          <w:kern w:val="0"/>
          <w:sz w:val="24"/>
        </w:rPr>
      </w:pPr>
      <w:r>
        <w:rPr>
          <w:rFonts w:hint="eastAsia" w:ascii="仿宋_GB2312" w:eastAsia="仿宋_GB2312"/>
          <w:snapToGrid w:val="0"/>
          <w:kern w:val="0"/>
          <w:sz w:val="24"/>
        </w:rPr>
        <w:t>8、本合同自双方负责人签字并加盖公章之日起生效。</w:t>
      </w:r>
    </w:p>
    <w:p>
      <w:pPr>
        <w:spacing w:line="360" w:lineRule="auto"/>
        <w:rPr>
          <w:rFonts w:hint="eastAsia" w:ascii="仿宋_GB2312" w:eastAsia="仿宋_GB2312"/>
          <w:b/>
          <w:w w:val="80"/>
          <w:sz w:val="24"/>
        </w:rPr>
      </w:pPr>
    </w:p>
    <w:p>
      <w:pPr>
        <w:spacing w:line="360" w:lineRule="auto"/>
        <w:rPr>
          <w:rFonts w:hint="eastAsia" w:ascii="仿宋_GB2312" w:eastAsia="仿宋_GB2312"/>
          <w:b/>
          <w:w w:val="80"/>
          <w:sz w:val="24"/>
        </w:rPr>
      </w:pPr>
      <w:r>
        <w:rPr>
          <w:rFonts w:hint="eastAsia" w:ascii="仿宋_GB2312" w:eastAsia="仿宋_GB2312"/>
          <w:b/>
          <w:w w:val="80"/>
          <w:sz w:val="24"/>
        </w:rPr>
        <w:t xml:space="preserve">甲方：                                   乙方：       </w:t>
      </w:r>
    </w:p>
    <w:p>
      <w:pPr>
        <w:spacing w:line="360" w:lineRule="auto"/>
        <w:rPr>
          <w:rFonts w:hint="eastAsia" w:ascii="仿宋_GB2312" w:eastAsia="仿宋_GB2312"/>
          <w:b/>
          <w:w w:val="80"/>
          <w:sz w:val="24"/>
        </w:rPr>
      </w:pPr>
      <w:r>
        <w:rPr>
          <w:rFonts w:hint="eastAsia" w:ascii="仿宋_GB2312" w:eastAsia="仿宋_GB2312"/>
          <w:b/>
          <w:w w:val="80"/>
          <w:sz w:val="24"/>
        </w:rPr>
        <w:t>（盖章）                                （盖章）</w:t>
      </w:r>
    </w:p>
    <w:p>
      <w:pPr>
        <w:spacing w:line="360" w:lineRule="auto"/>
        <w:rPr>
          <w:rFonts w:hint="eastAsia" w:ascii="仿宋_GB2312" w:eastAsia="仿宋_GB2312"/>
          <w:b/>
          <w:w w:val="80"/>
          <w:sz w:val="24"/>
        </w:rPr>
      </w:pPr>
    </w:p>
    <w:p>
      <w:pPr>
        <w:spacing w:line="360" w:lineRule="auto"/>
        <w:rPr>
          <w:rFonts w:hint="eastAsia" w:ascii="仿宋_GB2312" w:eastAsia="仿宋_GB2312"/>
          <w:b/>
          <w:w w:val="80"/>
          <w:sz w:val="24"/>
        </w:rPr>
      </w:pPr>
      <w:r>
        <w:rPr>
          <w:rFonts w:hint="eastAsia" w:ascii="仿宋_GB2312" w:eastAsia="仿宋_GB2312"/>
          <w:b/>
          <w:w w:val="80"/>
          <w:sz w:val="24"/>
        </w:rPr>
        <w:t>负责人（签字）:                          负责人（签字）:</w:t>
      </w:r>
    </w:p>
    <w:p>
      <w:pPr>
        <w:spacing w:line="360" w:lineRule="auto"/>
        <w:rPr>
          <w:rFonts w:hint="eastAsia" w:ascii="仿宋_GB2312" w:eastAsia="仿宋_GB2312"/>
          <w:b/>
          <w:w w:val="80"/>
          <w:sz w:val="24"/>
        </w:rPr>
      </w:pPr>
    </w:p>
    <w:p>
      <w:pPr>
        <w:spacing w:line="360" w:lineRule="auto"/>
        <w:rPr>
          <w:rFonts w:hint="eastAsia" w:ascii="仿宋_GB2312" w:eastAsia="仿宋_GB2312"/>
          <w:b/>
          <w:w w:val="80"/>
          <w:sz w:val="24"/>
        </w:rPr>
      </w:pPr>
    </w:p>
    <w:p>
      <w:pPr>
        <w:spacing w:line="360" w:lineRule="auto"/>
        <w:rPr>
          <w:rFonts w:hint="eastAsia" w:ascii="仿宋_GB2312" w:eastAsia="仿宋_GB2312"/>
          <w:b/>
          <w:w w:val="80"/>
          <w:sz w:val="24"/>
        </w:rPr>
      </w:pPr>
      <w:r>
        <w:rPr>
          <w:rFonts w:hint="eastAsia" w:ascii="仿宋_GB2312" w:eastAsia="仿宋_GB2312"/>
          <w:b/>
          <w:w w:val="80"/>
          <w:sz w:val="24"/>
        </w:rPr>
        <w:t>签字日期：                               签字日期:</w:t>
      </w:r>
    </w:p>
    <w:p>
      <w:pPr>
        <w:spacing w:line="360" w:lineRule="auto"/>
        <w:rPr>
          <w:rFonts w:hint="eastAsia" w:ascii="仿宋_GB2312" w:eastAsia="仿宋_GB2312"/>
          <w:b/>
          <w:w w:val="80"/>
          <w:sz w:val="24"/>
        </w:rPr>
      </w:pPr>
    </w:p>
    <w:p>
      <w:pPr>
        <w:spacing w:line="360" w:lineRule="auto"/>
        <w:rPr>
          <w:rFonts w:hint="eastAsia" w:ascii="仿宋_GB2312" w:eastAsia="仿宋_GB2312"/>
          <w:b/>
          <w:w w:val="80"/>
          <w:sz w:val="24"/>
        </w:rPr>
      </w:pPr>
    </w:p>
    <w:p>
      <w:pPr>
        <w:spacing w:line="360" w:lineRule="auto"/>
        <w:rPr>
          <w:rFonts w:hint="eastAsia" w:ascii="仿宋_GB2312" w:eastAsia="仿宋_GB2312"/>
          <w:b/>
          <w:w w:val="80"/>
          <w:sz w:val="24"/>
        </w:rPr>
      </w:pPr>
    </w:p>
    <w:p>
      <w:pPr>
        <w:tabs>
          <w:tab w:val="left" w:pos="105"/>
          <w:tab w:val="left" w:pos="735"/>
          <w:tab w:val="left" w:pos="945"/>
          <w:tab w:val="left" w:pos="3360"/>
        </w:tabs>
        <w:adjustRightInd w:val="0"/>
        <w:snapToGrid w:val="0"/>
        <w:ind w:firstLine="2808" w:firstLineChars="999"/>
        <w:rPr>
          <w:rFonts w:hint="eastAsia" w:ascii="楷体_GB2312" w:eastAsia="楷体_GB2312"/>
          <w:b/>
          <w:sz w:val="28"/>
        </w:rPr>
      </w:pPr>
    </w:p>
    <w:p>
      <w:pPr>
        <w:tabs>
          <w:tab w:val="left" w:pos="105"/>
          <w:tab w:val="left" w:pos="735"/>
          <w:tab w:val="left" w:pos="945"/>
          <w:tab w:val="left" w:pos="3360"/>
        </w:tabs>
        <w:adjustRightInd w:val="0"/>
        <w:snapToGrid w:val="0"/>
        <w:ind w:firstLine="2808" w:firstLineChars="999"/>
        <w:rPr>
          <w:rFonts w:hint="eastAsia" w:ascii="楷体_GB2312" w:eastAsia="楷体_GB2312"/>
          <w:b/>
          <w:sz w:val="28"/>
        </w:rPr>
      </w:pPr>
    </w:p>
    <w:p>
      <w:pPr>
        <w:tabs>
          <w:tab w:val="left" w:pos="105"/>
          <w:tab w:val="left" w:pos="735"/>
          <w:tab w:val="left" w:pos="945"/>
          <w:tab w:val="left" w:pos="3360"/>
        </w:tabs>
        <w:adjustRightInd w:val="0"/>
        <w:snapToGrid w:val="0"/>
        <w:ind w:firstLine="2808" w:firstLineChars="999"/>
        <w:rPr>
          <w:rFonts w:hint="eastAsia" w:ascii="楷体_GB2312" w:eastAsia="楷体_GB2312"/>
          <w:b/>
          <w:sz w:val="28"/>
        </w:rPr>
      </w:pPr>
    </w:p>
    <w:p>
      <w:pPr>
        <w:tabs>
          <w:tab w:val="left" w:pos="105"/>
          <w:tab w:val="left" w:pos="735"/>
          <w:tab w:val="left" w:pos="945"/>
          <w:tab w:val="left" w:pos="3360"/>
        </w:tabs>
        <w:adjustRightInd w:val="0"/>
        <w:snapToGrid w:val="0"/>
        <w:ind w:firstLine="2808" w:firstLineChars="999"/>
        <w:rPr>
          <w:rFonts w:hint="eastAsia" w:ascii="楷体_GB2312" w:eastAsia="楷体_GB2312"/>
          <w:b/>
          <w:sz w:val="28"/>
        </w:rPr>
      </w:pPr>
    </w:p>
    <w:p>
      <w:pPr>
        <w:tabs>
          <w:tab w:val="left" w:pos="105"/>
          <w:tab w:val="left" w:pos="735"/>
          <w:tab w:val="left" w:pos="945"/>
          <w:tab w:val="left" w:pos="3360"/>
        </w:tabs>
        <w:adjustRightInd w:val="0"/>
        <w:snapToGrid w:val="0"/>
        <w:ind w:firstLine="2808" w:firstLineChars="999"/>
        <w:rPr>
          <w:rFonts w:hint="eastAsia" w:ascii="楷体_GB2312" w:eastAsia="楷体_GB2312"/>
          <w:b/>
          <w:sz w:val="24"/>
        </w:rPr>
      </w:pPr>
      <w:r>
        <w:rPr>
          <w:rFonts w:hint="eastAsia" w:ascii="楷体_GB2312" w:eastAsia="楷体_GB2312"/>
          <w:b/>
          <w:sz w:val="28"/>
        </w:rPr>
        <w:t>第五部分</w:t>
      </w:r>
      <w:r>
        <w:rPr>
          <w:rFonts w:hint="eastAsia" w:ascii="楷体_GB2312" w:eastAsia="楷体_GB2312"/>
          <w:b/>
          <w:sz w:val="24"/>
        </w:rPr>
        <w:t>:</w:t>
      </w:r>
      <w:r>
        <w:rPr>
          <w:rFonts w:hint="eastAsia"/>
          <w:b/>
          <w:sz w:val="24"/>
        </w:rPr>
        <w:t xml:space="preserve"> </w:t>
      </w:r>
      <w:r>
        <w:rPr>
          <w:rFonts w:hint="eastAsia"/>
          <w:b/>
          <w:sz w:val="28"/>
        </w:rPr>
        <w:t xml:space="preserve"> </w:t>
      </w:r>
      <w:r>
        <w:rPr>
          <w:rFonts w:hint="eastAsia" w:ascii="楷体_GB2312" w:eastAsia="楷体_GB2312"/>
          <w:b/>
          <w:sz w:val="28"/>
        </w:rPr>
        <w:t>投标文件有关格式</w:t>
      </w:r>
    </w:p>
    <w:p>
      <w:pPr>
        <w:tabs>
          <w:tab w:val="left" w:pos="105"/>
          <w:tab w:val="left" w:pos="735"/>
          <w:tab w:val="left" w:pos="945"/>
          <w:tab w:val="left" w:pos="3360"/>
        </w:tabs>
        <w:adjustRightInd w:val="0"/>
        <w:snapToGrid w:val="0"/>
        <w:rPr>
          <w:rFonts w:hint="eastAsia"/>
          <w:b/>
          <w:sz w:val="28"/>
        </w:rPr>
      </w:pPr>
    </w:p>
    <w:p>
      <w:pPr>
        <w:ind w:firstLine="3132" w:firstLineChars="600"/>
        <w:rPr>
          <w:rFonts w:hint="eastAsia" w:eastAsia="楷体_GB2312"/>
          <w:b/>
          <w:bCs/>
          <w:sz w:val="52"/>
        </w:rPr>
      </w:pPr>
      <w:r>
        <w:rPr>
          <w:rFonts w:hint="eastAsia" w:eastAsia="楷体_GB2312"/>
          <w:b/>
          <w:bCs/>
          <w:sz w:val="52"/>
        </w:rPr>
        <w:t>投 标 文 件</w:t>
      </w:r>
    </w:p>
    <w:p>
      <w:pPr>
        <w:ind w:firstLine="2811" w:firstLineChars="1000"/>
        <w:rPr>
          <w:rFonts w:hint="eastAsia" w:eastAsia="楷体_GB2312"/>
          <w:b/>
          <w:bCs/>
          <w:sz w:val="28"/>
          <w:szCs w:val="28"/>
        </w:rPr>
      </w:pPr>
      <w:r>
        <w:rPr>
          <w:rFonts w:hint="eastAsia" w:eastAsia="楷体_GB2312"/>
          <w:b/>
          <w:bCs/>
          <w:sz w:val="28"/>
          <w:szCs w:val="28"/>
        </w:rPr>
        <w:t>（报价文件/技术商务文件）</w:t>
      </w:r>
    </w:p>
    <w:p>
      <w:pPr>
        <w:jc w:val="center"/>
        <w:rPr>
          <w:rFonts w:hint="eastAsia" w:eastAsia="黑体"/>
          <w:sz w:val="32"/>
        </w:rPr>
      </w:pPr>
      <w:r>
        <w:rPr>
          <w:rFonts w:hint="eastAsia" w:eastAsia="黑体"/>
          <w:sz w:val="32"/>
        </w:rPr>
        <w:t xml:space="preserve"> </w:t>
      </w:r>
    </w:p>
    <w:p>
      <w:pPr>
        <w:rPr>
          <w:rFonts w:hint="eastAsia"/>
          <w:u w:val="single"/>
        </w:rPr>
      </w:pPr>
      <w:r>
        <w:rPr>
          <w:rFonts w:hint="eastAsia" w:ascii="楷体_GB2312" w:eastAsia="楷体_GB2312"/>
          <w:sz w:val="44"/>
        </w:rPr>
        <w:t xml:space="preserve">     </w:t>
      </w:r>
      <w:r>
        <w:rPr>
          <w:rFonts w:hint="eastAsia" w:ascii="楷体_GB2312" w:eastAsia="楷体_GB2312"/>
          <w:b/>
          <w:bCs/>
          <w:sz w:val="36"/>
        </w:rPr>
        <w:t>招标编号</w:t>
      </w:r>
      <w:r>
        <w:rPr>
          <w:rFonts w:hint="eastAsia" w:ascii="楷体_GB2312" w:eastAsia="楷体_GB2312"/>
          <w:sz w:val="44"/>
        </w:rPr>
        <w:t>:</w:t>
      </w:r>
      <w:r>
        <w:rPr>
          <w:rFonts w:hint="eastAsia" w:ascii="楷体_GB2312" w:eastAsia="楷体_GB2312"/>
          <w:sz w:val="44"/>
          <w:u w:val="single"/>
        </w:rPr>
        <w:t xml:space="preserve">                   </w:t>
      </w:r>
      <w:r>
        <w:rPr>
          <w:rFonts w:hint="eastAsia" w:ascii="楷体_GB2312" w:eastAsia="楷体_GB2312"/>
          <w:sz w:val="4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ind w:firstLine="1084" w:firstLineChars="300"/>
        <w:rPr>
          <w:rFonts w:hint="eastAsia" w:ascii="黑体" w:eastAsia="黑体"/>
          <w:sz w:val="36"/>
        </w:rPr>
      </w:pPr>
      <w:r>
        <w:rPr>
          <w:rFonts w:hint="eastAsia" w:ascii="楷体_GB2312" w:eastAsia="楷体_GB2312"/>
          <w:b/>
          <w:bCs/>
          <w:sz w:val="36"/>
        </w:rPr>
        <w:t>项目名称</w:t>
      </w:r>
      <w:r>
        <w:rPr>
          <w:rFonts w:hint="eastAsia" w:ascii="黑体" w:eastAsia="黑体"/>
          <w:sz w:val="36"/>
        </w:rPr>
        <w:t>:________________________</w:t>
      </w:r>
    </w:p>
    <w:p>
      <w:pPr>
        <w:rPr>
          <w:rFonts w:hint="eastAsia" w:ascii="黑体" w:eastAsia="黑体"/>
          <w:sz w:val="36"/>
        </w:rPr>
      </w:pPr>
    </w:p>
    <w:p>
      <w:pPr>
        <w:rPr>
          <w:rFonts w:hint="eastAsia" w:ascii="黑体" w:eastAsia="黑体"/>
          <w:sz w:val="36"/>
        </w:rPr>
      </w:pPr>
    </w:p>
    <w:p>
      <w:pPr>
        <w:rPr>
          <w:rFonts w:hint="eastAsia" w:ascii="黑体" w:eastAsia="黑体"/>
          <w:sz w:val="36"/>
        </w:rPr>
      </w:pPr>
    </w:p>
    <w:p>
      <w:pPr>
        <w:rPr>
          <w:rFonts w:hint="eastAsia" w:ascii="黑体" w:eastAsia="黑体"/>
          <w:sz w:val="36"/>
        </w:rPr>
      </w:pPr>
    </w:p>
    <w:p>
      <w:pPr>
        <w:rPr>
          <w:rFonts w:hint="eastAsia" w:ascii="黑体" w:eastAsia="黑体"/>
          <w:sz w:val="36"/>
        </w:rPr>
      </w:pPr>
    </w:p>
    <w:p>
      <w:pPr>
        <w:ind w:firstLine="1084" w:firstLineChars="300"/>
        <w:rPr>
          <w:rFonts w:hint="eastAsia" w:ascii="黑体" w:eastAsia="黑体"/>
          <w:sz w:val="36"/>
        </w:rPr>
      </w:pPr>
      <w:r>
        <w:rPr>
          <w:rFonts w:hint="eastAsia" w:ascii="楷体_GB2312" w:eastAsia="楷体_GB2312"/>
          <w:b/>
          <w:bCs/>
          <w:sz w:val="36"/>
        </w:rPr>
        <w:t>投 标 人</w:t>
      </w:r>
      <w:r>
        <w:rPr>
          <w:rFonts w:hint="eastAsia" w:ascii="黑体" w:eastAsia="黑体"/>
          <w:sz w:val="36"/>
        </w:rPr>
        <w:t>:________________________</w:t>
      </w:r>
    </w:p>
    <w:p>
      <w:pPr>
        <w:rPr>
          <w:rFonts w:hint="eastAsia" w:ascii="黑体" w:eastAsia="黑体"/>
          <w:sz w:val="36"/>
        </w:rPr>
      </w:pPr>
    </w:p>
    <w:p>
      <w:pPr>
        <w:rPr>
          <w:rFonts w:hint="eastAsia" w:ascii="黑体" w:eastAsia="黑体"/>
          <w:sz w:val="36"/>
        </w:rPr>
      </w:pPr>
    </w:p>
    <w:p>
      <w:pPr>
        <w:rPr>
          <w:rFonts w:hint="eastAsia" w:ascii="黑体" w:eastAsia="黑体"/>
          <w:sz w:val="36"/>
        </w:rPr>
      </w:pPr>
    </w:p>
    <w:p>
      <w:pPr>
        <w:rPr>
          <w:rFonts w:hint="eastAsia" w:ascii="黑体" w:eastAsia="黑体"/>
          <w:sz w:val="36"/>
        </w:rPr>
      </w:pPr>
    </w:p>
    <w:p>
      <w:pPr>
        <w:ind w:left="2940"/>
        <w:rPr>
          <w:rFonts w:hint="eastAsia" w:ascii="楷体_GB2312" w:eastAsia="楷体_GB2312"/>
          <w:sz w:val="32"/>
        </w:rPr>
      </w:pPr>
      <w:r>
        <w:rPr>
          <w:rFonts w:hint="eastAsia" w:ascii="楷体_GB2312" w:eastAsia="楷体_GB2312"/>
          <w:sz w:val="32"/>
        </w:rPr>
        <w:t>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630"/>
        </w:tabs>
        <w:spacing w:line="400" w:lineRule="exact"/>
        <w:rPr>
          <w:rFonts w:hint="eastAsia"/>
          <w:b/>
          <w:bCs/>
          <w:sz w:val="28"/>
        </w:rPr>
      </w:pPr>
      <w:r>
        <w:rPr>
          <w:rFonts w:hint="eastAsia" w:eastAsia="楷体_GB2312"/>
          <w:b/>
          <w:bCs/>
          <w:sz w:val="24"/>
        </w:rPr>
        <w:t>附件一</w:t>
      </w:r>
      <w:r>
        <w:rPr>
          <w:rFonts w:hint="eastAsia"/>
          <w:sz w:val="30"/>
        </w:rPr>
        <w:t>：</w:t>
      </w:r>
      <w:r>
        <w:rPr>
          <w:rFonts w:hint="eastAsia"/>
          <w:sz w:val="28"/>
        </w:rPr>
        <w:t xml:space="preserve">                  </w:t>
      </w:r>
      <w:r>
        <w:rPr>
          <w:rFonts w:hint="eastAsia"/>
          <w:b/>
          <w:bCs/>
          <w:sz w:val="28"/>
        </w:rPr>
        <w:t xml:space="preserve"> </w:t>
      </w:r>
    </w:p>
    <w:p>
      <w:pPr>
        <w:tabs>
          <w:tab w:val="left" w:pos="630"/>
        </w:tabs>
        <w:spacing w:line="400" w:lineRule="exact"/>
        <w:jc w:val="center"/>
        <w:rPr>
          <w:rFonts w:hint="eastAsia" w:eastAsia="楷体_GB2312"/>
          <w:b/>
          <w:bCs/>
          <w:sz w:val="30"/>
        </w:rPr>
      </w:pPr>
      <w:r>
        <w:rPr>
          <w:rFonts w:hint="eastAsia" w:eastAsia="楷体_GB2312"/>
          <w:b/>
          <w:bCs/>
          <w:sz w:val="30"/>
        </w:rPr>
        <w:t>投标函</w:t>
      </w:r>
    </w:p>
    <w:p>
      <w:pPr>
        <w:tabs>
          <w:tab w:val="left" w:pos="630"/>
        </w:tabs>
        <w:spacing w:line="400" w:lineRule="exact"/>
        <w:jc w:val="center"/>
        <w:rPr>
          <w:rFonts w:hint="eastAsia" w:eastAsia="楷体_GB2312"/>
          <w:b/>
          <w:bCs/>
          <w:sz w:val="28"/>
        </w:rPr>
      </w:pPr>
    </w:p>
    <w:p>
      <w:pPr>
        <w:tabs>
          <w:tab w:val="left" w:pos="630"/>
        </w:tabs>
        <w:spacing w:line="400" w:lineRule="exact"/>
        <w:rPr>
          <w:rFonts w:hint="eastAsia" w:ascii="楷体_GB2312" w:hAnsi="宋体" w:eastAsia="楷体_GB2312"/>
          <w:sz w:val="24"/>
        </w:rPr>
      </w:pPr>
      <w:r>
        <w:rPr>
          <w:rFonts w:hint="eastAsia" w:ascii="楷体_GB2312" w:hAnsi="宋体" w:eastAsia="楷体_GB2312"/>
          <w:sz w:val="24"/>
        </w:rPr>
        <w:t>致</w:t>
      </w:r>
      <w:r>
        <w:rPr>
          <w:rFonts w:hint="eastAsia" w:ascii="楷体_GB2312" w:hAnsi="宋体" w:eastAsia="楷体_GB2312"/>
          <w:sz w:val="24"/>
          <w:u w:val="single"/>
        </w:rPr>
        <w:t>象山县政府采购中心</w:t>
      </w:r>
      <w:r>
        <w:rPr>
          <w:rFonts w:hint="eastAsia" w:ascii="楷体_GB2312" w:hAnsi="宋体" w:eastAsia="楷体_GB2312"/>
          <w:sz w:val="24"/>
        </w:rPr>
        <w:t xml:space="preserve">：     </w:t>
      </w:r>
    </w:p>
    <w:p>
      <w:pPr>
        <w:spacing w:line="520" w:lineRule="exact"/>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u w:val="single"/>
        </w:rPr>
        <w:t xml:space="preserve">（投标人全称）  </w:t>
      </w:r>
      <w:r>
        <w:rPr>
          <w:rFonts w:hint="eastAsia" w:ascii="楷体_GB2312" w:hAnsi="宋体" w:eastAsia="楷体_GB2312"/>
          <w:sz w:val="24"/>
        </w:rPr>
        <w:t>授权</w:t>
      </w:r>
      <w:r>
        <w:rPr>
          <w:rFonts w:hint="eastAsia" w:ascii="楷体_GB2312" w:hAnsi="宋体" w:eastAsia="楷体_GB2312"/>
          <w:sz w:val="24"/>
          <w:u w:val="single"/>
        </w:rPr>
        <w:t xml:space="preserve">（全权代表姓名、职务）   </w:t>
      </w:r>
      <w:r>
        <w:rPr>
          <w:rFonts w:hint="eastAsia" w:ascii="楷体_GB2312" w:hAnsi="宋体" w:eastAsia="楷体_GB2312"/>
          <w:sz w:val="24"/>
        </w:rPr>
        <w:t>为本公司（单位）合法代理人，参加贵方组织的</w:t>
      </w:r>
      <w:r>
        <w:rPr>
          <w:rFonts w:hint="eastAsia" w:ascii="楷体_GB2312" w:hAnsi="宋体" w:eastAsia="楷体_GB2312"/>
          <w:sz w:val="24"/>
          <w:u w:val="single"/>
        </w:rPr>
        <w:t xml:space="preserve">    （招标编号、招标项目名称）</w:t>
      </w:r>
      <w:r>
        <w:rPr>
          <w:rFonts w:hint="eastAsia" w:ascii="楷体_GB2312" w:hAnsi="宋体" w:eastAsia="楷体_GB2312"/>
          <w:sz w:val="24"/>
        </w:rPr>
        <w:t>招标投标活动，代表本公司（单位）处理招标投标的一切事宜。在此提供“投标须知”规定的全部投标文件：</w:t>
      </w:r>
    </w:p>
    <w:p>
      <w:pPr>
        <w:tabs>
          <w:tab w:val="left" w:pos="945"/>
          <w:tab w:val="left" w:pos="1260"/>
        </w:tabs>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1、完全满足招标文件中全部实质性要求。</w:t>
      </w:r>
    </w:p>
    <w:p>
      <w:pPr>
        <w:tabs>
          <w:tab w:val="left" w:pos="945"/>
          <w:tab w:val="left" w:pos="1260"/>
        </w:tabs>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2、投标报价文件正本   份，副本   份；技术商务文件正本   份，副本   份；价格标与技术商务标分开包装，包装封面均要求加盖投标人公章。</w:t>
      </w:r>
    </w:p>
    <w:p>
      <w:pPr>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3、保证遵守招标文件中的有关规定和收费标准。</w:t>
      </w:r>
    </w:p>
    <w:p>
      <w:pPr>
        <w:tabs>
          <w:tab w:val="left" w:pos="1110"/>
        </w:tabs>
        <w:spacing w:line="520" w:lineRule="exact"/>
        <w:ind w:right="-153" w:rightChars="-73" w:firstLine="480" w:firstLineChars="200"/>
        <w:rPr>
          <w:rFonts w:hint="eastAsia" w:ascii="楷体_GB2312" w:hAnsi="宋体" w:eastAsia="楷体_GB2312"/>
          <w:sz w:val="24"/>
        </w:rPr>
      </w:pPr>
      <w:r>
        <w:rPr>
          <w:rFonts w:hint="eastAsia" w:ascii="楷体_GB2312" w:hAnsi="宋体" w:eastAsia="楷体_GB2312"/>
          <w:sz w:val="24"/>
        </w:rPr>
        <w:t>4、保证忠实地执行买卖双方所签署的经济合同，并承担合同规定的责任义务。</w:t>
      </w:r>
    </w:p>
    <w:p>
      <w:pPr>
        <w:tabs>
          <w:tab w:val="left" w:pos="1110"/>
        </w:tabs>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5、愿意向贵方提供任何与该项目投标有关的数据、情况和技术资料。</w:t>
      </w:r>
    </w:p>
    <w:p>
      <w:pPr>
        <w:tabs>
          <w:tab w:val="left" w:pos="1110"/>
        </w:tabs>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6、我们已详细审核全部招标文件、参考资料及有关附件，我们知道必须放弃提出含糊不清或误解问题的权利。</w:t>
      </w:r>
    </w:p>
    <w:p>
      <w:pPr>
        <w:tabs>
          <w:tab w:val="left" w:pos="1110"/>
        </w:tabs>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7、我们完全理解贵方不一定接受最低报价或收到的任何报价。</w:t>
      </w:r>
    </w:p>
    <w:p>
      <w:pPr>
        <w:tabs>
          <w:tab w:val="left" w:pos="1110"/>
        </w:tabs>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8、如果在评定后规定的有效期内撤回报价或有其他违约行为，我们的投标保金可被贵方没收。</w:t>
      </w:r>
    </w:p>
    <w:p>
      <w:pPr>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9、本投标自开标之日起</w:t>
      </w:r>
      <w:r>
        <w:rPr>
          <w:rFonts w:hint="eastAsia" w:ascii="楷体_GB2312" w:hAnsi="宋体" w:eastAsia="楷体_GB2312"/>
          <w:sz w:val="24"/>
          <w:u w:val="single"/>
        </w:rPr>
        <w:t xml:space="preserve"> 90  </w:t>
      </w:r>
      <w:r>
        <w:rPr>
          <w:rFonts w:hint="eastAsia" w:ascii="楷体_GB2312" w:hAnsi="宋体" w:eastAsia="楷体_GB2312"/>
          <w:sz w:val="24"/>
        </w:rPr>
        <w:t>天内有效。</w:t>
      </w:r>
    </w:p>
    <w:p>
      <w:pPr>
        <w:spacing w:line="520" w:lineRule="exact"/>
        <w:ind w:firstLine="480" w:firstLineChars="200"/>
        <w:rPr>
          <w:rFonts w:hint="eastAsia" w:ascii="楷体_GB2312" w:hAnsi="宋体" w:eastAsia="楷体_GB2312"/>
          <w:sz w:val="24"/>
        </w:rPr>
      </w:pPr>
      <w:r>
        <w:rPr>
          <w:rFonts w:hint="eastAsia" w:ascii="楷体_GB2312" w:hAnsi="宋体" w:eastAsia="楷体_GB2312"/>
          <w:sz w:val="24"/>
        </w:rPr>
        <w:t>10、与本投标有关的一切往来通讯请寄：</w:t>
      </w:r>
    </w:p>
    <w:p>
      <w:pPr>
        <w:spacing w:line="520" w:lineRule="exact"/>
        <w:ind w:left="525"/>
        <w:rPr>
          <w:rFonts w:hint="eastAsia" w:ascii="楷体_GB2312" w:hAnsi="宋体" w:eastAsia="楷体_GB2312"/>
          <w:sz w:val="24"/>
          <w:u w:val="single"/>
        </w:rPr>
      </w:pPr>
      <w:r>
        <w:rPr>
          <w:rFonts w:hint="eastAsia" w:ascii="楷体_GB2312" w:hAnsi="宋体" w:eastAsia="楷体_GB2312"/>
          <w:sz w:val="24"/>
        </w:rPr>
        <w:t>地址：</w:t>
      </w:r>
      <w:r>
        <w:rPr>
          <w:rFonts w:hint="eastAsia" w:ascii="楷体_GB2312" w:hAnsi="宋体" w:eastAsia="楷体_GB2312"/>
          <w:sz w:val="24"/>
          <w:u w:val="single"/>
        </w:rPr>
        <w:t xml:space="preserve">                                 </w:t>
      </w:r>
    </w:p>
    <w:p>
      <w:pPr>
        <w:spacing w:line="520" w:lineRule="exact"/>
        <w:ind w:left="525"/>
        <w:rPr>
          <w:rFonts w:hint="eastAsia" w:ascii="楷体_GB2312" w:hAnsi="宋体" w:eastAsia="楷体_GB2312"/>
          <w:sz w:val="24"/>
        </w:rPr>
      </w:pPr>
      <w:r>
        <w:rPr>
          <w:rFonts w:hint="eastAsia" w:ascii="楷体_GB2312" w:hAnsi="宋体" w:eastAsia="楷体_GB2312"/>
          <w:sz w:val="24"/>
        </w:rPr>
        <w:t xml:space="preserve">邮编： </w:t>
      </w:r>
      <w:r>
        <w:rPr>
          <w:rFonts w:hint="eastAsia" w:ascii="楷体_GB2312" w:hAnsi="宋体" w:eastAsia="楷体_GB2312"/>
          <w:sz w:val="24"/>
          <w:u w:val="single"/>
        </w:rPr>
        <w:t xml:space="preserve">            </w:t>
      </w:r>
      <w:r>
        <w:rPr>
          <w:rFonts w:hint="eastAsia" w:ascii="楷体_GB2312" w:hAnsi="宋体" w:eastAsia="楷体_GB2312"/>
          <w:sz w:val="24"/>
        </w:rPr>
        <w:t xml:space="preserve">   电话： </w:t>
      </w:r>
      <w:r>
        <w:rPr>
          <w:rFonts w:hint="eastAsia" w:ascii="楷体_GB2312" w:hAnsi="宋体" w:eastAsia="楷体_GB2312"/>
          <w:sz w:val="24"/>
          <w:u w:val="single"/>
        </w:rPr>
        <w:t xml:space="preserve">         </w:t>
      </w:r>
      <w:r>
        <w:rPr>
          <w:rFonts w:hint="eastAsia" w:ascii="楷体_GB2312" w:hAnsi="宋体" w:eastAsia="楷体_GB2312"/>
          <w:sz w:val="24"/>
        </w:rPr>
        <w:t xml:space="preserve"> 传真：</w:t>
      </w:r>
      <w:r>
        <w:rPr>
          <w:rFonts w:hint="eastAsia" w:ascii="楷体_GB2312" w:hAnsi="宋体" w:eastAsia="楷体_GB2312"/>
          <w:sz w:val="24"/>
          <w:u w:val="single"/>
        </w:rPr>
        <w:t xml:space="preserve">          </w:t>
      </w:r>
      <w:r>
        <w:rPr>
          <w:rFonts w:hint="eastAsia" w:ascii="楷体_GB2312" w:hAnsi="宋体" w:eastAsia="楷体_GB2312"/>
          <w:sz w:val="24"/>
        </w:rPr>
        <w:t xml:space="preserve">     </w:t>
      </w:r>
    </w:p>
    <w:p>
      <w:pPr>
        <w:spacing w:line="400" w:lineRule="exact"/>
        <w:ind w:left="525"/>
        <w:rPr>
          <w:rFonts w:hint="eastAsia" w:ascii="楷体_GB2312" w:hAnsi="宋体" w:eastAsia="楷体_GB2312"/>
          <w:sz w:val="24"/>
        </w:rPr>
      </w:pPr>
      <w:r>
        <w:rPr>
          <w:rFonts w:hint="eastAsia" w:ascii="楷体_GB2312" w:hAnsi="宋体" w:eastAsia="楷体_GB2312"/>
          <w:sz w:val="24"/>
        </w:rPr>
        <w:t xml:space="preserve">                        </w:t>
      </w:r>
    </w:p>
    <w:p>
      <w:pPr>
        <w:spacing w:line="400" w:lineRule="exact"/>
        <w:ind w:left="525"/>
        <w:rPr>
          <w:rFonts w:hint="eastAsia" w:ascii="楷体_GB2312" w:hAnsi="宋体" w:eastAsia="楷体_GB2312"/>
          <w:sz w:val="24"/>
        </w:rPr>
      </w:pPr>
      <w:r>
        <w:rPr>
          <w:rFonts w:hint="eastAsia" w:ascii="楷体_GB2312" w:hAnsi="宋体" w:eastAsia="楷体_GB2312"/>
          <w:sz w:val="24"/>
        </w:rPr>
        <w:t>投标人单位（盖章）：</w:t>
      </w:r>
    </w:p>
    <w:p>
      <w:pPr>
        <w:spacing w:line="400" w:lineRule="exact"/>
        <w:ind w:left="525"/>
        <w:rPr>
          <w:rFonts w:hint="eastAsia" w:ascii="楷体_GB2312" w:hAnsi="宋体" w:eastAsia="楷体_GB2312"/>
          <w:sz w:val="24"/>
        </w:rPr>
      </w:pPr>
      <w:r>
        <w:rPr>
          <w:rFonts w:hint="eastAsia" w:ascii="楷体_GB2312" w:hAnsi="宋体" w:eastAsia="楷体_GB2312"/>
          <w:sz w:val="24"/>
        </w:rPr>
        <w:t xml:space="preserve">                        </w:t>
      </w:r>
    </w:p>
    <w:p>
      <w:pPr>
        <w:spacing w:line="400" w:lineRule="exact"/>
        <w:ind w:left="525"/>
        <w:rPr>
          <w:rFonts w:hint="eastAsia" w:ascii="楷体_GB2312" w:hAnsi="宋体" w:eastAsia="楷体_GB2312"/>
          <w:sz w:val="24"/>
        </w:rPr>
      </w:pPr>
      <w:r>
        <w:rPr>
          <w:rFonts w:hint="eastAsia" w:ascii="楷体_GB2312" w:eastAsia="楷体_GB2312"/>
          <w:sz w:val="24"/>
        </w:rPr>
        <w:t>法定代表人或授权代表</w:t>
      </w:r>
      <w:r>
        <w:rPr>
          <w:rFonts w:hint="eastAsia" w:ascii="楷体_GB2312" w:hAnsi="宋体" w:eastAsia="楷体_GB2312"/>
          <w:sz w:val="24"/>
        </w:rPr>
        <w:t>（签字）：</w:t>
      </w:r>
    </w:p>
    <w:p>
      <w:pPr>
        <w:spacing w:line="400" w:lineRule="exact"/>
        <w:ind w:left="525" w:leftChars="250" w:firstLine="5520" w:firstLineChars="2300"/>
        <w:rPr>
          <w:rFonts w:hint="eastAsia" w:ascii="楷体_GB2312" w:eastAsia="楷体_GB2312"/>
          <w:sz w:val="28"/>
        </w:rPr>
      </w:pPr>
      <w:r>
        <w:rPr>
          <w:rFonts w:hint="eastAsia" w:ascii="楷体_GB2312" w:hAnsi="宋体" w:eastAsia="楷体_GB2312"/>
          <w:sz w:val="24"/>
        </w:rPr>
        <w:t>日     期：</w:t>
      </w:r>
      <w:r>
        <w:rPr>
          <w:rFonts w:hint="eastAsia" w:ascii="楷体_GB2312" w:eastAsia="楷体_GB2312"/>
          <w:sz w:val="28"/>
        </w:rPr>
        <w:t xml:space="preserve"> </w:t>
      </w:r>
    </w:p>
    <w:p>
      <w:pPr>
        <w:tabs>
          <w:tab w:val="left" w:pos="1575"/>
        </w:tabs>
        <w:rPr>
          <w:rFonts w:hint="eastAsia" w:ascii="楷体_GB2312" w:eastAsia="楷体_GB2312"/>
          <w:b/>
          <w:bCs/>
          <w:sz w:val="24"/>
        </w:rPr>
      </w:pPr>
    </w:p>
    <w:p>
      <w:pPr>
        <w:tabs>
          <w:tab w:val="left" w:pos="1575"/>
        </w:tabs>
        <w:rPr>
          <w:rFonts w:hint="eastAsia" w:ascii="楷体_GB2312" w:eastAsia="楷体_GB2312"/>
          <w:b/>
          <w:bCs/>
          <w:sz w:val="24"/>
        </w:rPr>
      </w:pPr>
    </w:p>
    <w:p>
      <w:pPr>
        <w:tabs>
          <w:tab w:val="left" w:pos="1575"/>
        </w:tabs>
        <w:rPr>
          <w:rFonts w:hint="eastAsia" w:ascii="宋体"/>
          <w:b/>
          <w:bCs/>
          <w:sz w:val="24"/>
        </w:rPr>
      </w:pPr>
      <w:r>
        <w:rPr>
          <w:rFonts w:hint="eastAsia" w:ascii="楷体_GB2312" w:eastAsia="楷体_GB2312"/>
          <w:b/>
          <w:bCs/>
          <w:sz w:val="24"/>
        </w:rPr>
        <w:t>附件二</w:t>
      </w:r>
      <w:r>
        <w:rPr>
          <w:rFonts w:hint="eastAsia" w:ascii="宋体"/>
          <w:b/>
          <w:bCs/>
          <w:sz w:val="24"/>
        </w:rPr>
        <w:t xml:space="preserve">:                   </w:t>
      </w:r>
    </w:p>
    <w:p>
      <w:pPr>
        <w:tabs>
          <w:tab w:val="left" w:pos="1575"/>
        </w:tabs>
        <w:rPr>
          <w:rFonts w:hint="eastAsia" w:ascii="宋体"/>
          <w:sz w:val="30"/>
        </w:rPr>
      </w:pPr>
      <w:r>
        <w:rPr>
          <w:rFonts w:hint="eastAsia" w:ascii="宋体"/>
          <w:b/>
          <w:bCs/>
          <w:sz w:val="24"/>
        </w:rPr>
        <w:t xml:space="preserve"> </w:t>
      </w:r>
    </w:p>
    <w:p>
      <w:pPr>
        <w:tabs>
          <w:tab w:val="left" w:pos="1575"/>
        </w:tabs>
        <w:jc w:val="center"/>
        <w:rPr>
          <w:rFonts w:hint="eastAsia" w:ascii="楷体_GB2312" w:eastAsia="楷体_GB2312"/>
          <w:b/>
          <w:bCs/>
          <w:sz w:val="30"/>
        </w:rPr>
      </w:pPr>
      <w:r>
        <w:rPr>
          <w:rFonts w:hint="eastAsia" w:ascii="楷体_GB2312" w:eastAsia="楷体_GB2312"/>
          <w:b/>
          <w:bCs/>
          <w:sz w:val="30"/>
        </w:rPr>
        <w:t>法定代表人/组织授权书</w:t>
      </w:r>
    </w:p>
    <w:p>
      <w:pPr>
        <w:tabs>
          <w:tab w:val="left" w:pos="1575"/>
        </w:tabs>
        <w:rPr>
          <w:rFonts w:hint="eastAsia" w:ascii="仿宋_GB2312" w:eastAsia="楷体_GB2312"/>
          <w:sz w:val="24"/>
          <w:u w:val="single"/>
        </w:rPr>
      </w:pPr>
      <w:r>
        <w:rPr>
          <w:rFonts w:hint="eastAsia" w:ascii="仿宋_GB2312" w:eastAsia="楷体_GB2312"/>
          <w:sz w:val="24"/>
          <w:u w:val="single"/>
        </w:rPr>
        <w:t>致象山县政府采购中心：</w:t>
      </w:r>
    </w:p>
    <w:p>
      <w:pPr>
        <w:spacing w:line="360" w:lineRule="auto"/>
        <w:ind w:firstLine="480" w:firstLineChars="150"/>
        <w:rPr>
          <w:rFonts w:hint="eastAsia" w:ascii="仿宋_GB2312" w:eastAsia="楷体_GB2312"/>
          <w:sz w:val="24"/>
          <w:u w:val="single"/>
        </w:rPr>
      </w:pPr>
      <w:r>
        <w:rPr>
          <w:rFonts w:hint="eastAsia" w:ascii="仿宋_GB2312" w:eastAsia="仿宋_GB2312"/>
          <w:sz w:val="32"/>
          <w:u w:val="single"/>
        </w:rPr>
        <w:t xml:space="preserve"> </w:t>
      </w:r>
      <w:r>
        <w:rPr>
          <w:rFonts w:hint="eastAsia" w:ascii="仿宋_GB2312" w:eastAsia="楷体_GB2312"/>
          <w:sz w:val="24"/>
          <w:u w:val="single"/>
        </w:rPr>
        <w:t xml:space="preserve">               （投标人全称）</w:t>
      </w:r>
      <w:r>
        <w:rPr>
          <w:rFonts w:hint="eastAsia" w:ascii="宋体" w:eastAsia="楷体_GB2312"/>
          <w:sz w:val="24"/>
        </w:rPr>
        <w:t>法定代表人/负责人</w:t>
      </w:r>
      <w:r>
        <w:rPr>
          <w:rFonts w:hint="eastAsia" w:ascii="宋体" w:eastAsia="楷体_GB2312"/>
          <w:sz w:val="24"/>
          <w:u w:val="single"/>
        </w:rPr>
        <w:t>（姓名、职务）</w:t>
      </w:r>
      <w:r>
        <w:rPr>
          <w:rFonts w:hint="eastAsia" w:ascii="仿宋_GB2312" w:eastAsia="楷体_GB2312"/>
          <w:sz w:val="24"/>
          <w:u w:val="single"/>
        </w:rPr>
        <w:t xml:space="preserve">                        </w:t>
      </w:r>
    </w:p>
    <w:p>
      <w:pPr>
        <w:spacing w:line="360" w:lineRule="auto"/>
        <w:rPr>
          <w:rFonts w:hint="eastAsia" w:ascii="仿宋_GB2312" w:eastAsia="楷体_GB2312"/>
          <w:sz w:val="24"/>
        </w:rPr>
      </w:pPr>
      <w:r>
        <w:rPr>
          <w:rFonts w:hint="eastAsia" w:ascii="仿宋_GB2312" w:eastAsia="楷体_GB2312"/>
          <w:sz w:val="24"/>
        </w:rPr>
        <w:t>授权</w:t>
      </w:r>
      <w:r>
        <w:rPr>
          <w:rFonts w:hint="eastAsia" w:ascii="仿宋_GB2312" w:eastAsia="楷体_GB2312"/>
          <w:sz w:val="24"/>
          <w:u w:val="single"/>
        </w:rPr>
        <w:t xml:space="preserve">             </w:t>
      </w:r>
      <w:r>
        <w:rPr>
          <w:rFonts w:hint="eastAsia" w:ascii="仿宋_GB2312" w:eastAsia="楷体_GB2312"/>
          <w:sz w:val="24"/>
        </w:rPr>
        <w:t>（被授权代表姓名、职务）为本公司/本单位合法代理人，参加贵单位组织的</w:t>
      </w:r>
      <w:r>
        <w:rPr>
          <w:rFonts w:hint="eastAsia" w:ascii="仿宋_GB2312" w:eastAsia="楷体_GB2312"/>
          <w:sz w:val="24"/>
          <w:u w:val="single"/>
        </w:rPr>
        <w:t xml:space="preserve">  （招标编号）（招标项目）              </w:t>
      </w:r>
      <w:r>
        <w:rPr>
          <w:rFonts w:hint="eastAsia" w:ascii="仿宋_GB2312" w:eastAsia="楷体_GB2312"/>
          <w:sz w:val="24"/>
        </w:rPr>
        <w:t>项目的招标投标活动，代表本公司/单位全权处理招标投标活动中的一切事宜。</w:t>
      </w:r>
    </w:p>
    <w:p>
      <w:pPr>
        <w:spacing w:line="360" w:lineRule="auto"/>
        <w:ind w:firstLine="540"/>
        <w:jc w:val="left"/>
        <w:rPr>
          <w:rFonts w:hint="eastAsia" w:ascii="宋体" w:eastAsia="楷体_GB2312"/>
          <w:sz w:val="24"/>
        </w:rPr>
      </w:pPr>
      <w:r>
        <w:rPr>
          <w:rFonts w:hint="eastAsia" w:ascii="宋体" w:eastAsia="楷体_GB2312"/>
          <w:sz w:val="24"/>
        </w:rPr>
        <w:t>本授权书于    年  月  日签字生效，特此证明。</w:t>
      </w:r>
    </w:p>
    <w:p>
      <w:pPr>
        <w:spacing w:line="360" w:lineRule="auto"/>
        <w:ind w:firstLine="2415"/>
        <w:rPr>
          <w:rFonts w:hint="eastAsia" w:ascii="仿宋_GB2312" w:eastAsia="楷体_GB2312"/>
          <w:sz w:val="24"/>
        </w:rPr>
      </w:pPr>
    </w:p>
    <w:p>
      <w:pPr>
        <w:spacing w:line="360" w:lineRule="auto"/>
        <w:ind w:firstLine="2415"/>
        <w:rPr>
          <w:rFonts w:hint="eastAsia" w:ascii="仿宋_GB2312" w:eastAsia="楷体_GB2312"/>
          <w:sz w:val="24"/>
        </w:rPr>
      </w:pPr>
      <w:r>
        <w:rPr>
          <w:rFonts w:hint="eastAsia" w:ascii="宋体" w:eastAsia="楷体_GB2312"/>
          <w:sz w:val="24"/>
        </w:rPr>
        <w:t>法定代表人/负责人（</w:t>
      </w:r>
      <w:r>
        <w:rPr>
          <w:rFonts w:hint="eastAsia" w:ascii="仿宋_GB2312" w:eastAsia="楷体_GB2312"/>
          <w:sz w:val="24"/>
        </w:rPr>
        <w:t>签字）：</w:t>
      </w:r>
    </w:p>
    <w:p>
      <w:pPr>
        <w:spacing w:line="360" w:lineRule="auto"/>
        <w:ind w:firstLine="2415"/>
        <w:rPr>
          <w:rFonts w:hint="eastAsia" w:ascii="仿宋_GB2312" w:eastAsia="楷体_GB2312"/>
          <w:sz w:val="24"/>
        </w:rPr>
      </w:pPr>
    </w:p>
    <w:p>
      <w:pPr>
        <w:spacing w:line="360" w:lineRule="auto"/>
        <w:ind w:firstLine="2415"/>
        <w:rPr>
          <w:rFonts w:hint="eastAsia" w:ascii="仿宋_GB2312" w:eastAsia="楷体_GB2312"/>
          <w:sz w:val="24"/>
        </w:rPr>
      </w:pPr>
      <w:r>
        <w:rPr>
          <w:rFonts w:hint="eastAsia" w:ascii="仿宋_GB2312" w:eastAsia="楷体_GB2312"/>
          <w:sz w:val="24"/>
        </w:rPr>
        <w:t>投标人单位全称（公章）：</w:t>
      </w:r>
    </w:p>
    <w:p>
      <w:pPr>
        <w:spacing w:line="360" w:lineRule="auto"/>
        <w:ind w:firstLine="2415"/>
        <w:rPr>
          <w:rFonts w:hint="eastAsia" w:ascii="仿宋_GB2312" w:eastAsia="楷体_GB2312"/>
          <w:sz w:val="24"/>
        </w:rPr>
      </w:pPr>
      <w:r>
        <w:rPr>
          <w:rFonts w:hint="eastAsia" w:ascii="仿宋_GB2312" w:eastAsia="楷体_GB2312"/>
          <w:sz w:val="24"/>
        </w:rPr>
        <w:t>日   期：</w:t>
      </w:r>
    </w:p>
    <w:p>
      <w:pPr>
        <w:rPr>
          <w:rFonts w:hint="eastAsia" w:ascii="仿宋_GB2312" w:eastAsia="楷体_GB2312"/>
          <w:sz w:val="24"/>
        </w:rPr>
      </w:pPr>
      <w:r>
        <w:rPr>
          <w:rFonts w:hint="eastAsia" w:ascii="仿宋_GB2312" w:eastAsia="楷体_GB2312"/>
          <w:sz w:val="24"/>
        </w:rPr>
        <w:t xml:space="preserve"> </w:t>
      </w:r>
    </w:p>
    <w:p>
      <w:pPr>
        <w:rPr>
          <w:rFonts w:hint="eastAsia" w:ascii="仿宋_GB2312" w:eastAsia="楷体_GB2312"/>
          <w:sz w:val="24"/>
        </w:rPr>
      </w:pPr>
      <w:r>
        <w:rPr>
          <w:rFonts w:hint="eastAsia" w:ascii="仿宋_GB2312" w:eastAsia="楷体_GB2312"/>
          <w:sz w:val="24"/>
        </w:rPr>
        <w:t xml:space="preserve"> 附：</w:t>
      </w:r>
    </w:p>
    <w:p>
      <w:pPr>
        <w:ind w:firstLine="420"/>
        <w:rPr>
          <w:rFonts w:hint="eastAsia" w:ascii="仿宋_GB2312" w:eastAsia="楷体_GB2312"/>
          <w:sz w:val="24"/>
        </w:rPr>
      </w:pPr>
      <w:r>
        <w:rPr>
          <w:rFonts w:hint="eastAsia" w:ascii="仿宋_GB2312" w:eastAsia="楷体_GB2312"/>
          <w:sz w:val="24"/>
        </w:rPr>
        <w:t>被授权代表人姓名：（印刷体）</w:t>
      </w:r>
    </w:p>
    <w:p>
      <w:pPr>
        <w:ind w:firstLine="420"/>
        <w:rPr>
          <w:rFonts w:hint="eastAsia" w:ascii="仿宋_GB2312" w:eastAsia="楷体_GB2312"/>
          <w:sz w:val="24"/>
        </w:rPr>
      </w:pPr>
    </w:p>
    <w:p>
      <w:pPr>
        <w:ind w:firstLine="420"/>
        <w:rPr>
          <w:rFonts w:hint="eastAsia" w:ascii="仿宋_GB2312" w:eastAsia="楷体_GB2312"/>
          <w:sz w:val="24"/>
        </w:rPr>
      </w:pPr>
      <w:r>
        <w:rPr>
          <w:rFonts w:hint="eastAsia" w:ascii="仿宋_GB2312" w:eastAsia="楷体_GB2312"/>
          <w:sz w:val="24"/>
        </w:rPr>
        <w:t>职        务：</w:t>
      </w:r>
    </w:p>
    <w:p>
      <w:pPr>
        <w:ind w:firstLine="420"/>
        <w:rPr>
          <w:rFonts w:hint="eastAsia" w:ascii="仿宋_GB2312" w:eastAsia="楷体_GB2312"/>
          <w:sz w:val="24"/>
        </w:rPr>
      </w:pPr>
    </w:p>
    <w:p>
      <w:pPr>
        <w:ind w:firstLine="420"/>
        <w:rPr>
          <w:rFonts w:hint="eastAsia" w:ascii="仿宋_GB2312" w:eastAsia="楷体_GB2312"/>
          <w:sz w:val="24"/>
        </w:rPr>
      </w:pPr>
      <w:r>
        <w:rPr>
          <w:rFonts w:hint="eastAsia" w:ascii="仿宋_GB2312" w:eastAsia="楷体_GB2312"/>
          <w:sz w:val="24"/>
        </w:rPr>
        <w:t>被授权代表签字：</w:t>
      </w:r>
    </w:p>
    <w:p>
      <w:pPr>
        <w:ind w:firstLine="420"/>
        <w:rPr>
          <w:rFonts w:hint="eastAsia" w:ascii="仿宋_GB2312" w:eastAsia="楷体_GB2312"/>
          <w:sz w:val="24"/>
        </w:rPr>
      </w:pPr>
    </w:p>
    <w:p>
      <w:pPr>
        <w:ind w:firstLine="420"/>
        <w:rPr>
          <w:rFonts w:hint="eastAsia" w:ascii="仿宋_GB2312" w:eastAsia="楷体_GB2312"/>
          <w:sz w:val="24"/>
        </w:rPr>
      </w:pPr>
      <w:r>
        <w:rPr>
          <w:rFonts w:hint="eastAsia" w:ascii="仿宋_GB2312" w:eastAsia="楷体_GB2312"/>
          <w:sz w:val="24"/>
        </w:rPr>
        <w:t>详细通讯地址：</w:t>
      </w:r>
    </w:p>
    <w:p>
      <w:pPr>
        <w:ind w:firstLine="420"/>
        <w:rPr>
          <w:rFonts w:hint="eastAsia" w:ascii="仿宋_GB2312" w:eastAsia="楷体_GB2312"/>
          <w:sz w:val="24"/>
        </w:rPr>
      </w:pPr>
    </w:p>
    <w:p>
      <w:pPr>
        <w:ind w:firstLine="420"/>
        <w:rPr>
          <w:rFonts w:hint="eastAsia" w:ascii="仿宋_GB2312" w:eastAsia="楷体_GB2312"/>
          <w:sz w:val="24"/>
        </w:rPr>
      </w:pPr>
      <w:r>
        <w:rPr>
          <w:rFonts w:hint="eastAsia" w:ascii="仿宋_GB2312" w:eastAsia="楷体_GB2312"/>
          <w:sz w:val="24"/>
        </w:rPr>
        <w:t>邮 政 编 码：</w:t>
      </w:r>
    </w:p>
    <w:p>
      <w:pPr>
        <w:ind w:firstLine="420"/>
        <w:rPr>
          <w:rFonts w:hint="eastAsia" w:ascii="仿宋_GB2312" w:eastAsia="楷体_GB2312"/>
          <w:sz w:val="24"/>
        </w:rPr>
      </w:pPr>
    </w:p>
    <w:p>
      <w:pPr>
        <w:ind w:firstLine="420"/>
        <w:rPr>
          <w:rFonts w:hint="eastAsia" w:ascii="仿宋_GB2312" w:eastAsia="楷体_GB2312"/>
          <w:sz w:val="24"/>
        </w:rPr>
      </w:pPr>
      <w:r>
        <w:rPr>
          <w:rFonts w:hint="eastAsia" w:ascii="仿宋_GB2312" w:eastAsia="楷体_GB2312"/>
          <w:sz w:val="24"/>
        </w:rPr>
        <w:t>传       真：</w:t>
      </w:r>
    </w:p>
    <w:p>
      <w:pPr>
        <w:ind w:firstLine="420"/>
        <w:rPr>
          <w:rFonts w:hint="eastAsia" w:ascii="仿宋_GB2312" w:eastAsia="楷体_GB2312"/>
          <w:sz w:val="24"/>
        </w:rPr>
      </w:pPr>
    </w:p>
    <w:p>
      <w:pPr>
        <w:ind w:firstLine="420"/>
        <w:rPr>
          <w:rFonts w:hint="eastAsia" w:ascii="仿宋_GB2312" w:eastAsia="楷体_GB2312"/>
          <w:sz w:val="24"/>
        </w:rPr>
      </w:pPr>
      <w:r>
        <w:rPr>
          <w:rFonts w:hint="eastAsia" w:ascii="仿宋_GB2312" w:eastAsia="楷体_GB2312"/>
          <w:sz w:val="24"/>
        </w:rPr>
        <w:t>电       话：</w:t>
      </w: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宋体"/>
          <w:b/>
          <w:bCs/>
          <w:sz w:val="24"/>
        </w:rPr>
      </w:pPr>
      <w:r>
        <w:rPr>
          <w:rFonts w:hint="eastAsia" w:ascii="楷体_GB2312" w:eastAsia="楷体_GB2312"/>
          <w:b/>
          <w:bCs/>
          <w:sz w:val="24"/>
        </w:rPr>
        <w:t>附件三</w:t>
      </w:r>
      <w:r>
        <w:rPr>
          <w:rFonts w:hint="eastAsia" w:ascii="宋体"/>
          <w:b/>
          <w:bCs/>
          <w:sz w:val="24"/>
        </w:rPr>
        <w:t>:</w:t>
      </w:r>
      <w:bookmarkStart w:id="126" w:name="_Toc79395221"/>
      <w:r>
        <w:rPr>
          <w:rFonts w:hint="eastAsia" w:ascii="宋体"/>
          <w:b/>
          <w:bCs/>
          <w:sz w:val="24"/>
        </w:rPr>
        <w:t xml:space="preserve">               </w:t>
      </w:r>
    </w:p>
    <w:p>
      <w:pPr>
        <w:jc w:val="center"/>
        <w:rPr>
          <w:rFonts w:hint="eastAsia" w:ascii="楷体_GB2312" w:eastAsia="楷体_GB2312"/>
          <w:sz w:val="30"/>
        </w:rPr>
      </w:pPr>
      <w:r>
        <w:rPr>
          <w:rFonts w:hint="eastAsia" w:ascii="楷体_GB2312" w:eastAsia="楷体_GB2312"/>
          <w:b/>
          <w:bCs/>
          <w:sz w:val="30"/>
        </w:rPr>
        <w:t>开标一览表</w:t>
      </w:r>
      <w:bookmarkEnd w:id="126"/>
    </w:p>
    <w:p>
      <w:pPr>
        <w:ind w:left="-718" w:leftChars="-342"/>
        <w:rPr>
          <w:rFonts w:hint="eastAsia" w:ascii="楷体_GB2312" w:eastAsia="楷体_GB2312"/>
          <w:sz w:val="24"/>
        </w:rPr>
      </w:pPr>
      <w:r>
        <w:rPr>
          <w:rFonts w:hint="eastAsia" w:ascii="楷体_GB2312" w:eastAsia="楷体_GB2312"/>
          <w:sz w:val="24"/>
        </w:rPr>
        <w:t xml:space="preserve">                                       </w:t>
      </w:r>
    </w:p>
    <w:p>
      <w:pPr>
        <w:ind w:left="-718" w:leftChars="-342" w:firstLine="480" w:firstLineChars="200"/>
        <w:rPr>
          <w:rFonts w:hint="eastAsia" w:ascii="楷体_GB2312" w:eastAsia="楷体_GB2312"/>
          <w:sz w:val="24"/>
        </w:rPr>
      </w:pPr>
      <w:r>
        <w:rPr>
          <w:rFonts w:hint="eastAsia" w:ascii="楷体_GB2312" w:eastAsia="楷体_GB2312"/>
          <w:sz w:val="24"/>
        </w:rPr>
        <w:t>招标项目名称：                                       招标编号：</w:t>
      </w:r>
    </w:p>
    <w:p>
      <w:pPr>
        <w:ind w:left="-718" w:leftChars="-342"/>
        <w:rPr>
          <w:rFonts w:hint="eastAsia" w:ascii="楷体_GB2312" w:hAnsi="宋体" w:eastAsia="楷体_GB2312"/>
          <w:sz w:val="24"/>
        </w:rPr>
      </w:pPr>
    </w:p>
    <w:tbl>
      <w:tblPr>
        <w:tblStyle w:val="19"/>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0" w:hRule="atLeast"/>
        </w:trPr>
        <w:tc>
          <w:tcPr>
            <w:tcW w:w="5954" w:type="dxa"/>
            <w:noWrap w:val="0"/>
            <w:vAlign w:val="center"/>
          </w:tcPr>
          <w:p>
            <w:pPr>
              <w:rPr>
                <w:rFonts w:hint="eastAsia" w:ascii="楷体_GB2312" w:eastAsia="楷体_GB2312"/>
                <w:sz w:val="24"/>
              </w:rPr>
            </w:pPr>
            <w:r>
              <w:rPr>
                <w:rFonts w:hint="eastAsia" w:ascii="楷体_GB2312" w:eastAsia="楷体_GB2312"/>
                <w:sz w:val="24"/>
              </w:rPr>
              <w:t>投标报价总金额人民币（大写）：</w:t>
            </w:r>
          </w:p>
        </w:tc>
        <w:tc>
          <w:tcPr>
            <w:tcW w:w="2744" w:type="dxa"/>
            <w:noWrap w:val="0"/>
            <w:vAlign w:val="center"/>
          </w:tcPr>
          <w:p>
            <w:pPr>
              <w:rPr>
                <w:rFonts w:hint="eastAsia" w:ascii="楷体_GB2312" w:eastAsia="楷体_GB2312"/>
                <w:sz w:val="24"/>
              </w:rPr>
            </w:pPr>
            <w:r>
              <w:rPr>
                <w:rFonts w:hint="eastAsia" w:ascii="楷体_GB2312" w:eastAsia="楷体_GB2312"/>
                <w:sz w:val="24"/>
              </w:rPr>
              <w:t>（小写）￥：</w:t>
            </w:r>
          </w:p>
        </w:tc>
      </w:tr>
    </w:tbl>
    <w:p>
      <w:pPr>
        <w:ind w:left="-538" w:leftChars="-343" w:hanging="182"/>
        <w:rPr>
          <w:rFonts w:hint="eastAsia" w:ascii="楷体_GB2312" w:eastAsia="楷体_GB2312"/>
          <w:sz w:val="24"/>
        </w:rPr>
      </w:pPr>
      <w:r>
        <w:rPr>
          <w:rFonts w:hint="eastAsia" w:ascii="楷体_GB2312" w:eastAsia="楷体_GB2312"/>
          <w:sz w:val="24"/>
        </w:rPr>
        <w:t xml:space="preserve"> </w:t>
      </w:r>
    </w:p>
    <w:p>
      <w:pPr>
        <w:ind w:left="-538" w:leftChars="-343" w:hanging="182"/>
        <w:rPr>
          <w:rFonts w:hint="eastAsia" w:ascii="楷体_GB2312" w:eastAsia="楷体_GB2312"/>
          <w:sz w:val="24"/>
        </w:rPr>
      </w:pPr>
    </w:p>
    <w:p>
      <w:pPr>
        <w:ind w:left="-538" w:leftChars="-343" w:hanging="182"/>
        <w:rPr>
          <w:rFonts w:hint="eastAsia" w:ascii="楷体_GB2312" w:eastAsia="楷体_GB2312"/>
          <w:sz w:val="24"/>
        </w:rPr>
      </w:pPr>
    </w:p>
    <w:p>
      <w:pPr>
        <w:ind w:left="-538" w:leftChars="-343" w:hanging="182"/>
        <w:rPr>
          <w:rFonts w:hint="eastAsia" w:ascii="楷体_GB2312" w:eastAsia="楷体_GB2312"/>
          <w:sz w:val="24"/>
        </w:rPr>
      </w:pPr>
    </w:p>
    <w:p>
      <w:pPr>
        <w:ind w:left="-538" w:leftChars="-343" w:hanging="182"/>
        <w:rPr>
          <w:rFonts w:hint="eastAsia" w:ascii="楷体_GB2312" w:eastAsia="楷体_GB2312"/>
          <w:sz w:val="24"/>
        </w:rPr>
      </w:pPr>
      <w:r>
        <w:rPr>
          <w:rFonts w:hint="eastAsia" w:ascii="楷体_GB2312" w:eastAsia="楷体_GB2312"/>
          <w:sz w:val="24"/>
        </w:rPr>
        <w:t xml:space="preserve"> </w:t>
      </w:r>
    </w:p>
    <w:p>
      <w:pPr>
        <w:ind w:left="-542" w:leftChars="-258" w:firstLine="360" w:firstLineChars="150"/>
        <w:rPr>
          <w:rFonts w:hint="eastAsia" w:ascii="楷体_GB2312" w:eastAsia="楷体_GB2312"/>
          <w:sz w:val="24"/>
        </w:rPr>
      </w:pPr>
      <w:r>
        <w:rPr>
          <w:rFonts w:hint="eastAsia" w:ascii="楷体_GB2312" w:eastAsia="楷体_GB2312"/>
          <w:sz w:val="24"/>
        </w:rPr>
        <w:t xml:space="preserve">投标单位（盖章）：    </w:t>
      </w:r>
    </w:p>
    <w:p>
      <w:pPr>
        <w:ind w:left="-538" w:leftChars="-343" w:hanging="182"/>
        <w:rPr>
          <w:rFonts w:hint="eastAsia" w:ascii="楷体_GB2312" w:eastAsia="楷体_GB2312"/>
          <w:sz w:val="24"/>
        </w:rPr>
      </w:pPr>
      <w:r>
        <w:rPr>
          <w:rFonts w:hint="eastAsia" w:ascii="楷体_GB2312" w:eastAsia="楷体_GB2312"/>
          <w:sz w:val="24"/>
        </w:rPr>
        <w:t xml:space="preserve"> </w:t>
      </w:r>
    </w:p>
    <w:p>
      <w:pPr>
        <w:ind w:left="-542" w:leftChars="-258" w:firstLine="360" w:firstLineChars="150"/>
        <w:rPr>
          <w:rFonts w:hint="eastAsia" w:ascii="楷体_GB2312" w:eastAsia="楷体_GB2312"/>
          <w:sz w:val="24"/>
        </w:rPr>
      </w:pPr>
      <w:r>
        <w:rPr>
          <w:rFonts w:hint="eastAsia" w:ascii="楷体_GB2312" w:eastAsia="楷体_GB2312"/>
          <w:sz w:val="24"/>
        </w:rPr>
        <w:t xml:space="preserve">法定代表人或授权代表（签字）：            </w:t>
      </w:r>
    </w:p>
    <w:p>
      <w:pPr>
        <w:ind w:left="-538" w:leftChars="-256" w:firstLine="5520" w:firstLineChars="2300"/>
        <w:rPr>
          <w:rFonts w:hint="eastAsia" w:ascii="楷体_GB2312" w:eastAsia="楷体_GB2312"/>
          <w:sz w:val="24"/>
        </w:rPr>
      </w:pPr>
      <w:r>
        <w:rPr>
          <w:rFonts w:hint="eastAsia" w:ascii="楷体_GB2312" w:eastAsia="楷体_GB2312"/>
          <w:sz w:val="24"/>
        </w:rPr>
        <w:t xml:space="preserve">            年   月   日</w:t>
      </w:r>
    </w:p>
    <w:p>
      <w:pPr>
        <w:rPr>
          <w:rFonts w:hint="eastAsia" w:eastAsia="楷体_GB2312"/>
          <w:b/>
          <w:bCs/>
          <w:sz w:val="24"/>
        </w:rPr>
      </w:pPr>
    </w:p>
    <w:p>
      <w:pPr>
        <w:rPr>
          <w:rFonts w:hint="eastAsia" w:eastAsia="楷体_GB2312"/>
          <w:b/>
          <w:bCs/>
          <w:sz w:val="24"/>
        </w:rPr>
      </w:pPr>
    </w:p>
    <w:p>
      <w:pPr>
        <w:rPr>
          <w:rFonts w:hint="eastAsia" w:eastAsia="楷体_GB2312"/>
          <w:b/>
          <w:bCs/>
          <w:sz w:val="24"/>
        </w:rPr>
      </w:pPr>
    </w:p>
    <w:p>
      <w:pPr>
        <w:rPr>
          <w:rFonts w:hint="eastAsia" w:eastAsia="楷体_GB2312"/>
          <w:b/>
          <w:bCs/>
          <w:sz w:val="24"/>
        </w:rPr>
      </w:pPr>
    </w:p>
    <w:p>
      <w:pPr>
        <w:rPr>
          <w:rFonts w:hint="eastAsia" w:eastAsia="楷体_GB2312"/>
          <w:b/>
          <w:bCs/>
          <w:sz w:val="24"/>
        </w:rPr>
      </w:pPr>
    </w:p>
    <w:p>
      <w:pPr>
        <w:rPr>
          <w:rFonts w:hint="eastAsia" w:eastAsia="楷体_GB2312"/>
          <w:b/>
          <w:bCs/>
          <w:sz w:val="24"/>
        </w:rPr>
      </w:pPr>
    </w:p>
    <w:p>
      <w:pPr>
        <w:rPr>
          <w:rFonts w:hint="eastAsia" w:eastAsia="楷体_GB2312"/>
          <w:b/>
          <w:bCs/>
          <w:sz w:val="24"/>
        </w:rPr>
      </w:pPr>
    </w:p>
    <w:p>
      <w:pPr>
        <w:rPr>
          <w:rFonts w:hint="eastAsia" w:eastAsia="楷体_GB2312"/>
          <w:b/>
          <w:bCs/>
          <w:sz w:val="24"/>
        </w:rPr>
      </w:pPr>
    </w:p>
    <w:p>
      <w:pPr>
        <w:rPr>
          <w:rFonts w:hint="eastAsia" w:eastAsia="楷体_GB2312"/>
          <w:b/>
          <w:bCs/>
          <w:sz w:val="24"/>
        </w:rPr>
      </w:pPr>
    </w:p>
    <w:p>
      <w:pPr>
        <w:rPr>
          <w:rFonts w:hint="eastAsia" w:eastAsia="楷体_GB2312"/>
          <w:b/>
          <w:bCs/>
          <w:sz w:val="24"/>
        </w:rPr>
      </w:pPr>
      <w:r>
        <w:rPr>
          <w:rFonts w:hint="eastAsia" w:eastAsia="楷体_GB2312"/>
          <w:b/>
          <w:bCs/>
          <w:sz w:val="24"/>
        </w:rPr>
        <w:t>附件四：</w:t>
      </w:r>
    </w:p>
    <w:p>
      <w:pPr>
        <w:rPr>
          <w:rFonts w:hint="eastAsia" w:eastAsia="楷体_GB2312"/>
          <w:b/>
          <w:bCs/>
          <w:sz w:val="24"/>
        </w:rPr>
      </w:pPr>
    </w:p>
    <w:p>
      <w:pPr>
        <w:adjustRightInd w:val="0"/>
        <w:snapToGrid w:val="0"/>
        <w:spacing w:line="460" w:lineRule="exact"/>
        <w:ind w:left="2888" w:leftChars="228" w:hanging="2409" w:hangingChars="800"/>
        <w:jc w:val="center"/>
        <w:rPr>
          <w:rFonts w:hint="eastAsia" w:ascii="楷体_GB2312" w:eastAsia="楷体_GB2312"/>
          <w:b/>
          <w:sz w:val="30"/>
          <w:szCs w:val="30"/>
        </w:rPr>
      </w:pPr>
      <w:r>
        <w:rPr>
          <w:rFonts w:hint="eastAsia" w:ascii="楷体_GB2312" w:eastAsia="楷体_GB2312"/>
          <w:b/>
          <w:sz w:val="30"/>
          <w:szCs w:val="30"/>
        </w:rPr>
        <w:t>投标报价明细表</w:t>
      </w:r>
    </w:p>
    <w:p>
      <w:pPr>
        <w:adjustRightInd w:val="0"/>
        <w:snapToGrid w:val="0"/>
        <w:spacing w:line="460" w:lineRule="exact"/>
        <w:ind w:left="2879" w:leftChars="228" w:hanging="2400" w:hangingChars="800"/>
        <w:jc w:val="center"/>
        <w:rPr>
          <w:rFonts w:hint="eastAsia" w:ascii="楷体_GB2312" w:eastAsia="楷体_GB2312"/>
          <w:sz w:val="30"/>
          <w:szCs w:val="30"/>
        </w:rPr>
      </w:pPr>
    </w:p>
    <w:p>
      <w:pPr>
        <w:ind w:left="-718" w:leftChars="-342" w:firstLine="600" w:firstLineChars="250"/>
        <w:rPr>
          <w:rFonts w:hint="eastAsia" w:ascii="楷体_GB2312" w:hAnsi="宋体" w:eastAsia="楷体_GB2312"/>
          <w:sz w:val="24"/>
        </w:rPr>
      </w:pPr>
      <w:r>
        <w:rPr>
          <w:rFonts w:hint="eastAsia" w:ascii="楷体_GB2312" w:eastAsia="楷体_GB2312"/>
          <w:sz w:val="24"/>
        </w:rPr>
        <w:t>招标项目名称：                                        招标编号：</w:t>
      </w:r>
    </w:p>
    <w:tbl>
      <w:tblPr>
        <w:tblStyle w:val="19"/>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267"/>
        <w:gridCol w:w="708"/>
        <w:gridCol w:w="1399"/>
        <w:gridCol w:w="1054"/>
        <w:gridCol w:w="1054"/>
        <w:gridCol w:w="803"/>
        <w:gridCol w:w="77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1" w:type="dxa"/>
            <w:noWrap w:val="0"/>
            <w:vAlign w:val="top"/>
          </w:tcPr>
          <w:p>
            <w:pPr>
              <w:jc w:val="center"/>
              <w:rPr>
                <w:rFonts w:hint="eastAsia" w:ascii="楷体_GB2312" w:eastAsia="楷体_GB2312"/>
                <w:sz w:val="24"/>
              </w:rPr>
            </w:pPr>
            <w:r>
              <w:rPr>
                <w:rFonts w:hint="eastAsia" w:ascii="楷体_GB2312" w:eastAsia="楷体_GB2312"/>
                <w:sz w:val="24"/>
              </w:rPr>
              <w:t>序号</w:t>
            </w:r>
          </w:p>
        </w:tc>
        <w:tc>
          <w:tcPr>
            <w:tcW w:w="1267" w:type="dxa"/>
            <w:noWrap w:val="0"/>
            <w:vAlign w:val="top"/>
          </w:tcPr>
          <w:p>
            <w:pPr>
              <w:jc w:val="center"/>
              <w:rPr>
                <w:rFonts w:hint="eastAsia" w:ascii="楷体_GB2312" w:eastAsia="楷体_GB2312"/>
                <w:sz w:val="24"/>
              </w:rPr>
            </w:pPr>
            <w:r>
              <w:rPr>
                <w:rFonts w:hint="eastAsia" w:ascii="楷体_GB2312" w:eastAsia="楷体_GB2312"/>
                <w:sz w:val="24"/>
              </w:rPr>
              <w:t>货物名称</w:t>
            </w:r>
          </w:p>
        </w:tc>
        <w:tc>
          <w:tcPr>
            <w:tcW w:w="708" w:type="dxa"/>
            <w:noWrap w:val="0"/>
            <w:vAlign w:val="top"/>
          </w:tcPr>
          <w:p>
            <w:pPr>
              <w:jc w:val="center"/>
              <w:rPr>
                <w:rFonts w:hint="eastAsia" w:ascii="楷体_GB2312" w:eastAsia="楷体_GB2312"/>
                <w:sz w:val="24"/>
              </w:rPr>
            </w:pPr>
            <w:r>
              <w:rPr>
                <w:rFonts w:hint="eastAsia" w:ascii="楷体_GB2312" w:eastAsia="楷体_GB2312"/>
                <w:sz w:val="24"/>
              </w:rPr>
              <w:t>品牌</w:t>
            </w:r>
          </w:p>
        </w:tc>
        <w:tc>
          <w:tcPr>
            <w:tcW w:w="1399" w:type="dxa"/>
            <w:noWrap w:val="0"/>
            <w:vAlign w:val="top"/>
          </w:tcPr>
          <w:p>
            <w:pPr>
              <w:jc w:val="center"/>
              <w:rPr>
                <w:rFonts w:hint="eastAsia" w:ascii="楷体_GB2312" w:eastAsia="楷体_GB2312"/>
                <w:sz w:val="24"/>
              </w:rPr>
            </w:pPr>
            <w:r>
              <w:rPr>
                <w:rFonts w:hint="eastAsia" w:ascii="楷体_GB2312" w:eastAsia="楷体_GB2312"/>
                <w:sz w:val="24"/>
              </w:rPr>
              <w:t>规格型号</w:t>
            </w:r>
          </w:p>
        </w:tc>
        <w:tc>
          <w:tcPr>
            <w:tcW w:w="1054" w:type="dxa"/>
            <w:noWrap w:val="0"/>
            <w:vAlign w:val="top"/>
          </w:tcPr>
          <w:p>
            <w:pPr>
              <w:jc w:val="center"/>
              <w:rPr>
                <w:rFonts w:hint="eastAsia" w:ascii="楷体_GB2312" w:eastAsia="楷体_GB2312"/>
                <w:sz w:val="24"/>
              </w:rPr>
            </w:pPr>
            <w:r>
              <w:rPr>
                <w:rFonts w:hint="eastAsia" w:ascii="楷体_GB2312" w:eastAsia="楷体_GB2312"/>
                <w:sz w:val="24"/>
              </w:rPr>
              <w:t>数量</w:t>
            </w:r>
          </w:p>
        </w:tc>
        <w:tc>
          <w:tcPr>
            <w:tcW w:w="1054" w:type="dxa"/>
            <w:noWrap w:val="0"/>
            <w:vAlign w:val="top"/>
          </w:tcPr>
          <w:p>
            <w:pPr>
              <w:jc w:val="center"/>
              <w:rPr>
                <w:rFonts w:hint="eastAsia" w:ascii="楷体_GB2312" w:eastAsia="楷体_GB2312"/>
                <w:sz w:val="24"/>
              </w:rPr>
            </w:pPr>
            <w:r>
              <w:rPr>
                <w:rFonts w:hint="eastAsia" w:ascii="楷体_GB2312" w:eastAsia="楷体_GB2312"/>
                <w:sz w:val="24"/>
              </w:rPr>
              <w:t>单位</w:t>
            </w:r>
          </w:p>
        </w:tc>
        <w:tc>
          <w:tcPr>
            <w:tcW w:w="803" w:type="dxa"/>
            <w:noWrap w:val="0"/>
            <w:vAlign w:val="top"/>
          </w:tcPr>
          <w:p>
            <w:pPr>
              <w:jc w:val="center"/>
              <w:rPr>
                <w:rFonts w:hint="eastAsia" w:ascii="楷体_GB2312" w:eastAsia="楷体_GB2312"/>
                <w:sz w:val="24"/>
              </w:rPr>
            </w:pPr>
            <w:r>
              <w:rPr>
                <w:rFonts w:hint="eastAsia" w:ascii="楷体_GB2312" w:eastAsia="楷体_GB2312"/>
                <w:sz w:val="24"/>
              </w:rPr>
              <w:t>单价</w:t>
            </w:r>
          </w:p>
        </w:tc>
        <w:tc>
          <w:tcPr>
            <w:tcW w:w="776" w:type="dxa"/>
            <w:noWrap w:val="0"/>
            <w:vAlign w:val="top"/>
          </w:tcPr>
          <w:p>
            <w:pPr>
              <w:jc w:val="center"/>
              <w:rPr>
                <w:rFonts w:hint="eastAsia" w:ascii="楷体_GB2312" w:eastAsia="楷体_GB2312"/>
                <w:sz w:val="24"/>
              </w:rPr>
            </w:pPr>
            <w:r>
              <w:rPr>
                <w:rFonts w:hint="eastAsia" w:ascii="楷体_GB2312" w:eastAsia="楷体_GB2312"/>
                <w:sz w:val="24"/>
              </w:rPr>
              <w:t>总价</w:t>
            </w:r>
          </w:p>
        </w:tc>
        <w:tc>
          <w:tcPr>
            <w:tcW w:w="867" w:type="dxa"/>
            <w:noWrap w:val="0"/>
            <w:vAlign w:val="top"/>
          </w:tcPr>
          <w:p>
            <w:pPr>
              <w:jc w:val="center"/>
              <w:rPr>
                <w:rFonts w:hint="eastAsia" w:ascii="楷体_GB2312" w:eastAsia="楷体_GB2312"/>
                <w:sz w:val="24"/>
              </w:rPr>
            </w:pPr>
            <w:r>
              <w:rPr>
                <w:rFonts w:hint="eastAsia" w:ascii="楷体_GB2312" w:eastAsia="楷体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1" w:type="dxa"/>
            <w:noWrap w:val="0"/>
            <w:vAlign w:val="top"/>
          </w:tcPr>
          <w:p>
            <w:pPr>
              <w:jc w:val="center"/>
              <w:rPr>
                <w:rFonts w:hint="eastAsia" w:ascii="楷体_GB2312" w:eastAsia="楷体_GB2312"/>
                <w:sz w:val="24"/>
              </w:rPr>
            </w:pPr>
            <w:r>
              <w:rPr>
                <w:rFonts w:hint="eastAsia" w:ascii="楷体_GB2312" w:eastAsia="楷体_GB2312"/>
                <w:sz w:val="24"/>
              </w:rPr>
              <w:t>1</w:t>
            </w:r>
          </w:p>
        </w:tc>
        <w:tc>
          <w:tcPr>
            <w:tcW w:w="1267" w:type="dxa"/>
            <w:noWrap w:val="0"/>
            <w:vAlign w:val="top"/>
          </w:tcPr>
          <w:p>
            <w:pPr>
              <w:jc w:val="center"/>
              <w:rPr>
                <w:rFonts w:hint="eastAsia" w:ascii="楷体_GB2312" w:eastAsia="楷体_GB2312"/>
                <w:sz w:val="24"/>
              </w:rPr>
            </w:pPr>
          </w:p>
        </w:tc>
        <w:tc>
          <w:tcPr>
            <w:tcW w:w="708" w:type="dxa"/>
            <w:noWrap w:val="0"/>
            <w:vAlign w:val="top"/>
          </w:tcPr>
          <w:p>
            <w:pPr>
              <w:jc w:val="center"/>
              <w:rPr>
                <w:rFonts w:hint="eastAsia" w:ascii="楷体_GB2312" w:eastAsia="楷体_GB2312"/>
                <w:sz w:val="24"/>
              </w:rPr>
            </w:pPr>
          </w:p>
        </w:tc>
        <w:tc>
          <w:tcPr>
            <w:tcW w:w="1399" w:type="dxa"/>
            <w:noWrap w:val="0"/>
            <w:vAlign w:val="top"/>
          </w:tcPr>
          <w:p>
            <w:pPr>
              <w:jc w:val="center"/>
              <w:rPr>
                <w:rFonts w:hint="eastAsia" w:ascii="楷体_GB2312" w:eastAsia="楷体_GB2312"/>
                <w:sz w:val="24"/>
              </w:rPr>
            </w:pPr>
          </w:p>
        </w:tc>
        <w:tc>
          <w:tcPr>
            <w:tcW w:w="1054" w:type="dxa"/>
            <w:noWrap w:val="0"/>
            <w:vAlign w:val="top"/>
          </w:tcPr>
          <w:p>
            <w:pPr>
              <w:jc w:val="center"/>
              <w:rPr>
                <w:rFonts w:hint="eastAsia" w:ascii="楷体_GB2312" w:eastAsia="楷体_GB2312"/>
                <w:sz w:val="24"/>
              </w:rPr>
            </w:pPr>
          </w:p>
        </w:tc>
        <w:tc>
          <w:tcPr>
            <w:tcW w:w="1054" w:type="dxa"/>
            <w:noWrap w:val="0"/>
            <w:vAlign w:val="top"/>
          </w:tcPr>
          <w:p>
            <w:pPr>
              <w:jc w:val="center"/>
              <w:rPr>
                <w:rFonts w:hint="eastAsia" w:ascii="楷体_GB2312" w:eastAsia="楷体_GB2312"/>
                <w:sz w:val="24"/>
              </w:rPr>
            </w:pPr>
          </w:p>
        </w:tc>
        <w:tc>
          <w:tcPr>
            <w:tcW w:w="803" w:type="dxa"/>
            <w:noWrap w:val="0"/>
            <w:vAlign w:val="top"/>
          </w:tcPr>
          <w:p>
            <w:pPr>
              <w:jc w:val="center"/>
              <w:rPr>
                <w:rFonts w:hint="eastAsia" w:ascii="楷体_GB2312" w:eastAsia="楷体_GB2312"/>
                <w:sz w:val="24"/>
              </w:rPr>
            </w:pPr>
          </w:p>
        </w:tc>
        <w:tc>
          <w:tcPr>
            <w:tcW w:w="776" w:type="dxa"/>
            <w:noWrap w:val="0"/>
            <w:vAlign w:val="top"/>
          </w:tcPr>
          <w:p>
            <w:pPr>
              <w:jc w:val="center"/>
              <w:rPr>
                <w:rFonts w:hint="eastAsia" w:ascii="楷体_GB2312" w:eastAsia="楷体_GB2312"/>
                <w:sz w:val="24"/>
              </w:rPr>
            </w:pPr>
          </w:p>
        </w:tc>
        <w:tc>
          <w:tcPr>
            <w:tcW w:w="867" w:type="dxa"/>
            <w:noWrap w:val="0"/>
            <w:vAlign w:val="top"/>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1" w:type="dxa"/>
            <w:noWrap w:val="0"/>
            <w:vAlign w:val="top"/>
          </w:tcPr>
          <w:p>
            <w:pPr>
              <w:jc w:val="center"/>
              <w:rPr>
                <w:rFonts w:hint="eastAsia" w:ascii="楷体_GB2312" w:eastAsia="楷体_GB2312"/>
                <w:sz w:val="24"/>
              </w:rPr>
            </w:pPr>
            <w:r>
              <w:rPr>
                <w:rFonts w:hint="eastAsia" w:ascii="楷体_GB2312" w:eastAsia="楷体_GB2312"/>
                <w:sz w:val="24"/>
              </w:rPr>
              <w:t>2</w:t>
            </w:r>
          </w:p>
        </w:tc>
        <w:tc>
          <w:tcPr>
            <w:tcW w:w="1267" w:type="dxa"/>
            <w:noWrap w:val="0"/>
            <w:vAlign w:val="top"/>
          </w:tcPr>
          <w:p>
            <w:pPr>
              <w:jc w:val="center"/>
              <w:rPr>
                <w:rFonts w:hint="eastAsia" w:ascii="楷体_GB2312" w:eastAsia="楷体_GB2312"/>
                <w:sz w:val="24"/>
              </w:rPr>
            </w:pPr>
          </w:p>
        </w:tc>
        <w:tc>
          <w:tcPr>
            <w:tcW w:w="708" w:type="dxa"/>
            <w:noWrap w:val="0"/>
            <w:vAlign w:val="top"/>
          </w:tcPr>
          <w:p>
            <w:pPr>
              <w:jc w:val="center"/>
              <w:rPr>
                <w:rFonts w:hint="eastAsia" w:ascii="楷体_GB2312" w:eastAsia="楷体_GB2312"/>
                <w:sz w:val="24"/>
              </w:rPr>
            </w:pPr>
          </w:p>
        </w:tc>
        <w:tc>
          <w:tcPr>
            <w:tcW w:w="1399" w:type="dxa"/>
            <w:noWrap w:val="0"/>
            <w:vAlign w:val="top"/>
          </w:tcPr>
          <w:p>
            <w:pPr>
              <w:jc w:val="center"/>
              <w:rPr>
                <w:rFonts w:hint="eastAsia" w:ascii="楷体_GB2312" w:eastAsia="楷体_GB2312"/>
                <w:sz w:val="24"/>
              </w:rPr>
            </w:pPr>
          </w:p>
        </w:tc>
        <w:tc>
          <w:tcPr>
            <w:tcW w:w="1054" w:type="dxa"/>
            <w:noWrap w:val="0"/>
            <w:vAlign w:val="top"/>
          </w:tcPr>
          <w:p>
            <w:pPr>
              <w:jc w:val="center"/>
              <w:rPr>
                <w:rFonts w:hint="eastAsia" w:ascii="楷体_GB2312" w:eastAsia="楷体_GB2312"/>
                <w:sz w:val="24"/>
              </w:rPr>
            </w:pPr>
          </w:p>
        </w:tc>
        <w:tc>
          <w:tcPr>
            <w:tcW w:w="1054" w:type="dxa"/>
            <w:noWrap w:val="0"/>
            <w:vAlign w:val="top"/>
          </w:tcPr>
          <w:p>
            <w:pPr>
              <w:jc w:val="center"/>
              <w:rPr>
                <w:rFonts w:hint="eastAsia" w:ascii="楷体_GB2312" w:eastAsia="楷体_GB2312"/>
                <w:sz w:val="24"/>
              </w:rPr>
            </w:pPr>
          </w:p>
        </w:tc>
        <w:tc>
          <w:tcPr>
            <w:tcW w:w="803" w:type="dxa"/>
            <w:noWrap w:val="0"/>
            <w:vAlign w:val="top"/>
          </w:tcPr>
          <w:p>
            <w:pPr>
              <w:jc w:val="center"/>
              <w:rPr>
                <w:rFonts w:hint="eastAsia" w:ascii="楷体_GB2312" w:eastAsia="楷体_GB2312"/>
                <w:sz w:val="24"/>
              </w:rPr>
            </w:pPr>
          </w:p>
        </w:tc>
        <w:tc>
          <w:tcPr>
            <w:tcW w:w="776" w:type="dxa"/>
            <w:noWrap w:val="0"/>
            <w:vAlign w:val="top"/>
          </w:tcPr>
          <w:p>
            <w:pPr>
              <w:jc w:val="center"/>
              <w:rPr>
                <w:rFonts w:hint="eastAsia" w:ascii="楷体_GB2312" w:eastAsia="楷体_GB2312"/>
                <w:sz w:val="24"/>
              </w:rPr>
            </w:pPr>
          </w:p>
        </w:tc>
        <w:tc>
          <w:tcPr>
            <w:tcW w:w="867" w:type="dxa"/>
            <w:noWrap w:val="0"/>
            <w:vAlign w:val="top"/>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61" w:type="dxa"/>
            <w:noWrap w:val="0"/>
            <w:vAlign w:val="top"/>
          </w:tcPr>
          <w:p>
            <w:pPr>
              <w:jc w:val="center"/>
              <w:rPr>
                <w:rFonts w:hint="eastAsia" w:ascii="楷体_GB2312" w:eastAsia="楷体_GB2312"/>
                <w:sz w:val="24"/>
              </w:rPr>
            </w:pPr>
            <w:r>
              <w:rPr>
                <w:rFonts w:hint="eastAsia" w:ascii="楷体_GB2312" w:eastAsia="楷体_GB2312"/>
                <w:sz w:val="24"/>
              </w:rPr>
              <w:t>3</w:t>
            </w:r>
          </w:p>
        </w:tc>
        <w:tc>
          <w:tcPr>
            <w:tcW w:w="1267" w:type="dxa"/>
            <w:noWrap w:val="0"/>
            <w:vAlign w:val="top"/>
          </w:tcPr>
          <w:p>
            <w:pPr>
              <w:jc w:val="center"/>
              <w:rPr>
                <w:rFonts w:hint="eastAsia" w:ascii="楷体_GB2312" w:eastAsia="楷体_GB2312"/>
                <w:sz w:val="24"/>
              </w:rPr>
            </w:pPr>
          </w:p>
        </w:tc>
        <w:tc>
          <w:tcPr>
            <w:tcW w:w="708" w:type="dxa"/>
            <w:noWrap w:val="0"/>
            <w:vAlign w:val="top"/>
          </w:tcPr>
          <w:p>
            <w:pPr>
              <w:jc w:val="center"/>
              <w:rPr>
                <w:rFonts w:hint="eastAsia" w:ascii="楷体_GB2312" w:eastAsia="楷体_GB2312"/>
                <w:sz w:val="24"/>
              </w:rPr>
            </w:pPr>
          </w:p>
        </w:tc>
        <w:tc>
          <w:tcPr>
            <w:tcW w:w="1399" w:type="dxa"/>
            <w:noWrap w:val="0"/>
            <w:vAlign w:val="top"/>
          </w:tcPr>
          <w:p>
            <w:pPr>
              <w:jc w:val="center"/>
              <w:rPr>
                <w:rFonts w:hint="eastAsia" w:ascii="楷体_GB2312" w:eastAsia="楷体_GB2312"/>
                <w:sz w:val="24"/>
              </w:rPr>
            </w:pPr>
          </w:p>
        </w:tc>
        <w:tc>
          <w:tcPr>
            <w:tcW w:w="1054" w:type="dxa"/>
            <w:noWrap w:val="0"/>
            <w:vAlign w:val="top"/>
          </w:tcPr>
          <w:p>
            <w:pPr>
              <w:jc w:val="center"/>
              <w:rPr>
                <w:rFonts w:hint="eastAsia" w:ascii="楷体_GB2312" w:eastAsia="楷体_GB2312"/>
                <w:sz w:val="24"/>
              </w:rPr>
            </w:pPr>
          </w:p>
        </w:tc>
        <w:tc>
          <w:tcPr>
            <w:tcW w:w="1054" w:type="dxa"/>
            <w:noWrap w:val="0"/>
            <w:vAlign w:val="top"/>
          </w:tcPr>
          <w:p>
            <w:pPr>
              <w:jc w:val="center"/>
              <w:rPr>
                <w:rFonts w:hint="eastAsia" w:ascii="楷体_GB2312" w:eastAsia="楷体_GB2312"/>
                <w:sz w:val="24"/>
              </w:rPr>
            </w:pPr>
          </w:p>
        </w:tc>
        <w:tc>
          <w:tcPr>
            <w:tcW w:w="803" w:type="dxa"/>
            <w:noWrap w:val="0"/>
            <w:vAlign w:val="top"/>
          </w:tcPr>
          <w:p>
            <w:pPr>
              <w:jc w:val="center"/>
              <w:rPr>
                <w:rFonts w:hint="eastAsia" w:ascii="楷体_GB2312" w:eastAsia="楷体_GB2312"/>
                <w:sz w:val="24"/>
              </w:rPr>
            </w:pPr>
          </w:p>
        </w:tc>
        <w:tc>
          <w:tcPr>
            <w:tcW w:w="776" w:type="dxa"/>
            <w:noWrap w:val="0"/>
            <w:vAlign w:val="top"/>
          </w:tcPr>
          <w:p>
            <w:pPr>
              <w:jc w:val="center"/>
              <w:rPr>
                <w:rFonts w:hint="eastAsia" w:ascii="楷体_GB2312" w:eastAsia="楷体_GB2312"/>
                <w:sz w:val="24"/>
              </w:rPr>
            </w:pPr>
          </w:p>
        </w:tc>
        <w:tc>
          <w:tcPr>
            <w:tcW w:w="867" w:type="dxa"/>
            <w:noWrap w:val="0"/>
            <w:vAlign w:val="top"/>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789" w:type="dxa"/>
            <w:gridSpan w:val="9"/>
            <w:noWrap w:val="0"/>
            <w:vAlign w:val="center"/>
          </w:tcPr>
          <w:p>
            <w:pPr>
              <w:rPr>
                <w:rFonts w:hint="eastAsia" w:ascii="楷体_GB2312" w:eastAsia="楷体_GB2312"/>
                <w:sz w:val="24"/>
              </w:rPr>
            </w:pPr>
            <w:r>
              <w:rPr>
                <w:rFonts w:hint="eastAsia" w:ascii="楷体_GB2312" w:eastAsia="楷体_GB2312"/>
                <w:sz w:val="24"/>
              </w:rPr>
              <w:t>总价（大写）：                     （小写）￥：</w:t>
            </w:r>
          </w:p>
        </w:tc>
      </w:tr>
    </w:tbl>
    <w:p>
      <w:pPr>
        <w:spacing w:line="500" w:lineRule="exact"/>
        <w:rPr>
          <w:rFonts w:ascii="Arial" w:hAnsi="Arial" w:eastAsia="楷体_GB2312"/>
          <w:sz w:val="24"/>
        </w:rPr>
      </w:pPr>
      <w:r>
        <w:rPr>
          <w:rFonts w:hint="eastAsia" w:ascii="Arial" w:hAnsi="Arial" w:eastAsia="楷体_GB2312"/>
          <w:sz w:val="24"/>
        </w:rPr>
        <w:t>投标单位（盖章）：</w:t>
      </w:r>
    </w:p>
    <w:p>
      <w:pPr>
        <w:spacing w:line="500" w:lineRule="exact"/>
        <w:rPr>
          <w:rFonts w:hint="eastAsia" w:ascii="Arial" w:hAnsi="Arial" w:eastAsia="楷体_GB2312"/>
          <w:sz w:val="24"/>
        </w:rPr>
      </w:pPr>
      <w:r>
        <w:rPr>
          <w:rFonts w:hint="eastAsia" w:ascii="楷体_GB2312" w:eastAsia="楷体_GB2312"/>
          <w:sz w:val="24"/>
        </w:rPr>
        <w:t>法定代表人或授权代表（签字）</w:t>
      </w:r>
      <w:r>
        <w:rPr>
          <w:rFonts w:hint="eastAsia" w:ascii="Arial" w:hAnsi="Arial" w:eastAsia="楷体_GB2312"/>
          <w:sz w:val="24"/>
        </w:rPr>
        <w:t>：</w:t>
      </w:r>
    </w:p>
    <w:p>
      <w:pPr>
        <w:rPr>
          <w:rFonts w:hint="eastAsia" w:eastAsia="楷体_GB2312"/>
          <w:b/>
          <w:bCs/>
          <w:sz w:val="24"/>
        </w:rPr>
      </w:pPr>
    </w:p>
    <w:p>
      <w:pPr>
        <w:rPr>
          <w:rFonts w:hint="eastAsia" w:ascii="楷体_GB2312" w:eastAsia="楷体_GB2312"/>
          <w:sz w:val="24"/>
        </w:rPr>
      </w:pPr>
      <w:r>
        <w:rPr>
          <w:rFonts w:hint="eastAsia" w:eastAsia="楷体_GB2312"/>
          <w:b/>
          <w:bCs/>
          <w:sz w:val="24"/>
        </w:rPr>
        <w:t xml:space="preserve">                                                      </w:t>
      </w:r>
      <w:r>
        <w:rPr>
          <w:rFonts w:hint="eastAsia" w:ascii="楷体_GB2312" w:eastAsia="楷体_GB2312"/>
          <w:sz w:val="24"/>
        </w:rPr>
        <w:t>年   月   日</w:t>
      </w:r>
    </w:p>
    <w:p>
      <w:pPr>
        <w:rPr>
          <w:rFonts w:hint="eastAsia" w:ascii="楷体_GB2312" w:eastAsia="楷体_GB2312"/>
          <w:sz w:val="24"/>
        </w:rPr>
      </w:pPr>
    </w:p>
    <w:p>
      <w:pPr>
        <w:rPr>
          <w:rFonts w:hint="eastAsia" w:eastAsia="楷体_GB2312"/>
          <w:b/>
          <w:bCs/>
          <w:sz w:val="24"/>
        </w:rPr>
      </w:pPr>
    </w:p>
    <w:p>
      <w:pPr>
        <w:rPr>
          <w:rFonts w:hint="eastAsia" w:eastAsia="楷体_GB2312"/>
          <w:b/>
          <w:bCs/>
          <w:sz w:val="24"/>
        </w:rPr>
      </w:pPr>
    </w:p>
    <w:p>
      <w:pPr>
        <w:rPr>
          <w:rFonts w:hint="eastAsia" w:eastAsia="楷体_GB2312"/>
          <w:sz w:val="28"/>
        </w:rPr>
      </w:pPr>
      <w:r>
        <w:rPr>
          <w:rFonts w:hint="eastAsia" w:eastAsia="楷体_GB2312"/>
          <w:b/>
          <w:bCs/>
          <w:sz w:val="24"/>
        </w:rPr>
        <w:t>附件五</w:t>
      </w:r>
      <w:r>
        <w:rPr>
          <w:rFonts w:hint="eastAsia" w:eastAsia="楷体_GB2312"/>
          <w:sz w:val="28"/>
        </w:rPr>
        <w:t xml:space="preserve">：              </w:t>
      </w:r>
    </w:p>
    <w:p>
      <w:pPr>
        <w:jc w:val="center"/>
        <w:rPr>
          <w:rFonts w:hint="eastAsia" w:ascii="黑体" w:hAnsi="宋体" w:eastAsia="黑体"/>
          <w:b/>
          <w:bCs/>
          <w:sz w:val="28"/>
          <w:szCs w:val="28"/>
        </w:rPr>
      </w:pPr>
      <w:r>
        <w:rPr>
          <w:rFonts w:hint="eastAsia" w:ascii="黑体" w:hAnsi="宋体" w:eastAsia="黑体"/>
          <w:b/>
          <w:bCs/>
          <w:sz w:val="28"/>
          <w:szCs w:val="28"/>
        </w:rPr>
        <w:t>投标单位</w:t>
      </w:r>
      <w:r>
        <w:rPr>
          <w:rFonts w:ascii="黑体" w:hAnsi="宋体" w:eastAsia="黑体"/>
          <w:b/>
          <w:bCs/>
          <w:sz w:val="28"/>
          <w:szCs w:val="28"/>
        </w:rPr>
        <w:t>声明函</w:t>
      </w:r>
    </w:p>
    <w:p>
      <w:pPr>
        <w:jc w:val="center"/>
        <w:rPr>
          <w:rFonts w:hint="eastAsia" w:ascii="仿宋_GB2312" w:hAnsi="宋体" w:eastAsia="仿宋_GB2312"/>
          <w:bCs/>
          <w:szCs w:val="21"/>
        </w:rPr>
      </w:pPr>
      <w:r>
        <w:rPr>
          <w:rFonts w:hint="eastAsia" w:ascii="仿宋_GB2312" w:hAnsi="宋体" w:eastAsia="仿宋_GB2312"/>
          <w:bCs/>
          <w:szCs w:val="21"/>
        </w:rPr>
        <w:t>（参考样式）</w:t>
      </w:r>
    </w:p>
    <w:p>
      <w:pPr>
        <w:widowControl/>
        <w:spacing w:before="100" w:beforeAutospacing="1" w:after="100" w:afterAutospacing="1" w:line="432" w:lineRule="auto"/>
        <w:jc w:val="left"/>
        <w:rPr>
          <w:rFonts w:ascii="ˎ̥" w:hAnsi="ˎ̥" w:cs="宋体"/>
          <w:color w:val="000000"/>
          <w:kern w:val="0"/>
          <w:sz w:val="24"/>
        </w:rPr>
      </w:pPr>
      <w:r>
        <w:rPr>
          <w:rFonts w:ascii="ˎ̥" w:hAnsi="ˎ̥" w:cs="宋体"/>
          <w:color w:val="000000"/>
          <w:kern w:val="0"/>
          <w:sz w:val="24"/>
        </w:rPr>
        <w:t> 　　根据</w:t>
      </w:r>
      <w:r>
        <w:rPr>
          <w:rFonts w:hint="eastAsia" w:ascii="ˎ̥" w:hAnsi="ˎ̥" w:cs="宋体"/>
          <w:color w:val="000000"/>
          <w:kern w:val="0"/>
          <w:sz w:val="24"/>
        </w:rPr>
        <w:t>财政部</w:t>
      </w:r>
      <w:r>
        <w:rPr>
          <w:rFonts w:ascii="ˎ̥" w:hAnsi="ˎ̥" w:cs="宋体"/>
          <w:color w:val="000000"/>
          <w:kern w:val="0"/>
          <w:sz w:val="24"/>
        </w:rPr>
        <w:t>《政府采购促进中小企业发展暂行办法》（财库[2011]181号）</w:t>
      </w:r>
      <w:r>
        <w:rPr>
          <w:rFonts w:hint="eastAsia" w:ascii="ˎ̥" w:hAnsi="ˎ̥" w:cs="宋体"/>
          <w:color w:val="000000"/>
          <w:kern w:val="0"/>
          <w:sz w:val="24"/>
        </w:rPr>
        <w:t>和宁波市财政局《关于政府采购促进中小企业发展若干问题的通知》（甬采购办</w:t>
      </w:r>
      <w:r>
        <w:rPr>
          <w:rFonts w:ascii="ˎ̥" w:hAnsi="ˎ̥" w:cs="宋体"/>
          <w:color w:val="000000"/>
          <w:kern w:val="0"/>
          <w:sz w:val="24"/>
        </w:rPr>
        <w:t>[201</w:t>
      </w:r>
      <w:r>
        <w:rPr>
          <w:rFonts w:hint="eastAsia" w:ascii="ˎ̥" w:hAnsi="ˎ̥" w:cs="宋体"/>
          <w:color w:val="000000"/>
          <w:kern w:val="0"/>
          <w:sz w:val="24"/>
        </w:rPr>
        <w:t>2</w:t>
      </w:r>
      <w:r>
        <w:rPr>
          <w:rFonts w:ascii="ˎ̥" w:hAnsi="ˎ̥" w:cs="宋体"/>
          <w:color w:val="000000"/>
          <w:kern w:val="0"/>
          <w:sz w:val="24"/>
        </w:rPr>
        <w:t>]</w:t>
      </w:r>
      <w:r>
        <w:rPr>
          <w:rFonts w:hint="eastAsia" w:ascii="ˎ̥" w:hAnsi="ˎ̥" w:cs="宋体"/>
          <w:color w:val="000000"/>
          <w:kern w:val="0"/>
          <w:sz w:val="24"/>
        </w:rPr>
        <w:t>1427号）的</w:t>
      </w:r>
      <w:r>
        <w:rPr>
          <w:rFonts w:ascii="ˎ̥" w:hAnsi="ˎ̥" w:cs="宋体"/>
          <w:color w:val="000000"/>
          <w:kern w:val="0"/>
          <w:sz w:val="24"/>
        </w:rPr>
        <w:t>规定，本</w:t>
      </w:r>
      <w:r>
        <w:rPr>
          <w:rFonts w:hint="eastAsia" w:ascii="ˎ̥" w:hAnsi="ˎ̥" w:cs="宋体"/>
          <w:color w:val="000000"/>
          <w:kern w:val="0"/>
          <w:sz w:val="24"/>
        </w:rPr>
        <w:t>单位</w:t>
      </w:r>
      <w:r>
        <w:rPr>
          <w:rFonts w:ascii="ˎ̥" w:hAnsi="ˎ̥" w:cs="宋体"/>
          <w:color w:val="000000"/>
          <w:kern w:val="0"/>
          <w:sz w:val="24"/>
        </w:rPr>
        <w:t>郑重声明：</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1.</w:t>
      </w:r>
      <w:r>
        <w:rPr>
          <w:rFonts w:hint="eastAsia" w:ascii="ˎ̥" w:hAnsi="ˎ̥" w:cs="宋体"/>
          <w:color w:val="000000"/>
          <w:kern w:val="0"/>
          <w:sz w:val="24"/>
        </w:rPr>
        <w:t xml:space="preserve"> 依据</w:t>
      </w:r>
      <w:r>
        <w:rPr>
          <w:rFonts w:ascii="ˎ̥" w:hAnsi="ˎ̥" w:cs="宋体"/>
          <w:color w:val="000000"/>
          <w:kern w:val="0"/>
          <w:sz w:val="24"/>
        </w:rPr>
        <w:t>国家统计局《</w:t>
      </w:r>
      <w:r>
        <w:rPr>
          <w:rFonts w:hint="eastAsia" w:ascii="ˎ̥" w:hAnsi="ˎ̥" w:cs="宋体"/>
          <w:color w:val="000000"/>
          <w:kern w:val="0"/>
          <w:sz w:val="24"/>
        </w:rPr>
        <w:t>统计上大中小微型企业划分办法(2017)</w:t>
      </w:r>
      <w:r>
        <w:rPr>
          <w:rFonts w:ascii="ˎ̥" w:hAnsi="ˎ̥" w:cs="宋体"/>
          <w:color w:val="000000"/>
          <w:kern w:val="0"/>
          <w:sz w:val="24"/>
        </w:rPr>
        <w:t>》（</w:t>
      </w:r>
      <w:r>
        <w:rPr>
          <w:rFonts w:hint="eastAsia" w:ascii="ˎ̥" w:hAnsi="ˎ̥" w:cs="宋体"/>
          <w:color w:val="000000"/>
          <w:kern w:val="0"/>
          <w:sz w:val="24"/>
        </w:rPr>
        <w:t>国统字〔2017〕213号</w:t>
      </w:r>
      <w:r>
        <w:rPr>
          <w:rFonts w:ascii="ˎ̥" w:hAnsi="ˎ̥" w:cs="宋体"/>
          <w:color w:val="000000"/>
          <w:kern w:val="0"/>
          <w:sz w:val="24"/>
        </w:rPr>
        <w:t>）规定的划分标准，本</w:t>
      </w:r>
      <w:r>
        <w:rPr>
          <w:rFonts w:hint="eastAsia" w:ascii="ˎ̥" w:hAnsi="ˎ̥" w:cs="宋体"/>
          <w:color w:val="000000"/>
          <w:kern w:val="0"/>
          <w:sz w:val="24"/>
        </w:rPr>
        <w:t>单位</w:t>
      </w:r>
      <w:r>
        <w:rPr>
          <w:rFonts w:ascii="ˎ̥" w:hAnsi="ˎ̥" w:cs="宋体"/>
          <w:color w:val="000000"/>
          <w:kern w:val="0"/>
          <w:sz w:val="24"/>
        </w:rPr>
        <w:t>为______（</w:t>
      </w:r>
      <w:r>
        <w:rPr>
          <w:rFonts w:hint="eastAsia" w:ascii="ˎ̥" w:hAnsi="ˎ̥" w:cs="宋体"/>
          <w:color w:val="000000"/>
          <w:kern w:val="0"/>
          <w:sz w:val="24"/>
        </w:rPr>
        <w:t>大型、</w:t>
      </w:r>
      <w:r>
        <w:rPr>
          <w:rFonts w:ascii="ˎ̥" w:hAnsi="ˎ̥" w:cs="宋体"/>
          <w:color w:val="000000"/>
          <w:kern w:val="0"/>
          <w:sz w:val="24"/>
        </w:rPr>
        <w:t>中型、小型、微型</w:t>
      </w:r>
      <w:r>
        <w:rPr>
          <w:rFonts w:hint="eastAsia" w:ascii="ˎ̥" w:hAnsi="ˎ̥" w:cs="宋体"/>
          <w:color w:val="000000"/>
          <w:kern w:val="0"/>
          <w:sz w:val="24"/>
        </w:rPr>
        <w:t>、不划型</w:t>
      </w:r>
      <w:r>
        <w:rPr>
          <w:rFonts w:ascii="ˎ̥" w:hAnsi="ˎ̥" w:cs="宋体"/>
          <w:color w:val="000000"/>
          <w:kern w:val="0"/>
          <w:sz w:val="24"/>
        </w:rPr>
        <w:t>）企业</w:t>
      </w:r>
      <w:r>
        <w:rPr>
          <w:rFonts w:hint="eastAsia" w:ascii="ˎ̥" w:hAnsi="ˎ̥" w:cs="宋体"/>
          <w:color w:val="000000"/>
          <w:kern w:val="0"/>
          <w:sz w:val="24"/>
        </w:rPr>
        <w:t>，其中所属行业为</w:t>
      </w:r>
      <w:r>
        <w:rPr>
          <w:rFonts w:ascii="ˎ̥" w:hAnsi="ˎ̥" w:cs="宋体"/>
          <w:color w:val="000000"/>
          <w:kern w:val="0"/>
          <w:sz w:val="24"/>
        </w:rPr>
        <w:t>________________</w:t>
      </w:r>
      <w:r>
        <w:rPr>
          <w:rFonts w:hint="eastAsia" w:ascii="ˎ̥" w:hAnsi="ˎ̥" w:cs="宋体"/>
          <w:color w:val="000000"/>
          <w:kern w:val="0"/>
          <w:sz w:val="24"/>
        </w:rPr>
        <w:t>、上年末从业人员</w:t>
      </w:r>
      <w:r>
        <w:rPr>
          <w:rFonts w:ascii="ˎ̥" w:hAnsi="ˎ̥" w:cs="宋体"/>
          <w:color w:val="000000"/>
          <w:kern w:val="0"/>
          <w:sz w:val="24"/>
        </w:rPr>
        <w:t>____</w:t>
      </w:r>
      <w:r>
        <w:rPr>
          <w:rFonts w:hint="eastAsia" w:ascii="ˎ̥" w:hAnsi="ˎ̥" w:cs="宋体"/>
          <w:color w:val="000000"/>
          <w:kern w:val="0"/>
          <w:sz w:val="24"/>
        </w:rPr>
        <w:t>人、上年营业收入</w:t>
      </w:r>
      <w:r>
        <w:rPr>
          <w:rFonts w:ascii="ˎ̥" w:hAnsi="ˎ̥" w:cs="宋体"/>
          <w:color w:val="000000"/>
          <w:kern w:val="0"/>
          <w:sz w:val="24"/>
        </w:rPr>
        <w:t>____</w:t>
      </w:r>
      <w:r>
        <w:rPr>
          <w:rFonts w:hint="eastAsia" w:ascii="ˎ̥" w:hAnsi="ˎ̥" w:cs="宋体"/>
          <w:color w:val="000000"/>
          <w:kern w:val="0"/>
          <w:sz w:val="24"/>
        </w:rPr>
        <w:t>万元、上年资产总额</w:t>
      </w:r>
      <w:r>
        <w:rPr>
          <w:rFonts w:ascii="ˎ̥" w:hAnsi="ˎ̥" w:cs="宋体"/>
          <w:color w:val="000000"/>
          <w:kern w:val="0"/>
          <w:sz w:val="24"/>
        </w:rPr>
        <w:t>____</w:t>
      </w:r>
      <w:r>
        <w:rPr>
          <w:rFonts w:hint="eastAsia" w:ascii="ˎ̥" w:hAnsi="ˎ̥" w:cs="宋体"/>
          <w:color w:val="000000"/>
          <w:kern w:val="0"/>
          <w:sz w:val="24"/>
        </w:rPr>
        <w:t>万元。</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2.本</w:t>
      </w:r>
      <w:r>
        <w:rPr>
          <w:rFonts w:hint="eastAsia" w:ascii="ˎ̥" w:hAnsi="ˎ̥" w:cs="宋体"/>
          <w:color w:val="000000"/>
          <w:kern w:val="0"/>
          <w:sz w:val="24"/>
        </w:rPr>
        <w:t>单位</w:t>
      </w:r>
      <w:r>
        <w:rPr>
          <w:rFonts w:ascii="ˎ̥" w:hAnsi="ˎ̥" w:cs="宋体"/>
          <w:color w:val="000000"/>
          <w:kern w:val="0"/>
          <w:sz w:val="24"/>
        </w:rPr>
        <w:t>参加______项目</w:t>
      </w:r>
      <w:r>
        <w:rPr>
          <w:rFonts w:hint="eastAsia" w:ascii="ˎ̥" w:hAnsi="ˎ̥" w:cs="宋体"/>
          <w:color w:val="000000"/>
          <w:kern w:val="0"/>
          <w:sz w:val="24"/>
        </w:rPr>
        <w:t>（采购编号</w:t>
      </w:r>
      <w:r>
        <w:rPr>
          <w:rFonts w:ascii="ˎ̥" w:hAnsi="ˎ̥" w:cs="宋体"/>
          <w:color w:val="000000"/>
          <w:kern w:val="0"/>
          <w:sz w:val="24"/>
        </w:rPr>
        <w:t>______</w:t>
      </w:r>
      <w:r>
        <w:rPr>
          <w:rFonts w:hint="eastAsia" w:ascii="ˎ̥" w:hAnsi="ˎ̥" w:cs="宋体"/>
          <w:color w:val="000000"/>
          <w:kern w:val="0"/>
          <w:sz w:val="24"/>
        </w:rPr>
        <w:t>标段/包</w:t>
      </w:r>
      <w:r>
        <w:rPr>
          <w:rFonts w:ascii="ˎ̥" w:hAnsi="ˎ̥" w:cs="宋体"/>
          <w:color w:val="000000"/>
          <w:kern w:val="0"/>
          <w:sz w:val="24"/>
        </w:rPr>
        <w:t>______</w:t>
      </w:r>
      <w:r>
        <w:rPr>
          <w:rFonts w:hint="eastAsia" w:ascii="ˎ̥" w:hAnsi="ˎ̥" w:cs="宋体"/>
          <w:color w:val="000000"/>
          <w:kern w:val="0"/>
          <w:sz w:val="24"/>
        </w:rPr>
        <w:t>）</w:t>
      </w:r>
      <w:r>
        <w:rPr>
          <w:rFonts w:ascii="ˎ̥" w:hAnsi="ˎ̥" w:cs="宋体"/>
          <w:color w:val="000000"/>
          <w:kern w:val="0"/>
          <w:sz w:val="24"/>
        </w:rPr>
        <w:t>采购活动</w:t>
      </w:r>
      <w:r>
        <w:rPr>
          <w:rFonts w:hint="eastAsia" w:ascii="ˎ̥" w:hAnsi="ˎ̥" w:cs="宋体"/>
          <w:color w:val="000000"/>
          <w:kern w:val="0"/>
          <w:sz w:val="24"/>
        </w:rPr>
        <w:t>，项目的市场价格为</w:t>
      </w:r>
      <w:r>
        <w:rPr>
          <w:rFonts w:ascii="ˎ̥" w:hAnsi="ˎ̥" w:cs="宋体"/>
          <w:color w:val="000000"/>
          <w:kern w:val="0"/>
          <w:sz w:val="24"/>
        </w:rPr>
        <w:t>_____</w:t>
      </w:r>
      <w:r>
        <w:rPr>
          <w:rFonts w:hint="eastAsia" w:ascii="ˎ̥" w:hAnsi="ˎ̥" w:cs="宋体"/>
          <w:color w:val="000000"/>
          <w:kern w:val="0"/>
          <w:sz w:val="24"/>
        </w:rPr>
        <w:t>万元，本次投标价格为</w:t>
      </w:r>
      <w:r>
        <w:rPr>
          <w:rFonts w:ascii="ˎ̥" w:hAnsi="ˎ̥" w:cs="宋体"/>
          <w:color w:val="000000"/>
          <w:kern w:val="0"/>
          <w:sz w:val="24"/>
        </w:rPr>
        <w:t>_____</w:t>
      </w:r>
      <w:r>
        <w:rPr>
          <w:rFonts w:hint="eastAsia" w:ascii="ˎ̥" w:hAnsi="ˎ̥" w:cs="宋体"/>
          <w:color w:val="000000"/>
          <w:kern w:val="0"/>
          <w:sz w:val="24"/>
        </w:rPr>
        <w:t>万元，其中</w:t>
      </w:r>
      <w:r>
        <w:rPr>
          <w:rFonts w:ascii="ˎ̥" w:hAnsi="ˎ̥" w:cs="宋体"/>
          <w:color w:val="000000"/>
          <w:kern w:val="0"/>
          <w:sz w:val="24"/>
        </w:rPr>
        <w:t>由本</w:t>
      </w:r>
      <w:r>
        <w:rPr>
          <w:rFonts w:hint="eastAsia" w:ascii="ˎ̥" w:hAnsi="ˎ̥" w:cs="宋体"/>
          <w:color w:val="000000"/>
          <w:kern w:val="0"/>
          <w:sz w:val="24"/>
        </w:rPr>
        <w:t>单位</w:t>
      </w:r>
      <w:r>
        <w:rPr>
          <w:rFonts w:ascii="ˎ̥" w:hAnsi="ˎ̥" w:cs="宋体"/>
          <w:color w:val="000000"/>
          <w:kern w:val="0"/>
          <w:sz w:val="24"/>
        </w:rPr>
        <w:t>承担工程</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由本</w:t>
      </w:r>
      <w:r>
        <w:rPr>
          <w:rFonts w:hint="eastAsia" w:ascii="ˎ̥" w:hAnsi="ˎ̥" w:cs="宋体"/>
          <w:color w:val="000000"/>
          <w:kern w:val="0"/>
          <w:sz w:val="24"/>
        </w:rPr>
        <w:t>单位</w:t>
      </w:r>
      <w:r>
        <w:rPr>
          <w:rFonts w:ascii="ˎ̥" w:hAnsi="ˎ̥" w:cs="宋体"/>
          <w:color w:val="000000"/>
          <w:kern w:val="0"/>
          <w:sz w:val="24"/>
        </w:rPr>
        <w:t>提供服务</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提供本</w:t>
      </w:r>
      <w:r>
        <w:rPr>
          <w:rFonts w:hint="eastAsia" w:ascii="ˎ̥" w:hAnsi="ˎ̥" w:cs="宋体"/>
          <w:color w:val="000000"/>
          <w:kern w:val="0"/>
          <w:sz w:val="24"/>
        </w:rPr>
        <w:t>单位</w:t>
      </w:r>
      <w:r>
        <w:rPr>
          <w:rFonts w:ascii="ˎ̥" w:hAnsi="ˎ̥" w:cs="宋体"/>
          <w:color w:val="000000"/>
          <w:kern w:val="0"/>
          <w:sz w:val="24"/>
        </w:rPr>
        <w:t>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或者提供其他</w:t>
      </w:r>
      <w:r>
        <w:rPr>
          <w:rFonts w:hint="eastAsia" w:ascii="ˎ̥" w:hAnsi="ˎ̥" w:cs="宋体"/>
          <w:color w:val="000000"/>
          <w:kern w:val="0"/>
          <w:sz w:val="24"/>
        </w:rPr>
        <w:t>大型</w:t>
      </w:r>
      <w:r>
        <w:rPr>
          <w:rFonts w:ascii="ˎ̥" w:hAnsi="ˎ̥" w:cs="宋体"/>
          <w:color w:val="000000"/>
          <w:kern w:val="0"/>
          <w:sz w:val="24"/>
        </w:rPr>
        <w:t>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其他中型企业制造的货物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其他小型企业制造的货物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其他微型企业制造的货物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万元。原产地为中国境内货物金额为</w:t>
      </w:r>
      <w:r>
        <w:rPr>
          <w:rFonts w:ascii="ˎ̥" w:hAnsi="ˎ̥" w:cs="宋体"/>
          <w:color w:val="000000"/>
          <w:kern w:val="0"/>
          <w:sz w:val="24"/>
        </w:rPr>
        <w:t>_____</w:t>
      </w:r>
      <w:r>
        <w:rPr>
          <w:rFonts w:hint="eastAsia" w:ascii="ˎ̥" w:hAnsi="ˎ̥" w:cs="宋体"/>
          <w:color w:val="000000"/>
          <w:kern w:val="0"/>
          <w:sz w:val="24"/>
        </w:rPr>
        <w:t>万元、原产地为宁波货物金额为</w:t>
      </w:r>
      <w:r>
        <w:rPr>
          <w:rFonts w:ascii="ˎ̥" w:hAnsi="ˎ̥" w:cs="宋体"/>
          <w:color w:val="000000"/>
          <w:kern w:val="0"/>
          <w:sz w:val="24"/>
        </w:rPr>
        <w:t>_____</w:t>
      </w:r>
      <w:r>
        <w:rPr>
          <w:rFonts w:hint="eastAsia" w:ascii="ˎ̥" w:hAnsi="ˎ̥" w:cs="宋体"/>
          <w:color w:val="000000"/>
          <w:kern w:val="0"/>
          <w:sz w:val="24"/>
        </w:rPr>
        <w:t>万元，列入国家节能产品清单货物金额为</w:t>
      </w:r>
      <w:r>
        <w:rPr>
          <w:rFonts w:ascii="ˎ̥" w:hAnsi="ˎ̥" w:cs="宋体"/>
          <w:color w:val="000000"/>
          <w:kern w:val="0"/>
          <w:sz w:val="24"/>
        </w:rPr>
        <w:t>_____</w:t>
      </w:r>
      <w:r>
        <w:rPr>
          <w:rFonts w:hint="eastAsia" w:ascii="ˎ̥" w:hAnsi="ˎ̥" w:cs="宋体"/>
          <w:color w:val="000000"/>
          <w:kern w:val="0"/>
          <w:sz w:val="24"/>
        </w:rPr>
        <w:t>万元，列入国家环境标志产品清单货物金额为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w:t>
      </w:r>
    </w:p>
    <w:p>
      <w:pPr>
        <w:widowControl/>
        <w:spacing w:before="100" w:beforeAutospacing="1" w:after="100" w:afterAutospacing="1" w:line="432" w:lineRule="auto"/>
        <w:jc w:val="left"/>
        <w:rPr>
          <w:rFonts w:ascii="ˎ̥" w:hAnsi="ˎ̥" w:cs="宋体"/>
          <w:color w:val="000000"/>
          <w:kern w:val="0"/>
          <w:sz w:val="24"/>
        </w:rPr>
      </w:pPr>
      <w:r>
        <w:rPr>
          <w:rFonts w:ascii="ˎ̥" w:hAnsi="ˎ̥" w:cs="宋体"/>
          <w:color w:val="000000"/>
          <w:kern w:val="0"/>
          <w:sz w:val="24"/>
        </w:rPr>
        <w:t>　　本</w:t>
      </w:r>
      <w:r>
        <w:rPr>
          <w:rFonts w:hint="eastAsia" w:ascii="ˎ̥" w:hAnsi="ˎ̥" w:cs="宋体"/>
          <w:color w:val="000000"/>
          <w:kern w:val="0"/>
          <w:sz w:val="24"/>
        </w:rPr>
        <w:t>单位</w:t>
      </w:r>
      <w:r>
        <w:rPr>
          <w:rFonts w:ascii="ˎ̥" w:hAnsi="ˎ̥" w:cs="宋体"/>
          <w:color w:val="000000"/>
          <w:kern w:val="0"/>
          <w:sz w:val="24"/>
        </w:rPr>
        <w:t>对上述声明的真实性负责。如有虚假，将依法承担相应责任。</w:t>
      </w:r>
    </w:p>
    <w:p>
      <w:pPr>
        <w:widowControl/>
        <w:spacing w:before="100" w:beforeAutospacing="1" w:after="100" w:afterAutospacing="1" w:line="432" w:lineRule="auto"/>
        <w:jc w:val="left"/>
        <w:rPr>
          <w:rFonts w:ascii="ˎ̥" w:hAnsi="ˎ̥" w:cs="宋体"/>
          <w:color w:val="000000"/>
          <w:kern w:val="0"/>
          <w:sz w:val="24"/>
        </w:rPr>
      </w:pPr>
      <w:r>
        <w:rPr>
          <w:rFonts w:ascii="ˎ̥" w:hAnsi="ˎ̥" w:cs="宋体"/>
          <w:color w:val="000000"/>
          <w:kern w:val="0"/>
          <w:sz w:val="24"/>
        </w:rPr>
        <w:t> </w:t>
      </w:r>
    </w:p>
    <w:p>
      <w:pPr>
        <w:widowControl/>
        <w:spacing w:before="100" w:beforeAutospacing="1" w:after="100" w:afterAutospacing="1" w:line="432" w:lineRule="auto"/>
        <w:jc w:val="left"/>
        <w:rPr>
          <w:rFonts w:ascii="ˎ̥" w:hAnsi="ˎ̥" w:cs="宋体"/>
          <w:color w:val="000000"/>
          <w:kern w:val="0"/>
          <w:sz w:val="24"/>
          <w:u w:val="single"/>
        </w:rPr>
      </w:pPr>
      <w:r>
        <w:rPr>
          <w:rFonts w:ascii="ˎ̥" w:hAnsi="ˎ̥" w:cs="宋体"/>
          <w:color w:val="000000"/>
          <w:kern w:val="0"/>
          <w:sz w:val="24"/>
        </w:rPr>
        <w:t>　　</w:t>
      </w:r>
      <w:r>
        <w:rPr>
          <w:rFonts w:hint="eastAsia" w:ascii="ˎ̥" w:hAnsi="ˎ̥" w:cs="宋体"/>
          <w:color w:val="000000"/>
          <w:kern w:val="0"/>
          <w:sz w:val="24"/>
        </w:rPr>
        <w:t>投标单位</w:t>
      </w:r>
      <w:r>
        <w:rPr>
          <w:rFonts w:ascii="ˎ̥" w:hAnsi="ˎ̥" w:cs="宋体"/>
          <w:color w:val="000000"/>
          <w:kern w:val="0"/>
          <w:sz w:val="24"/>
        </w:rPr>
        <w:t>名称（盖章）：</w:t>
      </w:r>
      <w:r>
        <w:rPr>
          <w:rFonts w:hint="eastAsia" w:ascii="ˎ̥" w:hAnsi="ˎ̥" w:cs="宋体"/>
          <w:color w:val="000000"/>
          <w:kern w:val="0"/>
          <w:sz w:val="24"/>
          <w:u w:val="single"/>
        </w:rPr>
        <w:t xml:space="preserve">                          </w:t>
      </w:r>
    </w:p>
    <w:p>
      <w:pPr>
        <w:widowControl/>
        <w:spacing w:before="100" w:beforeAutospacing="1" w:after="100" w:afterAutospacing="1" w:line="432" w:lineRule="auto"/>
        <w:jc w:val="left"/>
        <w:rPr>
          <w:rFonts w:ascii="ˎ̥" w:hAnsi="ˎ̥" w:cs="宋体"/>
          <w:color w:val="000000"/>
          <w:kern w:val="0"/>
          <w:sz w:val="24"/>
        </w:rPr>
      </w:pPr>
      <w:r>
        <w:rPr>
          <w:rFonts w:ascii="ˎ̥" w:hAnsi="ˎ̥" w:cs="宋体"/>
          <w:color w:val="000000"/>
          <w:kern w:val="0"/>
          <w:sz w:val="24"/>
        </w:rPr>
        <w:t> 　　日  期：</w:t>
      </w:r>
    </w:p>
    <w:p>
      <w:pPr>
        <w:pStyle w:val="9"/>
        <w:spacing w:line="520" w:lineRule="exact"/>
        <w:ind w:firstLine="0"/>
        <w:rPr>
          <w:rFonts w:hint="eastAsia"/>
        </w:rPr>
      </w:pPr>
    </w:p>
    <w:p>
      <w:pPr>
        <w:pStyle w:val="9"/>
        <w:spacing w:line="520" w:lineRule="exact"/>
        <w:ind w:firstLine="0"/>
        <w:rPr>
          <w:rFonts w:hint="eastAsia"/>
        </w:rPr>
      </w:pPr>
      <w:r>
        <w:rPr>
          <w:rFonts w:hint="eastAsia"/>
        </w:rPr>
        <w:t>填写说明：</w:t>
      </w:r>
    </w:p>
    <w:p>
      <w:pPr>
        <w:pStyle w:val="9"/>
        <w:spacing w:line="520" w:lineRule="exact"/>
        <w:ind w:firstLine="0"/>
        <w:rPr>
          <w:rFonts w:hint="eastAsia"/>
        </w:rPr>
      </w:pPr>
      <w:r>
        <w:rPr>
          <w:rFonts w:hint="eastAsia"/>
        </w:rPr>
        <w:t>1、根据</w:t>
      </w:r>
      <w:r>
        <w:t>国家统计局《</w:t>
      </w:r>
      <w:r>
        <w:rPr>
          <w:rFonts w:hint="eastAsia"/>
        </w:rPr>
        <w:t>统计上大中小微型企业划分办法(2017)</w:t>
      </w:r>
      <w:r>
        <w:t>》（</w:t>
      </w:r>
      <w:r>
        <w:rPr>
          <w:rFonts w:hint="eastAsia"/>
        </w:rPr>
        <w:t>国统字〔2017〕213号</w:t>
      </w:r>
      <w:r>
        <w:t>）</w:t>
      </w:r>
      <w:r>
        <w:rPr>
          <w:rFonts w:hint="eastAsia"/>
        </w:rPr>
        <w:t>文件，企业行业分为：</w:t>
      </w:r>
      <w: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rPr>
        <w:t>一般研发、生产、加工型企业填写工业，销售、贸易型企业填写批发业，具体行业划分依据国家统计局网站公布的</w:t>
      </w:r>
      <w:r>
        <w:t>《国民经济行业分类》</w:t>
      </w:r>
      <w:r>
        <w:rPr>
          <w:rFonts w:hint="eastAsia"/>
        </w:rPr>
        <w:t>标准规定。</w:t>
      </w:r>
    </w:p>
    <w:p>
      <w:pPr>
        <w:pStyle w:val="9"/>
        <w:spacing w:line="520" w:lineRule="exact"/>
        <w:ind w:firstLine="0"/>
        <w:rPr>
          <w:rFonts w:hint="eastAsia"/>
        </w:rPr>
      </w:pPr>
      <w:r>
        <w:rPr>
          <w:rFonts w:hint="eastAsia"/>
        </w:rPr>
        <w:t>2、第2条有多个标包的，须按每个标包分别填写，无此分类货物金额的应填“零”。</w:t>
      </w:r>
    </w:p>
    <w:p>
      <w:pPr>
        <w:pStyle w:val="9"/>
        <w:spacing w:line="520" w:lineRule="exact"/>
        <w:ind w:firstLine="0"/>
        <w:rPr>
          <w:rFonts w:hint="eastAsia"/>
        </w:rPr>
      </w:pPr>
      <w:r>
        <w:rPr>
          <w:rFonts w:hint="eastAsia"/>
        </w:rPr>
        <w:t>3、联合体投标的，由联合体主办方提供本表。</w:t>
      </w:r>
    </w:p>
    <w:p>
      <w:pPr>
        <w:pStyle w:val="9"/>
        <w:spacing w:line="520" w:lineRule="exact"/>
        <w:ind w:firstLine="0"/>
        <w:rPr>
          <w:rFonts w:hint="eastAsia"/>
        </w:rPr>
      </w:pPr>
      <w:r>
        <w:rPr>
          <w:rFonts w:hint="eastAsia"/>
        </w:rPr>
        <w:t>4、资格入围式项目（一个标包由多家中标入围）：招标人公布项目预算的，第2条有关金额按市场预估总价、投标预估总价除以入围数量填写；未公布预算的或入围数量的，投标人无需填写。</w:t>
      </w:r>
    </w:p>
    <w:p>
      <w:pPr>
        <w:pStyle w:val="9"/>
        <w:spacing w:line="520" w:lineRule="exact"/>
        <w:ind w:firstLine="0"/>
        <w:rPr>
          <w:rFonts w:hint="eastAsia"/>
        </w:rPr>
      </w:pPr>
      <w:r>
        <w:rPr>
          <w:rFonts w:hint="eastAsia"/>
        </w:rPr>
        <w:t>5、投标价格为费率的项目、中标价格按单价执行的项目：招标人公布项目预算的，第2条有关金额按市场预估总价、投标预估总价填写；未公布预算的，投标人无需填写。</w:t>
      </w:r>
    </w:p>
    <w:p>
      <w:pPr>
        <w:pStyle w:val="9"/>
        <w:spacing w:line="520" w:lineRule="exact"/>
        <w:ind w:firstLine="0"/>
        <w:rPr>
          <w:rFonts w:hint="eastAsia"/>
        </w:rPr>
      </w:pPr>
      <w:r>
        <w:rPr>
          <w:rFonts w:hint="eastAsia"/>
        </w:rPr>
        <w:t>6、列入国家节能产品政府采购品目清单的产品以中国政府采购网(www.ccgp.gov.cn)上财政部发布的文件为准。</w:t>
      </w: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spacing w:line="588" w:lineRule="exact"/>
        <w:rPr>
          <w:rFonts w:hint="eastAsia" w:ascii="宋体" w:hAnsi="宋体" w:cs="宋体"/>
          <w:b/>
          <w:spacing w:val="6"/>
          <w:szCs w:val="21"/>
        </w:rPr>
      </w:pPr>
      <w:r>
        <w:rPr>
          <w:rFonts w:hint="eastAsia" w:ascii="楷体_GB2312" w:eastAsia="楷体_GB2312"/>
          <w:b/>
          <w:bCs/>
          <w:sz w:val="24"/>
        </w:rPr>
        <w:t>附件六</w:t>
      </w:r>
      <w:r>
        <w:rPr>
          <w:rFonts w:hint="eastAsia" w:ascii="楷体_GB2312" w:eastAsia="楷体_GB2312"/>
          <w:sz w:val="28"/>
        </w:rPr>
        <w:t xml:space="preserve">：   </w:t>
      </w:r>
      <w:r>
        <w:rPr>
          <w:rFonts w:hint="eastAsia" w:ascii="宋体" w:hAnsi="宋体" w:cs="宋体"/>
          <w:b/>
          <w:spacing w:val="6"/>
          <w:szCs w:val="21"/>
        </w:rPr>
        <w:t>残疾人福利性单位声明函</w:t>
      </w:r>
      <w:r>
        <w:rPr>
          <w:rFonts w:hint="eastAsia" w:ascii="宋体" w:hAnsi="宋体"/>
          <w:b/>
          <w:bCs/>
          <w:lang w:bidi="ar"/>
        </w:rPr>
        <w:t>（非残疾人福利性单位无须提供声明函）</w:t>
      </w:r>
    </w:p>
    <w:p>
      <w:pPr>
        <w:spacing w:line="588" w:lineRule="exact"/>
        <w:rPr>
          <w:rFonts w:hint="eastAsia" w:ascii="宋体" w:hAnsi="宋体" w:cs="宋体"/>
          <w:b/>
          <w:spacing w:val="6"/>
          <w:szCs w:val="21"/>
        </w:rPr>
      </w:pPr>
    </w:p>
    <w:p>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hint="eastAsia" w:ascii="宋体" w:hAnsi="宋体" w:cs="宋体"/>
          <w:spacing w:val="6"/>
          <w:szCs w:val="21"/>
        </w:rPr>
      </w:pPr>
    </w:p>
    <w:p>
      <w:pPr>
        <w:spacing w:line="588" w:lineRule="exact"/>
        <w:ind w:firstLine="444" w:firstLineChars="200"/>
        <w:rPr>
          <w:rFonts w:hint="eastAsia" w:ascii="宋体" w:hAnsi="宋体" w:cs="宋体"/>
          <w:spacing w:val="6"/>
          <w:szCs w:val="21"/>
        </w:rPr>
      </w:pPr>
    </w:p>
    <w:p>
      <w:pPr>
        <w:tabs>
          <w:tab w:val="left" w:pos="4860"/>
        </w:tabs>
        <w:spacing w:line="588" w:lineRule="exact"/>
        <w:ind w:right="1560" w:firstLine="444" w:firstLineChars="200"/>
        <w:jc w:val="center"/>
        <w:outlineLvl w:val="0"/>
        <w:rPr>
          <w:rFonts w:hint="eastAsia" w:ascii="宋体" w:hAnsi="宋体" w:cs="宋体"/>
          <w:spacing w:val="6"/>
          <w:szCs w:val="21"/>
        </w:rPr>
      </w:pPr>
      <w:r>
        <w:rPr>
          <w:rFonts w:hint="eastAsia" w:ascii="宋体" w:hAnsi="宋体" w:cs="宋体"/>
          <w:spacing w:val="6"/>
          <w:szCs w:val="21"/>
        </w:rPr>
        <w:t xml:space="preserve">               </w:t>
      </w:r>
      <w:bookmarkStart w:id="127" w:name="_Toc13711"/>
      <w:r>
        <w:rPr>
          <w:rFonts w:hint="eastAsia" w:ascii="宋体" w:hAnsi="宋体" w:cs="宋体"/>
          <w:spacing w:val="6"/>
          <w:szCs w:val="21"/>
        </w:rPr>
        <w:t>供应商名称（盖章）：</w:t>
      </w:r>
      <w:bookmarkEnd w:id="127"/>
    </w:p>
    <w:p>
      <w:pPr>
        <w:rPr>
          <w:rFonts w:hint="eastAsia" w:ascii="楷体_GB2312" w:eastAsia="楷体_GB2312"/>
          <w:b/>
          <w:bCs/>
          <w:sz w:val="24"/>
        </w:rPr>
      </w:pPr>
      <w:r>
        <w:rPr>
          <w:rFonts w:hint="eastAsia" w:ascii="宋体" w:hAnsi="宋体" w:cs="宋体"/>
          <w:spacing w:val="6"/>
          <w:szCs w:val="21"/>
        </w:rPr>
        <w:t xml:space="preserve">       </w:t>
      </w:r>
      <w:bookmarkStart w:id="128" w:name="_Toc28978"/>
      <w:r>
        <w:rPr>
          <w:rFonts w:hint="eastAsia" w:ascii="宋体" w:hAnsi="宋体" w:cs="宋体"/>
          <w:spacing w:val="6"/>
          <w:szCs w:val="21"/>
        </w:rPr>
        <w:t xml:space="preserve">                       日  期：</w:t>
      </w:r>
      <w:bookmarkEnd w:id="128"/>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ascii="楷体_GB2312" w:eastAsia="楷体_GB2312"/>
          <w:b/>
          <w:bCs/>
          <w:sz w:val="24"/>
        </w:rPr>
      </w:pPr>
    </w:p>
    <w:p>
      <w:pPr>
        <w:rPr>
          <w:rFonts w:hint="eastAsia"/>
        </w:rPr>
      </w:pPr>
    </w:p>
    <w:p>
      <w:pPr>
        <w:rPr>
          <w:rFonts w:eastAsia="楷体_GB2312"/>
          <w:sz w:val="28"/>
        </w:rPr>
      </w:pPr>
      <w:r>
        <w:rPr>
          <w:rFonts w:hint="eastAsia" w:ascii="楷体_GB2312" w:eastAsia="楷体_GB2312"/>
          <w:b/>
          <w:bCs/>
          <w:sz w:val="24"/>
        </w:rPr>
        <w:t>附件七</w:t>
      </w:r>
      <w:r>
        <w:rPr>
          <w:rFonts w:hint="eastAsia" w:ascii="楷体_GB2312" w:eastAsia="楷体_GB2312"/>
          <w:sz w:val="28"/>
        </w:rPr>
        <w:t>：</w:t>
      </w:r>
    </w:p>
    <w:p>
      <w:pPr>
        <w:ind w:left="-718" w:leftChars="-342"/>
        <w:jc w:val="center"/>
        <w:rPr>
          <w:rFonts w:eastAsia="楷体_GB2312"/>
          <w:b/>
          <w:bCs/>
          <w:sz w:val="30"/>
        </w:rPr>
      </w:pPr>
      <w:r>
        <w:rPr>
          <w:rFonts w:hint="eastAsia" w:eastAsia="楷体_GB2312"/>
          <w:b/>
          <w:bCs/>
          <w:sz w:val="30"/>
        </w:rPr>
        <w:t>投标货物技术要求响应表</w:t>
      </w:r>
    </w:p>
    <w:p>
      <w:pPr>
        <w:ind w:left="-718" w:leftChars="-342" w:firstLine="720" w:firstLineChars="300"/>
        <w:rPr>
          <w:rFonts w:ascii="楷体_GB2312" w:hAnsi="宋体" w:eastAsia="楷体_GB2312"/>
          <w:sz w:val="24"/>
        </w:rPr>
      </w:pPr>
      <w:r>
        <w:rPr>
          <w:rFonts w:hint="eastAsia" w:ascii="楷体_GB2312" w:eastAsia="楷体_GB2312"/>
          <w:sz w:val="24"/>
        </w:rPr>
        <w:t>招标项目名称：                                        招标编号：</w:t>
      </w:r>
    </w:p>
    <w:tbl>
      <w:tblPr>
        <w:tblStyle w:val="19"/>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3036"/>
        <w:gridCol w:w="326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pPr>
              <w:spacing w:line="500" w:lineRule="exact"/>
              <w:jc w:val="center"/>
              <w:rPr>
                <w:rFonts w:eastAsia="楷体_GB2312"/>
                <w:sz w:val="24"/>
              </w:rPr>
            </w:pPr>
            <w:r>
              <w:rPr>
                <w:rFonts w:hint="eastAsia" w:eastAsia="楷体_GB2312"/>
                <w:sz w:val="24"/>
              </w:rPr>
              <w:t>序号</w:t>
            </w:r>
          </w:p>
        </w:tc>
        <w:tc>
          <w:tcPr>
            <w:tcW w:w="1440" w:type="dxa"/>
            <w:noWrap w:val="0"/>
            <w:vAlign w:val="center"/>
          </w:tcPr>
          <w:p>
            <w:pPr>
              <w:spacing w:line="500" w:lineRule="exact"/>
              <w:jc w:val="center"/>
              <w:rPr>
                <w:rFonts w:eastAsia="楷体_GB2312"/>
                <w:sz w:val="24"/>
              </w:rPr>
            </w:pPr>
            <w:r>
              <w:rPr>
                <w:rFonts w:hint="eastAsia" w:eastAsia="楷体_GB2312"/>
                <w:sz w:val="24"/>
              </w:rPr>
              <w:t>货物名称</w:t>
            </w:r>
          </w:p>
        </w:tc>
        <w:tc>
          <w:tcPr>
            <w:tcW w:w="3036" w:type="dxa"/>
            <w:noWrap w:val="0"/>
            <w:vAlign w:val="center"/>
          </w:tcPr>
          <w:p>
            <w:pPr>
              <w:spacing w:line="500" w:lineRule="exact"/>
              <w:jc w:val="center"/>
              <w:rPr>
                <w:rFonts w:eastAsia="楷体_GB2312"/>
                <w:sz w:val="24"/>
              </w:rPr>
            </w:pPr>
            <w:r>
              <w:rPr>
                <w:rFonts w:hint="eastAsia" w:eastAsia="楷体_GB2312"/>
                <w:sz w:val="24"/>
              </w:rPr>
              <w:t>招标文件技术性能、要求</w:t>
            </w:r>
          </w:p>
        </w:tc>
        <w:tc>
          <w:tcPr>
            <w:tcW w:w="3264" w:type="dxa"/>
            <w:noWrap w:val="0"/>
            <w:vAlign w:val="center"/>
          </w:tcPr>
          <w:p>
            <w:pPr>
              <w:spacing w:line="500" w:lineRule="exact"/>
              <w:ind w:left="102" w:hanging="315"/>
              <w:jc w:val="center"/>
              <w:rPr>
                <w:rFonts w:eastAsia="楷体_GB2312"/>
                <w:sz w:val="24"/>
              </w:rPr>
            </w:pPr>
            <w:r>
              <w:rPr>
                <w:rFonts w:hint="eastAsia" w:eastAsia="楷体_GB2312"/>
                <w:sz w:val="24"/>
              </w:rPr>
              <w:t xml:space="preserve">  投标文件对应技术性能、要求</w:t>
            </w:r>
          </w:p>
        </w:tc>
        <w:tc>
          <w:tcPr>
            <w:tcW w:w="876" w:type="dxa"/>
            <w:noWrap w:val="0"/>
            <w:vAlign w:val="center"/>
          </w:tcPr>
          <w:p>
            <w:pPr>
              <w:spacing w:line="500" w:lineRule="exact"/>
              <w:jc w:val="center"/>
              <w:rPr>
                <w:rFonts w:eastAsia="楷体_GB2312"/>
                <w:sz w:val="24"/>
              </w:rPr>
            </w:pPr>
            <w:r>
              <w:rPr>
                <w:rFonts w:hint="eastAsia" w:eastAsia="楷体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pPr>
              <w:spacing w:line="500" w:lineRule="exact"/>
              <w:rPr>
                <w:rFonts w:eastAsia="楷体_GB2312"/>
                <w:sz w:val="24"/>
              </w:rPr>
            </w:pPr>
          </w:p>
        </w:tc>
        <w:tc>
          <w:tcPr>
            <w:tcW w:w="1440" w:type="dxa"/>
            <w:noWrap w:val="0"/>
            <w:vAlign w:val="top"/>
          </w:tcPr>
          <w:p>
            <w:pPr>
              <w:spacing w:line="500" w:lineRule="exact"/>
              <w:rPr>
                <w:rFonts w:eastAsia="楷体_GB2312"/>
                <w:sz w:val="24"/>
              </w:rPr>
            </w:pPr>
          </w:p>
        </w:tc>
        <w:tc>
          <w:tcPr>
            <w:tcW w:w="3036" w:type="dxa"/>
            <w:noWrap w:val="0"/>
            <w:vAlign w:val="top"/>
          </w:tcPr>
          <w:p>
            <w:pPr>
              <w:spacing w:line="500" w:lineRule="exact"/>
              <w:rPr>
                <w:rFonts w:eastAsia="楷体_GB2312"/>
                <w:sz w:val="24"/>
              </w:rPr>
            </w:pPr>
          </w:p>
        </w:tc>
        <w:tc>
          <w:tcPr>
            <w:tcW w:w="3264" w:type="dxa"/>
            <w:noWrap w:val="0"/>
            <w:vAlign w:val="top"/>
          </w:tcPr>
          <w:p>
            <w:pPr>
              <w:spacing w:line="500" w:lineRule="exact"/>
              <w:rPr>
                <w:rFonts w:eastAsia="楷体_GB2312"/>
                <w:sz w:val="24"/>
              </w:rPr>
            </w:pPr>
          </w:p>
        </w:tc>
        <w:tc>
          <w:tcPr>
            <w:tcW w:w="876" w:type="dxa"/>
            <w:noWrap w:val="0"/>
            <w:vAlign w:val="top"/>
          </w:tcPr>
          <w:p>
            <w:pPr>
              <w:spacing w:line="50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pPr>
              <w:spacing w:line="500" w:lineRule="exact"/>
              <w:rPr>
                <w:rFonts w:eastAsia="楷体_GB2312"/>
                <w:sz w:val="24"/>
              </w:rPr>
            </w:pPr>
          </w:p>
        </w:tc>
        <w:tc>
          <w:tcPr>
            <w:tcW w:w="1440" w:type="dxa"/>
            <w:noWrap w:val="0"/>
            <w:vAlign w:val="top"/>
          </w:tcPr>
          <w:p>
            <w:pPr>
              <w:pStyle w:val="53"/>
              <w:spacing w:line="500" w:lineRule="exact"/>
              <w:rPr>
                <w:rFonts w:eastAsia="楷体_GB2312"/>
                <w:szCs w:val="24"/>
              </w:rPr>
            </w:pPr>
          </w:p>
        </w:tc>
        <w:tc>
          <w:tcPr>
            <w:tcW w:w="3036" w:type="dxa"/>
            <w:noWrap w:val="0"/>
            <w:vAlign w:val="top"/>
          </w:tcPr>
          <w:p>
            <w:pPr>
              <w:spacing w:line="500" w:lineRule="exact"/>
              <w:rPr>
                <w:rFonts w:eastAsia="楷体_GB2312"/>
                <w:sz w:val="24"/>
              </w:rPr>
            </w:pPr>
          </w:p>
        </w:tc>
        <w:tc>
          <w:tcPr>
            <w:tcW w:w="3264" w:type="dxa"/>
            <w:noWrap w:val="0"/>
            <w:vAlign w:val="top"/>
          </w:tcPr>
          <w:p>
            <w:pPr>
              <w:spacing w:line="500" w:lineRule="exact"/>
              <w:rPr>
                <w:rFonts w:eastAsia="楷体_GB2312"/>
                <w:sz w:val="24"/>
              </w:rPr>
            </w:pPr>
          </w:p>
        </w:tc>
        <w:tc>
          <w:tcPr>
            <w:tcW w:w="876" w:type="dxa"/>
            <w:noWrap w:val="0"/>
            <w:vAlign w:val="top"/>
          </w:tcPr>
          <w:p>
            <w:pPr>
              <w:spacing w:line="50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pPr>
              <w:spacing w:line="500" w:lineRule="exact"/>
              <w:rPr>
                <w:rFonts w:eastAsia="楷体_GB2312"/>
                <w:sz w:val="24"/>
              </w:rPr>
            </w:pPr>
          </w:p>
        </w:tc>
        <w:tc>
          <w:tcPr>
            <w:tcW w:w="1440" w:type="dxa"/>
            <w:noWrap w:val="0"/>
            <w:vAlign w:val="top"/>
          </w:tcPr>
          <w:p>
            <w:pPr>
              <w:spacing w:line="500" w:lineRule="exact"/>
              <w:rPr>
                <w:rFonts w:eastAsia="楷体_GB2312"/>
                <w:sz w:val="24"/>
              </w:rPr>
            </w:pPr>
          </w:p>
        </w:tc>
        <w:tc>
          <w:tcPr>
            <w:tcW w:w="3036" w:type="dxa"/>
            <w:noWrap w:val="0"/>
            <w:vAlign w:val="top"/>
          </w:tcPr>
          <w:p>
            <w:pPr>
              <w:spacing w:line="500" w:lineRule="exact"/>
              <w:rPr>
                <w:rFonts w:eastAsia="楷体_GB2312"/>
                <w:sz w:val="24"/>
              </w:rPr>
            </w:pPr>
          </w:p>
        </w:tc>
        <w:tc>
          <w:tcPr>
            <w:tcW w:w="3264" w:type="dxa"/>
            <w:noWrap w:val="0"/>
            <w:vAlign w:val="top"/>
          </w:tcPr>
          <w:p>
            <w:pPr>
              <w:spacing w:line="500" w:lineRule="exact"/>
              <w:rPr>
                <w:rFonts w:eastAsia="楷体_GB2312"/>
                <w:sz w:val="24"/>
              </w:rPr>
            </w:pPr>
          </w:p>
        </w:tc>
        <w:tc>
          <w:tcPr>
            <w:tcW w:w="876" w:type="dxa"/>
            <w:noWrap w:val="0"/>
            <w:vAlign w:val="top"/>
          </w:tcPr>
          <w:p>
            <w:pPr>
              <w:spacing w:line="500" w:lineRule="exact"/>
              <w:rPr>
                <w:rFonts w:eastAsia="楷体_GB2312"/>
                <w:sz w:val="24"/>
              </w:rPr>
            </w:pPr>
          </w:p>
        </w:tc>
      </w:tr>
    </w:tbl>
    <w:p>
      <w:pPr>
        <w:tabs>
          <w:tab w:val="left" w:pos="570"/>
        </w:tabs>
        <w:spacing w:line="440" w:lineRule="exact"/>
        <w:ind w:firstLine="120" w:firstLineChars="50"/>
        <w:jc w:val="left"/>
        <w:rPr>
          <w:rFonts w:ascii="仿宋_GB2312" w:hAnsi="宋体" w:eastAsia="仿宋_GB2312"/>
          <w:color w:val="000000"/>
          <w:sz w:val="24"/>
        </w:rPr>
      </w:pPr>
      <w:r>
        <w:rPr>
          <w:rFonts w:hint="eastAsia" w:ascii="仿宋_GB2312" w:hAnsi="宋体" w:eastAsia="仿宋_GB2312"/>
          <w:color w:val="000000"/>
          <w:sz w:val="24"/>
        </w:rPr>
        <w:t>注：此表须与</w:t>
      </w:r>
      <w:r>
        <w:rPr>
          <w:rFonts w:hint="eastAsia" w:ascii="仿宋_GB2312" w:hAnsi="宋体" w:eastAsia="仿宋_GB2312"/>
          <w:color w:val="000000"/>
          <w:kern w:val="0"/>
          <w:sz w:val="24"/>
        </w:rPr>
        <w:t>招标文件“</w:t>
      </w:r>
      <w:r>
        <w:rPr>
          <w:rFonts w:hint="eastAsia" w:ascii="仿宋_GB2312" w:hAnsi="宋体" w:eastAsia="仿宋_GB2312"/>
          <w:color w:val="000000"/>
          <w:sz w:val="24"/>
        </w:rPr>
        <w:t>第三部分 招标项目说明及要求</w:t>
      </w:r>
      <w:r>
        <w:rPr>
          <w:rFonts w:hint="eastAsia" w:ascii="仿宋_GB2312" w:hAnsi="宋体" w:eastAsia="仿宋_GB2312"/>
          <w:color w:val="000000"/>
          <w:kern w:val="0"/>
          <w:sz w:val="24"/>
        </w:rPr>
        <w:t>”</w:t>
      </w:r>
      <w:r>
        <w:rPr>
          <w:rFonts w:hint="eastAsia" w:ascii="仿宋_GB2312" w:hAnsi="宋体" w:eastAsia="仿宋_GB2312"/>
          <w:color w:val="000000"/>
          <w:sz w:val="24"/>
        </w:rPr>
        <w:t>相应标项内的所有技术规格（含技术、功能、配置、附加必备条件、品牌、产地、售后服务、安装、调试、验收、付款方式等）相比较且一一对应</w:t>
      </w:r>
      <w:r>
        <w:rPr>
          <w:rFonts w:hint="eastAsia" w:ascii="仿宋_GB2312" w:hAnsi="宋体" w:eastAsia="仿宋_GB2312" w:cs="宋体"/>
          <w:color w:val="000000"/>
          <w:sz w:val="24"/>
        </w:rPr>
        <w:t>真实逐条</w:t>
      </w:r>
      <w:r>
        <w:rPr>
          <w:rFonts w:hint="eastAsia" w:ascii="仿宋_GB2312" w:hAnsi="宋体" w:eastAsia="仿宋_GB2312"/>
          <w:color w:val="000000"/>
          <w:sz w:val="24"/>
        </w:rPr>
        <w:t>填列。不得以“符合”“无偏离”等表述，由于技术指标描述不够详细或不符合规定，导致评标委员会无法评审的，由投标人自行承担相关风险；提供虚假的偏离表，一经核实，将有可能导致废标。</w:t>
      </w:r>
    </w:p>
    <w:p>
      <w:pPr>
        <w:spacing w:line="500" w:lineRule="exact"/>
        <w:rPr>
          <w:rFonts w:ascii="Arial" w:hAnsi="Arial" w:eastAsia="楷体_GB2312"/>
          <w:sz w:val="24"/>
        </w:rPr>
      </w:pPr>
    </w:p>
    <w:p>
      <w:pPr>
        <w:spacing w:line="500" w:lineRule="exact"/>
        <w:rPr>
          <w:rFonts w:ascii="Arial" w:hAnsi="Arial" w:eastAsia="楷体_GB2312"/>
          <w:sz w:val="24"/>
        </w:rPr>
      </w:pPr>
      <w:r>
        <w:rPr>
          <w:rFonts w:hint="eastAsia" w:ascii="Arial" w:hAnsi="Arial" w:eastAsia="楷体_GB2312"/>
          <w:sz w:val="24"/>
        </w:rPr>
        <w:t>投标单位（盖章）：</w:t>
      </w:r>
    </w:p>
    <w:p>
      <w:pPr>
        <w:spacing w:line="500" w:lineRule="exact"/>
        <w:rPr>
          <w:rFonts w:ascii="Arial" w:hAnsi="Arial" w:eastAsia="楷体_GB2312"/>
          <w:sz w:val="24"/>
        </w:rPr>
      </w:pPr>
      <w:r>
        <w:rPr>
          <w:rFonts w:hint="eastAsia" w:ascii="楷体_GB2312" w:eastAsia="楷体_GB2312"/>
          <w:sz w:val="24"/>
        </w:rPr>
        <w:t>法定代表人或授权代表（签字）</w:t>
      </w:r>
      <w:r>
        <w:rPr>
          <w:rFonts w:hint="eastAsia" w:ascii="Arial" w:hAnsi="Arial" w:eastAsia="楷体_GB2312"/>
          <w:sz w:val="24"/>
        </w:rPr>
        <w:t>：</w:t>
      </w:r>
    </w:p>
    <w:p>
      <w:pPr>
        <w:rPr>
          <w:rFonts w:ascii="宋体"/>
          <w:b/>
          <w:bCs/>
          <w:sz w:val="24"/>
        </w:rPr>
      </w:pPr>
      <w:r>
        <w:rPr>
          <w:rFonts w:hint="eastAsia" w:ascii="宋体"/>
          <w:b/>
          <w:bCs/>
          <w:sz w:val="24"/>
        </w:rPr>
        <w:t xml:space="preserve">                  </w:t>
      </w:r>
    </w:p>
    <w:p>
      <w:pPr>
        <w:ind w:firstLine="5280" w:firstLineChars="2200"/>
        <w:rPr>
          <w:rFonts w:ascii="宋体"/>
          <w:b/>
          <w:bCs/>
          <w:sz w:val="24"/>
        </w:rPr>
      </w:pPr>
      <w:r>
        <w:rPr>
          <w:rFonts w:hint="eastAsia" w:ascii="楷体_GB2312" w:eastAsia="楷体_GB2312"/>
          <w:sz w:val="24"/>
        </w:rPr>
        <w:t>年   月   日</w:t>
      </w:r>
    </w:p>
    <w:p>
      <w:pPr>
        <w:rPr>
          <w:rFonts w:ascii="楷体_GB2312" w:eastAsia="楷体_GB2312"/>
          <w:b/>
          <w:bCs/>
          <w:sz w:val="24"/>
        </w:rPr>
      </w:pPr>
    </w:p>
    <w:p>
      <w:pPr>
        <w:rPr>
          <w:rFonts w:ascii="楷体_GB2312" w:eastAsia="楷体_GB2312"/>
          <w:b/>
          <w:bCs/>
          <w:sz w:val="24"/>
        </w:rPr>
      </w:pPr>
    </w:p>
    <w:p>
      <w:pPr>
        <w:rPr>
          <w:rFonts w:ascii="楷体_GB2312" w:eastAsia="楷体_GB2312"/>
          <w:sz w:val="28"/>
        </w:rPr>
      </w:pPr>
      <w:r>
        <w:rPr>
          <w:rFonts w:hint="eastAsia" w:ascii="楷体_GB2312" w:eastAsia="楷体_GB2312"/>
          <w:b/>
          <w:bCs/>
          <w:sz w:val="24"/>
        </w:rPr>
        <w:t>附件八</w:t>
      </w:r>
      <w:r>
        <w:rPr>
          <w:rFonts w:hint="eastAsia" w:ascii="楷体_GB2312" w:eastAsia="楷体_GB2312"/>
          <w:sz w:val="28"/>
        </w:rPr>
        <w:t xml:space="preserve">：         </w:t>
      </w:r>
    </w:p>
    <w:p>
      <w:pPr>
        <w:ind w:left="-718" w:leftChars="-342"/>
        <w:jc w:val="center"/>
        <w:rPr>
          <w:rFonts w:eastAsia="楷体_GB2312"/>
          <w:b/>
          <w:bCs/>
          <w:sz w:val="30"/>
        </w:rPr>
      </w:pPr>
      <w:r>
        <w:rPr>
          <w:rFonts w:hint="eastAsia" w:ascii="楷体_GB2312" w:eastAsia="楷体_GB2312"/>
          <w:b/>
          <w:bCs/>
          <w:sz w:val="30"/>
        </w:rPr>
        <w:t>投标货物数量及规格型号清单</w:t>
      </w:r>
      <w:r>
        <w:rPr>
          <w:rFonts w:hint="eastAsia" w:eastAsia="楷体_GB2312"/>
          <w:b/>
          <w:bCs/>
          <w:sz w:val="30"/>
        </w:rPr>
        <w:t>响应表</w:t>
      </w:r>
    </w:p>
    <w:p>
      <w:pPr>
        <w:ind w:left="-718" w:leftChars="-342" w:firstLine="600" w:firstLineChars="250"/>
        <w:rPr>
          <w:rFonts w:ascii="楷体_GB2312" w:hAnsi="宋体" w:eastAsia="楷体_GB2312"/>
          <w:sz w:val="24"/>
        </w:rPr>
      </w:pPr>
      <w:r>
        <w:rPr>
          <w:rFonts w:hint="eastAsia" w:ascii="楷体_GB2312" w:eastAsia="楷体_GB2312"/>
          <w:sz w:val="24"/>
        </w:rPr>
        <w:t>招标项目名称：                                        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741"/>
        <w:gridCol w:w="1229"/>
        <w:gridCol w:w="1191"/>
        <w:gridCol w:w="1229"/>
        <w:gridCol w:w="123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7" w:type="dxa"/>
            <w:noWrap w:val="0"/>
            <w:vAlign w:val="top"/>
          </w:tcPr>
          <w:p>
            <w:pPr>
              <w:jc w:val="center"/>
              <w:rPr>
                <w:rFonts w:ascii="楷体_GB2312" w:eastAsia="楷体_GB2312"/>
                <w:sz w:val="24"/>
              </w:rPr>
            </w:pPr>
            <w:r>
              <w:rPr>
                <w:rFonts w:hint="eastAsia" w:ascii="楷体_GB2312" w:eastAsia="楷体_GB2312"/>
                <w:sz w:val="24"/>
              </w:rPr>
              <w:t>序号</w:t>
            </w:r>
          </w:p>
        </w:tc>
        <w:tc>
          <w:tcPr>
            <w:tcW w:w="1741" w:type="dxa"/>
            <w:noWrap w:val="0"/>
            <w:vAlign w:val="top"/>
          </w:tcPr>
          <w:p>
            <w:pPr>
              <w:jc w:val="center"/>
              <w:rPr>
                <w:rFonts w:ascii="楷体_GB2312" w:eastAsia="楷体_GB2312"/>
                <w:sz w:val="24"/>
              </w:rPr>
            </w:pPr>
            <w:r>
              <w:rPr>
                <w:rFonts w:hint="eastAsia" w:ascii="楷体_GB2312" w:eastAsia="楷体_GB2312"/>
                <w:sz w:val="24"/>
              </w:rPr>
              <w:t>货物名称</w:t>
            </w:r>
          </w:p>
        </w:tc>
        <w:tc>
          <w:tcPr>
            <w:tcW w:w="1229" w:type="dxa"/>
            <w:noWrap w:val="0"/>
            <w:vAlign w:val="top"/>
          </w:tcPr>
          <w:p>
            <w:pPr>
              <w:jc w:val="center"/>
              <w:rPr>
                <w:rFonts w:ascii="楷体_GB2312" w:eastAsia="楷体_GB2312"/>
                <w:sz w:val="24"/>
              </w:rPr>
            </w:pPr>
            <w:r>
              <w:rPr>
                <w:rFonts w:hint="eastAsia" w:ascii="楷体_GB2312" w:eastAsia="楷体_GB2312"/>
                <w:sz w:val="24"/>
              </w:rPr>
              <w:t>规格型号</w:t>
            </w:r>
          </w:p>
        </w:tc>
        <w:tc>
          <w:tcPr>
            <w:tcW w:w="1191" w:type="dxa"/>
            <w:noWrap w:val="0"/>
            <w:vAlign w:val="top"/>
          </w:tcPr>
          <w:p>
            <w:pPr>
              <w:jc w:val="center"/>
              <w:rPr>
                <w:rFonts w:ascii="楷体_GB2312" w:eastAsia="楷体_GB2312"/>
                <w:sz w:val="24"/>
              </w:rPr>
            </w:pPr>
            <w:r>
              <w:rPr>
                <w:rFonts w:hint="eastAsia" w:ascii="楷体_GB2312" w:eastAsia="楷体_GB2312"/>
                <w:sz w:val="24"/>
              </w:rPr>
              <w:t>单位</w:t>
            </w:r>
          </w:p>
        </w:tc>
        <w:tc>
          <w:tcPr>
            <w:tcW w:w="1229" w:type="dxa"/>
            <w:noWrap w:val="0"/>
            <w:vAlign w:val="top"/>
          </w:tcPr>
          <w:p>
            <w:pPr>
              <w:jc w:val="center"/>
              <w:rPr>
                <w:rFonts w:ascii="楷体_GB2312" w:eastAsia="楷体_GB2312"/>
                <w:sz w:val="24"/>
              </w:rPr>
            </w:pPr>
            <w:r>
              <w:rPr>
                <w:rFonts w:hint="eastAsia" w:ascii="楷体_GB2312" w:eastAsia="楷体_GB2312"/>
                <w:sz w:val="24"/>
              </w:rPr>
              <w:t>数量</w:t>
            </w:r>
          </w:p>
        </w:tc>
        <w:tc>
          <w:tcPr>
            <w:tcW w:w="1230" w:type="dxa"/>
            <w:noWrap w:val="0"/>
            <w:vAlign w:val="top"/>
          </w:tcPr>
          <w:p>
            <w:pPr>
              <w:jc w:val="center"/>
              <w:rPr>
                <w:rFonts w:ascii="楷体_GB2312" w:eastAsia="楷体_GB2312"/>
                <w:sz w:val="24"/>
              </w:rPr>
            </w:pPr>
            <w:r>
              <w:rPr>
                <w:rFonts w:hint="eastAsia" w:ascii="楷体_GB2312" w:eastAsia="楷体_GB2312"/>
                <w:sz w:val="24"/>
              </w:rPr>
              <w:t>品牌</w:t>
            </w:r>
          </w:p>
        </w:tc>
        <w:tc>
          <w:tcPr>
            <w:tcW w:w="1185" w:type="dxa"/>
            <w:noWrap w:val="0"/>
            <w:vAlign w:val="top"/>
          </w:tcPr>
          <w:p>
            <w:pPr>
              <w:jc w:val="center"/>
              <w:rPr>
                <w:rFonts w:ascii="楷体_GB2312" w:eastAsia="楷体_GB2312"/>
                <w:sz w:val="24"/>
              </w:rPr>
            </w:pPr>
            <w:r>
              <w:rPr>
                <w:rFonts w:hint="eastAsia" w:ascii="楷体_GB2312" w:eastAsia="楷体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7" w:type="dxa"/>
            <w:noWrap w:val="0"/>
            <w:vAlign w:val="top"/>
          </w:tcPr>
          <w:p>
            <w:pPr>
              <w:jc w:val="center"/>
              <w:rPr>
                <w:rFonts w:ascii="楷体_GB2312" w:eastAsia="楷体_GB2312"/>
                <w:sz w:val="24"/>
              </w:rPr>
            </w:pPr>
            <w:r>
              <w:rPr>
                <w:rFonts w:hint="eastAsia" w:ascii="楷体_GB2312" w:eastAsia="楷体_GB2312"/>
                <w:sz w:val="24"/>
              </w:rPr>
              <w:t>1</w:t>
            </w:r>
          </w:p>
        </w:tc>
        <w:tc>
          <w:tcPr>
            <w:tcW w:w="1741" w:type="dxa"/>
            <w:noWrap w:val="0"/>
            <w:vAlign w:val="top"/>
          </w:tcPr>
          <w:p>
            <w:pPr>
              <w:jc w:val="center"/>
              <w:rPr>
                <w:rFonts w:ascii="楷体_GB2312" w:eastAsia="楷体_GB2312"/>
                <w:sz w:val="24"/>
              </w:rPr>
            </w:pPr>
          </w:p>
        </w:tc>
        <w:tc>
          <w:tcPr>
            <w:tcW w:w="1229" w:type="dxa"/>
            <w:noWrap w:val="0"/>
            <w:vAlign w:val="top"/>
          </w:tcPr>
          <w:p>
            <w:pPr>
              <w:jc w:val="center"/>
              <w:rPr>
                <w:rFonts w:ascii="楷体_GB2312" w:eastAsia="楷体_GB2312"/>
                <w:sz w:val="24"/>
              </w:rPr>
            </w:pPr>
          </w:p>
        </w:tc>
        <w:tc>
          <w:tcPr>
            <w:tcW w:w="1191" w:type="dxa"/>
            <w:noWrap w:val="0"/>
            <w:vAlign w:val="top"/>
          </w:tcPr>
          <w:p>
            <w:pPr>
              <w:jc w:val="center"/>
              <w:rPr>
                <w:rFonts w:ascii="楷体_GB2312" w:eastAsia="楷体_GB2312"/>
                <w:sz w:val="24"/>
              </w:rPr>
            </w:pPr>
          </w:p>
        </w:tc>
        <w:tc>
          <w:tcPr>
            <w:tcW w:w="1229" w:type="dxa"/>
            <w:noWrap w:val="0"/>
            <w:vAlign w:val="top"/>
          </w:tcPr>
          <w:p>
            <w:pPr>
              <w:jc w:val="center"/>
              <w:rPr>
                <w:rFonts w:ascii="楷体_GB2312" w:eastAsia="楷体_GB2312"/>
                <w:sz w:val="24"/>
              </w:rPr>
            </w:pPr>
          </w:p>
        </w:tc>
        <w:tc>
          <w:tcPr>
            <w:tcW w:w="1230" w:type="dxa"/>
            <w:noWrap w:val="0"/>
            <w:vAlign w:val="top"/>
          </w:tcPr>
          <w:p>
            <w:pPr>
              <w:jc w:val="center"/>
              <w:rPr>
                <w:rFonts w:ascii="楷体_GB2312" w:eastAsia="楷体_GB2312"/>
                <w:sz w:val="24"/>
              </w:rPr>
            </w:pPr>
          </w:p>
        </w:tc>
        <w:tc>
          <w:tcPr>
            <w:tcW w:w="1185" w:type="dxa"/>
            <w:noWrap w:val="0"/>
            <w:vAlign w:val="top"/>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7" w:type="dxa"/>
            <w:noWrap w:val="0"/>
            <w:vAlign w:val="top"/>
          </w:tcPr>
          <w:p>
            <w:pPr>
              <w:jc w:val="center"/>
              <w:rPr>
                <w:rFonts w:ascii="楷体_GB2312" w:eastAsia="楷体_GB2312"/>
                <w:sz w:val="24"/>
              </w:rPr>
            </w:pPr>
            <w:r>
              <w:rPr>
                <w:rFonts w:hint="eastAsia" w:ascii="楷体_GB2312" w:eastAsia="楷体_GB2312"/>
                <w:sz w:val="24"/>
              </w:rPr>
              <w:t>2</w:t>
            </w:r>
          </w:p>
        </w:tc>
        <w:tc>
          <w:tcPr>
            <w:tcW w:w="1741" w:type="dxa"/>
            <w:noWrap w:val="0"/>
            <w:vAlign w:val="top"/>
          </w:tcPr>
          <w:p>
            <w:pPr>
              <w:jc w:val="center"/>
              <w:rPr>
                <w:rFonts w:ascii="楷体_GB2312" w:eastAsia="楷体_GB2312"/>
                <w:sz w:val="24"/>
              </w:rPr>
            </w:pPr>
          </w:p>
        </w:tc>
        <w:tc>
          <w:tcPr>
            <w:tcW w:w="1229" w:type="dxa"/>
            <w:noWrap w:val="0"/>
            <w:vAlign w:val="top"/>
          </w:tcPr>
          <w:p>
            <w:pPr>
              <w:jc w:val="center"/>
              <w:rPr>
                <w:rFonts w:ascii="楷体_GB2312" w:eastAsia="楷体_GB2312"/>
                <w:sz w:val="24"/>
              </w:rPr>
            </w:pPr>
          </w:p>
        </w:tc>
        <w:tc>
          <w:tcPr>
            <w:tcW w:w="1191" w:type="dxa"/>
            <w:noWrap w:val="0"/>
            <w:vAlign w:val="top"/>
          </w:tcPr>
          <w:p>
            <w:pPr>
              <w:jc w:val="center"/>
              <w:rPr>
                <w:rFonts w:ascii="楷体_GB2312" w:eastAsia="楷体_GB2312"/>
                <w:sz w:val="24"/>
              </w:rPr>
            </w:pPr>
          </w:p>
        </w:tc>
        <w:tc>
          <w:tcPr>
            <w:tcW w:w="1229" w:type="dxa"/>
            <w:noWrap w:val="0"/>
            <w:vAlign w:val="top"/>
          </w:tcPr>
          <w:p>
            <w:pPr>
              <w:jc w:val="center"/>
              <w:rPr>
                <w:rFonts w:ascii="楷体_GB2312" w:eastAsia="楷体_GB2312"/>
                <w:sz w:val="24"/>
              </w:rPr>
            </w:pPr>
          </w:p>
        </w:tc>
        <w:tc>
          <w:tcPr>
            <w:tcW w:w="1230" w:type="dxa"/>
            <w:noWrap w:val="0"/>
            <w:vAlign w:val="top"/>
          </w:tcPr>
          <w:p>
            <w:pPr>
              <w:jc w:val="center"/>
              <w:rPr>
                <w:rFonts w:ascii="楷体_GB2312" w:eastAsia="楷体_GB2312"/>
                <w:sz w:val="24"/>
              </w:rPr>
            </w:pPr>
          </w:p>
        </w:tc>
        <w:tc>
          <w:tcPr>
            <w:tcW w:w="1185" w:type="dxa"/>
            <w:noWrap w:val="0"/>
            <w:vAlign w:val="top"/>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7" w:type="dxa"/>
            <w:noWrap w:val="0"/>
            <w:vAlign w:val="top"/>
          </w:tcPr>
          <w:p>
            <w:pPr>
              <w:jc w:val="center"/>
              <w:rPr>
                <w:rFonts w:ascii="楷体_GB2312" w:eastAsia="楷体_GB2312"/>
                <w:sz w:val="24"/>
              </w:rPr>
            </w:pPr>
            <w:r>
              <w:rPr>
                <w:rFonts w:hint="eastAsia" w:ascii="楷体_GB2312" w:eastAsia="楷体_GB2312"/>
                <w:sz w:val="24"/>
              </w:rPr>
              <w:t>3</w:t>
            </w:r>
          </w:p>
        </w:tc>
        <w:tc>
          <w:tcPr>
            <w:tcW w:w="1741" w:type="dxa"/>
            <w:noWrap w:val="0"/>
            <w:vAlign w:val="top"/>
          </w:tcPr>
          <w:p>
            <w:pPr>
              <w:jc w:val="center"/>
              <w:rPr>
                <w:rFonts w:ascii="楷体_GB2312" w:eastAsia="楷体_GB2312"/>
                <w:sz w:val="24"/>
              </w:rPr>
            </w:pPr>
          </w:p>
        </w:tc>
        <w:tc>
          <w:tcPr>
            <w:tcW w:w="1229" w:type="dxa"/>
            <w:noWrap w:val="0"/>
            <w:vAlign w:val="top"/>
          </w:tcPr>
          <w:p>
            <w:pPr>
              <w:jc w:val="center"/>
              <w:rPr>
                <w:rFonts w:ascii="楷体_GB2312" w:eastAsia="楷体_GB2312"/>
                <w:sz w:val="24"/>
              </w:rPr>
            </w:pPr>
          </w:p>
        </w:tc>
        <w:tc>
          <w:tcPr>
            <w:tcW w:w="1191" w:type="dxa"/>
            <w:noWrap w:val="0"/>
            <w:vAlign w:val="top"/>
          </w:tcPr>
          <w:p>
            <w:pPr>
              <w:jc w:val="center"/>
              <w:rPr>
                <w:rFonts w:ascii="楷体_GB2312" w:eastAsia="楷体_GB2312"/>
                <w:sz w:val="24"/>
              </w:rPr>
            </w:pPr>
          </w:p>
        </w:tc>
        <w:tc>
          <w:tcPr>
            <w:tcW w:w="1229" w:type="dxa"/>
            <w:noWrap w:val="0"/>
            <w:vAlign w:val="top"/>
          </w:tcPr>
          <w:p>
            <w:pPr>
              <w:jc w:val="center"/>
              <w:rPr>
                <w:rFonts w:ascii="楷体_GB2312" w:eastAsia="楷体_GB2312"/>
                <w:sz w:val="24"/>
              </w:rPr>
            </w:pPr>
          </w:p>
        </w:tc>
        <w:tc>
          <w:tcPr>
            <w:tcW w:w="1230" w:type="dxa"/>
            <w:noWrap w:val="0"/>
            <w:vAlign w:val="top"/>
          </w:tcPr>
          <w:p>
            <w:pPr>
              <w:jc w:val="center"/>
              <w:rPr>
                <w:rFonts w:ascii="楷体_GB2312" w:eastAsia="楷体_GB2312"/>
                <w:sz w:val="24"/>
              </w:rPr>
            </w:pPr>
          </w:p>
        </w:tc>
        <w:tc>
          <w:tcPr>
            <w:tcW w:w="1185" w:type="dxa"/>
            <w:noWrap w:val="0"/>
            <w:vAlign w:val="top"/>
          </w:tcPr>
          <w:p>
            <w:pPr>
              <w:jc w:val="center"/>
              <w:rPr>
                <w:rFonts w:ascii="楷体_GB2312" w:eastAsia="楷体_GB2312"/>
                <w:sz w:val="24"/>
              </w:rPr>
            </w:pPr>
          </w:p>
        </w:tc>
      </w:tr>
    </w:tbl>
    <w:p>
      <w:pPr>
        <w:spacing w:line="500" w:lineRule="exact"/>
        <w:rPr>
          <w:rFonts w:ascii="Arial" w:hAnsi="Arial" w:eastAsia="楷体_GB2312"/>
          <w:sz w:val="24"/>
        </w:rPr>
      </w:pPr>
      <w:r>
        <w:rPr>
          <w:rFonts w:hint="eastAsia" w:ascii="Arial" w:hAnsi="Arial" w:eastAsia="楷体_GB2312"/>
          <w:sz w:val="24"/>
        </w:rPr>
        <w:t>投标单位（盖章）：</w:t>
      </w:r>
    </w:p>
    <w:p>
      <w:pPr>
        <w:spacing w:line="500" w:lineRule="exact"/>
        <w:rPr>
          <w:rFonts w:hint="eastAsia" w:ascii="Arial" w:hAnsi="Arial" w:eastAsia="楷体_GB2312"/>
          <w:sz w:val="24"/>
        </w:rPr>
      </w:pPr>
      <w:r>
        <w:rPr>
          <w:rFonts w:hint="eastAsia" w:ascii="楷体_GB2312" w:eastAsia="楷体_GB2312"/>
          <w:sz w:val="24"/>
        </w:rPr>
        <w:t>法定代表人或授权代表（签字）</w:t>
      </w:r>
      <w:r>
        <w:rPr>
          <w:rFonts w:hint="eastAsia" w:ascii="Arial" w:hAnsi="Arial" w:eastAsia="楷体_GB2312"/>
          <w:sz w:val="24"/>
        </w:rPr>
        <w:t>：</w:t>
      </w:r>
    </w:p>
    <w:p>
      <w:pPr>
        <w:spacing w:line="500" w:lineRule="exact"/>
        <w:rPr>
          <w:rFonts w:hint="eastAsia" w:ascii="Arial" w:hAnsi="Arial" w:eastAsia="楷体_GB2312"/>
          <w:sz w:val="24"/>
        </w:rPr>
      </w:pPr>
    </w:p>
    <w:p>
      <w:pPr>
        <w:spacing w:line="500" w:lineRule="exact"/>
        <w:rPr>
          <w:rFonts w:hint="eastAsia" w:ascii="Arial" w:hAnsi="Arial" w:eastAsia="楷体_GB2312"/>
          <w:sz w:val="24"/>
        </w:rPr>
      </w:pPr>
    </w:p>
    <w:p>
      <w:pPr>
        <w:spacing w:line="500" w:lineRule="exact"/>
        <w:rPr>
          <w:rFonts w:ascii="Arial" w:hAnsi="Arial" w:eastAsia="楷体_GB2312"/>
          <w:sz w:val="24"/>
        </w:rPr>
        <w:sectPr>
          <w:pgSz w:w="11906" w:h="16838"/>
          <w:pgMar w:top="1089" w:right="1797" w:bottom="1247" w:left="1797" w:header="851" w:footer="992" w:gutter="0"/>
          <w:pgNumType w:chapStyle="1"/>
          <w:cols w:space="720" w:num="1"/>
          <w:titlePg/>
          <w:docGrid w:linePitch="312" w:charSpace="0"/>
        </w:sectPr>
      </w:pPr>
    </w:p>
    <w:p>
      <w:pPr>
        <w:rPr>
          <w:rFonts w:eastAsia="楷体_GB2312"/>
          <w:sz w:val="28"/>
        </w:rPr>
      </w:pPr>
      <w:r>
        <w:rPr>
          <w:rFonts w:hint="eastAsia" w:ascii="楷体_GB2312" w:eastAsia="楷体_GB2312"/>
          <w:b/>
          <w:bCs/>
          <w:sz w:val="24"/>
        </w:rPr>
        <w:t>附件九</w:t>
      </w:r>
      <w:r>
        <w:rPr>
          <w:rFonts w:hint="eastAsia" w:ascii="楷体_GB2312" w:eastAsia="楷体_GB2312"/>
          <w:sz w:val="28"/>
        </w:rPr>
        <w:t>：</w:t>
      </w:r>
    </w:p>
    <w:p>
      <w:pPr>
        <w:spacing w:line="400" w:lineRule="exact"/>
        <w:jc w:val="center"/>
        <w:rPr>
          <w:rFonts w:hint="eastAsia" w:ascii="楷体_GB2312" w:eastAsia="楷体_GB2312"/>
          <w:b/>
          <w:sz w:val="30"/>
          <w:szCs w:val="30"/>
        </w:rPr>
      </w:pPr>
      <w:r>
        <w:rPr>
          <w:rFonts w:hint="eastAsia" w:ascii="楷体_GB2312" w:eastAsia="楷体_GB2312"/>
          <w:b/>
          <w:sz w:val="30"/>
          <w:szCs w:val="30"/>
        </w:rPr>
        <w:t>小微企业产品分项报价表（若有的提供）</w:t>
      </w:r>
    </w:p>
    <w:p>
      <w:pPr>
        <w:spacing w:line="460" w:lineRule="exact"/>
        <w:jc w:val="center"/>
        <w:rPr>
          <w:rFonts w:hint="eastAsia" w:ascii="宋体" w:hAnsi="宋体"/>
          <w:sz w:val="18"/>
          <w:szCs w:val="18"/>
        </w:rPr>
      </w:pPr>
      <w:r>
        <w:rPr>
          <w:rFonts w:hint="eastAsia" w:ascii="宋体" w:hAnsi="宋体"/>
          <w:sz w:val="18"/>
          <w:szCs w:val="18"/>
        </w:rPr>
        <w:t>项目名称：</w:t>
      </w:r>
      <w:r>
        <w:rPr>
          <w:rFonts w:ascii="宋体" w:hAnsi="宋体"/>
          <w:sz w:val="18"/>
          <w:szCs w:val="18"/>
        </w:rPr>
        <w:t>______</w:t>
      </w:r>
      <w:r>
        <w:rPr>
          <w:rFonts w:ascii="宋体" w:hAnsi="宋体"/>
          <w:sz w:val="18"/>
          <w:szCs w:val="18"/>
          <w:u w:val="single"/>
        </w:rPr>
        <w:t>_</w:t>
      </w:r>
      <w:r>
        <w:rPr>
          <w:rFonts w:hint="eastAsia" w:ascii="宋体" w:hAnsi="宋体"/>
          <w:sz w:val="18"/>
          <w:szCs w:val="18"/>
          <w:u w:val="single"/>
        </w:rPr>
        <w:t xml:space="preserve">          </w:t>
      </w:r>
      <w:r>
        <w:rPr>
          <w:rFonts w:hint="eastAsia" w:ascii="宋体" w:hAnsi="宋体"/>
          <w:sz w:val="18"/>
          <w:szCs w:val="18"/>
        </w:rPr>
        <w:t xml:space="preserve">    采购编号：</w:t>
      </w:r>
      <w:r>
        <w:rPr>
          <w:rFonts w:ascii="宋体" w:hAnsi="宋体"/>
          <w:sz w:val="18"/>
          <w:szCs w:val="18"/>
        </w:rPr>
        <w:t>_____</w:t>
      </w:r>
      <w:r>
        <w:rPr>
          <w:rFonts w:hint="eastAsia" w:ascii="宋体" w:hAnsi="宋体"/>
          <w:sz w:val="18"/>
          <w:szCs w:val="18"/>
          <w:u w:val="single"/>
        </w:rPr>
        <w:t xml:space="preserve">          </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人民币：</w:t>
      </w:r>
      <w:r>
        <w:rPr>
          <w:rFonts w:hint="eastAsia" w:ascii="宋体" w:hAnsi="宋体"/>
          <w:sz w:val="18"/>
          <w:szCs w:val="18"/>
          <w:u w:val="single"/>
        </w:rPr>
        <w:t xml:space="preserve">           </w:t>
      </w:r>
      <w:r>
        <w:rPr>
          <w:rFonts w:hint="eastAsia" w:ascii="宋体" w:hAnsi="宋体"/>
          <w:sz w:val="18"/>
          <w:szCs w:val="18"/>
        </w:rPr>
        <w:t xml:space="preserve"> 元）</w:t>
      </w:r>
    </w:p>
    <w:p>
      <w:pPr>
        <w:spacing w:line="440" w:lineRule="exact"/>
        <w:rPr>
          <w:rFonts w:hint="eastAsia" w:ascii="宋体" w:hAnsi="宋体"/>
          <w:iCs/>
          <w:szCs w:val="21"/>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83"/>
        <w:gridCol w:w="1966"/>
        <w:gridCol w:w="1681"/>
        <w:gridCol w:w="1422"/>
        <w:gridCol w:w="1990"/>
        <w:gridCol w:w="1366"/>
        <w:gridCol w:w="1051"/>
        <w:gridCol w:w="1298"/>
        <w:gridCol w:w="146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243" w:type="pct"/>
            <w:noWrap w:val="0"/>
            <w:vAlign w:val="center"/>
          </w:tcPr>
          <w:p>
            <w:pPr>
              <w:spacing w:line="460" w:lineRule="exact"/>
              <w:jc w:val="center"/>
              <w:rPr>
                <w:rFonts w:ascii="宋体" w:hAnsi="宋体"/>
                <w:sz w:val="18"/>
                <w:szCs w:val="18"/>
              </w:rPr>
            </w:pPr>
            <w:r>
              <w:rPr>
                <w:rFonts w:hint="eastAsia" w:ascii="宋体" w:hAnsi="宋体"/>
                <w:sz w:val="18"/>
                <w:szCs w:val="18"/>
              </w:rPr>
              <w:t>序号</w:t>
            </w:r>
          </w:p>
        </w:tc>
        <w:tc>
          <w:tcPr>
            <w:tcW w:w="266" w:type="pct"/>
            <w:noWrap w:val="0"/>
            <w:vAlign w:val="center"/>
          </w:tcPr>
          <w:p>
            <w:pPr>
              <w:spacing w:line="460" w:lineRule="exact"/>
              <w:jc w:val="center"/>
              <w:rPr>
                <w:rFonts w:ascii="宋体" w:hAnsi="宋体"/>
                <w:sz w:val="18"/>
                <w:szCs w:val="18"/>
              </w:rPr>
            </w:pPr>
            <w:r>
              <w:rPr>
                <w:rFonts w:hint="eastAsia" w:ascii="宋体" w:hAnsi="宋体"/>
                <w:sz w:val="18"/>
                <w:szCs w:val="18"/>
              </w:rPr>
              <w:t>品目名称</w:t>
            </w:r>
          </w:p>
        </w:tc>
        <w:tc>
          <w:tcPr>
            <w:tcW w:w="668" w:type="pct"/>
            <w:noWrap w:val="0"/>
            <w:vAlign w:val="center"/>
          </w:tcPr>
          <w:p>
            <w:pPr>
              <w:spacing w:line="460" w:lineRule="exact"/>
              <w:jc w:val="center"/>
              <w:rPr>
                <w:rFonts w:ascii="宋体" w:hAnsi="宋体"/>
                <w:sz w:val="18"/>
                <w:szCs w:val="18"/>
              </w:rPr>
            </w:pPr>
            <w:r>
              <w:rPr>
                <w:rFonts w:hint="eastAsia" w:ascii="宋体" w:hAnsi="宋体"/>
                <w:sz w:val="18"/>
                <w:szCs w:val="18"/>
              </w:rPr>
              <w:t>品牌、规格型号</w:t>
            </w:r>
          </w:p>
        </w:tc>
        <w:tc>
          <w:tcPr>
            <w:tcW w:w="571" w:type="pct"/>
            <w:noWrap w:val="0"/>
            <w:vAlign w:val="center"/>
          </w:tcPr>
          <w:p>
            <w:pPr>
              <w:spacing w:line="460" w:lineRule="exact"/>
              <w:jc w:val="center"/>
              <w:rPr>
                <w:rFonts w:ascii="宋体" w:hAnsi="宋体"/>
                <w:sz w:val="18"/>
                <w:szCs w:val="18"/>
              </w:rPr>
            </w:pPr>
            <w:r>
              <w:rPr>
                <w:rFonts w:hint="eastAsia" w:ascii="宋体" w:hAnsi="宋体"/>
                <w:sz w:val="18"/>
                <w:szCs w:val="18"/>
              </w:rPr>
              <w:t>生产商名称</w:t>
            </w:r>
          </w:p>
        </w:tc>
        <w:tc>
          <w:tcPr>
            <w:tcW w:w="483" w:type="pct"/>
            <w:noWrap w:val="0"/>
            <w:vAlign w:val="center"/>
          </w:tcPr>
          <w:p>
            <w:pPr>
              <w:spacing w:line="460" w:lineRule="exact"/>
              <w:jc w:val="center"/>
              <w:rPr>
                <w:rFonts w:ascii="宋体" w:hAnsi="宋体"/>
                <w:sz w:val="18"/>
                <w:szCs w:val="18"/>
              </w:rPr>
            </w:pPr>
            <w:r>
              <w:rPr>
                <w:rFonts w:hint="eastAsia" w:ascii="宋体" w:hAnsi="宋体"/>
                <w:sz w:val="18"/>
                <w:szCs w:val="18"/>
              </w:rPr>
              <w:t>所属行业</w:t>
            </w:r>
          </w:p>
        </w:tc>
        <w:tc>
          <w:tcPr>
            <w:tcW w:w="676" w:type="pct"/>
            <w:noWrap w:val="0"/>
            <w:vAlign w:val="center"/>
          </w:tcPr>
          <w:p>
            <w:pPr>
              <w:rPr>
                <w:rFonts w:ascii="宋体" w:hAnsi="宋体"/>
                <w:sz w:val="18"/>
                <w:szCs w:val="18"/>
              </w:rPr>
            </w:pPr>
            <w:r>
              <w:rPr>
                <w:rFonts w:hint="eastAsia" w:ascii="宋体" w:hAnsi="宋体"/>
                <w:sz w:val="18"/>
                <w:szCs w:val="18"/>
              </w:rPr>
              <w:t>生产商上年从业人员X人、营业收入X万元、资产总额X万元</w:t>
            </w:r>
          </w:p>
        </w:tc>
        <w:tc>
          <w:tcPr>
            <w:tcW w:w="464" w:type="pct"/>
            <w:noWrap w:val="0"/>
            <w:vAlign w:val="center"/>
          </w:tcPr>
          <w:p>
            <w:pPr>
              <w:spacing w:line="460" w:lineRule="exact"/>
              <w:jc w:val="center"/>
              <w:rPr>
                <w:rFonts w:ascii="宋体" w:hAnsi="宋体"/>
                <w:sz w:val="18"/>
                <w:szCs w:val="18"/>
              </w:rPr>
            </w:pPr>
            <w:r>
              <w:rPr>
                <w:rFonts w:hint="eastAsia" w:ascii="宋体" w:hAnsi="宋体"/>
                <w:sz w:val="18"/>
                <w:szCs w:val="18"/>
              </w:rPr>
              <w:t>小型/微型</w:t>
            </w:r>
          </w:p>
        </w:tc>
        <w:tc>
          <w:tcPr>
            <w:tcW w:w="357" w:type="pct"/>
            <w:noWrap w:val="0"/>
            <w:vAlign w:val="center"/>
          </w:tcPr>
          <w:p>
            <w:pPr>
              <w:spacing w:line="460" w:lineRule="exact"/>
              <w:jc w:val="center"/>
              <w:rPr>
                <w:rFonts w:ascii="宋体" w:hAnsi="宋体"/>
                <w:sz w:val="18"/>
                <w:szCs w:val="18"/>
              </w:rPr>
            </w:pPr>
            <w:r>
              <w:rPr>
                <w:rFonts w:hint="eastAsia" w:ascii="宋体" w:hAnsi="宋体"/>
                <w:sz w:val="18"/>
                <w:szCs w:val="18"/>
              </w:rPr>
              <w:t>数量</w:t>
            </w:r>
          </w:p>
        </w:tc>
        <w:tc>
          <w:tcPr>
            <w:tcW w:w="441" w:type="pct"/>
            <w:noWrap w:val="0"/>
            <w:vAlign w:val="center"/>
          </w:tcPr>
          <w:p>
            <w:pPr>
              <w:spacing w:line="460" w:lineRule="exact"/>
              <w:jc w:val="center"/>
              <w:rPr>
                <w:rFonts w:ascii="宋体" w:hAnsi="宋体"/>
                <w:sz w:val="18"/>
                <w:szCs w:val="18"/>
              </w:rPr>
            </w:pPr>
            <w:r>
              <w:rPr>
                <w:rFonts w:hint="eastAsia" w:ascii="宋体" w:hAnsi="宋体"/>
                <w:sz w:val="18"/>
                <w:szCs w:val="18"/>
              </w:rPr>
              <w:t>投标单价</w:t>
            </w:r>
          </w:p>
        </w:tc>
        <w:tc>
          <w:tcPr>
            <w:tcW w:w="497" w:type="pct"/>
            <w:noWrap w:val="0"/>
            <w:vAlign w:val="center"/>
          </w:tcPr>
          <w:p>
            <w:pPr>
              <w:spacing w:line="460" w:lineRule="exact"/>
              <w:jc w:val="center"/>
              <w:rPr>
                <w:rFonts w:ascii="宋体" w:hAnsi="宋体"/>
                <w:sz w:val="18"/>
                <w:szCs w:val="18"/>
              </w:rPr>
            </w:pPr>
            <w:r>
              <w:rPr>
                <w:rFonts w:hint="eastAsia" w:ascii="宋体" w:hAnsi="宋体"/>
                <w:sz w:val="18"/>
                <w:szCs w:val="18"/>
              </w:rPr>
              <w:t>投标总价</w:t>
            </w:r>
          </w:p>
        </w:tc>
        <w:tc>
          <w:tcPr>
            <w:tcW w:w="334" w:type="pct"/>
            <w:noWrap w:val="0"/>
            <w:vAlign w:val="center"/>
          </w:tcPr>
          <w:p>
            <w:pPr>
              <w:spacing w:line="460" w:lineRule="exact"/>
              <w:jc w:val="center"/>
              <w:rPr>
                <w:rFonts w:ascii="宋体" w:hAnsi="宋体"/>
                <w:szCs w:val="21"/>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5" w:hRule="atLeast"/>
        </w:trPr>
        <w:tc>
          <w:tcPr>
            <w:tcW w:w="243" w:type="pct"/>
            <w:noWrap w:val="0"/>
            <w:vAlign w:val="center"/>
          </w:tcPr>
          <w:p>
            <w:pPr>
              <w:spacing w:line="460" w:lineRule="exact"/>
              <w:jc w:val="center"/>
              <w:rPr>
                <w:rFonts w:ascii="宋体" w:hAnsi="宋体"/>
                <w:szCs w:val="21"/>
              </w:rPr>
            </w:pPr>
          </w:p>
        </w:tc>
        <w:tc>
          <w:tcPr>
            <w:tcW w:w="266" w:type="pct"/>
            <w:noWrap w:val="0"/>
            <w:vAlign w:val="center"/>
          </w:tcPr>
          <w:p>
            <w:pPr>
              <w:spacing w:line="460" w:lineRule="exact"/>
              <w:jc w:val="center"/>
              <w:rPr>
                <w:rFonts w:ascii="宋体" w:hAnsi="宋体"/>
                <w:szCs w:val="21"/>
              </w:rPr>
            </w:pPr>
          </w:p>
        </w:tc>
        <w:tc>
          <w:tcPr>
            <w:tcW w:w="668" w:type="pct"/>
            <w:noWrap w:val="0"/>
            <w:vAlign w:val="center"/>
          </w:tcPr>
          <w:p>
            <w:pPr>
              <w:spacing w:line="460" w:lineRule="exact"/>
              <w:jc w:val="center"/>
              <w:rPr>
                <w:rFonts w:ascii="宋体" w:hAnsi="宋体"/>
                <w:szCs w:val="21"/>
              </w:rPr>
            </w:pPr>
          </w:p>
        </w:tc>
        <w:tc>
          <w:tcPr>
            <w:tcW w:w="571" w:type="pct"/>
            <w:noWrap w:val="0"/>
            <w:vAlign w:val="center"/>
          </w:tcPr>
          <w:p>
            <w:pPr>
              <w:spacing w:line="460" w:lineRule="exact"/>
              <w:jc w:val="center"/>
              <w:rPr>
                <w:rFonts w:ascii="宋体" w:hAnsi="宋体"/>
                <w:szCs w:val="21"/>
              </w:rPr>
            </w:pPr>
          </w:p>
        </w:tc>
        <w:tc>
          <w:tcPr>
            <w:tcW w:w="483" w:type="pct"/>
            <w:noWrap w:val="0"/>
            <w:vAlign w:val="center"/>
          </w:tcPr>
          <w:p>
            <w:pPr>
              <w:spacing w:line="460" w:lineRule="exact"/>
              <w:jc w:val="center"/>
              <w:rPr>
                <w:rFonts w:ascii="宋体" w:hAnsi="宋体"/>
                <w:szCs w:val="21"/>
              </w:rPr>
            </w:pPr>
          </w:p>
        </w:tc>
        <w:tc>
          <w:tcPr>
            <w:tcW w:w="676" w:type="pct"/>
            <w:noWrap w:val="0"/>
            <w:vAlign w:val="top"/>
          </w:tcPr>
          <w:p>
            <w:pPr>
              <w:spacing w:line="460" w:lineRule="exact"/>
              <w:jc w:val="center"/>
              <w:rPr>
                <w:rFonts w:ascii="宋体" w:hAnsi="宋体"/>
                <w:szCs w:val="21"/>
              </w:rPr>
            </w:pPr>
          </w:p>
        </w:tc>
        <w:tc>
          <w:tcPr>
            <w:tcW w:w="464" w:type="pct"/>
            <w:noWrap w:val="0"/>
            <w:vAlign w:val="center"/>
          </w:tcPr>
          <w:p>
            <w:pPr>
              <w:spacing w:line="460" w:lineRule="exact"/>
              <w:jc w:val="center"/>
              <w:rPr>
                <w:rFonts w:ascii="宋体" w:hAnsi="宋体"/>
                <w:szCs w:val="21"/>
              </w:rPr>
            </w:pPr>
          </w:p>
        </w:tc>
        <w:tc>
          <w:tcPr>
            <w:tcW w:w="357" w:type="pct"/>
            <w:noWrap w:val="0"/>
            <w:vAlign w:val="center"/>
          </w:tcPr>
          <w:p>
            <w:pPr>
              <w:spacing w:line="460" w:lineRule="exact"/>
              <w:jc w:val="center"/>
              <w:rPr>
                <w:rFonts w:ascii="宋体" w:hAnsi="宋体"/>
                <w:szCs w:val="21"/>
              </w:rPr>
            </w:pPr>
          </w:p>
        </w:tc>
        <w:tc>
          <w:tcPr>
            <w:tcW w:w="441" w:type="pct"/>
            <w:noWrap w:val="0"/>
            <w:vAlign w:val="center"/>
          </w:tcPr>
          <w:p>
            <w:pPr>
              <w:spacing w:line="460" w:lineRule="exact"/>
              <w:jc w:val="center"/>
              <w:rPr>
                <w:rFonts w:ascii="宋体" w:hAnsi="宋体"/>
                <w:szCs w:val="21"/>
              </w:rPr>
            </w:pPr>
          </w:p>
        </w:tc>
        <w:tc>
          <w:tcPr>
            <w:tcW w:w="497" w:type="pct"/>
            <w:noWrap w:val="0"/>
            <w:vAlign w:val="center"/>
          </w:tcPr>
          <w:p>
            <w:pPr>
              <w:spacing w:line="460" w:lineRule="exact"/>
              <w:jc w:val="center"/>
              <w:rPr>
                <w:rFonts w:ascii="宋体" w:hAnsi="宋体"/>
                <w:szCs w:val="21"/>
              </w:rPr>
            </w:pPr>
          </w:p>
        </w:tc>
        <w:tc>
          <w:tcPr>
            <w:tcW w:w="334" w:type="pct"/>
            <w:noWrap w:val="0"/>
            <w:vAlign w:val="center"/>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243" w:type="pct"/>
            <w:noWrap w:val="0"/>
            <w:vAlign w:val="center"/>
          </w:tcPr>
          <w:p>
            <w:pPr>
              <w:spacing w:line="460" w:lineRule="exact"/>
              <w:jc w:val="center"/>
              <w:rPr>
                <w:rFonts w:ascii="宋体" w:hAnsi="宋体"/>
                <w:szCs w:val="21"/>
              </w:rPr>
            </w:pPr>
          </w:p>
        </w:tc>
        <w:tc>
          <w:tcPr>
            <w:tcW w:w="266" w:type="pct"/>
            <w:noWrap w:val="0"/>
            <w:vAlign w:val="center"/>
          </w:tcPr>
          <w:p>
            <w:pPr>
              <w:spacing w:line="460" w:lineRule="exact"/>
              <w:jc w:val="center"/>
              <w:rPr>
                <w:rFonts w:ascii="宋体" w:hAnsi="宋体"/>
                <w:szCs w:val="21"/>
              </w:rPr>
            </w:pPr>
          </w:p>
        </w:tc>
        <w:tc>
          <w:tcPr>
            <w:tcW w:w="668" w:type="pct"/>
            <w:noWrap w:val="0"/>
            <w:vAlign w:val="center"/>
          </w:tcPr>
          <w:p>
            <w:pPr>
              <w:spacing w:line="460" w:lineRule="exact"/>
              <w:jc w:val="center"/>
              <w:rPr>
                <w:rFonts w:ascii="宋体" w:hAnsi="宋体"/>
                <w:szCs w:val="21"/>
              </w:rPr>
            </w:pPr>
          </w:p>
        </w:tc>
        <w:tc>
          <w:tcPr>
            <w:tcW w:w="571" w:type="pct"/>
            <w:noWrap w:val="0"/>
            <w:vAlign w:val="center"/>
          </w:tcPr>
          <w:p>
            <w:pPr>
              <w:spacing w:line="460" w:lineRule="exact"/>
              <w:jc w:val="center"/>
              <w:rPr>
                <w:rFonts w:ascii="宋体" w:hAnsi="宋体"/>
                <w:szCs w:val="21"/>
              </w:rPr>
            </w:pPr>
          </w:p>
        </w:tc>
        <w:tc>
          <w:tcPr>
            <w:tcW w:w="483" w:type="pct"/>
            <w:noWrap w:val="0"/>
            <w:vAlign w:val="center"/>
          </w:tcPr>
          <w:p>
            <w:pPr>
              <w:spacing w:line="460" w:lineRule="exact"/>
              <w:jc w:val="center"/>
              <w:rPr>
                <w:rFonts w:ascii="宋体" w:hAnsi="宋体"/>
                <w:szCs w:val="21"/>
              </w:rPr>
            </w:pPr>
          </w:p>
        </w:tc>
        <w:tc>
          <w:tcPr>
            <w:tcW w:w="676" w:type="pct"/>
            <w:noWrap w:val="0"/>
            <w:vAlign w:val="top"/>
          </w:tcPr>
          <w:p>
            <w:pPr>
              <w:spacing w:line="460" w:lineRule="exact"/>
              <w:jc w:val="center"/>
              <w:rPr>
                <w:rFonts w:ascii="宋体" w:hAnsi="宋体"/>
                <w:szCs w:val="21"/>
              </w:rPr>
            </w:pPr>
          </w:p>
        </w:tc>
        <w:tc>
          <w:tcPr>
            <w:tcW w:w="464" w:type="pct"/>
            <w:noWrap w:val="0"/>
            <w:vAlign w:val="center"/>
          </w:tcPr>
          <w:p>
            <w:pPr>
              <w:spacing w:line="460" w:lineRule="exact"/>
              <w:jc w:val="center"/>
              <w:rPr>
                <w:rFonts w:ascii="宋体" w:hAnsi="宋体"/>
                <w:szCs w:val="21"/>
              </w:rPr>
            </w:pPr>
          </w:p>
        </w:tc>
        <w:tc>
          <w:tcPr>
            <w:tcW w:w="357" w:type="pct"/>
            <w:noWrap w:val="0"/>
            <w:vAlign w:val="center"/>
          </w:tcPr>
          <w:p>
            <w:pPr>
              <w:spacing w:line="460" w:lineRule="exact"/>
              <w:jc w:val="center"/>
              <w:rPr>
                <w:rFonts w:ascii="宋体" w:hAnsi="宋体"/>
                <w:szCs w:val="21"/>
              </w:rPr>
            </w:pPr>
          </w:p>
        </w:tc>
        <w:tc>
          <w:tcPr>
            <w:tcW w:w="441" w:type="pct"/>
            <w:noWrap w:val="0"/>
            <w:vAlign w:val="center"/>
          </w:tcPr>
          <w:p>
            <w:pPr>
              <w:spacing w:line="460" w:lineRule="exact"/>
              <w:jc w:val="center"/>
              <w:rPr>
                <w:rFonts w:ascii="宋体" w:hAnsi="宋体"/>
                <w:szCs w:val="21"/>
              </w:rPr>
            </w:pPr>
          </w:p>
        </w:tc>
        <w:tc>
          <w:tcPr>
            <w:tcW w:w="497" w:type="pct"/>
            <w:noWrap w:val="0"/>
            <w:vAlign w:val="center"/>
          </w:tcPr>
          <w:p>
            <w:pPr>
              <w:spacing w:line="460" w:lineRule="exact"/>
              <w:jc w:val="center"/>
              <w:rPr>
                <w:rFonts w:ascii="宋体" w:hAnsi="宋体"/>
                <w:szCs w:val="21"/>
              </w:rPr>
            </w:pPr>
          </w:p>
        </w:tc>
        <w:tc>
          <w:tcPr>
            <w:tcW w:w="334" w:type="pct"/>
            <w:noWrap w:val="0"/>
            <w:vAlign w:val="center"/>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243" w:type="pct"/>
            <w:noWrap w:val="0"/>
            <w:vAlign w:val="center"/>
          </w:tcPr>
          <w:p>
            <w:pPr>
              <w:spacing w:line="460" w:lineRule="exact"/>
              <w:jc w:val="center"/>
              <w:rPr>
                <w:rFonts w:ascii="宋体" w:hAnsi="宋体"/>
                <w:szCs w:val="21"/>
              </w:rPr>
            </w:pPr>
          </w:p>
        </w:tc>
        <w:tc>
          <w:tcPr>
            <w:tcW w:w="266" w:type="pct"/>
            <w:noWrap w:val="0"/>
            <w:vAlign w:val="center"/>
          </w:tcPr>
          <w:p>
            <w:pPr>
              <w:spacing w:line="460" w:lineRule="exact"/>
              <w:jc w:val="center"/>
              <w:rPr>
                <w:rFonts w:ascii="宋体" w:hAnsi="宋体"/>
                <w:szCs w:val="21"/>
              </w:rPr>
            </w:pPr>
          </w:p>
        </w:tc>
        <w:tc>
          <w:tcPr>
            <w:tcW w:w="668" w:type="pct"/>
            <w:noWrap w:val="0"/>
            <w:vAlign w:val="center"/>
          </w:tcPr>
          <w:p>
            <w:pPr>
              <w:spacing w:line="460" w:lineRule="exact"/>
              <w:jc w:val="center"/>
              <w:rPr>
                <w:rFonts w:ascii="宋体" w:hAnsi="宋体"/>
                <w:szCs w:val="21"/>
              </w:rPr>
            </w:pPr>
          </w:p>
        </w:tc>
        <w:tc>
          <w:tcPr>
            <w:tcW w:w="571" w:type="pct"/>
            <w:noWrap w:val="0"/>
            <w:vAlign w:val="center"/>
          </w:tcPr>
          <w:p>
            <w:pPr>
              <w:spacing w:line="460" w:lineRule="exact"/>
              <w:jc w:val="center"/>
              <w:rPr>
                <w:rFonts w:ascii="宋体" w:hAnsi="宋体"/>
                <w:szCs w:val="21"/>
              </w:rPr>
            </w:pPr>
          </w:p>
        </w:tc>
        <w:tc>
          <w:tcPr>
            <w:tcW w:w="483" w:type="pct"/>
            <w:noWrap w:val="0"/>
            <w:vAlign w:val="center"/>
          </w:tcPr>
          <w:p>
            <w:pPr>
              <w:spacing w:line="460" w:lineRule="exact"/>
              <w:jc w:val="center"/>
              <w:rPr>
                <w:rFonts w:ascii="宋体" w:hAnsi="宋体"/>
                <w:szCs w:val="21"/>
              </w:rPr>
            </w:pPr>
          </w:p>
        </w:tc>
        <w:tc>
          <w:tcPr>
            <w:tcW w:w="676" w:type="pct"/>
            <w:noWrap w:val="0"/>
            <w:vAlign w:val="top"/>
          </w:tcPr>
          <w:p>
            <w:pPr>
              <w:spacing w:line="460" w:lineRule="exact"/>
              <w:jc w:val="center"/>
              <w:rPr>
                <w:rFonts w:ascii="宋体" w:hAnsi="宋体"/>
                <w:szCs w:val="21"/>
              </w:rPr>
            </w:pPr>
          </w:p>
        </w:tc>
        <w:tc>
          <w:tcPr>
            <w:tcW w:w="464" w:type="pct"/>
            <w:noWrap w:val="0"/>
            <w:vAlign w:val="center"/>
          </w:tcPr>
          <w:p>
            <w:pPr>
              <w:spacing w:line="460" w:lineRule="exact"/>
              <w:jc w:val="center"/>
              <w:rPr>
                <w:rFonts w:ascii="宋体" w:hAnsi="宋体"/>
                <w:szCs w:val="21"/>
              </w:rPr>
            </w:pPr>
          </w:p>
        </w:tc>
        <w:tc>
          <w:tcPr>
            <w:tcW w:w="357" w:type="pct"/>
            <w:noWrap w:val="0"/>
            <w:vAlign w:val="center"/>
          </w:tcPr>
          <w:p>
            <w:pPr>
              <w:spacing w:line="460" w:lineRule="exact"/>
              <w:jc w:val="center"/>
              <w:rPr>
                <w:rFonts w:ascii="宋体" w:hAnsi="宋体"/>
                <w:szCs w:val="21"/>
              </w:rPr>
            </w:pPr>
          </w:p>
        </w:tc>
        <w:tc>
          <w:tcPr>
            <w:tcW w:w="441" w:type="pct"/>
            <w:noWrap w:val="0"/>
            <w:vAlign w:val="center"/>
          </w:tcPr>
          <w:p>
            <w:pPr>
              <w:spacing w:line="460" w:lineRule="exact"/>
              <w:jc w:val="center"/>
              <w:rPr>
                <w:rFonts w:ascii="宋体" w:hAnsi="宋体"/>
                <w:szCs w:val="21"/>
              </w:rPr>
            </w:pPr>
          </w:p>
        </w:tc>
        <w:tc>
          <w:tcPr>
            <w:tcW w:w="497" w:type="pct"/>
            <w:noWrap w:val="0"/>
            <w:vAlign w:val="center"/>
          </w:tcPr>
          <w:p>
            <w:pPr>
              <w:spacing w:line="460" w:lineRule="exact"/>
              <w:jc w:val="center"/>
              <w:rPr>
                <w:rFonts w:ascii="宋体" w:hAnsi="宋体"/>
                <w:szCs w:val="21"/>
              </w:rPr>
            </w:pPr>
          </w:p>
        </w:tc>
        <w:tc>
          <w:tcPr>
            <w:tcW w:w="334" w:type="pct"/>
            <w:noWrap w:val="0"/>
            <w:vAlign w:val="center"/>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 w:hRule="atLeast"/>
        </w:trPr>
        <w:tc>
          <w:tcPr>
            <w:tcW w:w="243" w:type="pct"/>
            <w:noWrap w:val="0"/>
            <w:vAlign w:val="center"/>
          </w:tcPr>
          <w:p>
            <w:pPr>
              <w:spacing w:line="460" w:lineRule="exact"/>
              <w:jc w:val="center"/>
              <w:rPr>
                <w:rFonts w:ascii="宋体" w:hAnsi="宋体"/>
                <w:szCs w:val="21"/>
              </w:rPr>
            </w:pPr>
            <w:r>
              <w:rPr>
                <w:rFonts w:hint="eastAsia" w:ascii="宋体" w:hAnsi="宋体"/>
                <w:szCs w:val="21"/>
              </w:rPr>
              <w:t>合计</w:t>
            </w:r>
          </w:p>
        </w:tc>
        <w:tc>
          <w:tcPr>
            <w:tcW w:w="266" w:type="pct"/>
            <w:noWrap w:val="0"/>
            <w:vAlign w:val="center"/>
          </w:tcPr>
          <w:p>
            <w:pPr>
              <w:spacing w:line="460" w:lineRule="exact"/>
              <w:jc w:val="center"/>
              <w:rPr>
                <w:rFonts w:ascii="宋体" w:hAnsi="宋体"/>
                <w:szCs w:val="21"/>
              </w:rPr>
            </w:pPr>
            <w:r>
              <w:rPr>
                <w:rFonts w:hint="eastAsia" w:ascii="宋体" w:hAnsi="宋体"/>
                <w:szCs w:val="21"/>
              </w:rPr>
              <w:t>/</w:t>
            </w:r>
          </w:p>
        </w:tc>
        <w:tc>
          <w:tcPr>
            <w:tcW w:w="668" w:type="pct"/>
            <w:noWrap w:val="0"/>
            <w:vAlign w:val="center"/>
          </w:tcPr>
          <w:p>
            <w:pPr>
              <w:spacing w:line="460" w:lineRule="exact"/>
              <w:jc w:val="center"/>
              <w:rPr>
                <w:rFonts w:ascii="宋体" w:hAnsi="宋体"/>
                <w:szCs w:val="21"/>
              </w:rPr>
            </w:pPr>
            <w:r>
              <w:rPr>
                <w:rFonts w:hint="eastAsia" w:ascii="宋体" w:hAnsi="宋体"/>
                <w:szCs w:val="21"/>
              </w:rPr>
              <w:t>/</w:t>
            </w:r>
          </w:p>
        </w:tc>
        <w:tc>
          <w:tcPr>
            <w:tcW w:w="571" w:type="pct"/>
            <w:noWrap w:val="0"/>
            <w:vAlign w:val="center"/>
          </w:tcPr>
          <w:p>
            <w:pPr>
              <w:spacing w:line="460" w:lineRule="exact"/>
              <w:jc w:val="center"/>
              <w:rPr>
                <w:rFonts w:ascii="宋体" w:hAnsi="宋体"/>
                <w:szCs w:val="21"/>
              </w:rPr>
            </w:pPr>
            <w:r>
              <w:rPr>
                <w:rFonts w:hint="eastAsia" w:ascii="宋体" w:hAnsi="宋体"/>
                <w:szCs w:val="21"/>
              </w:rPr>
              <w:t>/</w:t>
            </w:r>
          </w:p>
        </w:tc>
        <w:tc>
          <w:tcPr>
            <w:tcW w:w="483" w:type="pct"/>
            <w:noWrap w:val="0"/>
            <w:vAlign w:val="center"/>
          </w:tcPr>
          <w:p>
            <w:pPr>
              <w:spacing w:line="460" w:lineRule="exact"/>
              <w:jc w:val="center"/>
              <w:rPr>
                <w:rFonts w:ascii="宋体" w:hAnsi="宋体"/>
                <w:szCs w:val="21"/>
              </w:rPr>
            </w:pPr>
            <w:r>
              <w:rPr>
                <w:rFonts w:hint="eastAsia" w:ascii="宋体" w:hAnsi="宋体"/>
                <w:szCs w:val="21"/>
              </w:rPr>
              <w:t>/</w:t>
            </w:r>
          </w:p>
        </w:tc>
        <w:tc>
          <w:tcPr>
            <w:tcW w:w="676" w:type="pct"/>
            <w:noWrap w:val="0"/>
            <w:vAlign w:val="center"/>
          </w:tcPr>
          <w:p>
            <w:pPr>
              <w:spacing w:line="460" w:lineRule="exact"/>
              <w:jc w:val="center"/>
              <w:rPr>
                <w:rFonts w:ascii="宋体" w:hAnsi="宋体"/>
                <w:szCs w:val="21"/>
              </w:rPr>
            </w:pPr>
            <w:r>
              <w:rPr>
                <w:rFonts w:hint="eastAsia" w:ascii="宋体" w:hAnsi="宋体"/>
                <w:szCs w:val="21"/>
              </w:rPr>
              <w:t>/</w:t>
            </w:r>
          </w:p>
        </w:tc>
        <w:tc>
          <w:tcPr>
            <w:tcW w:w="464" w:type="pct"/>
            <w:noWrap w:val="0"/>
            <w:vAlign w:val="center"/>
          </w:tcPr>
          <w:p>
            <w:pPr>
              <w:spacing w:line="460" w:lineRule="exact"/>
              <w:jc w:val="center"/>
              <w:rPr>
                <w:rFonts w:ascii="宋体" w:hAnsi="宋体"/>
                <w:szCs w:val="21"/>
              </w:rPr>
            </w:pPr>
            <w:r>
              <w:rPr>
                <w:rFonts w:hint="eastAsia" w:ascii="宋体" w:hAnsi="宋体"/>
                <w:szCs w:val="21"/>
              </w:rPr>
              <w:t>/</w:t>
            </w:r>
          </w:p>
        </w:tc>
        <w:tc>
          <w:tcPr>
            <w:tcW w:w="357" w:type="pct"/>
            <w:noWrap w:val="0"/>
            <w:vAlign w:val="center"/>
          </w:tcPr>
          <w:p>
            <w:pPr>
              <w:spacing w:line="460" w:lineRule="exact"/>
              <w:jc w:val="center"/>
              <w:rPr>
                <w:rFonts w:ascii="宋体" w:hAnsi="宋体"/>
                <w:szCs w:val="21"/>
              </w:rPr>
            </w:pPr>
            <w:r>
              <w:rPr>
                <w:rFonts w:hint="eastAsia" w:ascii="宋体" w:hAnsi="宋体"/>
                <w:szCs w:val="21"/>
              </w:rPr>
              <w:t>/</w:t>
            </w:r>
          </w:p>
        </w:tc>
        <w:tc>
          <w:tcPr>
            <w:tcW w:w="441" w:type="pct"/>
            <w:noWrap w:val="0"/>
            <w:vAlign w:val="center"/>
          </w:tcPr>
          <w:p>
            <w:pPr>
              <w:spacing w:line="460" w:lineRule="exact"/>
              <w:jc w:val="center"/>
              <w:rPr>
                <w:rFonts w:ascii="宋体" w:hAnsi="宋体"/>
                <w:szCs w:val="21"/>
              </w:rPr>
            </w:pPr>
            <w:r>
              <w:rPr>
                <w:rFonts w:hint="eastAsia" w:ascii="宋体" w:hAnsi="宋体"/>
                <w:szCs w:val="21"/>
              </w:rPr>
              <w:t>/</w:t>
            </w:r>
          </w:p>
        </w:tc>
        <w:tc>
          <w:tcPr>
            <w:tcW w:w="497" w:type="pct"/>
            <w:noWrap w:val="0"/>
            <w:vAlign w:val="center"/>
          </w:tcPr>
          <w:p>
            <w:pPr>
              <w:spacing w:line="460" w:lineRule="exact"/>
              <w:jc w:val="center"/>
              <w:rPr>
                <w:rFonts w:ascii="宋体" w:hAnsi="宋体"/>
                <w:szCs w:val="21"/>
              </w:rPr>
            </w:pPr>
          </w:p>
        </w:tc>
        <w:tc>
          <w:tcPr>
            <w:tcW w:w="334" w:type="pct"/>
            <w:noWrap w:val="0"/>
            <w:vAlign w:val="center"/>
          </w:tcPr>
          <w:p>
            <w:pPr>
              <w:spacing w:line="460" w:lineRule="exact"/>
              <w:jc w:val="center"/>
              <w:rPr>
                <w:rFonts w:ascii="宋体" w:hAnsi="宋体"/>
                <w:szCs w:val="21"/>
              </w:rPr>
            </w:pPr>
          </w:p>
        </w:tc>
      </w:tr>
    </w:tbl>
    <w:p>
      <w:pPr>
        <w:spacing w:line="440" w:lineRule="exact"/>
        <w:rPr>
          <w:rFonts w:ascii="宋体" w:hAnsi="宋体"/>
          <w:iCs/>
          <w:szCs w:val="21"/>
        </w:rPr>
      </w:pPr>
      <w:r>
        <w:rPr>
          <w:rFonts w:hint="eastAsia" w:ascii="宋体" w:hAnsi="宋体"/>
          <w:iCs/>
          <w:szCs w:val="21"/>
        </w:rPr>
        <w:t>特别提醒：</w:t>
      </w:r>
    </w:p>
    <w:p>
      <w:pPr>
        <w:spacing w:line="440" w:lineRule="exact"/>
        <w:rPr>
          <w:rFonts w:ascii="宋体" w:hAnsi="宋体"/>
          <w:iCs/>
          <w:szCs w:val="21"/>
        </w:rPr>
      </w:pPr>
      <w:r>
        <w:rPr>
          <w:rFonts w:hint="eastAsia" w:ascii="宋体" w:hAnsi="宋体"/>
          <w:iCs/>
          <w:szCs w:val="21"/>
        </w:rPr>
        <w:t>1、本表专用于小微企业产品的评审价格扣除，若中标的，中标价格按投标价格执行。2、如果其他投标人对中标供应商有异议的，本表将依申请公开，中标供应商应当向招标人提供财务会计报告和社保部门提供的年度社会保障基金缴纳人员清单。</w:t>
      </w:r>
    </w:p>
    <w:p>
      <w:pPr>
        <w:spacing w:line="440" w:lineRule="exact"/>
        <w:rPr>
          <w:rFonts w:ascii="宋体" w:hAnsi="宋体"/>
          <w:iCs/>
          <w:szCs w:val="21"/>
        </w:rPr>
      </w:pPr>
      <w:r>
        <w:rPr>
          <w:rFonts w:hint="eastAsia" w:ascii="宋体" w:hAnsi="宋体"/>
          <w:iCs/>
          <w:szCs w:val="21"/>
        </w:rPr>
        <w:t>3、生产商划型是指根据国统字〔2017〕213号文件规定，具体划型标准见“投标单位声明函”的说明。</w:t>
      </w:r>
    </w:p>
    <w:p>
      <w:pPr>
        <w:spacing w:line="440" w:lineRule="exact"/>
        <w:rPr>
          <w:rFonts w:hint="eastAsia" w:ascii="宋体" w:hAnsi="宋体"/>
          <w:iCs/>
          <w:szCs w:val="21"/>
        </w:rPr>
      </w:pPr>
      <w:r>
        <w:rPr>
          <w:rFonts w:hint="eastAsia" w:ascii="宋体" w:hAnsi="宋体"/>
          <w:iCs/>
          <w:szCs w:val="21"/>
        </w:rPr>
        <w:t>4、若有以不真实材料谋取评审优势的，取消中标资格，并追究法律责任。</w:t>
      </w:r>
    </w:p>
    <w:p>
      <w:pPr>
        <w:spacing w:line="440" w:lineRule="exact"/>
        <w:rPr>
          <w:rFonts w:ascii="仿宋_GB2312" w:eastAsia="仿宋_GB2312"/>
          <w:sz w:val="24"/>
        </w:rPr>
      </w:pPr>
    </w:p>
    <w:p>
      <w:pPr>
        <w:spacing w:line="460" w:lineRule="exact"/>
        <w:ind w:firstLine="4830" w:firstLineChars="2300"/>
        <w:rPr>
          <w:rFonts w:ascii="宋体" w:hAnsi="宋体"/>
          <w:iCs/>
          <w:szCs w:val="21"/>
        </w:rPr>
      </w:pPr>
      <w:r>
        <w:rPr>
          <w:rFonts w:hint="eastAsia" w:ascii="宋体" w:hAnsi="宋体"/>
          <w:iCs/>
          <w:szCs w:val="21"/>
        </w:rPr>
        <w:t xml:space="preserve">投标单位（盖章）：                   法定代表人或其委托代理人（签字或签章）：                     </w:t>
      </w:r>
    </w:p>
    <w:p>
      <w:pPr>
        <w:spacing w:line="460" w:lineRule="exact"/>
        <w:ind w:right="360" w:firstLine="9870" w:firstLineChars="4700"/>
        <w:rPr>
          <w:rFonts w:ascii="Arial" w:hAnsi="Arial" w:eastAsia="楷体_GB2312"/>
          <w:sz w:val="24"/>
        </w:rPr>
      </w:pPr>
      <w:r>
        <w:rPr>
          <w:rFonts w:hint="eastAsia" w:ascii="宋体" w:hAnsi="宋体"/>
          <w:iCs/>
          <w:szCs w:val="21"/>
        </w:rPr>
        <w:t>日  期：</w:t>
      </w:r>
    </w:p>
    <w:p>
      <w:pPr>
        <w:rPr>
          <w:rFonts w:hint="eastAsia"/>
        </w:rPr>
      </w:pPr>
    </w:p>
    <w:sectPr>
      <w:pgSz w:w="16838" w:h="11906" w:orient="landscape"/>
      <w:pgMar w:top="1797" w:right="1089" w:bottom="1797" w:left="1247" w:header="851" w:footer="992" w:gutter="0"/>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ntique Olive">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lang/>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rFonts w:hint="eastAsia"/>
      </w:rPr>
      <w:t>象山县政府采购中心     制</w:t>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楷体_GB2312" w:eastAsia="楷体_GB2312"/>
      </w:rPr>
    </w:pPr>
    <w:r>
      <w:rPr>
        <w:rFonts w:hint="eastAsia" w:ascii="楷体_GB2312" w:eastAsia="楷体_GB2312"/>
      </w:rPr>
      <w:t>象山县政府采购中心     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806D48"/>
    <w:multiLevelType w:val="multilevel"/>
    <w:tmpl w:val="00806D48"/>
    <w:lvl w:ilvl="0" w:tentative="0">
      <w:start w:val="5"/>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CA001D7"/>
    <w:multiLevelType w:val="multilevel"/>
    <w:tmpl w:val="0CA001D7"/>
    <w:lvl w:ilvl="0" w:tentative="0">
      <w:start w:val="1"/>
      <w:numFmt w:val="decimal"/>
      <w:lvlText w:val="%1、"/>
      <w:lvlJc w:val="left"/>
      <w:pPr>
        <w:ind w:left="1280" w:hanging="720"/>
      </w:pPr>
      <w:rPr>
        <w:rFonts w:ascii="仿宋" w:hAnsi="仿宋" w:eastAsia="仿宋"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2C677EC"/>
    <w:multiLevelType w:val="multilevel"/>
    <w:tmpl w:val="12C677EC"/>
    <w:lvl w:ilvl="0" w:tentative="0">
      <w:start w:val="1"/>
      <w:numFmt w:val="decimal"/>
      <w:lvlText w:val="%1、"/>
      <w:lvlJc w:val="left"/>
      <w:pPr>
        <w:ind w:left="1280" w:hanging="720"/>
      </w:pPr>
      <w:rPr>
        <w:rFonts w:ascii="仿宋" w:hAnsi="仿宋" w:eastAsia="仿宋" w:cs="Times New Roman"/>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D2B7C51"/>
    <w:multiLevelType w:val="multilevel"/>
    <w:tmpl w:val="2D2B7C51"/>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1876078"/>
    <w:multiLevelType w:val="multilevel"/>
    <w:tmpl w:val="51876078"/>
    <w:lvl w:ilvl="0" w:tentative="0">
      <w:start w:val="4"/>
      <w:numFmt w:val="japaneseCounting"/>
      <w:lvlText w:val="第%1条"/>
      <w:lvlJc w:val="left"/>
      <w:pPr>
        <w:ind w:left="1237" w:hanging="765"/>
      </w:pPr>
      <w:rPr>
        <w:rFonts w:hint="default"/>
      </w:rPr>
    </w:lvl>
    <w:lvl w:ilvl="1" w:tentative="0">
      <w:start w:val="1"/>
      <w:numFmt w:val="decimalEnclosedCircle"/>
      <w:lvlText w:val="%2_x0001_"/>
      <w:lvlJc w:val="left"/>
      <w:pPr>
        <w:ind w:left="1252" w:hanging="360"/>
      </w:pPr>
      <w:rPr>
        <w:rFonts w:hint="default"/>
      </w:r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6">
    <w:nsid w:val="53953071"/>
    <w:multiLevelType w:val="multilevel"/>
    <w:tmpl w:val="53953071"/>
    <w:lvl w:ilvl="0" w:tentative="0">
      <w:start w:val="1"/>
      <w:numFmt w:val="decimal"/>
      <w:lvlText w:val="%1、"/>
      <w:lvlJc w:val="left"/>
      <w:pPr>
        <w:ind w:left="1280" w:hanging="720"/>
      </w:pPr>
      <w:rPr>
        <w:rFonts w:ascii="仿宋" w:hAnsi="仿宋" w:eastAsia="仿宋"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60EB7388"/>
    <w:multiLevelType w:val="multilevel"/>
    <w:tmpl w:val="60EB7388"/>
    <w:lvl w:ilvl="0" w:tentative="0">
      <w:start w:val="1"/>
      <w:numFmt w:val="decimal"/>
      <w:lvlText w:val="%1、"/>
      <w:lvlJc w:val="left"/>
      <w:pPr>
        <w:ind w:left="840" w:hanging="360"/>
      </w:pPr>
      <w:rPr>
        <w:rFonts w:hint="default" w:ascii="仿宋" w:hAnsi="仿宋" w:eastAsia="仿宋" w:cs="黑体"/>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B2D5C07"/>
    <w:multiLevelType w:val="multilevel"/>
    <w:tmpl w:val="6B2D5C07"/>
    <w:lvl w:ilvl="0" w:tentative="0">
      <w:start w:val="1"/>
      <w:numFmt w:val="decimal"/>
      <w:pStyle w:val="15"/>
      <w:lvlText w:val="(%1)"/>
      <w:lvlJc w:val="left"/>
      <w:pPr>
        <w:ind w:left="902" w:hanging="420"/>
      </w:pPr>
      <w:rPr>
        <w:rFonts w:hint="default"/>
      </w:rPr>
    </w:lvl>
    <w:lvl w:ilvl="1" w:tentative="0">
      <w:start w:val="1"/>
      <w:numFmt w:val="decimalEnclosedCircle"/>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7CB33517"/>
    <w:multiLevelType w:val="multilevel"/>
    <w:tmpl w:val="7CB33517"/>
    <w:lvl w:ilvl="0" w:tentative="0">
      <w:start w:val="6"/>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D1E2EEA"/>
    <w:multiLevelType w:val="multilevel"/>
    <w:tmpl w:val="7D1E2EEA"/>
    <w:lvl w:ilvl="0" w:tentative="0">
      <w:start w:val="1"/>
      <w:numFmt w:val="decimal"/>
      <w:lvlText w:val="%1、"/>
      <w:lvlJc w:val="left"/>
      <w:pPr>
        <w:ind w:left="1280" w:hanging="720"/>
      </w:pPr>
      <w:rPr>
        <w:rFonts w:ascii="仿宋" w:hAnsi="仿宋" w:eastAsia="仿宋"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0"/>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10"/>
  </w:num>
  <w:num w:numId="9">
    <w:abstractNumId w:val="7"/>
  </w:num>
  <w:num w:numId="10">
    <w:abstractNumId w:val="5"/>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wyer鲍">
    <w15:presenceInfo w15:providerId="None" w15:userId="lawyer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9"/>
    <w:rsid w:val="000004D9"/>
    <w:rsid w:val="00000CEB"/>
    <w:rsid w:val="00001636"/>
    <w:rsid w:val="00002C24"/>
    <w:rsid w:val="00003544"/>
    <w:rsid w:val="00003A7E"/>
    <w:rsid w:val="000052C4"/>
    <w:rsid w:val="00005F54"/>
    <w:rsid w:val="000062D6"/>
    <w:rsid w:val="00006E7B"/>
    <w:rsid w:val="00007FDB"/>
    <w:rsid w:val="00011AD2"/>
    <w:rsid w:val="00011ECD"/>
    <w:rsid w:val="00013330"/>
    <w:rsid w:val="00013809"/>
    <w:rsid w:val="00013C52"/>
    <w:rsid w:val="000205C8"/>
    <w:rsid w:val="00020613"/>
    <w:rsid w:val="00020F99"/>
    <w:rsid w:val="000256FA"/>
    <w:rsid w:val="00030D5C"/>
    <w:rsid w:val="000321C2"/>
    <w:rsid w:val="00032442"/>
    <w:rsid w:val="0003568A"/>
    <w:rsid w:val="000404B1"/>
    <w:rsid w:val="000415B2"/>
    <w:rsid w:val="00041B4A"/>
    <w:rsid w:val="00042A6A"/>
    <w:rsid w:val="000435B9"/>
    <w:rsid w:val="000470F0"/>
    <w:rsid w:val="00047EC4"/>
    <w:rsid w:val="00054C88"/>
    <w:rsid w:val="00057D01"/>
    <w:rsid w:val="00065560"/>
    <w:rsid w:val="000657FD"/>
    <w:rsid w:val="0007102E"/>
    <w:rsid w:val="00071176"/>
    <w:rsid w:val="00072F00"/>
    <w:rsid w:val="00073170"/>
    <w:rsid w:val="000751D8"/>
    <w:rsid w:val="0007607E"/>
    <w:rsid w:val="000770A5"/>
    <w:rsid w:val="000775DD"/>
    <w:rsid w:val="00082ACF"/>
    <w:rsid w:val="00084004"/>
    <w:rsid w:val="00085418"/>
    <w:rsid w:val="000862CD"/>
    <w:rsid w:val="0008641C"/>
    <w:rsid w:val="00087E21"/>
    <w:rsid w:val="00087F0F"/>
    <w:rsid w:val="00091CD5"/>
    <w:rsid w:val="00091F8D"/>
    <w:rsid w:val="00095E51"/>
    <w:rsid w:val="00096374"/>
    <w:rsid w:val="000A04CA"/>
    <w:rsid w:val="000A12DF"/>
    <w:rsid w:val="000A31D1"/>
    <w:rsid w:val="000A66CB"/>
    <w:rsid w:val="000A695D"/>
    <w:rsid w:val="000B11D1"/>
    <w:rsid w:val="000B2040"/>
    <w:rsid w:val="000B3ACC"/>
    <w:rsid w:val="000B3EF0"/>
    <w:rsid w:val="000B50EE"/>
    <w:rsid w:val="000B55BA"/>
    <w:rsid w:val="000B5D3D"/>
    <w:rsid w:val="000C075C"/>
    <w:rsid w:val="000C25E1"/>
    <w:rsid w:val="000C2CC8"/>
    <w:rsid w:val="000C7CD9"/>
    <w:rsid w:val="000D08AC"/>
    <w:rsid w:val="000D0F30"/>
    <w:rsid w:val="000D1FEA"/>
    <w:rsid w:val="000D4C66"/>
    <w:rsid w:val="000E0CB8"/>
    <w:rsid w:val="000E2410"/>
    <w:rsid w:val="000E2FED"/>
    <w:rsid w:val="000F1023"/>
    <w:rsid w:val="000F1BD4"/>
    <w:rsid w:val="000F2DE8"/>
    <w:rsid w:val="000F477C"/>
    <w:rsid w:val="000F764F"/>
    <w:rsid w:val="00101E4A"/>
    <w:rsid w:val="0010211E"/>
    <w:rsid w:val="001026B3"/>
    <w:rsid w:val="001068B5"/>
    <w:rsid w:val="00107FF9"/>
    <w:rsid w:val="00111798"/>
    <w:rsid w:val="0011223F"/>
    <w:rsid w:val="00113125"/>
    <w:rsid w:val="001148FD"/>
    <w:rsid w:val="001164FC"/>
    <w:rsid w:val="00120C38"/>
    <w:rsid w:val="00122645"/>
    <w:rsid w:val="001234F9"/>
    <w:rsid w:val="00123FBF"/>
    <w:rsid w:val="0012486E"/>
    <w:rsid w:val="00130DF7"/>
    <w:rsid w:val="001315F2"/>
    <w:rsid w:val="00133848"/>
    <w:rsid w:val="00134462"/>
    <w:rsid w:val="0013452A"/>
    <w:rsid w:val="001359DC"/>
    <w:rsid w:val="00136924"/>
    <w:rsid w:val="00136B56"/>
    <w:rsid w:val="00137388"/>
    <w:rsid w:val="001374BA"/>
    <w:rsid w:val="00137847"/>
    <w:rsid w:val="0014130E"/>
    <w:rsid w:val="00142345"/>
    <w:rsid w:val="00143866"/>
    <w:rsid w:val="00147FCC"/>
    <w:rsid w:val="00150102"/>
    <w:rsid w:val="0015109E"/>
    <w:rsid w:val="001545E3"/>
    <w:rsid w:val="001547FD"/>
    <w:rsid w:val="00157C0B"/>
    <w:rsid w:val="00160FD3"/>
    <w:rsid w:val="00161A5C"/>
    <w:rsid w:val="00162B80"/>
    <w:rsid w:val="001632A8"/>
    <w:rsid w:val="001656BF"/>
    <w:rsid w:val="001666D4"/>
    <w:rsid w:val="0017080A"/>
    <w:rsid w:val="00173439"/>
    <w:rsid w:val="001751E3"/>
    <w:rsid w:val="0018123B"/>
    <w:rsid w:val="0018149E"/>
    <w:rsid w:val="0018251D"/>
    <w:rsid w:val="0018273D"/>
    <w:rsid w:val="00182FD4"/>
    <w:rsid w:val="00186208"/>
    <w:rsid w:val="0018794A"/>
    <w:rsid w:val="00187A0F"/>
    <w:rsid w:val="00195A5C"/>
    <w:rsid w:val="0019788B"/>
    <w:rsid w:val="001A01EF"/>
    <w:rsid w:val="001A2928"/>
    <w:rsid w:val="001A2C92"/>
    <w:rsid w:val="001A353C"/>
    <w:rsid w:val="001A7458"/>
    <w:rsid w:val="001B0138"/>
    <w:rsid w:val="001B7DF2"/>
    <w:rsid w:val="001C16A4"/>
    <w:rsid w:val="001C1B9B"/>
    <w:rsid w:val="001C2945"/>
    <w:rsid w:val="001C4786"/>
    <w:rsid w:val="001D03CD"/>
    <w:rsid w:val="001D27D8"/>
    <w:rsid w:val="001D39F7"/>
    <w:rsid w:val="001D4925"/>
    <w:rsid w:val="001D68C5"/>
    <w:rsid w:val="001D731E"/>
    <w:rsid w:val="001E04CD"/>
    <w:rsid w:val="001E3592"/>
    <w:rsid w:val="001E414C"/>
    <w:rsid w:val="001E5575"/>
    <w:rsid w:val="001E58E9"/>
    <w:rsid w:val="001E6711"/>
    <w:rsid w:val="001E7058"/>
    <w:rsid w:val="001F1198"/>
    <w:rsid w:val="001F11EC"/>
    <w:rsid w:val="00201F7F"/>
    <w:rsid w:val="00202823"/>
    <w:rsid w:val="00203034"/>
    <w:rsid w:val="00204899"/>
    <w:rsid w:val="00204B9B"/>
    <w:rsid w:val="00205DBD"/>
    <w:rsid w:val="00206DD3"/>
    <w:rsid w:val="002103D3"/>
    <w:rsid w:val="0022028C"/>
    <w:rsid w:val="002214E7"/>
    <w:rsid w:val="00224ECF"/>
    <w:rsid w:val="00225A3C"/>
    <w:rsid w:val="00225AC2"/>
    <w:rsid w:val="00226EFF"/>
    <w:rsid w:val="002276B4"/>
    <w:rsid w:val="002301DB"/>
    <w:rsid w:val="00231E4D"/>
    <w:rsid w:val="00234789"/>
    <w:rsid w:val="00234B8C"/>
    <w:rsid w:val="0023569D"/>
    <w:rsid w:val="0023686C"/>
    <w:rsid w:val="00237052"/>
    <w:rsid w:val="002374A2"/>
    <w:rsid w:val="0023770E"/>
    <w:rsid w:val="00240658"/>
    <w:rsid w:val="00240C7D"/>
    <w:rsid w:val="00245F8E"/>
    <w:rsid w:val="00250E2D"/>
    <w:rsid w:val="0025293D"/>
    <w:rsid w:val="00253A1D"/>
    <w:rsid w:val="002543B5"/>
    <w:rsid w:val="00254735"/>
    <w:rsid w:val="002554EE"/>
    <w:rsid w:val="00255A88"/>
    <w:rsid w:val="00256430"/>
    <w:rsid w:val="0026038A"/>
    <w:rsid w:val="002616DA"/>
    <w:rsid w:val="00266DBC"/>
    <w:rsid w:val="00267120"/>
    <w:rsid w:val="00270437"/>
    <w:rsid w:val="002742E8"/>
    <w:rsid w:val="002804F2"/>
    <w:rsid w:val="002817D6"/>
    <w:rsid w:val="00281DD7"/>
    <w:rsid w:val="00283E9E"/>
    <w:rsid w:val="002867D9"/>
    <w:rsid w:val="0029353E"/>
    <w:rsid w:val="00293695"/>
    <w:rsid w:val="00294638"/>
    <w:rsid w:val="002958F5"/>
    <w:rsid w:val="00296823"/>
    <w:rsid w:val="002A013B"/>
    <w:rsid w:val="002A2644"/>
    <w:rsid w:val="002A52B2"/>
    <w:rsid w:val="002A5C73"/>
    <w:rsid w:val="002A5CEE"/>
    <w:rsid w:val="002A65F0"/>
    <w:rsid w:val="002A6925"/>
    <w:rsid w:val="002B038B"/>
    <w:rsid w:val="002B24A4"/>
    <w:rsid w:val="002B5666"/>
    <w:rsid w:val="002B7BB8"/>
    <w:rsid w:val="002C2492"/>
    <w:rsid w:val="002C34B2"/>
    <w:rsid w:val="002C56C6"/>
    <w:rsid w:val="002D0D0A"/>
    <w:rsid w:val="002D1600"/>
    <w:rsid w:val="002D3E11"/>
    <w:rsid w:val="002D40F4"/>
    <w:rsid w:val="002E1A85"/>
    <w:rsid w:val="002E1C11"/>
    <w:rsid w:val="002E202F"/>
    <w:rsid w:val="002E22DE"/>
    <w:rsid w:val="002E362B"/>
    <w:rsid w:val="002E4F43"/>
    <w:rsid w:val="002E6C8E"/>
    <w:rsid w:val="002F069D"/>
    <w:rsid w:val="002F0BE1"/>
    <w:rsid w:val="002F16A3"/>
    <w:rsid w:val="002F1D3F"/>
    <w:rsid w:val="002F23CB"/>
    <w:rsid w:val="002F2CE8"/>
    <w:rsid w:val="002F4A9E"/>
    <w:rsid w:val="002F4C0F"/>
    <w:rsid w:val="002F6953"/>
    <w:rsid w:val="002F79EE"/>
    <w:rsid w:val="0030127F"/>
    <w:rsid w:val="00303DBC"/>
    <w:rsid w:val="0030458E"/>
    <w:rsid w:val="003054D8"/>
    <w:rsid w:val="00307DFC"/>
    <w:rsid w:val="00310C2C"/>
    <w:rsid w:val="00311391"/>
    <w:rsid w:val="00311CA7"/>
    <w:rsid w:val="00312CD9"/>
    <w:rsid w:val="00313B62"/>
    <w:rsid w:val="00313D0C"/>
    <w:rsid w:val="00315976"/>
    <w:rsid w:val="003171BF"/>
    <w:rsid w:val="0031750D"/>
    <w:rsid w:val="00322E4E"/>
    <w:rsid w:val="003263E3"/>
    <w:rsid w:val="00326DA9"/>
    <w:rsid w:val="00330D3F"/>
    <w:rsid w:val="00331254"/>
    <w:rsid w:val="00331548"/>
    <w:rsid w:val="00331B08"/>
    <w:rsid w:val="00332159"/>
    <w:rsid w:val="00335261"/>
    <w:rsid w:val="00340DFA"/>
    <w:rsid w:val="003430AC"/>
    <w:rsid w:val="00343FC1"/>
    <w:rsid w:val="00344D44"/>
    <w:rsid w:val="00345951"/>
    <w:rsid w:val="00346ED3"/>
    <w:rsid w:val="00347D5C"/>
    <w:rsid w:val="00351363"/>
    <w:rsid w:val="00355472"/>
    <w:rsid w:val="00357847"/>
    <w:rsid w:val="003605EF"/>
    <w:rsid w:val="003612E4"/>
    <w:rsid w:val="003629B5"/>
    <w:rsid w:val="00363A6E"/>
    <w:rsid w:val="003646ED"/>
    <w:rsid w:val="00365124"/>
    <w:rsid w:val="0036564D"/>
    <w:rsid w:val="00366719"/>
    <w:rsid w:val="0037170A"/>
    <w:rsid w:val="00374311"/>
    <w:rsid w:val="00374A5F"/>
    <w:rsid w:val="00382F6D"/>
    <w:rsid w:val="00385ECA"/>
    <w:rsid w:val="00386F64"/>
    <w:rsid w:val="00393DFF"/>
    <w:rsid w:val="00394870"/>
    <w:rsid w:val="00395796"/>
    <w:rsid w:val="0039692F"/>
    <w:rsid w:val="00397529"/>
    <w:rsid w:val="003A54E0"/>
    <w:rsid w:val="003A6F5D"/>
    <w:rsid w:val="003A7673"/>
    <w:rsid w:val="003B2307"/>
    <w:rsid w:val="003B2391"/>
    <w:rsid w:val="003B5AD0"/>
    <w:rsid w:val="003B665E"/>
    <w:rsid w:val="003B7EE9"/>
    <w:rsid w:val="003C454E"/>
    <w:rsid w:val="003C56CA"/>
    <w:rsid w:val="003D03AD"/>
    <w:rsid w:val="003D26DA"/>
    <w:rsid w:val="003D3D59"/>
    <w:rsid w:val="003D4D97"/>
    <w:rsid w:val="003D54FA"/>
    <w:rsid w:val="003D6C6D"/>
    <w:rsid w:val="003E10D2"/>
    <w:rsid w:val="003E1F7A"/>
    <w:rsid w:val="003E3EE6"/>
    <w:rsid w:val="003E5ECD"/>
    <w:rsid w:val="003E5FFE"/>
    <w:rsid w:val="003E6E71"/>
    <w:rsid w:val="003E7177"/>
    <w:rsid w:val="003F3AF2"/>
    <w:rsid w:val="003F3DAF"/>
    <w:rsid w:val="003F5078"/>
    <w:rsid w:val="003F6476"/>
    <w:rsid w:val="003F65BB"/>
    <w:rsid w:val="0040167B"/>
    <w:rsid w:val="00402251"/>
    <w:rsid w:val="00402360"/>
    <w:rsid w:val="004040E8"/>
    <w:rsid w:val="00404645"/>
    <w:rsid w:val="00404F6E"/>
    <w:rsid w:val="00415A44"/>
    <w:rsid w:val="00417C5F"/>
    <w:rsid w:val="004215D5"/>
    <w:rsid w:val="00423C49"/>
    <w:rsid w:val="004251AE"/>
    <w:rsid w:val="0042547B"/>
    <w:rsid w:val="0042555D"/>
    <w:rsid w:val="00426412"/>
    <w:rsid w:val="004277BC"/>
    <w:rsid w:val="0043267B"/>
    <w:rsid w:val="00432B28"/>
    <w:rsid w:val="00432D26"/>
    <w:rsid w:val="00432D2E"/>
    <w:rsid w:val="00433EB4"/>
    <w:rsid w:val="00435E49"/>
    <w:rsid w:val="004379A2"/>
    <w:rsid w:val="004402FC"/>
    <w:rsid w:val="00443DB7"/>
    <w:rsid w:val="0044678A"/>
    <w:rsid w:val="00450AAF"/>
    <w:rsid w:val="00451069"/>
    <w:rsid w:val="004523EA"/>
    <w:rsid w:val="00455366"/>
    <w:rsid w:val="00455534"/>
    <w:rsid w:val="00457D73"/>
    <w:rsid w:val="00464DF9"/>
    <w:rsid w:val="00467B71"/>
    <w:rsid w:val="00474904"/>
    <w:rsid w:val="00474990"/>
    <w:rsid w:val="0048244B"/>
    <w:rsid w:val="0048574F"/>
    <w:rsid w:val="00485BD2"/>
    <w:rsid w:val="00487651"/>
    <w:rsid w:val="00487E4D"/>
    <w:rsid w:val="004923B1"/>
    <w:rsid w:val="00493264"/>
    <w:rsid w:val="004A0304"/>
    <w:rsid w:val="004A085E"/>
    <w:rsid w:val="004A0EB8"/>
    <w:rsid w:val="004A0F8E"/>
    <w:rsid w:val="004A174B"/>
    <w:rsid w:val="004A2297"/>
    <w:rsid w:val="004A2D22"/>
    <w:rsid w:val="004A2E87"/>
    <w:rsid w:val="004A397F"/>
    <w:rsid w:val="004A484B"/>
    <w:rsid w:val="004B14C7"/>
    <w:rsid w:val="004B46A5"/>
    <w:rsid w:val="004B7EA8"/>
    <w:rsid w:val="004C49B1"/>
    <w:rsid w:val="004C67C1"/>
    <w:rsid w:val="004C7609"/>
    <w:rsid w:val="004D3051"/>
    <w:rsid w:val="004D3671"/>
    <w:rsid w:val="004D5642"/>
    <w:rsid w:val="004D5BC9"/>
    <w:rsid w:val="004D750B"/>
    <w:rsid w:val="004D7E82"/>
    <w:rsid w:val="004E2921"/>
    <w:rsid w:val="004E3245"/>
    <w:rsid w:val="004E6D21"/>
    <w:rsid w:val="004F1FEB"/>
    <w:rsid w:val="004F23AC"/>
    <w:rsid w:val="004F2B2E"/>
    <w:rsid w:val="004F4862"/>
    <w:rsid w:val="004F561A"/>
    <w:rsid w:val="004F6D25"/>
    <w:rsid w:val="00500CC7"/>
    <w:rsid w:val="00507807"/>
    <w:rsid w:val="00507C8B"/>
    <w:rsid w:val="005103A3"/>
    <w:rsid w:val="0051214A"/>
    <w:rsid w:val="00512434"/>
    <w:rsid w:val="005126C6"/>
    <w:rsid w:val="00512C19"/>
    <w:rsid w:val="00514F83"/>
    <w:rsid w:val="00521C36"/>
    <w:rsid w:val="00521DFA"/>
    <w:rsid w:val="00522E28"/>
    <w:rsid w:val="00523A51"/>
    <w:rsid w:val="00525622"/>
    <w:rsid w:val="00525648"/>
    <w:rsid w:val="00531A40"/>
    <w:rsid w:val="005325BB"/>
    <w:rsid w:val="0053528E"/>
    <w:rsid w:val="0053612C"/>
    <w:rsid w:val="005365B0"/>
    <w:rsid w:val="005427BF"/>
    <w:rsid w:val="00543C02"/>
    <w:rsid w:val="005444DA"/>
    <w:rsid w:val="0054723B"/>
    <w:rsid w:val="00547A43"/>
    <w:rsid w:val="00552018"/>
    <w:rsid w:val="0055229D"/>
    <w:rsid w:val="00552FF3"/>
    <w:rsid w:val="00554645"/>
    <w:rsid w:val="0055487D"/>
    <w:rsid w:val="00555BDE"/>
    <w:rsid w:val="00557890"/>
    <w:rsid w:val="00560DF6"/>
    <w:rsid w:val="00564DE1"/>
    <w:rsid w:val="00565B69"/>
    <w:rsid w:val="00570D6C"/>
    <w:rsid w:val="005728BC"/>
    <w:rsid w:val="0057598A"/>
    <w:rsid w:val="00576779"/>
    <w:rsid w:val="00581911"/>
    <w:rsid w:val="00583E47"/>
    <w:rsid w:val="00584194"/>
    <w:rsid w:val="005841C5"/>
    <w:rsid w:val="00585127"/>
    <w:rsid w:val="00585C9D"/>
    <w:rsid w:val="005871EF"/>
    <w:rsid w:val="00591135"/>
    <w:rsid w:val="00591E98"/>
    <w:rsid w:val="0059338D"/>
    <w:rsid w:val="00593414"/>
    <w:rsid w:val="00596044"/>
    <w:rsid w:val="00596989"/>
    <w:rsid w:val="005A0039"/>
    <w:rsid w:val="005A08F5"/>
    <w:rsid w:val="005A40CC"/>
    <w:rsid w:val="005A51C6"/>
    <w:rsid w:val="005A53CB"/>
    <w:rsid w:val="005A5F6B"/>
    <w:rsid w:val="005A6CD6"/>
    <w:rsid w:val="005A70C0"/>
    <w:rsid w:val="005B077B"/>
    <w:rsid w:val="005B1C2F"/>
    <w:rsid w:val="005B35FB"/>
    <w:rsid w:val="005B42CA"/>
    <w:rsid w:val="005B6C22"/>
    <w:rsid w:val="005C06A7"/>
    <w:rsid w:val="005C1217"/>
    <w:rsid w:val="005C2AE2"/>
    <w:rsid w:val="005C50DC"/>
    <w:rsid w:val="005C5D73"/>
    <w:rsid w:val="005C5EE3"/>
    <w:rsid w:val="005C644F"/>
    <w:rsid w:val="005C7351"/>
    <w:rsid w:val="005D037D"/>
    <w:rsid w:val="005D145A"/>
    <w:rsid w:val="005E04FC"/>
    <w:rsid w:val="005E1CC0"/>
    <w:rsid w:val="005E27DC"/>
    <w:rsid w:val="005E2931"/>
    <w:rsid w:val="005E2C80"/>
    <w:rsid w:val="005E322A"/>
    <w:rsid w:val="005E67FD"/>
    <w:rsid w:val="005E74A7"/>
    <w:rsid w:val="005F0411"/>
    <w:rsid w:val="005F1576"/>
    <w:rsid w:val="005F1BF0"/>
    <w:rsid w:val="005F3457"/>
    <w:rsid w:val="005F3D16"/>
    <w:rsid w:val="005F5D36"/>
    <w:rsid w:val="005F6DAA"/>
    <w:rsid w:val="00602B61"/>
    <w:rsid w:val="0060335F"/>
    <w:rsid w:val="0060439C"/>
    <w:rsid w:val="0060444F"/>
    <w:rsid w:val="006061A9"/>
    <w:rsid w:val="0060678D"/>
    <w:rsid w:val="0061128C"/>
    <w:rsid w:val="0061435A"/>
    <w:rsid w:val="00616F27"/>
    <w:rsid w:val="006176B1"/>
    <w:rsid w:val="006179E2"/>
    <w:rsid w:val="00617C10"/>
    <w:rsid w:val="00620F9C"/>
    <w:rsid w:val="00622B94"/>
    <w:rsid w:val="00623023"/>
    <w:rsid w:val="00623D82"/>
    <w:rsid w:val="00624931"/>
    <w:rsid w:val="00625C1C"/>
    <w:rsid w:val="00634168"/>
    <w:rsid w:val="0063550B"/>
    <w:rsid w:val="00637A77"/>
    <w:rsid w:val="0064331B"/>
    <w:rsid w:val="00646EF5"/>
    <w:rsid w:val="00647407"/>
    <w:rsid w:val="00650EFF"/>
    <w:rsid w:val="006522B4"/>
    <w:rsid w:val="00652DF1"/>
    <w:rsid w:val="006536FE"/>
    <w:rsid w:val="00653F6D"/>
    <w:rsid w:val="00660E97"/>
    <w:rsid w:val="006642ED"/>
    <w:rsid w:val="00671F81"/>
    <w:rsid w:val="0067251A"/>
    <w:rsid w:val="0067271C"/>
    <w:rsid w:val="006734C5"/>
    <w:rsid w:val="00673653"/>
    <w:rsid w:val="00674641"/>
    <w:rsid w:val="006748A8"/>
    <w:rsid w:val="006764E5"/>
    <w:rsid w:val="00680DC2"/>
    <w:rsid w:val="00682E31"/>
    <w:rsid w:val="00685B9F"/>
    <w:rsid w:val="006910C5"/>
    <w:rsid w:val="0069636A"/>
    <w:rsid w:val="00696ED3"/>
    <w:rsid w:val="00697F17"/>
    <w:rsid w:val="006A06DF"/>
    <w:rsid w:val="006A0EFE"/>
    <w:rsid w:val="006A2DCF"/>
    <w:rsid w:val="006A55CF"/>
    <w:rsid w:val="006A641A"/>
    <w:rsid w:val="006A7C8E"/>
    <w:rsid w:val="006B10FB"/>
    <w:rsid w:val="006B128D"/>
    <w:rsid w:val="006B1371"/>
    <w:rsid w:val="006B2075"/>
    <w:rsid w:val="006B278A"/>
    <w:rsid w:val="006B2AF2"/>
    <w:rsid w:val="006B37C8"/>
    <w:rsid w:val="006B43B2"/>
    <w:rsid w:val="006B44A4"/>
    <w:rsid w:val="006B610C"/>
    <w:rsid w:val="006B6928"/>
    <w:rsid w:val="006C0ECA"/>
    <w:rsid w:val="006C3B0C"/>
    <w:rsid w:val="006C6ADF"/>
    <w:rsid w:val="006C7B43"/>
    <w:rsid w:val="006C7C7F"/>
    <w:rsid w:val="006D03A6"/>
    <w:rsid w:val="006D3D81"/>
    <w:rsid w:val="006D3E90"/>
    <w:rsid w:val="006E16AF"/>
    <w:rsid w:val="006E182B"/>
    <w:rsid w:val="006E202D"/>
    <w:rsid w:val="006E20BE"/>
    <w:rsid w:val="006E446C"/>
    <w:rsid w:val="006F27E5"/>
    <w:rsid w:val="006F4413"/>
    <w:rsid w:val="006F72FA"/>
    <w:rsid w:val="007014F7"/>
    <w:rsid w:val="007057CC"/>
    <w:rsid w:val="0070593D"/>
    <w:rsid w:val="00705B0F"/>
    <w:rsid w:val="00707436"/>
    <w:rsid w:val="0071268D"/>
    <w:rsid w:val="00715471"/>
    <w:rsid w:val="007154CE"/>
    <w:rsid w:val="00715FE4"/>
    <w:rsid w:val="007206DF"/>
    <w:rsid w:val="00722B92"/>
    <w:rsid w:val="007248D4"/>
    <w:rsid w:val="0072587F"/>
    <w:rsid w:val="00726B3A"/>
    <w:rsid w:val="00731127"/>
    <w:rsid w:val="007335BE"/>
    <w:rsid w:val="0073493C"/>
    <w:rsid w:val="0073516F"/>
    <w:rsid w:val="00737DD3"/>
    <w:rsid w:val="00740CAD"/>
    <w:rsid w:val="00742C44"/>
    <w:rsid w:val="00743823"/>
    <w:rsid w:val="007442FD"/>
    <w:rsid w:val="00744E86"/>
    <w:rsid w:val="00744F7B"/>
    <w:rsid w:val="00745DD0"/>
    <w:rsid w:val="00747891"/>
    <w:rsid w:val="007506B6"/>
    <w:rsid w:val="00751E81"/>
    <w:rsid w:val="00754468"/>
    <w:rsid w:val="00755692"/>
    <w:rsid w:val="0075693E"/>
    <w:rsid w:val="007569A0"/>
    <w:rsid w:val="00756CD7"/>
    <w:rsid w:val="00762A37"/>
    <w:rsid w:val="007635C1"/>
    <w:rsid w:val="007671C0"/>
    <w:rsid w:val="00767C34"/>
    <w:rsid w:val="00771037"/>
    <w:rsid w:val="0077163E"/>
    <w:rsid w:val="00772802"/>
    <w:rsid w:val="007746EC"/>
    <w:rsid w:val="007747FD"/>
    <w:rsid w:val="00775427"/>
    <w:rsid w:val="00776CB0"/>
    <w:rsid w:val="007771A8"/>
    <w:rsid w:val="00780957"/>
    <w:rsid w:val="00786806"/>
    <w:rsid w:val="0079002B"/>
    <w:rsid w:val="00790685"/>
    <w:rsid w:val="00791CD0"/>
    <w:rsid w:val="00792541"/>
    <w:rsid w:val="007934DD"/>
    <w:rsid w:val="00793E42"/>
    <w:rsid w:val="00796262"/>
    <w:rsid w:val="00796618"/>
    <w:rsid w:val="0079751C"/>
    <w:rsid w:val="007A1F6A"/>
    <w:rsid w:val="007A29A0"/>
    <w:rsid w:val="007A2EE5"/>
    <w:rsid w:val="007A54BD"/>
    <w:rsid w:val="007A7A6A"/>
    <w:rsid w:val="007B01D0"/>
    <w:rsid w:val="007B28E8"/>
    <w:rsid w:val="007B3AC7"/>
    <w:rsid w:val="007B4481"/>
    <w:rsid w:val="007B7731"/>
    <w:rsid w:val="007B7EC9"/>
    <w:rsid w:val="007C1F17"/>
    <w:rsid w:val="007C38DE"/>
    <w:rsid w:val="007C3ECE"/>
    <w:rsid w:val="007C4601"/>
    <w:rsid w:val="007C4E07"/>
    <w:rsid w:val="007C69FD"/>
    <w:rsid w:val="007D007F"/>
    <w:rsid w:val="007D564D"/>
    <w:rsid w:val="007E1249"/>
    <w:rsid w:val="007E1764"/>
    <w:rsid w:val="007E183B"/>
    <w:rsid w:val="007E43B8"/>
    <w:rsid w:val="007E510A"/>
    <w:rsid w:val="007E5801"/>
    <w:rsid w:val="007E5FFB"/>
    <w:rsid w:val="007E68DF"/>
    <w:rsid w:val="007F1327"/>
    <w:rsid w:val="007F45A8"/>
    <w:rsid w:val="007F630A"/>
    <w:rsid w:val="007F7B65"/>
    <w:rsid w:val="007F7F08"/>
    <w:rsid w:val="008020AF"/>
    <w:rsid w:val="0080261D"/>
    <w:rsid w:val="00802DBC"/>
    <w:rsid w:val="00804363"/>
    <w:rsid w:val="00806752"/>
    <w:rsid w:val="00806C67"/>
    <w:rsid w:val="008073F3"/>
    <w:rsid w:val="00807CEE"/>
    <w:rsid w:val="0081032C"/>
    <w:rsid w:val="008109E5"/>
    <w:rsid w:val="008124E7"/>
    <w:rsid w:val="00812BE4"/>
    <w:rsid w:val="00812C2E"/>
    <w:rsid w:val="00813D6D"/>
    <w:rsid w:val="00815736"/>
    <w:rsid w:val="00815EF0"/>
    <w:rsid w:val="0081738A"/>
    <w:rsid w:val="00820B4E"/>
    <w:rsid w:val="008224A2"/>
    <w:rsid w:val="00827479"/>
    <w:rsid w:val="00830603"/>
    <w:rsid w:val="00831364"/>
    <w:rsid w:val="00832632"/>
    <w:rsid w:val="008339F5"/>
    <w:rsid w:val="00834C73"/>
    <w:rsid w:val="00834E33"/>
    <w:rsid w:val="00837070"/>
    <w:rsid w:val="00837822"/>
    <w:rsid w:val="00840000"/>
    <w:rsid w:val="00840F08"/>
    <w:rsid w:val="00841EF8"/>
    <w:rsid w:val="00843912"/>
    <w:rsid w:val="00844C9A"/>
    <w:rsid w:val="008468BC"/>
    <w:rsid w:val="00853C1D"/>
    <w:rsid w:val="00853C70"/>
    <w:rsid w:val="00853FAE"/>
    <w:rsid w:val="00855897"/>
    <w:rsid w:val="008567EC"/>
    <w:rsid w:val="0085689A"/>
    <w:rsid w:val="008574EF"/>
    <w:rsid w:val="00857D8A"/>
    <w:rsid w:val="00860551"/>
    <w:rsid w:val="00860702"/>
    <w:rsid w:val="00860E93"/>
    <w:rsid w:val="00861C0D"/>
    <w:rsid w:val="008622E4"/>
    <w:rsid w:val="00863559"/>
    <w:rsid w:val="0087051C"/>
    <w:rsid w:val="00872546"/>
    <w:rsid w:val="008725A8"/>
    <w:rsid w:val="008734A5"/>
    <w:rsid w:val="00874C3E"/>
    <w:rsid w:val="00876062"/>
    <w:rsid w:val="0088115E"/>
    <w:rsid w:val="00881562"/>
    <w:rsid w:val="0088515B"/>
    <w:rsid w:val="00885685"/>
    <w:rsid w:val="00886CF8"/>
    <w:rsid w:val="00887AB4"/>
    <w:rsid w:val="00890237"/>
    <w:rsid w:val="0089178C"/>
    <w:rsid w:val="008923BD"/>
    <w:rsid w:val="00893A09"/>
    <w:rsid w:val="008947B1"/>
    <w:rsid w:val="008965AC"/>
    <w:rsid w:val="008973BE"/>
    <w:rsid w:val="0089743C"/>
    <w:rsid w:val="00897C16"/>
    <w:rsid w:val="008A0B19"/>
    <w:rsid w:val="008A2C7E"/>
    <w:rsid w:val="008A3239"/>
    <w:rsid w:val="008A3257"/>
    <w:rsid w:val="008A3A96"/>
    <w:rsid w:val="008A3BAE"/>
    <w:rsid w:val="008A48F9"/>
    <w:rsid w:val="008A4EEF"/>
    <w:rsid w:val="008B2CB9"/>
    <w:rsid w:val="008B31A8"/>
    <w:rsid w:val="008B35A1"/>
    <w:rsid w:val="008B3DFC"/>
    <w:rsid w:val="008B3E75"/>
    <w:rsid w:val="008B42A8"/>
    <w:rsid w:val="008C008C"/>
    <w:rsid w:val="008C1FD1"/>
    <w:rsid w:val="008C1FE3"/>
    <w:rsid w:val="008C37D4"/>
    <w:rsid w:val="008C4B67"/>
    <w:rsid w:val="008C5039"/>
    <w:rsid w:val="008C6086"/>
    <w:rsid w:val="008D0B85"/>
    <w:rsid w:val="008D1E27"/>
    <w:rsid w:val="008D2B0B"/>
    <w:rsid w:val="008D4103"/>
    <w:rsid w:val="008E0CB9"/>
    <w:rsid w:val="008E245D"/>
    <w:rsid w:val="008E36DB"/>
    <w:rsid w:val="008E4157"/>
    <w:rsid w:val="008E510E"/>
    <w:rsid w:val="008E57B8"/>
    <w:rsid w:val="008E75E2"/>
    <w:rsid w:val="008F173C"/>
    <w:rsid w:val="008F1A34"/>
    <w:rsid w:val="008F207A"/>
    <w:rsid w:val="008F3C6B"/>
    <w:rsid w:val="008F556D"/>
    <w:rsid w:val="008F5787"/>
    <w:rsid w:val="00902832"/>
    <w:rsid w:val="00902C81"/>
    <w:rsid w:val="009043CD"/>
    <w:rsid w:val="009054E7"/>
    <w:rsid w:val="00906E57"/>
    <w:rsid w:val="009071D9"/>
    <w:rsid w:val="00910B18"/>
    <w:rsid w:val="00910C5F"/>
    <w:rsid w:val="00910F9D"/>
    <w:rsid w:val="009115D4"/>
    <w:rsid w:val="00911B3E"/>
    <w:rsid w:val="00912A00"/>
    <w:rsid w:val="00915599"/>
    <w:rsid w:val="00916B57"/>
    <w:rsid w:val="009174D2"/>
    <w:rsid w:val="009217BF"/>
    <w:rsid w:val="0092217A"/>
    <w:rsid w:val="00922A39"/>
    <w:rsid w:val="00922C93"/>
    <w:rsid w:val="009237B6"/>
    <w:rsid w:val="00926834"/>
    <w:rsid w:val="00927AAA"/>
    <w:rsid w:val="0093022B"/>
    <w:rsid w:val="00930B32"/>
    <w:rsid w:val="00932123"/>
    <w:rsid w:val="009326A2"/>
    <w:rsid w:val="0093330D"/>
    <w:rsid w:val="00937BA0"/>
    <w:rsid w:val="00943102"/>
    <w:rsid w:val="00944470"/>
    <w:rsid w:val="00946629"/>
    <w:rsid w:val="0095211C"/>
    <w:rsid w:val="0095219A"/>
    <w:rsid w:val="00956ADA"/>
    <w:rsid w:val="00961CD7"/>
    <w:rsid w:val="0096261B"/>
    <w:rsid w:val="00963A8D"/>
    <w:rsid w:val="00964B4D"/>
    <w:rsid w:val="00964F76"/>
    <w:rsid w:val="00965E45"/>
    <w:rsid w:val="009671E7"/>
    <w:rsid w:val="00967E73"/>
    <w:rsid w:val="00973CE5"/>
    <w:rsid w:val="00981E9D"/>
    <w:rsid w:val="0098245B"/>
    <w:rsid w:val="00982C24"/>
    <w:rsid w:val="00982F0E"/>
    <w:rsid w:val="00986E37"/>
    <w:rsid w:val="00990D33"/>
    <w:rsid w:val="0099592E"/>
    <w:rsid w:val="00996838"/>
    <w:rsid w:val="009A01A9"/>
    <w:rsid w:val="009A0A1E"/>
    <w:rsid w:val="009A46E9"/>
    <w:rsid w:val="009B49A3"/>
    <w:rsid w:val="009B6FEB"/>
    <w:rsid w:val="009B784C"/>
    <w:rsid w:val="009C0068"/>
    <w:rsid w:val="009C0B9A"/>
    <w:rsid w:val="009C3C2F"/>
    <w:rsid w:val="009C51A6"/>
    <w:rsid w:val="009D3FA1"/>
    <w:rsid w:val="009D4E66"/>
    <w:rsid w:val="009D6CC7"/>
    <w:rsid w:val="009D748E"/>
    <w:rsid w:val="009D77E9"/>
    <w:rsid w:val="009E13A6"/>
    <w:rsid w:val="009E2216"/>
    <w:rsid w:val="009E5247"/>
    <w:rsid w:val="009E6CB8"/>
    <w:rsid w:val="009F0B6D"/>
    <w:rsid w:val="009F1B29"/>
    <w:rsid w:val="009F3521"/>
    <w:rsid w:val="009F515F"/>
    <w:rsid w:val="00A00AAE"/>
    <w:rsid w:val="00A01852"/>
    <w:rsid w:val="00A02BAE"/>
    <w:rsid w:val="00A03990"/>
    <w:rsid w:val="00A063D3"/>
    <w:rsid w:val="00A1293B"/>
    <w:rsid w:val="00A200E0"/>
    <w:rsid w:val="00A22D95"/>
    <w:rsid w:val="00A24816"/>
    <w:rsid w:val="00A27F3E"/>
    <w:rsid w:val="00A30F88"/>
    <w:rsid w:val="00A3221B"/>
    <w:rsid w:val="00A40075"/>
    <w:rsid w:val="00A40EBD"/>
    <w:rsid w:val="00A41E39"/>
    <w:rsid w:val="00A420B8"/>
    <w:rsid w:val="00A4379C"/>
    <w:rsid w:val="00A44CA7"/>
    <w:rsid w:val="00A4537B"/>
    <w:rsid w:val="00A45A1B"/>
    <w:rsid w:val="00A464A5"/>
    <w:rsid w:val="00A465FD"/>
    <w:rsid w:val="00A525EA"/>
    <w:rsid w:val="00A52748"/>
    <w:rsid w:val="00A56795"/>
    <w:rsid w:val="00A57C3A"/>
    <w:rsid w:val="00A60B62"/>
    <w:rsid w:val="00A64FF5"/>
    <w:rsid w:val="00A70895"/>
    <w:rsid w:val="00A7228F"/>
    <w:rsid w:val="00A77096"/>
    <w:rsid w:val="00A806EB"/>
    <w:rsid w:val="00A8227E"/>
    <w:rsid w:val="00A82694"/>
    <w:rsid w:val="00A83591"/>
    <w:rsid w:val="00A83E11"/>
    <w:rsid w:val="00A86417"/>
    <w:rsid w:val="00A86AC6"/>
    <w:rsid w:val="00A86D3B"/>
    <w:rsid w:val="00A90BD2"/>
    <w:rsid w:val="00A910CC"/>
    <w:rsid w:val="00A91ADC"/>
    <w:rsid w:val="00A92078"/>
    <w:rsid w:val="00A94332"/>
    <w:rsid w:val="00A94B9E"/>
    <w:rsid w:val="00AA3B00"/>
    <w:rsid w:val="00AA7A56"/>
    <w:rsid w:val="00AB2F16"/>
    <w:rsid w:val="00AB6FB3"/>
    <w:rsid w:val="00AC0A0D"/>
    <w:rsid w:val="00AC1600"/>
    <w:rsid w:val="00AC1C53"/>
    <w:rsid w:val="00AC1FB4"/>
    <w:rsid w:val="00AC3BD6"/>
    <w:rsid w:val="00AC3F22"/>
    <w:rsid w:val="00AC7263"/>
    <w:rsid w:val="00AC7DEB"/>
    <w:rsid w:val="00AD3E17"/>
    <w:rsid w:val="00AD41DE"/>
    <w:rsid w:val="00AD5A4C"/>
    <w:rsid w:val="00AE2DBF"/>
    <w:rsid w:val="00AE316A"/>
    <w:rsid w:val="00AE53EF"/>
    <w:rsid w:val="00AE5D58"/>
    <w:rsid w:val="00AE647E"/>
    <w:rsid w:val="00AE7011"/>
    <w:rsid w:val="00AE73BF"/>
    <w:rsid w:val="00AF52B1"/>
    <w:rsid w:val="00AF635B"/>
    <w:rsid w:val="00AF68DD"/>
    <w:rsid w:val="00AF7E4E"/>
    <w:rsid w:val="00B043C2"/>
    <w:rsid w:val="00B10DA5"/>
    <w:rsid w:val="00B1103D"/>
    <w:rsid w:val="00B12CA0"/>
    <w:rsid w:val="00B13ADC"/>
    <w:rsid w:val="00B141B1"/>
    <w:rsid w:val="00B15D9E"/>
    <w:rsid w:val="00B20778"/>
    <w:rsid w:val="00B2174A"/>
    <w:rsid w:val="00B249DC"/>
    <w:rsid w:val="00B24E78"/>
    <w:rsid w:val="00B32DE6"/>
    <w:rsid w:val="00B3351A"/>
    <w:rsid w:val="00B36E72"/>
    <w:rsid w:val="00B370A0"/>
    <w:rsid w:val="00B411DC"/>
    <w:rsid w:val="00B419BC"/>
    <w:rsid w:val="00B4233B"/>
    <w:rsid w:val="00B42532"/>
    <w:rsid w:val="00B4510B"/>
    <w:rsid w:val="00B451A5"/>
    <w:rsid w:val="00B50679"/>
    <w:rsid w:val="00B52B62"/>
    <w:rsid w:val="00B53EA0"/>
    <w:rsid w:val="00B547B4"/>
    <w:rsid w:val="00B56902"/>
    <w:rsid w:val="00B57AD3"/>
    <w:rsid w:val="00B60155"/>
    <w:rsid w:val="00B60707"/>
    <w:rsid w:val="00B62EF7"/>
    <w:rsid w:val="00B6310E"/>
    <w:rsid w:val="00B64CF3"/>
    <w:rsid w:val="00B64E04"/>
    <w:rsid w:val="00B67621"/>
    <w:rsid w:val="00B700D2"/>
    <w:rsid w:val="00B71263"/>
    <w:rsid w:val="00B745F5"/>
    <w:rsid w:val="00B74EC3"/>
    <w:rsid w:val="00B75431"/>
    <w:rsid w:val="00B76B9F"/>
    <w:rsid w:val="00B76FE5"/>
    <w:rsid w:val="00B8123F"/>
    <w:rsid w:val="00B822DF"/>
    <w:rsid w:val="00B825CF"/>
    <w:rsid w:val="00B82E87"/>
    <w:rsid w:val="00B85F2E"/>
    <w:rsid w:val="00B867C4"/>
    <w:rsid w:val="00B9477D"/>
    <w:rsid w:val="00B9512D"/>
    <w:rsid w:val="00BA00B3"/>
    <w:rsid w:val="00BA1426"/>
    <w:rsid w:val="00BA24AA"/>
    <w:rsid w:val="00BA2A0D"/>
    <w:rsid w:val="00BA7A7A"/>
    <w:rsid w:val="00BB01A9"/>
    <w:rsid w:val="00BB09FE"/>
    <w:rsid w:val="00BB11B9"/>
    <w:rsid w:val="00BB1565"/>
    <w:rsid w:val="00BB1B70"/>
    <w:rsid w:val="00BB270B"/>
    <w:rsid w:val="00BC2CEE"/>
    <w:rsid w:val="00BC2EC4"/>
    <w:rsid w:val="00BC4E0C"/>
    <w:rsid w:val="00BC5473"/>
    <w:rsid w:val="00BC6C9F"/>
    <w:rsid w:val="00BC7DFA"/>
    <w:rsid w:val="00BC7E03"/>
    <w:rsid w:val="00BD0586"/>
    <w:rsid w:val="00BD446D"/>
    <w:rsid w:val="00BD7AD7"/>
    <w:rsid w:val="00BD7F86"/>
    <w:rsid w:val="00BE0003"/>
    <w:rsid w:val="00BE0784"/>
    <w:rsid w:val="00BE0AC0"/>
    <w:rsid w:val="00BE10D3"/>
    <w:rsid w:val="00BE1EF4"/>
    <w:rsid w:val="00BE2DB1"/>
    <w:rsid w:val="00BE312A"/>
    <w:rsid w:val="00BE43AE"/>
    <w:rsid w:val="00BE6819"/>
    <w:rsid w:val="00BE6C85"/>
    <w:rsid w:val="00BE7498"/>
    <w:rsid w:val="00BF172F"/>
    <w:rsid w:val="00BF21FF"/>
    <w:rsid w:val="00BF2A05"/>
    <w:rsid w:val="00BF75D6"/>
    <w:rsid w:val="00BF7E09"/>
    <w:rsid w:val="00C0042F"/>
    <w:rsid w:val="00C00FC0"/>
    <w:rsid w:val="00C028F2"/>
    <w:rsid w:val="00C0300F"/>
    <w:rsid w:val="00C07DE0"/>
    <w:rsid w:val="00C11BBE"/>
    <w:rsid w:val="00C12FC2"/>
    <w:rsid w:val="00C13D2F"/>
    <w:rsid w:val="00C153FF"/>
    <w:rsid w:val="00C20583"/>
    <w:rsid w:val="00C2364A"/>
    <w:rsid w:val="00C2545F"/>
    <w:rsid w:val="00C313C6"/>
    <w:rsid w:val="00C33D53"/>
    <w:rsid w:val="00C35E1B"/>
    <w:rsid w:val="00C361D8"/>
    <w:rsid w:val="00C40F11"/>
    <w:rsid w:val="00C42165"/>
    <w:rsid w:val="00C42AAC"/>
    <w:rsid w:val="00C42B59"/>
    <w:rsid w:val="00C437D2"/>
    <w:rsid w:val="00C43EC3"/>
    <w:rsid w:val="00C4507D"/>
    <w:rsid w:val="00C452E0"/>
    <w:rsid w:val="00C45750"/>
    <w:rsid w:val="00C46955"/>
    <w:rsid w:val="00C56860"/>
    <w:rsid w:val="00C57A55"/>
    <w:rsid w:val="00C57F4D"/>
    <w:rsid w:val="00C619BD"/>
    <w:rsid w:val="00C62596"/>
    <w:rsid w:val="00C62815"/>
    <w:rsid w:val="00C636C9"/>
    <w:rsid w:val="00C64AEA"/>
    <w:rsid w:val="00C660DC"/>
    <w:rsid w:val="00C718DA"/>
    <w:rsid w:val="00C720D0"/>
    <w:rsid w:val="00C72E6F"/>
    <w:rsid w:val="00C72ECF"/>
    <w:rsid w:val="00C75929"/>
    <w:rsid w:val="00C83B7E"/>
    <w:rsid w:val="00C83D66"/>
    <w:rsid w:val="00C87054"/>
    <w:rsid w:val="00C870F3"/>
    <w:rsid w:val="00C92608"/>
    <w:rsid w:val="00CA260E"/>
    <w:rsid w:val="00CA3B0D"/>
    <w:rsid w:val="00CA3B61"/>
    <w:rsid w:val="00CA602C"/>
    <w:rsid w:val="00CA750D"/>
    <w:rsid w:val="00CB0E8F"/>
    <w:rsid w:val="00CC08A6"/>
    <w:rsid w:val="00CC25DD"/>
    <w:rsid w:val="00CC290D"/>
    <w:rsid w:val="00CC2B09"/>
    <w:rsid w:val="00CC3E17"/>
    <w:rsid w:val="00CC5350"/>
    <w:rsid w:val="00CC58B8"/>
    <w:rsid w:val="00CC6032"/>
    <w:rsid w:val="00CD00D6"/>
    <w:rsid w:val="00CD11CE"/>
    <w:rsid w:val="00CD1207"/>
    <w:rsid w:val="00CD12C1"/>
    <w:rsid w:val="00CD391A"/>
    <w:rsid w:val="00CD3C5A"/>
    <w:rsid w:val="00CD7E50"/>
    <w:rsid w:val="00CE28E6"/>
    <w:rsid w:val="00CE5CC1"/>
    <w:rsid w:val="00CF0D5C"/>
    <w:rsid w:val="00CF28BA"/>
    <w:rsid w:val="00CF28F3"/>
    <w:rsid w:val="00CF62D0"/>
    <w:rsid w:val="00CF711B"/>
    <w:rsid w:val="00D0114B"/>
    <w:rsid w:val="00D01B86"/>
    <w:rsid w:val="00D02ADE"/>
    <w:rsid w:val="00D0311E"/>
    <w:rsid w:val="00D0434D"/>
    <w:rsid w:val="00D04596"/>
    <w:rsid w:val="00D057C2"/>
    <w:rsid w:val="00D05CDF"/>
    <w:rsid w:val="00D0741E"/>
    <w:rsid w:val="00D07523"/>
    <w:rsid w:val="00D076A4"/>
    <w:rsid w:val="00D138D7"/>
    <w:rsid w:val="00D14E92"/>
    <w:rsid w:val="00D15466"/>
    <w:rsid w:val="00D154AF"/>
    <w:rsid w:val="00D163B1"/>
    <w:rsid w:val="00D1673A"/>
    <w:rsid w:val="00D16EE5"/>
    <w:rsid w:val="00D17366"/>
    <w:rsid w:val="00D21C7A"/>
    <w:rsid w:val="00D2262A"/>
    <w:rsid w:val="00D2361D"/>
    <w:rsid w:val="00D26C7B"/>
    <w:rsid w:val="00D31396"/>
    <w:rsid w:val="00D31444"/>
    <w:rsid w:val="00D31577"/>
    <w:rsid w:val="00D36CEE"/>
    <w:rsid w:val="00D37CC7"/>
    <w:rsid w:val="00D403BE"/>
    <w:rsid w:val="00D42CB3"/>
    <w:rsid w:val="00D43594"/>
    <w:rsid w:val="00D4447A"/>
    <w:rsid w:val="00D4467B"/>
    <w:rsid w:val="00D45C42"/>
    <w:rsid w:val="00D47178"/>
    <w:rsid w:val="00D500CE"/>
    <w:rsid w:val="00D52CC5"/>
    <w:rsid w:val="00D531E6"/>
    <w:rsid w:val="00D53920"/>
    <w:rsid w:val="00D56F43"/>
    <w:rsid w:val="00D57F01"/>
    <w:rsid w:val="00D60FC0"/>
    <w:rsid w:val="00D620B6"/>
    <w:rsid w:val="00D6596D"/>
    <w:rsid w:val="00D7039F"/>
    <w:rsid w:val="00D70965"/>
    <w:rsid w:val="00D73035"/>
    <w:rsid w:val="00D7311C"/>
    <w:rsid w:val="00D73381"/>
    <w:rsid w:val="00D73C6A"/>
    <w:rsid w:val="00D755CA"/>
    <w:rsid w:val="00D76100"/>
    <w:rsid w:val="00D85E0B"/>
    <w:rsid w:val="00D877FC"/>
    <w:rsid w:val="00D90D99"/>
    <w:rsid w:val="00D91CD6"/>
    <w:rsid w:val="00D91E5F"/>
    <w:rsid w:val="00D920F9"/>
    <w:rsid w:val="00D9525E"/>
    <w:rsid w:val="00D95B18"/>
    <w:rsid w:val="00D976F6"/>
    <w:rsid w:val="00DA1892"/>
    <w:rsid w:val="00DA1CB9"/>
    <w:rsid w:val="00DA47C6"/>
    <w:rsid w:val="00DA4AE4"/>
    <w:rsid w:val="00DA711D"/>
    <w:rsid w:val="00DB06B5"/>
    <w:rsid w:val="00DB228B"/>
    <w:rsid w:val="00DB262C"/>
    <w:rsid w:val="00DB2BE3"/>
    <w:rsid w:val="00DB7430"/>
    <w:rsid w:val="00DB774A"/>
    <w:rsid w:val="00DC044D"/>
    <w:rsid w:val="00DC3A52"/>
    <w:rsid w:val="00DC46E3"/>
    <w:rsid w:val="00DC6AA5"/>
    <w:rsid w:val="00DD0A26"/>
    <w:rsid w:val="00DD4012"/>
    <w:rsid w:val="00DD4944"/>
    <w:rsid w:val="00DD4E9B"/>
    <w:rsid w:val="00DD5F6F"/>
    <w:rsid w:val="00DD7706"/>
    <w:rsid w:val="00DD7D04"/>
    <w:rsid w:val="00DE22E6"/>
    <w:rsid w:val="00DE37FD"/>
    <w:rsid w:val="00DE54E3"/>
    <w:rsid w:val="00DE74D5"/>
    <w:rsid w:val="00DE75C2"/>
    <w:rsid w:val="00DE7B1F"/>
    <w:rsid w:val="00DF17C5"/>
    <w:rsid w:val="00DF3249"/>
    <w:rsid w:val="00DF3E36"/>
    <w:rsid w:val="00DF6BCF"/>
    <w:rsid w:val="00DF791C"/>
    <w:rsid w:val="00E00D58"/>
    <w:rsid w:val="00E01C1C"/>
    <w:rsid w:val="00E020CE"/>
    <w:rsid w:val="00E04901"/>
    <w:rsid w:val="00E04F12"/>
    <w:rsid w:val="00E0501C"/>
    <w:rsid w:val="00E2002E"/>
    <w:rsid w:val="00E2011E"/>
    <w:rsid w:val="00E21959"/>
    <w:rsid w:val="00E24871"/>
    <w:rsid w:val="00E33597"/>
    <w:rsid w:val="00E33FED"/>
    <w:rsid w:val="00E340CB"/>
    <w:rsid w:val="00E35661"/>
    <w:rsid w:val="00E35E62"/>
    <w:rsid w:val="00E36AE6"/>
    <w:rsid w:val="00E37B10"/>
    <w:rsid w:val="00E40F9B"/>
    <w:rsid w:val="00E41C3F"/>
    <w:rsid w:val="00E43A5C"/>
    <w:rsid w:val="00E43AB5"/>
    <w:rsid w:val="00E4442D"/>
    <w:rsid w:val="00E507F3"/>
    <w:rsid w:val="00E51260"/>
    <w:rsid w:val="00E5501D"/>
    <w:rsid w:val="00E55BF4"/>
    <w:rsid w:val="00E55F8E"/>
    <w:rsid w:val="00E563A4"/>
    <w:rsid w:val="00E576AB"/>
    <w:rsid w:val="00E57B7F"/>
    <w:rsid w:val="00E6043B"/>
    <w:rsid w:val="00E605AC"/>
    <w:rsid w:val="00E65574"/>
    <w:rsid w:val="00E70FF1"/>
    <w:rsid w:val="00E736B2"/>
    <w:rsid w:val="00E74B91"/>
    <w:rsid w:val="00E754E0"/>
    <w:rsid w:val="00E7783C"/>
    <w:rsid w:val="00E82DE6"/>
    <w:rsid w:val="00E8344E"/>
    <w:rsid w:val="00E85545"/>
    <w:rsid w:val="00E8672C"/>
    <w:rsid w:val="00E86A07"/>
    <w:rsid w:val="00E874B3"/>
    <w:rsid w:val="00E90378"/>
    <w:rsid w:val="00E9075A"/>
    <w:rsid w:val="00E90982"/>
    <w:rsid w:val="00E91760"/>
    <w:rsid w:val="00E9187D"/>
    <w:rsid w:val="00E94D22"/>
    <w:rsid w:val="00EA0FAA"/>
    <w:rsid w:val="00EA1114"/>
    <w:rsid w:val="00EA315B"/>
    <w:rsid w:val="00EA5B02"/>
    <w:rsid w:val="00EB07B2"/>
    <w:rsid w:val="00EB0A17"/>
    <w:rsid w:val="00EB249B"/>
    <w:rsid w:val="00EB3A6D"/>
    <w:rsid w:val="00EB7E1A"/>
    <w:rsid w:val="00EC3263"/>
    <w:rsid w:val="00EC3B4E"/>
    <w:rsid w:val="00EC41A9"/>
    <w:rsid w:val="00EC6647"/>
    <w:rsid w:val="00EC73C2"/>
    <w:rsid w:val="00EC7D87"/>
    <w:rsid w:val="00EE07B6"/>
    <w:rsid w:val="00EE0FF3"/>
    <w:rsid w:val="00EE1A83"/>
    <w:rsid w:val="00EE4E33"/>
    <w:rsid w:val="00EE52FB"/>
    <w:rsid w:val="00EE5B93"/>
    <w:rsid w:val="00EE5E91"/>
    <w:rsid w:val="00EF06E3"/>
    <w:rsid w:val="00EF0BA9"/>
    <w:rsid w:val="00EF1706"/>
    <w:rsid w:val="00EF3E3B"/>
    <w:rsid w:val="00EF67EE"/>
    <w:rsid w:val="00EF742F"/>
    <w:rsid w:val="00F01523"/>
    <w:rsid w:val="00F02523"/>
    <w:rsid w:val="00F02AC9"/>
    <w:rsid w:val="00F02D20"/>
    <w:rsid w:val="00F05909"/>
    <w:rsid w:val="00F075A0"/>
    <w:rsid w:val="00F10267"/>
    <w:rsid w:val="00F10808"/>
    <w:rsid w:val="00F10BF9"/>
    <w:rsid w:val="00F10E54"/>
    <w:rsid w:val="00F13090"/>
    <w:rsid w:val="00F14085"/>
    <w:rsid w:val="00F15295"/>
    <w:rsid w:val="00F156FD"/>
    <w:rsid w:val="00F17B90"/>
    <w:rsid w:val="00F23229"/>
    <w:rsid w:val="00F237DE"/>
    <w:rsid w:val="00F25686"/>
    <w:rsid w:val="00F2781D"/>
    <w:rsid w:val="00F30D81"/>
    <w:rsid w:val="00F311C8"/>
    <w:rsid w:val="00F31A1A"/>
    <w:rsid w:val="00F32C00"/>
    <w:rsid w:val="00F42094"/>
    <w:rsid w:val="00F46CDE"/>
    <w:rsid w:val="00F50221"/>
    <w:rsid w:val="00F511D0"/>
    <w:rsid w:val="00F5201A"/>
    <w:rsid w:val="00F5383E"/>
    <w:rsid w:val="00F53960"/>
    <w:rsid w:val="00F56073"/>
    <w:rsid w:val="00F57DE6"/>
    <w:rsid w:val="00F60018"/>
    <w:rsid w:val="00F674BC"/>
    <w:rsid w:val="00F67B90"/>
    <w:rsid w:val="00F67BF7"/>
    <w:rsid w:val="00F76E40"/>
    <w:rsid w:val="00F8347D"/>
    <w:rsid w:val="00F86535"/>
    <w:rsid w:val="00F86AD8"/>
    <w:rsid w:val="00F900B9"/>
    <w:rsid w:val="00F93DCC"/>
    <w:rsid w:val="00FA0171"/>
    <w:rsid w:val="00FA0F59"/>
    <w:rsid w:val="00FA326E"/>
    <w:rsid w:val="00FA60C1"/>
    <w:rsid w:val="00FB06D4"/>
    <w:rsid w:val="00FB0C31"/>
    <w:rsid w:val="00FB0F82"/>
    <w:rsid w:val="00FB4853"/>
    <w:rsid w:val="00FB7F90"/>
    <w:rsid w:val="00FC08B5"/>
    <w:rsid w:val="00FC306F"/>
    <w:rsid w:val="00FC51A2"/>
    <w:rsid w:val="00FC5A80"/>
    <w:rsid w:val="00FC79ED"/>
    <w:rsid w:val="00FD03F2"/>
    <w:rsid w:val="00FD158C"/>
    <w:rsid w:val="00FD29D4"/>
    <w:rsid w:val="00FD2C28"/>
    <w:rsid w:val="00FD59F8"/>
    <w:rsid w:val="00FD6097"/>
    <w:rsid w:val="00FD6AF2"/>
    <w:rsid w:val="00FE1DBB"/>
    <w:rsid w:val="00FE3038"/>
    <w:rsid w:val="00FE3790"/>
    <w:rsid w:val="00FE5345"/>
    <w:rsid w:val="00FE5FCB"/>
    <w:rsid w:val="00FE68A2"/>
    <w:rsid w:val="00FE6FB0"/>
    <w:rsid w:val="00FF003C"/>
    <w:rsid w:val="00FF18FB"/>
    <w:rsid w:val="00FF39DA"/>
    <w:rsid w:val="00FF4FE5"/>
    <w:rsid w:val="00FF70CF"/>
    <w:rsid w:val="00FF755D"/>
    <w:rsid w:val="01066659"/>
    <w:rsid w:val="01DB4D26"/>
    <w:rsid w:val="03851DBD"/>
    <w:rsid w:val="03FF2357"/>
    <w:rsid w:val="05147D5F"/>
    <w:rsid w:val="06636A8F"/>
    <w:rsid w:val="06AA7773"/>
    <w:rsid w:val="0A6174D9"/>
    <w:rsid w:val="0C74319E"/>
    <w:rsid w:val="0DA7666B"/>
    <w:rsid w:val="0E97084F"/>
    <w:rsid w:val="0FAA5E98"/>
    <w:rsid w:val="0FC96B77"/>
    <w:rsid w:val="0FEC63D9"/>
    <w:rsid w:val="10BD7036"/>
    <w:rsid w:val="11B554BA"/>
    <w:rsid w:val="11CF7C8C"/>
    <w:rsid w:val="12943BCB"/>
    <w:rsid w:val="13816424"/>
    <w:rsid w:val="14252647"/>
    <w:rsid w:val="15233BE2"/>
    <w:rsid w:val="15C9302D"/>
    <w:rsid w:val="16612236"/>
    <w:rsid w:val="1796502D"/>
    <w:rsid w:val="19F23597"/>
    <w:rsid w:val="1A387B5F"/>
    <w:rsid w:val="1B3D467A"/>
    <w:rsid w:val="1C286A22"/>
    <w:rsid w:val="1C6179C2"/>
    <w:rsid w:val="1CC54E17"/>
    <w:rsid w:val="1D2540CF"/>
    <w:rsid w:val="1D605055"/>
    <w:rsid w:val="1EC0414C"/>
    <w:rsid w:val="22B72A5E"/>
    <w:rsid w:val="236C3E8B"/>
    <w:rsid w:val="23CE1612"/>
    <w:rsid w:val="23E3423C"/>
    <w:rsid w:val="2576424F"/>
    <w:rsid w:val="262D76E5"/>
    <w:rsid w:val="292C08CF"/>
    <w:rsid w:val="299D2B80"/>
    <w:rsid w:val="2C3A18C9"/>
    <w:rsid w:val="2DAA6BF9"/>
    <w:rsid w:val="2E8D3489"/>
    <w:rsid w:val="2EC019C4"/>
    <w:rsid w:val="2F04688C"/>
    <w:rsid w:val="310D5E60"/>
    <w:rsid w:val="342C0B93"/>
    <w:rsid w:val="34373D09"/>
    <w:rsid w:val="34F56094"/>
    <w:rsid w:val="34F9697A"/>
    <w:rsid w:val="35E64A8E"/>
    <w:rsid w:val="37BE6777"/>
    <w:rsid w:val="39DC43CF"/>
    <w:rsid w:val="39FF59A7"/>
    <w:rsid w:val="3C4130B0"/>
    <w:rsid w:val="3E1B223D"/>
    <w:rsid w:val="41130337"/>
    <w:rsid w:val="416F0D08"/>
    <w:rsid w:val="41F26AED"/>
    <w:rsid w:val="43034141"/>
    <w:rsid w:val="4308514E"/>
    <w:rsid w:val="43155412"/>
    <w:rsid w:val="43653326"/>
    <w:rsid w:val="45615036"/>
    <w:rsid w:val="46C64C47"/>
    <w:rsid w:val="46FD14A9"/>
    <w:rsid w:val="498C273E"/>
    <w:rsid w:val="4A4A2AF2"/>
    <w:rsid w:val="4B177B38"/>
    <w:rsid w:val="4D7229AC"/>
    <w:rsid w:val="4E657C15"/>
    <w:rsid w:val="4F5335BA"/>
    <w:rsid w:val="532F14BA"/>
    <w:rsid w:val="537B39F6"/>
    <w:rsid w:val="55127F60"/>
    <w:rsid w:val="55841A52"/>
    <w:rsid w:val="57D01AD6"/>
    <w:rsid w:val="582E1BA7"/>
    <w:rsid w:val="5B1459FB"/>
    <w:rsid w:val="5C4C01A9"/>
    <w:rsid w:val="5CFD2F3C"/>
    <w:rsid w:val="61256B52"/>
    <w:rsid w:val="63E50256"/>
    <w:rsid w:val="686614B2"/>
    <w:rsid w:val="68785CF0"/>
    <w:rsid w:val="68C34E87"/>
    <w:rsid w:val="68F67B58"/>
    <w:rsid w:val="6CA00A69"/>
    <w:rsid w:val="6DED06F2"/>
    <w:rsid w:val="6E410F72"/>
    <w:rsid w:val="70796EFC"/>
    <w:rsid w:val="70D478ED"/>
    <w:rsid w:val="77074238"/>
    <w:rsid w:val="77844279"/>
    <w:rsid w:val="778D27BF"/>
    <w:rsid w:val="77AC4138"/>
    <w:rsid w:val="785E7529"/>
    <w:rsid w:val="78C30AD7"/>
    <w:rsid w:val="793F2A17"/>
    <w:rsid w:val="7A8C7091"/>
    <w:rsid w:val="7AD630BC"/>
    <w:rsid w:val="7AE64FEC"/>
    <w:rsid w:val="7C691A3F"/>
    <w:rsid w:val="7CD63C3C"/>
    <w:rsid w:val="7D4F79AE"/>
    <w:rsid w:val="7FE271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73"/>
    <w:qFormat/>
    <w:uiPriority w:val="0"/>
    <w:pPr>
      <w:keepNext/>
      <w:tabs>
        <w:tab w:val="left" w:pos="420"/>
        <w:tab w:val="left" w:pos="709"/>
        <w:tab w:val="left" w:pos="851"/>
        <w:tab w:val="left" w:pos="998"/>
      </w:tabs>
      <w:spacing w:before="260" w:after="260" w:line="413" w:lineRule="auto"/>
      <w:ind w:left="998" w:hanging="998"/>
      <w:outlineLvl w:val="2"/>
    </w:pPr>
    <w:rPr>
      <w:rFonts w:ascii="宋体" w:hAnsi="宋体"/>
      <w:b/>
      <w:kern w:val="0"/>
      <w:sz w:val="28"/>
      <w:szCs w:val="28"/>
    </w:rPr>
  </w:style>
  <w:style w:type="paragraph" w:styleId="5">
    <w:name w:val="heading 4"/>
    <w:basedOn w:val="1"/>
    <w:next w:val="1"/>
    <w:link w:val="6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74"/>
    <w:qFormat/>
    <w:uiPriority w:val="0"/>
    <w:pPr>
      <w:keepNext/>
      <w:keepLines/>
      <w:tabs>
        <w:tab w:val="left" w:pos="992"/>
      </w:tabs>
      <w:spacing w:beforeLines="50" w:afterLines="50" w:line="360" w:lineRule="auto"/>
      <w:ind w:left="992" w:hanging="992"/>
      <w:outlineLvl w:val="4"/>
    </w:pPr>
    <w:rPr>
      <w:rFonts w:ascii="宋体" w:hAnsi="宋体"/>
      <w:b/>
      <w:kern w:val="0"/>
      <w:sz w:val="24"/>
    </w:rPr>
  </w:style>
  <w:style w:type="character" w:default="1" w:styleId="20">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rPr>
      <w:rFonts w:ascii="Calibri" w:hAnsi="Calibri" w:eastAsia="宋体" w:cs="Times New Roman"/>
      <w:szCs w:val="22"/>
    </w:rPr>
  </w:style>
  <w:style w:type="paragraph" w:styleId="8">
    <w:name w:val="annotation text"/>
    <w:basedOn w:val="1"/>
    <w:link w:val="33"/>
    <w:qFormat/>
    <w:uiPriority w:val="99"/>
    <w:pPr>
      <w:jc w:val="left"/>
    </w:pPr>
  </w:style>
  <w:style w:type="paragraph" w:styleId="9">
    <w:name w:val="Body Text Indent"/>
    <w:basedOn w:val="1"/>
    <w:uiPriority w:val="0"/>
    <w:pPr>
      <w:spacing w:line="500" w:lineRule="atLeast"/>
      <w:ind w:firstLine="420"/>
    </w:pPr>
    <w:rPr>
      <w:szCs w:val="20"/>
    </w:rPr>
  </w:style>
  <w:style w:type="paragraph" w:styleId="10">
    <w:name w:val="Plain Text"/>
    <w:basedOn w:val="1"/>
    <w:uiPriority w:val="0"/>
    <w:pPr>
      <w:spacing w:before="156" w:beforeLines="50" w:after="156" w:afterLines="50" w:line="400" w:lineRule="exact"/>
    </w:pPr>
    <w:rPr>
      <w:rFonts w:ascii="宋体" w:hAnsi="Courier New"/>
      <w:sz w:val="24"/>
    </w:rPr>
  </w:style>
  <w:style w:type="paragraph" w:styleId="11">
    <w:name w:val="Date"/>
    <w:basedOn w:val="1"/>
    <w:next w:val="1"/>
    <w:uiPriority w:val="0"/>
    <w:pPr>
      <w:ind w:left="100" w:leftChars="2500"/>
    </w:pPr>
    <w:rPr>
      <w:rFonts w:ascii="仿宋_GB2312" w:hAnsi="Arial" w:eastAsia="仿宋_GB2312"/>
      <w:b/>
      <w:sz w:val="32"/>
    </w:rPr>
  </w:style>
  <w:style w:type="paragraph" w:styleId="12">
    <w:name w:val="Balloon Text"/>
    <w:basedOn w:val="1"/>
    <w:link w:val="29"/>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75"/>
    <w:qFormat/>
    <w:uiPriority w:val="11"/>
    <w:pPr>
      <w:numPr>
        <w:ilvl w:val="0"/>
        <w:numId w:val="1"/>
      </w:numPr>
      <w:spacing w:before="240" w:after="60" w:line="312" w:lineRule="auto"/>
      <w:jc w:val="left"/>
      <w:outlineLvl w:val="1"/>
    </w:pPr>
    <w:rPr>
      <w:rFonts w:ascii="Cambria" w:hAnsi="Cambria" w:cs="Times New Roman"/>
      <w:b/>
      <w:bCs/>
      <w:kern w:val="28"/>
      <w:sz w:val="32"/>
      <w:szCs w:val="32"/>
    </w:rPr>
  </w:style>
  <w:style w:type="paragraph" w:styleId="16">
    <w:name w:val="Normal (Web)"/>
    <w:basedOn w:val="1"/>
    <w:uiPriority w:val="0"/>
    <w:pPr>
      <w:widowControl/>
      <w:spacing w:before="100" w:beforeAutospacing="1" w:after="100" w:afterAutospacing="1" w:line="280" w:lineRule="atLeast"/>
      <w:jc w:val="left"/>
    </w:pPr>
    <w:rPr>
      <w:rFonts w:ascii="Arial" w:hAnsi="Arial" w:cs="Arial"/>
      <w:kern w:val="0"/>
      <w:sz w:val="18"/>
      <w:szCs w:val="18"/>
    </w:rPr>
  </w:style>
  <w:style w:type="paragraph" w:styleId="17">
    <w:name w:val="Title"/>
    <w:basedOn w:val="1"/>
    <w:next w:val="1"/>
    <w:link w:val="76"/>
    <w:qFormat/>
    <w:uiPriority w:val="0"/>
    <w:pPr>
      <w:spacing w:before="240" w:after="60"/>
      <w:jc w:val="center"/>
      <w:outlineLvl w:val="0"/>
    </w:pPr>
    <w:rPr>
      <w:rFonts w:ascii="Cambria" w:hAnsi="Cambria" w:cs="Times New Roman"/>
      <w:b/>
      <w:bCs/>
      <w:sz w:val="32"/>
      <w:szCs w:val="32"/>
    </w:rPr>
  </w:style>
  <w:style w:type="paragraph" w:styleId="18">
    <w:name w:val="annotation subject"/>
    <w:basedOn w:val="8"/>
    <w:next w:val="8"/>
    <w:link w:val="34"/>
    <w:qFormat/>
    <w:uiPriority w:val="99"/>
    <w:rPr>
      <w:b/>
      <w:bCs/>
    </w:rPr>
  </w:style>
  <w:style w:type="character" w:styleId="21">
    <w:name w:val="page number"/>
    <w:basedOn w:val="20"/>
    <w:uiPriority w:val="0"/>
  </w:style>
  <w:style w:type="character" w:styleId="22">
    <w:name w:val="FollowedHyperlink"/>
    <w:basedOn w:val="20"/>
    <w:uiPriority w:val="0"/>
    <w:rPr>
      <w:rFonts w:hint="eastAsia" w:ascii="微软雅黑" w:hAnsi="微软雅黑" w:eastAsia="微软雅黑" w:cs="微软雅黑"/>
      <w:color w:val="02396F"/>
      <w:u w:val="single"/>
    </w:rPr>
  </w:style>
  <w:style w:type="character" w:styleId="23">
    <w:name w:val="Emphasis"/>
    <w:qFormat/>
    <w:uiPriority w:val="20"/>
    <w:rPr>
      <w:i/>
      <w:iCs/>
    </w:rPr>
  </w:style>
  <w:style w:type="character" w:styleId="24">
    <w:name w:val="Hyperlink"/>
    <w:basedOn w:val="20"/>
    <w:uiPriority w:val="0"/>
    <w:rPr>
      <w:color w:val="0000FF"/>
      <w:u w:val="single"/>
    </w:rPr>
  </w:style>
  <w:style w:type="character" w:styleId="25">
    <w:name w:val="annotation reference"/>
    <w:qFormat/>
    <w:uiPriority w:val="0"/>
    <w:rPr>
      <w:sz w:val="21"/>
      <w:szCs w:val="21"/>
    </w:rPr>
  </w:style>
  <w:style w:type="character" w:customStyle="1" w:styleId="26">
    <w:name w:val="font141"/>
    <w:basedOn w:val="20"/>
    <w:uiPriority w:val="0"/>
    <w:rPr>
      <w:rFonts w:ascii="Antique Olive" w:hAnsi="Antique Olive" w:eastAsia="Antique Olive" w:cs="Antique Olive"/>
      <w:color w:val="000000"/>
      <w:sz w:val="20"/>
      <w:szCs w:val="20"/>
      <w:u w:val="none"/>
    </w:rPr>
  </w:style>
  <w:style w:type="character" w:customStyle="1" w:styleId="27">
    <w:name w:val="页脚 Char"/>
    <w:link w:val="13"/>
    <w:qFormat/>
    <w:uiPriority w:val="99"/>
    <w:rPr>
      <w:kern w:val="2"/>
      <w:sz w:val="18"/>
      <w:szCs w:val="18"/>
    </w:rPr>
  </w:style>
  <w:style w:type="character" w:customStyle="1" w:styleId="28">
    <w:name w:val="页眉 Char"/>
    <w:link w:val="14"/>
    <w:qFormat/>
    <w:uiPriority w:val="99"/>
    <w:rPr>
      <w:kern w:val="2"/>
      <w:sz w:val="18"/>
      <w:szCs w:val="18"/>
    </w:rPr>
  </w:style>
  <w:style w:type="character" w:customStyle="1" w:styleId="29">
    <w:name w:val="批注框文本 Char"/>
    <w:link w:val="12"/>
    <w:qFormat/>
    <w:uiPriority w:val="99"/>
    <w:rPr>
      <w:kern w:val="2"/>
      <w:sz w:val="18"/>
      <w:szCs w:val="18"/>
    </w:rPr>
  </w:style>
  <w:style w:type="character" w:customStyle="1" w:styleId="30">
    <w:name w:val="标题 2 Char"/>
    <w:link w:val="3"/>
    <w:qFormat/>
    <w:uiPriority w:val="0"/>
    <w:rPr>
      <w:rFonts w:ascii="宋体" w:hAnsi="宋体"/>
      <w:b/>
      <w:bCs/>
      <w:sz w:val="36"/>
      <w:szCs w:val="36"/>
    </w:rPr>
  </w:style>
  <w:style w:type="character" w:customStyle="1" w:styleId="31">
    <w:name w:val="批注文字 Char"/>
    <w:qFormat/>
    <w:uiPriority w:val="99"/>
    <w:rPr>
      <w:kern w:val="2"/>
      <w:sz w:val="21"/>
      <w:szCs w:val="24"/>
    </w:rPr>
  </w:style>
  <w:style w:type="character" w:customStyle="1" w:styleId="32">
    <w:name w:val="font41"/>
    <w:basedOn w:val="20"/>
    <w:uiPriority w:val="0"/>
    <w:rPr>
      <w:rFonts w:hint="default" w:ascii="Arial" w:hAnsi="Arial" w:cs="Arial"/>
      <w:color w:val="000000"/>
      <w:sz w:val="20"/>
      <w:szCs w:val="20"/>
      <w:u w:val="none"/>
    </w:rPr>
  </w:style>
  <w:style w:type="character" w:customStyle="1" w:styleId="33">
    <w:name w:val="批注文字 Char1"/>
    <w:basedOn w:val="20"/>
    <w:link w:val="8"/>
    <w:uiPriority w:val="0"/>
    <w:rPr>
      <w:kern w:val="2"/>
      <w:sz w:val="21"/>
      <w:szCs w:val="24"/>
    </w:rPr>
  </w:style>
  <w:style w:type="character" w:customStyle="1" w:styleId="34">
    <w:name w:val="批注主题 Char"/>
    <w:link w:val="18"/>
    <w:qFormat/>
    <w:uiPriority w:val="99"/>
    <w:rPr>
      <w:b/>
      <w:bCs/>
      <w:kern w:val="2"/>
      <w:sz w:val="21"/>
      <w:szCs w:val="24"/>
    </w:rPr>
  </w:style>
  <w:style w:type="character" w:customStyle="1" w:styleId="35">
    <w:name w:val="font131"/>
    <w:basedOn w:val="20"/>
    <w:uiPriority w:val="0"/>
    <w:rPr>
      <w:rFonts w:hint="eastAsia" w:ascii="宋体" w:hAnsi="宋体" w:eastAsia="宋体" w:cs="宋体"/>
      <w:b/>
      <w:color w:val="000000"/>
      <w:sz w:val="20"/>
      <w:szCs w:val="20"/>
      <w:u w:val="none"/>
    </w:rPr>
  </w:style>
  <w:style w:type="character" w:customStyle="1" w:styleId="36">
    <w:name w:val="批注框文本 Char1"/>
    <w:basedOn w:val="20"/>
    <w:uiPriority w:val="0"/>
    <w:rPr>
      <w:kern w:val="2"/>
      <w:sz w:val="18"/>
      <w:szCs w:val="18"/>
    </w:rPr>
  </w:style>
  <w:style w:type="character" w:customStyle="1" w:styleId="37">
    <w:name w:val="font81"/>
    <w:basedOn w:val="20"/>
    <w:uiPriority w:val="0"/>
    <w:rPr>
      <w:rFonts w:hint="eastAsia" w:ascii="宋体" w:hAnsi="宋体" w:eastAsia="宋体" w:cs="宋体"/>
      <w:color w:val="000000"/>
      <w:sz w:val="20"/>
      <w:szCs w:val="20"/>
      <w:u w:val="none"/>
    </w:rPr>
  </w:style>
  <w:style w:type="character" w:customStyle="1" w:styleId="38">
    <w:name w:val="font31"/>
    <w:basedOn w:val="20"/>
    <w:uiPriority w:val="0"/>
    <w:rPr>
      <w:rFonts w:hint="eastAsia" w:ascii="宋体" w:hAnsi="宋体" w:eastAsia="宋体" w:cs="宋体"/>
      <w:color w:val="000000"/>
      <w:sz w:val="20"/>
      <w:szCs w:val="20"/>
      <w:u w:val="none"/>
    </w:rPr>
  </w:style>
  <w:style w:type="character" w:customStyle="1" w:styleId="39">
    <w:name w:val="标题 1 Char"/>
    <w:basedOn w:val="20"/>
    <w:link w:val="2"/>
    <w:qFormat/>
    <w:uiPriority w:val="9"/>
    <w:rPr>
      <w:b/>
      <w:bCs/>
      <w:kern w:val="44"/>
      <w:sz w:val="44"/>
      <w:szCs w:val="44"/>
    </w:rPr>
  </w:style>
  <w:style w:type="character" w:customStyle="1" w:styleId="40">
    <w:name w:val="font01"/>
    <w:basedOn w:val="20"/>
    <w:uiPriority w:val="0"/>
    <w:rPr>
      <w:rFonts w:hint="eastAsia" w:ascii="宋体" w:hAnsi="宋体" w:eastAsia="宋体" w:cs="宋体"/>
      <w:color w:val="000000"/>
      <w:sz w:val="20"/>
      <w:szCs w:val="20"/>
      <w:u w:val="none"/>
    </w:rPr>
  </w:style>
  <w:style w:type="character" w:customStyle="1" w:styleId="41">
    <w:name w:val="font21"/>
    <w:basedOn w:val="20"/>
    <w:uiPriority w:val="0"/>
    <w:rPr>
      <w:rFonts w:hint="default" w:ascii="Arial" w:hAnsi="Arial" w:cs="Arial"/>
      <w:color w:val="000000"/>
      <w:sz w:val="20"/>
      <w:szCs w:val="20"/>
      <w:u w:val="none"/>
    </w:rPr>
  </w:style>
  <w:style w:type="character" w:customStyle="1" w:styleId="42">
    <w:name w:val="font151"/>
    <w:basedOn w:val="20"/>
    <w:uiPriority w:val="0"/>
    <w:rPr>
      <w:rFonts w:hint="eastAsia" w:ascii="宋体" w:hAnsi="宋体" w:eastAsia="宋体" w:cs="宋体"/>
      <w:color w:val="000000"/>
      <w:sz w:val="18"/>
      <w:szCs w:val="18"/>
      <w:u w:val="none"/>
    </w:rPr>
  </w:style>
  <w:style w:type="character" w:customStyle="1" w:styleId="43">
    <w:name w:val="font101"/>
    <w:basedOn w:val="20"/>
    <w:uiPriority w:val="0"/>
    <w:rPr>
      <w:rFonts w:hint="default" w:ascii="Arial" w:hAnsi="Arial" w:cs="Arial"/>
      <w:color w:val="000000"/>
      <w:sz w:val="20"/>
      <w:szCs w:val="20"/>
      <w:u w:val="none"/>
    </w:rPr>
  </w:style>
  <w:style w:type="character" w:customStyle="1" w:styleId="44">
    <w:name w:val="批注主题 Char1"/>
    <w:basedOn w:val="33"/>
    <w:uiPriority w:val="0"/>
    <w:rPr>
      <w:b/>
      <w:bCs/>
    </w:rPr>
  </w:style>
  <w:style w:type="paragraph" w:customStyle="1" w:styleId="45">
    <w:name w:val="正文空格"/>
    <w:basedOn w:val="1"/>
    <w:next w:val="1"/>
    <w:qFormat/>
    <w:uiPriority w:val="0"/>
    <w:pPr>
      <w:spacing w:line="400" w:lineRule="exact"/>
      <w:ind w:firstLine="200" w:firstLineChars="200"/>
    </w:pPr>
    <w:rPr>
      <w:sz w:val="24"/>
      <w:szCs w:val="22"/>
    </w:rPr>
  </w:style>
  <w:style w:type="paragraph" w:customStyle="1" w:styleId="46">
    <w:name w:val="列出段落1"/>
    <w:basedOn w:val="1"/>
    <w:qFormat/>
    <w:uiPriority w:val="34"/>
    <w:pPr>
      <w:ind w:firstLine="420" w:firstLineChars="200"/>
    </w:pPr>
    <w:rPr>
      <w:rFonts w:ascii="Calibri" w:hAnsi="Calibri"/>
      <w:szCs w:val="22"/>
    </w:rPr>
  </w:style>
  <w:style w:type="paragraph" w:customStyle="1" w:styleId="47">
    <w:name w:val="List Paragraph"/>
    <w:basedOn w:val="1"/>
    <w:qFormat/>
    <w:uiPriority w:val="34"/>
    <w:pPr>
      <w:ind w:firstLine="420" w:firstLineChars="200"/>
    </w:pPr>
    <w:rPr>
      <w:rFonts w:ascii="Calibri" w:hAnsi="Calibri"/>
      <w:szCs w:val="22"/>
    </w:rPr>
  </w:style>
  <w:style w:type="paragraph" w:customStyle="1" w:styleId="48">
    <w:name w:val="_Style 14"/>
    <w:basedOn w:val="1"/>
    <w:qFormat/>
    <w:uiPriority w:val="0"/>
    <w:pPr>
      <w:ind w:firstLine="420" w:firstLineChars="200"/>
    </w:pPr>
    <w:rPr>
      <w:rFonts w:ascii="Calibri" w:hAnsi="Calibri"/>
      <w:szCs w:val="22"/>
    </w:rPr>
  </w:style>
  <w:style w:type="paragraph" w:customStyle="1" w:styleId="49">
    <w:name w:val="_Style 2"/>
    <w:basedOn w:val="1"/>
    <w:qFormat/>
    <w:uiPriority w:val="34"/>
    <w:pPr>
      <w:ind w:firstLine="420" w:firstLineChars="200"/>
    </w:pPr>
    <w:rPr>
      <w:rFonts w:ascii="Calibri" w:hAnsi="Calibri"/>
      <w:szCs w:val="22"/>
    </w:rPr>
  </w:style>
  <w:style w:type="paragraph" w:customStyle="1" w:styleId="50">
    <w:name w:val="Char Char6 Char Char Char Char"/>
    <w:basedOn w:val="1"/>
    <w:next w:val="2"/>
    <w:uiPriority w:val="0"/>
    <w:pPr>
      <w:widowControl/>
      <w:snapToGrid w:val="0"/>
      <w:spacing w:beforeLines="50" w:afterLines="50" w:line="520" w:lineRule="atLeast"/>
      <w:ind w:firstLine="200" w:firstLineChars="200"/>
    </w:pPr>
  </w:style>
  <w:style w:type="paragraph" w:customStyle="1" w:styleId="51">
    <w:name w:val=" Char Char Char Char Char Char Char Char"/>
    <w:basedOn w:val="1"/>
    <w:uiPriority w:val="0"/>
    <w:rPr>
      <w:szCs w:val="20"/>
    </w:rPr>
  </w:style>
  <w:style w:type="paragraph" w:customStyle="1" w:styleId="52">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53">
    <w:name w:val="样式 表格正文 + 两端对齐"/>
    <w:basedOn w:val="1"/>
    <w:qFormat/>
    <w:uiPriority w:val="0"/>
    <w:pPr>
      <w:spacing w:line="300" w:lineRule="auto"/>
    </w:pPr>
    <w:rPr>
      <w:sz w:val="24"/>
      <w:szCs w:val="20"/>
    </w:rPr>
  </w:style>
  <w:style w:type="paragraph" w:customStyle="1" w:styleId="54">
    <w:name w:val="_Style 3"/>
    <w:basedOn w:val="1"/>
    <w:qFormat/>
    <w:uiPriority w:val="34"/>
    <w:pPr>
      <w:ind w:firstLine="420" w:firstLineChars="200"/>
    </w:pPr>
    <w:rPr>
      <w:rFonts w:ascii="Calibri" w:hAnsi="Calibri"/>
      <w:szCs w:val="22"/>
    </w:rPr>
  </w:style>
  <w:style w:type="paragraph" w:customStyle="1" w:styleId="55">
    <w:name w:val="列出段落2"/>
    <w:basedOn w:val="1"/>
    <w:qFormat/>
    <w:uiPriority w:val="0"/>
    <w:pPr>
      <w:ind w:firstLine="420" w:firstLineChars="200"/>
    </w:pPr>
  </w:style>
  <w:style w:type="paragraph" w:customStyle="1" w:styleId="56">
    <w:name w:val="样式 3 + 段前: 0.5 行 段后: 0.5 行"/>
    <w:basedOn w:val="1"/>
    <w:uiPriority w:val="0"/>
    <w:pPr>
      <w:spacing w:beforeLines="50" w:afterLines="50" w:line="360" w:lineRule="auto"/>
    </w:pPr>
    <w:rPr>
      <w:rFonts w:ascii="Calibri" w:hAnsi="Calibri" w:eastAsia="黑体" w:cs="宋体"/>
      <w:b/>
      <w:bCs/>
      <w:kern w:val="0"/>
      <w:sz w:val="28"/>
      <w:szCs w:val="20"/>
    </w:rPr>
  </w:style>
  <w:style w:type="paragraph" w:customStyle="1" w:styleId="57">
    <w:name w:val="Char Char Char Char Char Char Char Char"/>
    <w:basedOn w:val="1"/>
    <w:uiPriority w:val="0"/>
    <w:rPr>
      <w:szCs w:val="20"/>
    </w:rPr>
  </w:style>
  <w:style w:type="paragraph" w:customStyle="1" w:styleId="58">
    <w:name w:val="_Style 7"/>
    <w:basedOn w:val="1"/>
    <w:qFormat/>
    <w:uiPriority w:val="0"/>
    <w:pPr>
      <w:ind w:firstLine="420" w:firstLineChars="200"/>
    </w:pPr>
    <w:rPr>
      <w:rFonts w:ascii="Calibri" w:hAnsi="Calibri"/>
      <w:szCs w:val="22"/>
    </w:rPr>
  </w:style>
  <w:style w:type="paragraph" w:customStyle="1" w:styleId="59">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styleId="60">
    <w:name w:val="List Paragraph"/>
    <w:basedOn w:val="1"/>
    <w:qFormat/>
    <w:uiPriority w:val="34"/>
    <w:pPr>
      <w:ind w:firstLine="420" w:firstLineChars="200"/>
    </w:pPr>
    <w:rPr>
      <w:rFonts w:ascii="Calibri" w:hAnsi="Calibri"/>
      <w:szCs w:val="22"/>
    </w:rPr>
  </w:style>
  <w:style w:type="paragraph" w:customStyle="1" w:styleId="61">
    <w:name w:val="4"/>
    <w:basedOn w:val="1"/>
    <w:uiPriority w:val="0"/>
    <w:pPr>
      <w:spacing w:line="360" w:lineRule="auto"/>
      <w:ind w:firstLine="200" w:firstLineChars="200"/>
    </w:pPr>
    <w:rPr>
      <w:rFonts w:ascii="Calibri" w:hAnsi="Calibri"/>
      <w:sz w:val="24"/>
      <w:szCs w:val="22"/>
    </w:rPr>
  </w:style>
  <w:style w:type="paragraph" w:customStyle="1" w:styleId="62">
    <w:name w:val="列出段落11"/>
    <w:basedOn w:val="1"/>
    <w:qFormat/>
    <w:uiPriority w:val="34"/>
    <w:pPr>
      <w:ind w:firstLine="420" w:firstLineChars="200"/>
    </w:pPr>
    <w:rPr>
      <w:rFonts w:ascii="Calibri" w:hAnsi="Calibri"/>
      <w:szCs w:val="22"/>
    </w:rPr>
  </w:style>
  <w:style w:type="paragraph" w:customStyle="1" w:styleId="63">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4">
    <w:name w:val="_Style 1"/>
    <w:basedOn w:val="1"/>
    <w:qFormat/>
    <w:uiPriority w:val="0"/>
    <w:pPr>
      <w:ind w:firstLine="420" w:firstLineChars="200"/>
    </w:pPr>
    <w:rPr>
      <w:rFonts w:ascii="Calibri" w:hAnsi="Calibri"/>
      <w:szCs w:val="22"/>
    </w:rPr>
  </w:style>
  <w:style w:type="paragraph" w:customStyle="1" w:styleId="65">
    <w:name w:val=" Char Char6 Char Char Char Char"/>
    <w:basedOn w:val="1"/>
    <w:next w:val="2"/>
    <w:uiPriority w:val="0"/>
    <w:pPr>
      <w:widowControl/>
      <w:snapToGrid w:val="0"/>
      <w:spacing w:before="156" w:beforeLines="50" w:after="156" w:afterLines="50" w:line="520" w:lineRule="atLeast"/>
      <w:ind w:firstLine="200" w:firstLineChars="200"/>
    </w:pPr>
  </w:style>
  <w:style w:type="character" w:customStyle="1" w:styleId="66">
    <w:name w:val="标题 4 Char"/>
    <w:basedOn w:val="20"/>
    <w:link w:val="5"/>
    <w:qFormat/>
    <w:uiPriority w:val="0"/>
    <w:rPr>
      <w:rFonts w:ascii="Cambria" w:hAnsi="Cambria"/>
      <w:b/>
      <w:bCs/>
      <w:kern w:val="2"/>
      <w:sz w:val="28"/>
      <w:szCs w:val="28"/>
    </w:rPr>
  </w:style>
  <w:style w:type="character" w:customStyle="1" w:styleId="67">
    <w:name w:val="cfdate"/>
    <w:basedOn w:val="20"/>
    <w:uiPriority w:val="0"/>
    <w:rPr>
      <w:color w:val="333333"/>
      <w:sz w:val="18"/>
      <w:szCs w:val="18"/>
    </w:rPr>
  </w:style>
  <w:style w:type="character" w:customStyle="1" w:styleId="68">
    <w:name w:val="redfilenumber"/>
    <w:basedOn w:val="20"/>
    <w:uiPriority w:val="0"/>
    <w:rPr>
      <w:color w:val="BA2636"/>
      <w:sz w:val="18"/>
      <w:szCs w:val="18"/>
    </w:rPr>
  </w:style>
  <w:style w:type="character" w:customStyle="1" w:styleId="69">
    <w:name w:val="redfilefwwh"/>
    <w:basedOn w:val="20"/>
    <w:uiPriority w:val="0"/>
    <w:rPr>
      <w:color w:val="BA2636"/>
      <w:sz w:val="18"/>
      <w:szCs w:val="18"/>
    </w:rPr>
  </w:style>
  <w:style w:type="character" w:customStyle="1" w:styleId="70">
    <w:name w:val="qxdate"/>
    <w:basedOn w:val="20"/>
    <w:uiPriority w:val="0"/>
    <w:rPr>
      <w:color w:val="333333"/>
      <w:sz w:val="18"/>
      <w:szCs w:val="18"/>
    </w:rPr>
  </w:style>
  <w:style w:type="character" w:customStyle="1" w:styleId="71">
    <w:name w:val="gjfg"/>
    <w:basedOn w:val="20"/>
    <w:uiPriority w:val="0"/>
  </w:style>
  <w:style w:type="character" w:customStyle="1" w:styleId="72">
    <w:name w:val="displayarti"/>
    <w:basedOn w:val="20"/>
    <w:uiPriority w:val="0"/>
    <w:rPr>
      <w:color w:val="FFFFFF"/>
      <w:shd w:val="clear" w:color="auto" w:fill="A00000"/>
    </w:rPr>
  </w:style>
  <w:style w:type="character" w:customStyle="1" w:styleId="73">
    <w:name w:val="标题 3 Char"/>
    <w:basedOn w:val="20"/>
    <w:link w:val="4"/>
    <w:qFormat/>
    <w:uiPriority w:val="0"/>
    <w:rPr>
      <w:rFonts w:ascii="宋体" w:hAnsi="宋体"/>
      <w:b/>
      <w:sz w:val="28"/>
      <w:szCs w:val="28"/>
    </w:rPr>
  </w:style>
  <w:style w:type="character" w:customStyle="1" w:styleId="74">
    <w:name w:val="标题 5 Char"/>
    <w:basedOn w:val="20"/>
    <w:link w:val="6"/>
    <w:qFormat/>
    <w:uiPriority w:val="0"/>
    <w:rPr>
      <w:rFonts w:ascii="宋体" w:hAnsi="宋体"/>
      <w:b/>
      <w:sz w:val="24"/>
      <w:szCs w:val="24"/>
    </w:rPr>
  </w:style>
  <w:style w:type="character" w:customStyle="1" w:styleId="75">
    <w:name w:val="副标题 Char"/>
    <w:basedOn w:val="20"/>
    <w:link w:val="15"/>
    <w:qFormat/>
    <w:uiPriority w:val="11"/>
    <w:rPr>
      <w:rFonts w:ascii="Cambria" w:hAnsi="Cambria" w:cs="Times New Roman"/>
      <w:b/>
      <w:bCs/>
      <w:kern w:val="28"/>
      <w:sz w:val="32"/>
      <w:szCs w:val="32"/>
    </w:rPr>
  </w:style>
  <w:style w:type="character" w:customStyle="1" w:styleId="76">
    <w:name w:val="标题 Char"/>
    <w:basedOn w:val="20"/>
    <w:link w:val="17"/>
    <w:qFormat/>
    <w:uiPriority w:val="0"/>
    <w:rPr>
      <w:rFonts w:ascii="Cambria" w:hAnsi="Cambria" w:cs="Times New Roman"/>
      <w:b/>
      <w:bCs/>
      <w:kern w:val="2"/>
      <w:sz w:val="32"/>
      <w:szCs w:val="32"/>
    </w:rPr>
  </w:style>
  <w:style w:type="paragraph" w:customStyle="1" w:styleId="77">
    <w:name w:val="无间隔1"/>
    <w:uiPriority w:val="0"/>
    <w:pPr>
      <w:widowControl w:val="0"/>
      <w:jc w:val="both"/>
    </w:pPr>
    <w:rPr>
      <w:kern w:val="2"/>
      <w:sz w:val="21"/>
      <w:szCs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44</Pages>
  <Words>4520</Words>
  <Characters>25768</Characters>
  <Lines>214</Lines>
  <Paragraphs>60</Paragraphs>
  <TotalTime>0</TotalTime>
  <ScaleCrop>false</ScaleCrop>
  <LinksUpToDate>false</LinksUpToDate>
  <CharactersWithSpaces>30228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2008-07-24T08:03:00Z</dcterms:created>
  <dc:creator>abc</dc:creator>
  <cp:lastModifiedBy>WPS_1701756769</cp:lastModifiedBy>
  <cp:lastPrinted>2020-07-01T06:18:00Z</cp:lastPrinted>
  <dcterms:modified xsi:type="dcterms:W3CDTF">2024-02-22T03:12:50Z</dcterms:modified>
  <cp:revision>472</cp:revision>
  <dc:title>数字语言实验室配置清单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2913020945FF486BA58671D47042C559_13</vt:lpwstr>
  </property>
</Properties>
</file>